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08F6" w14:textId="68D73E85" w:rsidR="00236E6D" w:rsidRPr="00B32F8A" w:rsidRDefault="003C51A2">
      <w:pPr>
        <w:jc w:val="center"/>
        <w:rPr>
          <w:rFonts w:ascii="Times New Roman" w:hAnsi="Times New Roman" w:cs="Times New Roman"/>
        </w:rPr>
      </w:pPr>
      <w:bookmarkStart w:id="0" w:name="_Hlk96118293"/>
      <w:bookmarkEnd w:id="0"/>
      <w:r>
        <w:rPr>
          <w:rFonts w:ascii="Times New Roman" w:hAnsi="Times New Roman" w:cs="Times New Roman"/>
          <w:b/>
          <w:lang w:val="en-CA"/>
        </w:rPr>
        <w:t xml:space="preserve"> </w:t>
      </w:r>
      <w:r w:rsidR="0028256C" w:rsidRPr="00B32F8A">
        <w:rPr>
          <w:rFonts w:ascii="Times New Roman" w:hAnsi="Times New Roman" w:cs="Times New Roman"/>
          <w:b/>
          <w:lang w:val="en-CA"/>
        </w:rPr>
        <w:t xml:space="preserve">Formulation development and cure </w:t>
      </w:r>
      <w:r w:rsidR="00B32F8A" w:rsidRPr="00B32F8A">
        <w:rPr>
          <w:rFonts w:ascii="Times New Roman" w:hAnsi="Times New Roman" w:cs="Times New Roman"/>
          <w:b/>
          <w:lang w:val="en-CA"/>
        </w:rPr>
        <w:t>kinetics</w:t>
      </w:r>
      <w:r w:rsidR="0028256C" w:rsidRPr="00B32F8A">
        <w:rPr>
          <w:rFonts w:ascii="Times New Roman" w:hAnsi="Times New Roman" w:cs="Times New Roman"/>
          <w:b/>
          <w:lang w:val="en-CA"/>
        </w:rPr>
        <w:t xml:space="preserve"> of UV curing vinyl ester photopolymers </w:t>
      </w:r>
      <w:r w:rsidR="00B32F8A" w:rsidRPr="00B32F8A">
        <w:rPr>
          <w:rFonts w:ascii="Times New Roman" w:hAnsi="Times New Roman" w:cs="Times New Roman"/>
          <w:b/>
          <w:lang w:val="en-CA"/>
        </w:rPr>
        <w:t xml:space="preserve">towards </w:t>
      </w:r>
      <w:r w:rsidR="0028256C" w:rsidRPr="00B32F8A">
        <w:rPr>
          <w:rFonts w:ascii="Times New Roman" w:hAnsi="Times New Roman" w:cs="Times New Roman"/>
          <w:b/>
          <w:lang w:val="en-CA"/>
        </w:rPr>
        <w:t>application in large-</w:t>
      </w:r>
      <w:r w:rsidR="006F1981">
        <w:rPr>
          <w:rFonts w:ascii="Times New Roman" w:hAnsi="Times New Roman" w:cs="Times New Roman"/>
          <w:b/>
          <w:lang w:val="en-CA"/>
        </w:rPr>
        <w:t>format</w:t>
      </w:r>
      <w:r w:rsidR="0028256C" w:rsidRPr="00B32F8A">
        <w:rPr>
          <w:rFonts w:ascii="Times New Roman" w:hAnsi="Times New Roman" w:cs="Times New Roman"/>
          <w:b/>
          <w:lang w:val="en-CA"/>
        </w:rPr>
        <w:t xml:space="preserve"> additive manufacturing</w:t>
      </w:r>
    </w:p>
    <w:p w14:paraId="493A8043" w14:textId="77777777" w:rsidR="00236E6D" w:rsidRPr="00B32F8A" w:rsidRDefault="00236E6D">
      <w:pPr>
        <w:jc w:val="center"/>
        <w:rPr>
          <w:rFonts w:ascii="Times New Roman" w:hAnsi="Times New Roman" w:cs="Times New Roman"/>
        </w:rPr>
      </w:pPr>
    </w:p>
    <w:p w14:paraId="64575B56" w14:textId="77777777" w:rsidR="00236E6D" w:rsidRPr="00B32F8A" w:rsidRDefault="00236E6D">
      <w:pPr>
        <w:jc w:val="center"/>
        <w:rPr>
          <w:rFonts w:ascii="Times New Roman" w:hAnsi="Times New Roman" w:cs="Times New Roman"/>
        </w:rPr>
      </w:pPr>
    </w:p>
    <w:p w14:paraId="0657D9A6" w14:textId="77777777" w:rsidR="00236E6D" w:rsidRPr="00B32F8A" w:rsidRDefault="00236E6D">
      <w:pPr>
        <w:jc w:val="center"/>
        <w:rPr>
          <w:rFonts w:ascii="Times New Roman" w:hAnsi="Times New Roman" w:cs="Times New Roman"/>
        </w:rPr>
      </w:pPr>
    </w:p>
    <w:p w14:paraId="73455BE4" w14:textId="77777777" w:rsidR="00236E6D" w:rsidRPr="00B32F8A" w:rsidRDefault="00236E6D">
      <w:pPr>
        <w:jc w:val="center"/>
        <w:rPr>
          <w:rFonts w:ascii="Times New Roman" w:hAnsi="Times New Roman" w:cs="Times New Roman"/>
        </w:rPr>
      </w:pPr>
    </w:p>
    <w:p w14:paraId="46E32892" w14:textId="77777777" w:rsidR="00236E6D" w:rsidRPr="00B32F8A" w:rsidRDefault="00236E6D">
      <w:pPr>
        <w:jc w:val="center"/>
        <w:rPr>
          <w:rFonts w:ascii="Times New Roman" w:hAnsi="Times New Roman" w:cs="Times New Roman"/>
        </w:rPr>
      </w:pPr>
    </w:p>
    <w:p w14:paraId="139854DD" w14:textId="77777777" w:rsidR="00236E6D" w:rsidRPr="00B32F8A" w:rsidRDefault="00236E6D">
      <w:pPr>
        <w:jc w:val="center"/>
        <w:rPr>
          <w:rFonts w:ascii="Times New Roman" w:hAnsi="Times New Roman" w:cs="Times New Roman"/>
        </w:rPr>
      </w:pPr>
    </w:p>
    <w:p w14:paraId="55FC645F" w14:textId="77777777" w:rsidR="009D2AA9" w:rsidRPr="00B32F8A" w:rsidRDefault="009D2AA9">
      <w:pPr>
        <w:jc w:val="center"/>
        <w:rPr>
          <w:rFonts w:ascii="Times New Roman" w:hAnsi="Times New Roman" w:cs="Times New Roman"/>
        </w:rPr>
      </w:pPr>
    </w:p>
    <w:p w14:paraId="4EA3724B" w14:textId="77777777" w:rsidR="009D2AA9" w:rsidRPr="00B32F8A" w:rsidRDefault="009D2AA9">
      <w:pPr>
        <w:jc w:val="center"/>
        <w:rPr>
          <w:rFonts w:ascii="Times New Roman" w:hAnsi="Times New Roman" w:cs="Times New Roman"/>
        </w:rPr>
      </w:pPr>
    </w:p>
    <w:p w14:paraId="6F6482A8" w14:textId="77777777" w:rsidR="009D2AA9" w:rsidRPr="00B32F8A" w:rsidRDefault="009D2AA9">
      <w:pPr>
        <w:jc w:val="center"/>
        <w:rPr>
          <w:rFonts w:ascii="Times New Roman" w:hAnsi="Times New Roman" w:cs="Times New Roman"/>
        </w:rPr>
      </w:pPr>
    </w:p>
    <w:p w14:paraId="7DF557F2" w14:textId="77777777" w:rsidR="00236E6D" w:rsidRPr="00B32F8A" w:rsidRDefault="00236E6D">
      <w:pPr>
        <w:jc w:val="center"/>
        <w:rPr>
          <w:rFonts w:ascii="Times New Roman" w:hAnsi="Times New Roman" w:cs="Times New Roman"/>
        </w:rPr>
      </w:pPr>
    </w:p>
    <w:p w14:paraId="483BD4ED" w14:textId="77777777" w:rsidR="00236E6D" w:rsidRPr="00B32F8A" w:rsidRDefault="00236E6D">
      <w:pPr>
        <w:jc w:val="center"/>
        <w:rPr>
          <w:rFonts w:ascii="Times New Roman" w:hAnsi="Times New Roman" w:cs="Times New Roman"/>
        </w:rPr>
      </w:pPr>
    </w:p>
    <w:p w14:paraId="3A64653C" w14:textId="78F9901A" w:rsidR="00236E6D" w:rsidRPr="00B32F8A" w:rsidRDefault="009C755C">
      <w:pPr>
        <w:jc w:val="center"/>
        <w:rPr>
          <w:rFonts w:ascii="Times New Roman" w:hAnsi="Times New Roman" w:cs="Times New Roman"/>
        </w:rPr>
      </w:pPr>
      <w:r w:rsidRPr="00B32F8A">
        <w:rPr>
          <w:rFonts w:ascii="Times New Roman" w:hAnsi="Times New Roman" w:cs="Times New Roman"/>
        </w:rPr>
        <w:t xml:space="preserve">A </w:t>
      </w:r>
      <w:r w:rsidR="00F4293A" w:rsidRPr="00B32F8A">
        <w:rPr>
          <w:rFonts w:ascii="Times New Roman" w:hAnsi="Times New Roman" w:cs="Times New Roman"/>
        </w:rPr>
        <w:t>Dissertation</w:t>
      </w:r>
      <w:r w:rsidRPr="00B32F8A">
        <w:rPr>
          <w:rFonts w:ascii="Times New Roman" w:hAnsi="Times New Roman" w:cs="Times New Roman"/>
        </w:rPr>
        <w:t xml:space="preserve"> Presented for</w:t>
      </w:r>
      <w:r w:rsidR="008865B6" w:rsidRPr="00B32F8A">
        <w:rPr>
          <w:rFonts w:ascii="Times New Roman" w:hAnsi="Times New Roman" w:cs="Times New Roman"/>
        </w:rPr>
        <w:t xml:space="preserve"> the</w:t>
      </w:r>
    </w:p>
    <w:p w14:paraId="388C802B" w14:textId="7059FF61" w:rsidR="009C755C" w:rsidRPr="00B32F8A" w:rsidRDefault="00F4293A">
      <w:pPr>
        <w:jc w:val="center"/>
        <w:rPr>
          <w:rFonts w:ascii="Times New Roman" w:hAnsi="Times New Roman" w:cs="Times New Roman"/>
        </w:rPr>
      </w:pPr>
      <w:r w:rsidRPr="00B32F8A">
        <w:rPr>
          <w:rFonts w:ascii="Times New Roman" w:hAnsi="Times New Roman" w:cs="Times New Roman"/>
        </w:rPr>
        <w:t>Doctor of Philosophy</w:t>
      </w:r>
    </w:p>
    <w:p w14:paraId="011DD581" w14:textId="77777777" w:rsidR="009C755C" w:rsidRPr="00B32F8A" w:rsidRDefault="009C755C">
      <w:pPr>
        <w:jc w:val="center"/>
        <w:rPr>
          <w:rFonts w:ascii="Times New Roman" w:hAnsi="Times New Roman" w:cs="Times New Roman"/>
        </w:rPr>
      </w:pPr>
      <w:r w:rsidRPr="00B32F8A">
        <w:rPr>
          <w:rFonts w:ascii="Times New Roman" w:hAnsi="Times New Roman" w:cs="Times New Roman"/>
        </w:rPr>
        <w:t>Degree</w:t>
      </w:r>
    </w:p>
    <w:p w14:paraId="70946E35" w14:textId="77777777" w:rsidR="009C755C" w:rsidRPr="00B32F8A" w:rsidRDefault="009C755C">
      <w:pPr>
        <w:jc w:val="center"/>
        <w:rPr>
          <w:rFonts w:ascii="Times New Roman" w:hAnsi="Times New Roman" w:cs="Times New Roman"/>
        </w:rPr>
      </w:pPr>
      <w:r w:rsidRPr="00B32F8A">
        <w:rPr>
          <w:rFonts w:ascii="Times New Roman" w:hAnsi="Times New Roman" w:cs="Times New Roman"/>
        </w:rPr>
        <w:t>The University of Tennessee, Knoxville</w:t>
      </w:r>
    </w:p>
    <w:p w14:paraId="0954D7E0" w14:textId="77777777" w:rsidR="00236E6D" w:rsidRPr="00B32F8A" w:rsidRDefault="00236E6D">
      <w:pPr>
        <w:jc w:val="center"/>
        <w:rPr>
          <w:rFonts w:ascii="Times New Roman" w:hAnsi="Times New Roman" w:cs="Times New Roman"/>
        </w:rPr>
      </w:pPr>
    </w:p>
    <w:p w14:paraId="16EA6BB1" w14:textId="77777777" w:rsidR="00236E6D" w:rsidRPr="00B32F8A" w:rsidRDefault="00236E6D">
      <w:pPr>
        <w:jc w:val="center"/>
        <w:rPr>
          <w:rFonts w:ascii="Times New Roman" w:hAnsi="Times New Roman" w:cs="Times New Roman"/>
        </w:rPr>
      </w:pPr>
    </w:p>
    <w:p w14:paraId="3A322B6F" w14:textId="77777777" w:rsidR="00236E6D" w:rsidRPr="00B32F8A" w:rsidRDefault="00236E6D">
      <w:pPr>
        <w:jc w:val="center"/>
        <w:rPr>
          <w:rFonts w:ascii="Times New Roman" w:hAnsi="Times New Roman" w:cs="Times New Roman"/>
        </w:rPr>
      </w:pPr>
    </w:p>
    <w:p w14:paraId="31B91BC4" w14:textId="77777777" w:rsidR="00236E6D" w:rsidRPr="00B32F8A" w:rsidRDefault="00236E6D">
      <w:pPr>
        <w:jc w:val="center"/>
        <w:rPr>
          <w:rFonts w:ascii="Times New Roman" w:hAnsi="Times New Roman" w:cs="Times New Roman"/>
        </w:rPr>
      </w:pPr>
    </w:p>
    <w:p w14:paraId="256AEAE6" w14:textId="77777777" w:rsidR="00236E6D" w:rsidRPr="00B32F8A" w:rsidRDefault="00236E6D">
      <w:pPr>
        <w:jc w:val="center"/>
        <w:rPr>
          <w:rFonts w:ascii="Times New Roman" w:hAnsi="Times New Roman" w:cs="Times New Roman"/>
        </w:rPr>
      </w:pPr>
    </w:p>
    <w:p w14:paraId="11C231FB" w14:textId="77777777" w:rsidR="00236E6D" w:rsidRPr="00B32F8A" w:rsidRDefault="00236E6D">
      <w:pPr>
        <w:jc w:val="center"/>
        <w:rPr>
          <w:rFonts w:ascii="Times New Roman" w:hAnsi="Times New Roman" w:cs="Times New Roman"/>
        </w:rPr>
      </w:pPr>
    </w:p>
    <w:p w14:paraId="6204150A" w14:textId="77777777" w:rsidR="00236E6D" w:rsidRPr="00B32F8A" w:rsidRDefault="00236E6D">
      <w:pPr>
        <w:jc w:val="center"/>
        <w:rPr>
          <w:rFonts w:ascii="Times New Roman" w:hAnsi="Times New Roman" w:cs="Times New Roman"/>
        </w:rPr>
      </w:pPr>
    </w:p>
    <w:p w14:paraId="51A81CF0" w14:textId="77777777" w:rsidR="00236E6D" w:rsidRPr="00B32F8A" w:rsidRDefault="00236E6D">
      <w:pPr>
        <w:jc w:val="center"/>
        <w:rPr>
          <w:rFonts w:ascii="Times New Roman" w:hAnsi="Times New Roman" w:cs="Times New Roman"/>
        </w:rPr>
      </w:pPr>
    </w:p>
    <w:p w14:paraId="396B0A24" w14:textId="77777777" w:rsidR="00236E6D" w:rsidRPr="00B32F8A" w:rsidRDefault="00236E6D">
      <w:pPr>
        <w:jc w:val="center"/>
        <w:rPr>
          <w:rFonts w:ascii="Times New Roman" w:hAnsi="Times New Roman" w:cs="Times New Roman"/>
        </w:rPr>
      </w:pPr>
    </w:p>
    <w:p w14:paraId="5A70D095" w14:textId="77777777" w:rsidR="009D2AA9" w:rsidRPr="00B32F8A" w:rsidRDefault="009D2AA9">
      <w:pPr>
        <w:jc w:val="center"/>
        <w:rPr>
          <w:rFonts w:ascii="Times New Roman" w:hAnsi="Times New Roman" w:cs="Times New Roman"/>
        </w:rPr>
      </w:pPr>
    </w:p>
    <w:p w14:paraId="34FEC53D" w14:textId="77777777" w:rsidR="009D2AA9" w:rsidRPr="00B32F8A" w:rsidRDefault="009D2AA9">
      <w:pPr>
        <w:jc w:val="center"/>
        <w:rPr>
          <w:rFonts w:ascii="Times New Roman" w:hAnsi="Times New Roman" w:cs="Times New Roman"/>
        </w:rPr>
      </w:pPr>
    </w:p>
    <w:p w14:paraId="2CE17839" w14:textId="77777777" w:rsidR="009D2AA9" w:rsidRPr="00B32F8A" w:rsidRDefault="009D2AA9">
      <w:pPr>
        <w:jc w:val="center"/>
        <w:rPr>
          <w:rFonts w:ascii="Times New Roman" w:hAnsi="Times New Roman" w:cs="Times New Roman"/>
        </w:rPr>
      </w:pPr>
    </w:p>
    <w:p w14:paraId="60CDEBFC" w14:textId="77777777" w:rsidR="009D2AA9" w:rsidRPr="00B32F8A" w:rsidRDefault="009D2AA9">
      <w:pPr>
        <w:jc w:val="center"/>
        <w:rPr>
          <w:rFonts w:ascii="Times New Roman" w:hAnsi="Times New Roman" w:cs="Times New Roman"/>
        </w:rPr>
      </w:pPr>
    </w:p>
    <w:p w14:paraId="56E3151C" w14:textId="77777777" w:rsidR="009D2AA9" w:rsidRPr="00B32F8A" w:rsidRDefault="009D2AA9">
      <w:pPr>
        <w:jc w:val="center"/>
        <w:rPr>
          <w:rFonts w:ascii="Times New Roman" w:hAnsi="Times New Roman" w:cs="Times New Roman"/>
        </w:rPr>
      </w:pPr>
    </w:p>
    <w:p w14:paraId="60ADC8F5" w14:textId="77777777" w:rsidR="009D2AA9" w:rsidRPr="00B32F8A" w:rsidRDefault="009D2AA9">
      <w:pPr>
        <w:jc w:val="center"/>
        <w:rPr>
          <w:rFonts w:ascii="Times New Roman" w:hAnsi="Times New Roman" w:cs="Times New Roman"/>
        </w:rPr>
      </w:pPr>
    </w:p>
    <w:p w14:paraId="06034D87" w14:textId="77777777" w:rsidR="009D2AA9" w:rsidRPr="00B32F8A" w:rsidRDefault="009D2AA9">
      <w:pPr>
        <w:jc w:val="center"/>
        <w:rPr>
          <w:rFonts w:ascii="Times New Roman" w:hAnsi="Times New Roman" w:cs="Times New Roman"/>
        </w:rPr>
      </w:pPr>
    </w:p>
    <w:p w14:paraId="47C1E472" w14:textId="77777777" w:rsidR="009D2AA9" w:rsidRPr="00B32F8A" w:rsidRDefault="009D2AA9">
      <w:pPr>
        <w:jc w:val="center"/>
        <w:rPr>
          <w:rFonts w:ascii="Times New Roman" w:hAnsi="Times New Roman" w:cs="Times New Roman"/>
        </w:rPr>
      </w:pPr>
    </w:p>
    <w:p w14:paraId="7465D04A" w14:textId="77777777" w:rsidR="009D2AA9" w:rsidRPr="00B32F8A" w:rsidRDefault="009D2AA9">
      <w:pPr>
        <w:jc w:val="center"/>
        <w:rPr>
          <w:rFonts w:ascii="Times New Roman" w:hAnsi="Times New Roman" w:cs="Times New Roman"/>
        </w:rPr>
      </w:pPr>
    </w:p>
    <w:p w14:paraId="00F48FC9" w14:textId="77777777" w:rsidR="009D2AA9" w:rsidRPr="00B32F8A" w:rsidRDefault="009D2AA9">
      <w:pPr>
        <w:jc w:val="center"/>
        <w:rPr>
          <w:rFonts w:ascii="Times New Roman" w:hAnsi="Times New Roman" w:cs="Times New Roman"/>
        </w:rPr>
      </w:pPr>
    </w:p>
    <w:p w14:paraId="413CD0E2" w14:textId="77777777" w:rsidR="009D2AA9" w:rsidRPr="00B32F8A" w:rsidRDefault="009D2AA9">
      <w:pPr>
        <w:jc w:val="center"/>
        <w:rPr>
          <w:rFonts w:ascii="Times New Roman" w:hAnsi="Times New Roman" w:cs="Times New Roman"/>
        </w:rPr>
      </w:pPr>
    </w:p>
    <w:p w14:paraId="55265727" w14:textId="77777777" w:rsidR="009D2AA9" w:rsidRPr="00B32F8A" w:rsidRDefault="009D2AA9">
      <w:pPr>
        <w:jc w:val="center"/>
        <w:rPr>
          <w:rFonts w:ascii="Times New Roman" w:hAnsi="Times New Roman" w:cs="Times New Roman"/>
        </w:rPr>
      </w:pPr>
    </w:p>
    <w:p w14:paraId="3AEA4B6F" w14:textId="77777777" w:rsidR="00236E6D" w:rsidRPr="00B32F8A" w:rsidRDefault="00236E6D">
      <w:pPr>
        <w:jc w:val="center"/>
        <w:rPr>
          <w:rFonts w:ascii="Times New Roman" w:hAnsi="Times New Roman" w:cs="Times New Roman"/>
        </w:rPr>
      </w:pPr>
    </w:p>
    <w:p w14:paraId="495CBA1D" w14:textId="77777777" w:rsidR="00236E6D" w:rsidRPr="00B32F8A" w:rsidRDefault="00236E6D">
      <w:pPr>
        <w:jc w:val="center"/>
        <w:rPr>
          <w:rFonts w:ascii="Times New Roman" w:hAnsi="Times New Roman" w:cs="Times New Roman"/>
        </w:rPr>
      </w:pPr>
    </w:p>
    <w:p w14:paraId="055CCDBE" w14:textId="04FA8BD5" w:rsidR="00236E6D" w:rsidRPr="00B32F8A" w:rsidRDefault="00F4293A">
      <w:pPr>
        <w:jc w:val="center"/>
        <w:rPr>
          <w:rFonts w:ascii="Times New Roman" w:hAnsi="Times New Roman" w:cs="Times New Roman"/>
        </w:rPr>
      </w:pPr>
      <w:r w:rsidRPr="00B32F8A">
        <w:rPr>
          <w:rFonts w:ascii="Times New Roman" w:hAnsi="Times New Roman" w:cs="Times New Roman"/>
        </w:rPr>
        <w:t>Alex</w:t>
      </w:r>
      <w:r w:rsidR="00BF1ED3" w:rsidRPr="00B32F8A">
        <w:rPr>
          <w:rFonts w:ascii="Times New Roman" w:hAnsi="Times New Roman" w:cs="Times New Roman"/>
        </w:rPr>
        <w:t>ander</w:t>
      </w:r>
      <w:r w:rsidR="00230130" w:rsidRPr="00B32F8A">
        <w:rPr>
          <w:rFonts w:ascii="Times New Roman" w:hAnsi="Times New Roman" w:cs="Times New Roman"/>
        </w:rPr>
        <w:t xml:space="preserve"> </w:t>
      </w:r>
      <w:r w:rsidRPr="00B32F8A">
        <w:rPr>
          <w:rFonts w:ascii="Times New Roman" w:hAnsi="Times New Roman" w:cs="Times New Roman"/>
        </w:rPr>
        <w:t>Stiles</w:t>
      </w:r>
    </w:p>
    <w:p w14:paraId="544DB861" w14:textId="262687BD" w:rsidR="009C755C" w:rsidRPr="00B32F8A" w:rsidRDefault="00F4293A">
      <w:pPr>
        <w:jc w:val="center"/>
        <w:rPr>
          <w:rFonts w:ascii="Times New Roman" w:hAnsi="Times New Roman" w:cs="Times New Roman"/>
        </w:rPr>
      </w:pPr>
      <w:r w:rsidRPr="00B32F8A">
        <w:rPr>
          <w:rFonts w:ascii="Times New Roman" w:hAnsi="Times New Roman" w:cs="Times New Roman"/>
        </w:rPr>
        <w:t>May</w:t>
      </w:r>
      <w:r w:rsidR="009C755C" w:rsidRPr="00B32F8A">
        <w:rPr>
          <w:rFonts w:ascii="Times New Roman" w:hAnsi="Times New Roman" w:cs="Times New Roman"/>
        </w:rPr>
        <w:t xml:space="preserve"> </w:t>
      </w:r>
      <w:r w:rsidR="009D2AA9" w:rsidRPr="00B32F8A">
        <w:rPr>
          <w:rFonts w:ascii="Times New Roman" w:hAnsi="Times New Roman" w:cs="Times New Roman"/>
        </w:rPr>
        <w:t>202</w:t>
      </w:r>
      <w:r w:rsidRPr="00B32F8A">
        <w:rPr>
          <w:rFonts w:ascii="Times New Roman" w:hAnsi="Times New Roman" w:cs="Times New Roman"/>
        </w:rPr>
        <w:t>2</w:t>
      </w:r>
    </w:p>
    <w:p w14:paraId="44A75095" w14:textId="1AD31EC2" w:rsidR="00236E6D" w:rsidRPr="00B32F8A" w:rsidRDefault="00236E6D">
      <w:pPr>
        <w:jc w:val="center"/>
        <w:rPr>
          <w:rFonts w:ascii="Times New Roman" w:hAnsi="Times New Roman" w:cs="Times New Roman"/>
        </w:rPr>
      </w:pPr>
    </w:p>
    <w:p w14:paraId="304FAAAE" w14:textId="77777777" w:rsidR="00BF1ED3" w:rsidRPr="00B32F8A" w:rsidRDefault="00BF1ED3">
      <w:pPr>
        <w:jc w:val="center"/>
        <w:rPr>
          <w:rFonts w:ascii="Times New Roman" w:hAnsi="Times New Roman" w:cs="Times New Roman"/>
        </w:rPr>
      </w:pPr>
    </w:p>
    <w:p w14:paraId="61CB3AD2" w14:textId="77777777" w:rsidR="00236E6D" w:rsidRPr="00B32F8A" w:rsidRDefault="00236E6D">
      <w:pPr>
        <w:jc w:val="center"/>
        <w:rPr>
          <w:rFonts w:ascii="Times New Roman" w:hAnsi="Times New Roman" w:cs="Times New Roman"/>
        </w:rPr>
      </w:pPr>
    </w:p>
    <w:p w14:paraId="4C9C6A32" w14:textId="5D874EB9" w:rsidR="00236E6D" w:rsidRPr="00B32F8A" w:rsidRDefault="003D07F7" w:rsidP="00D91C27">
      <w:pPr>
        <w:jc w:val="center"/>
        <w:rPr>
          <w:rFonts w:ascii="Times New Roman" w:hAnsi="Times New Roman" w:cs="Times New Roman"/>
        </w:rPr>
      </w:pPr>
      <w:r w:rsidRPr="00B32F8A">
        <w:rPr>
          <w:rFonts w:ascii="Times New Roman" w:hAnsi="Times New Roman" w:cs="Times New Roman"/>
        </w:rPr>
        <w:lastRenderedPageBreak/>
        <w:t>Copyright © 20</w:t>
      </w:r>
      <w:r w:rsidR="009D2AA9" w:rsidRPr="00B32F8A">
        <w:rPr>
          <w:rFonts w:ascii="Times New Roman" w:hAnsi="Times New Roman" w:cs="Times New Roman"/>
        </w:rPr>
        <w:t>2</w:t>
      </w:r>
      <w:r w:rsidR="00B32F8A" w:rsidRPr="00B32F8A">
        <w:rPr>
          <w:rFonts w:ascii="Times New Roman" w:hAnsi="Times New Roman" w:cs="Times New Roman"/>
        </w:rPr>
        <w:t>2</w:t>
      </w:r>
      <w:r w:rsidR="00236E6D" w:rsidRPr="00B32F8A">
        <w:rPr>
          <w:rFonts w:ascii="Times New Roman" w:hAnsi="Times New Roman" w:cs="Times New Roman"/>
        </w:rPr>
        <w:t xml:space="preserve"> by </w:t>
      </w:r>
      <w:r w:rsidR="00F4293A" w:rsidRPr="00B32F8A">
        <w:rPr>
          <w:rFonts w:ascii="Times New Roman" w:hAnsi="Times New Roman" w:cs="Times New Roman"/>
        </w:rPr>
        <w:t>Alex</w:t>
      </w:r>
      <w:r w:rsidR="00BF1ED3" w:rsidRPr="00B32F8A">
        <w:rPr>
          <w:rFonts w:ascii="Times New Roman" w:hAnsi="Times New Roman" w:cs="Times New Roman"/>
        </w:rPr>
        <w:t>ander</w:t>
      </w:r>
      <w:r w:rsidR="00F4293A" w:rsidRPr="00B32F8A">
        <w:rPr>
          <w:rFonts w:ascii="Times New Roman" w:hAnsi="Times New Roman" w:cs="Times New Roman"/>
        </w:rPr>
        <w:t xml:space="preserve"> Stiles.</w:t>
      </w:r>
    </w:p>
    <w:p w14:paraId="27A2ED30" w14:textId="77777777" w:rsidR="00236E6D" w:rsidRPr="00B32F8A" w:rsidRDefault="00236E6D">
      <w:pPr>
        <w:jc w:val="center"/>
        <w:rPr>
          <w:rFonts w:ascii="Times New Roman" w:hAnsi="Times New Roman" w:cs="Times New Roman"/>
        </w:rPr>
      </w:pPr>
      <w:r w:rsidRPr="00B32F8A">
        <w:rPr>
          <w:rFonts w:ascii="Times New Roman" w:hAnsi="Times New Roman" w:cs="Times New Roman"/>
        </w:rPr>
        <w:t>All rights reserved.</w:t>
      </w:r>
    </w:p>
    <w:p w14:paraId="307208EE" w14:textId="77777777" w:rsidR="00236E6D" w:rsidRPr="00B32F8A" w:rsidRDefault="00236E6D">
      <w:pPr>
        <w:jc w:val="center"/>
        <w:rPr>
          <w:rFonts w:ascii="Times New Roman" w:hAnsi="Times New Roman" w:cs="Times New Roman"/>
        </w:rPr>
      </w:pPr>
    </w:p>
    <w:p w14:paraId="21CD58AC" w14:textId="77777777" w:rsidR="00236E6D" w:rsidRPr="00B32F8A" w:rsidRDefault="00236E6D">
      <w:pPr>
        <w:jc w:val="center"/>
        <w:rPr>
          <w:rFonts w:ascii="Times New Roman" w:hAnsi="Times New Roman" w:cs="Times New Roman"/>
        </w:rPr>
      </w:pPr>
    </w:p>
    <w:p w14:paraId="5DCF7987" w14:textId="77777777" w:rsidR="00236E6D" w:rsidRPr="00B32F8A" w:rsidRDefault="00236E6D">
      <w:pPr>
        <w:jc w:val="center"/>
        <w:rPr>
          <w:rFonts w:ascii="Times New Roman" w:hAnsi="Times New Roman" w:cs="Times New Roman"/>
        </w:rPr>
      </w:pPr>
    </w:p>
    <w:p w14:paraId="7B760EF9" w14:textId="77777777" w:rsidR="00236E6D" w:rsidRPr="00B32F8A" w:rsidRDefault="00236E6D">
      <w:pPr>
        <w:jc w:val="center"/>
        <w:rPr>
          <w:rFonts w:ascii="Times New Roman" w:hAnsi="Times New Roman" w:cs="Times New Roman"/>
        </w:rPr>
      </w:pPr>
    </w:p>
    <w:p w14:paraId="7B296BFA" w14:textId="77777777" w:rsidR="00236E6D" w:rsidRPr="00B32F8A" w:rsidRDefault="00236E6D">
      <w:pPr>
        <w:jc w:val="center"/>
        <w:rPr>
          <w:rFonts w:ascii="Times New Roman" w:hAnsi="Times New Roman" w:cs="Times New Roman"/>
        </w:rPr>
      </w:pPr>
    </w:p>
    <w:p w14:paraId="7F204A08" w14:textId="77777777" w:rsidR="00236E6D" w:rsidRPr="00B32F8A" w:rsidRDefault="00236E6D">
      <w:pPr>
        <w:jc w:val="center"/>
        <w:rPr>
          <w:rFonts w:ascii="Times New Roman" w:hAnsi="Times New Roman" w:cs="Times New Roman"/>
        </w:rPr>
      </w:pPr>
    </w:p>
    <w:p w14:paraId="14C50A9F" w14:textId="77777777" w:rsidR="00236E6D" w:rsidRPr="00B32F8A" w:rsidRDefault="00236E6D">
      <w:pPr>
        <w:jc w:val="center"/>
        <w:rPr>
          <w:rFonts w:ascii="Times New Roman" w:hAnsi="Times New Roman" w:cs="Times New Roman"/>
        </w:rPr>
      </w:pPr>
    </w:p>
    <w:p w14:paraId="66353706" w14:textId="77777777" w:rsidR="00236E6D" w:rsidRPr="00B32F8A" w:rsidRDefault="00236E6D">
      <w:pPr>
        <w:jc w:val="center"/>
        <w:rPr>
          <w:rFonts w:ascii="Times New Roman" w:hAnsi="Times New Roman" w:cs="Times New Roman"/>
        </w:rPr>
      </w:pPr>
    </w:p>
    <w:p w14:paraId="228CC30A" w14:textId="77777777" w:rsidR="00236E6D" w:rsidRPr="00B32F8A" w:rsidRDefault="00236E6D">
      <w:pPr>
        <w:jc w:val="center"/>
        <w:rPr>
          <w:rFonts w:ascii="Times New Roman" w:hAnsi="Times New Roman" w:cs="Times New Roman"/>
        </w:rPr>
      </w:pPr>
    </w:p>
    <w:p w14:paraId="0D2312A7" w14:textId="77777777" w:rsidR="00236E6D" w:rsidRPr="00B32F8A" w:rsidRDefault="00236E6D">
      <w:pPr>
        <w:jc w:val="center"/>
        <w:rPr>
          <w:rFonts w:ascii="Times New Roman" w:hAnsi="Times New Roman" w:cs="Times New Roman"/>
        </w:rPr>
      </w:pPr>
    </w:p>
    <w:p w14:paraId="158F571A" w14:textId="77777777" w:rsidR="00236E6D" w:rsidRPr="00B32F8A" w:rsidRDefault="00236E6D">
      <w:pPr>
        <w:jc w:val="center"/>
        <w:rPr>
          <w:rFonts w:ascii="Times New Roman" w:hAnsi="Times New Roman" w:cs="Times New Roman"/>
        </w:rPr>
      </w:pPr>
    </w:p>
    <w:p w14:paraId="370D5065" w14:textId="77777777" w:rsidR="00236E6D" w:rsidRPr="00B32F8A" w:rsidRDefault="00236E6D">
      <w:pPr>
        <w:jc w:val="center"/>
        <w:rPr>
          <w:rFonts w:ascii="Times New Roman" w:hAnsi="Times New Roman" w:cs="Times New Roman"/>
        </w:rPr>
      </w:pPr>
    </w:p>
    <w:p w14:paraId="14D20544" w14:textId="77777777" w:rsidR="00236E6D" w:rsidRPr="00B32F8A" w:rsidRDefault="00236E6D">
      <w:pPr>
        <w:jc w:val="center"/>
        <w:rPr>
          <w:rFonts w:ascii="Times New Roman" w:hAnsi="Times New Roman" w:cs="Times New Roman"/>
        </w:rPr>
      </w:pPr>
    </w:p>
    <w:p w14:paraId="5820BB9F" w14:textId="77777777" w:rsidR="00236E6D" w:rsidRPr="00B32F8A" w:rsidRDefault="00236E6D">
      <w:pPr>
        <w:jc w:val="center"/>
        <w:rPr>
          <w:rFonts w:ascii="Times New Roman" w:hAnsi="Times New Roman" w:cs="Times New Roman"/>
        </w:rPr>
      </w:pPr>
    </w:p>
    <w:p w14:paraId="7ACAAC42" w14:textId="77777777" w:rsidR="009D2AA9" w:rsidRPr="00B32F8A" w:rsidRDefault="009D2AA9" w:rsidP="009D2AA9">
      <w:pPr>
        <w:rPr>
          <w:rFonts w:ascii="Times New Roman" w:hAnsi="Times New Roman" w:cs="Times New Roman"/>
        </w:rPr>
      </w:pPr>
    </w:p>
    <w:p w14:paraId="4C3F5696" w14:textId="77777777" w:rsidR="009D2AA9" w:rsidRPr="00B32F8A" w:rsidRDefault="009D2AA9" w:rsidP="009D2AA9">
      <w:pPr>
        <w:rPr>
          <w:rFonts w:ascii="Times New Roman" w:hAnsi="Times New Roman" w:cs="Times New Roman"/>
        </w:rPr>
      </w:pPr>
    </w:p>
    <w:p w14:paraId="34E9A703" w14:textId="77777777" w:rsidR="009D2AA9" w:rsidRPr="00B32F8A" w:rsidRDefault="009D2AA9" w:rsidP="009D2AA9">
      <w:pPr>
        <w:rPr>
          <w:rFonts w:ascii="Times New Roman" w:hAnsi="Times New Roman" w:cs="Times New Roman"/>
        </w:rPr>
      </w:pPr>
    </w:p>
    <w:p w14:paraId="02B8F4DC" w14:textId="77777777" w:rsidR="009D2AA9" w:rsidRPr="00B32F8A" w:rsidRDefault="009D2AA9" w:rsidP="009D2AA9">
      <w:pPr>
        <w:rPr>
          <w:rFonts w:ascii="Times New Roman" w:hAnsi="Times New Roman" w:cs="Times New Roman"/>
        </w:rPr>
      </w:pPr>
    </w:p>
    <w:p w14:paraId="0C965C70" w14:textId="77777777" w:rsidR="009D2AA9" w:rsidRPr="00B32F8A" w:rsidRDefault="009D2AA9" w:rsidP="009D2AA9">
      <w:pPr>
        <w:rPr>
          <w:rFonts w:ascii="Times New Roman" w:hAnsi="Times New Roman" w:cs="Times New Roman"/>
        </w:rPr>
      </w:pPr>
    </w:p>
    <w:p w14:paraId="7F64F739" w14:textId="77777777" w:rsidR="009D2AA9" w:rsidRPr="00B32F8A" w:rsidRDefault="009D2AA9" w:rsidP="009D2AA9">
      <w:pPr>
        <w:rPr>
          <w:rFonts w:ascii="Times New Roman" w:hAnsi="Times New Roman" w:cs="Times New Roman"/>
        </w:rPr>
      </w:pPr>
    </w:p>
    <w:p w14:paraId="5F6D41ED" w14:textId="77777777" w:rsidR="009D2AA9" w:rsidRPr="00B32F8A" w:rsidRDefault="009D2AA9" w:rsidP="009D2AA9">
      <w:pPr>
        <w:rPr>
          <w:rFonts w:ascii="Times New Roman" w:hAnsi="Times New Roman" w:cs="Times New Roman"/>
        </w:rPr>
      </w:pPr>
    </w:p>
    <w:p w14:paraId="7D87184E" w14:textId="77777777" w:rsidR="009D2AA9" w:rsidRPr="00B32F8A" w:rsidRDefault="009D2AA9" w:rsidP="009D2AA9">
      <w:pPr>
        <w:rPr>
          <w:rFonts w:ascii="Times New Roman" w:hAnsi="Times New Roman" w:cs="Times New Roman"/>
        </w:rPr>
      </w:pPr>
    </w:p>
    <w:p w14:paraId="42BC682A" w14:textId="77777777" w:rsidR="009D2AA9" w:rsidRPr="00B32F8A" w:rsidRDefault="009D2AA9" w:rsidP="009D2AA9">
      <w:pPr>
        <w:rPr>
          <w:rFonts w:ascii="Times New Roman" w:hAnsi="Times New Roman" w:cs="Times New Roman"/>
        </w:rPr>
      </w:pPr>
    </w:p>
    <w:p w14:paraId="50F4E89A" w14:textId="77777777" w:rsidR="009D2AA9" w:rsidRPr="00B32F8A" w:rsidRDefault="009D2AA9" w:rsidP="009D2AA9">
      <w:pPr>
        <w:rPr>
          <w:rFonts w:ascii="Times New Roman" w:hAnsi="Times New Roman" w:cs="Times New Roman"/>
        </w:rPr>
      </w:pPr>
    </w:p>
    <w:p w14:paraId="5E8C3183" w14:textId="77777777" w:rsidR="009D2AA9" w:rsidRPr="00B32F8A" w:rsidRDefault="009D2AA9" w:rsidP="009D2AA9">
      <w:pPr>
        <w:rPr>
          <w:rFonts w:ascii="Times New Roman" w:hAnsi="Times New Roman" w:cs="Times New Roman"/>
        </w:rPr>
      </w:pPr>
    </w:p>
    <w:p w14:paraId="43545910" w14:textId="77777777" w:rsidR="009D2AA9" w:rsidRPr="00B32F8A" w:rsidRDefault="009D2AA9" w:rsidP="009D2AA9">
      <w:pPr>
        <w:rPr>
          <w:rFonts w:ascii="Times New Roman" w:hAnsi="Times New Roman" w:cs="Times New Roman"/>
        </w:rPr>
      </w:pPr>
    </w:p>
    <w:p w14:paraId="15E998ED" w14:textId="77777777" w:rsidR="009D2AA9" w:rsidRPr="00B32F8A" w:rsidRDefault="009D2AA9" w:rsidP="009D2AA9">
      <w:pPr>
        <w:rPr>
          <w:rFonts w:ascii="Times New Roman" w:hAnsi="Times New Roman" w:cs="Times New Roman"/>
        </w:rPr>
      </w:pPr>
    </w:p>
    <w:p w14:paraId="3D9C74F8" w14:textId="77777777" w:rsidR="009D2AA9" w:rsidRPr="00B32F8A" w:rsidRDefault="009D2AA9" w:rsidP="009D2AA9">
      <w:pPr>
        <w:rPr>
          <w:rFonts w:ascii="Times New Roman" w:hAnsi="Times New Roman" w:cs="Times New Roman"/>
        </w:rPr>
      </w:pPr>
    </w:p>
    <w:p w14:paraId="364022C3" w14:textId="77777777" w:rsidR="009D2AA9" w:rsidRPr="00B32F8A" w:rsidRDefault="009D2AA9" w:rsidP="009D2AA9">
      <w:pPr>
        <w:rPr>
          <w:rFonts w:ascii="Times New Roman" w:hAnsi="Times New Roman" w:cs="Times New Roman"/>
        </w:rPr>
      </w:pPr>
    </w:p>
    <w:p w14:paraId="5582766B" w14:textId="77777777" w:rsidR="009D2AA9" w:rsidRPr="00B32F8A" w:rsidRDefault="009D2AA9" w:rsidP="009D2AA9">
      <w:pPr>
        <w:rPr>
          <w:rFonts w:ascii="Times New Roman" w:hAnsi="Times New Roman" w:cs="Times New Roman"/>
        </w:rPr>
      </w:pPr>
    </w:p>
    <w:p w14:paraId="0905D013" w14:textId="77777777" w:rsidR="009D2AA9" w:rsidRPr="00B32F8A" w:rsidRDefault="009D2AA9" w:rsidP="009D2AA9">
      <w:pPr>
        <w:rPr>
          <w:rFonts w:ascii="Times New Roman" w:hAnsi="Times New Roman" w:cs="Times New Roman"/>
        </w:rPr>
      </w:pPr>
    </w:p>
    <w:p w14:paraId="3F0C1D47" w14:textId="77777777" w:rsidR="009D2AA9" w:rsidRPr="00B32F8A" w:rsidRDefault="009D2AA9" w:rsidP="009D2AA9">
      <w:pPr>
        <w:rPr>
          <w:rFonts w:ascii="Times New Roman" w:hAnsi="Times New Roman" w:cs="Times New Roman"/>
        </w:rPr>
      </w:pPr>
    </w:p>
    <w:p w14:paraId="4ECC055C" w14:textId="77777777" w:rsidR="009D2AA9" w:rsidRPr="00B32F8A" w:rsidRDefault="009D2AA9" w:rsidP="009D2AA9">
      <w:pPr>
        <w:rPr>
          <w:rFonts w:ascii="Times New Roman" w:hAnsi="Times New Roman" w:cs="Times New Roman"/>
        </w:rPr>
      </w:pPr>
    </w:p>
    <w:p w14:paraId="03F668BA" w14:textId="77777777" w:rsidR="009D2AA9" w:rsidRPr="00B32F8A" w:rsidRDefault="009D2AA9" w:rsidP="009D2AA9">
      <w:pPr>
        <w:rPr>
          <w:rFonts w:ascii="Times New Roman" w:hAnsi="Times New Roman" w:cs="Times New Roman"/>
        </w:rPr>
      </w:pPr>
    </w:p>
    <w:p w14:paraId="1F1C53EE" w14:textId="77777777" w:rsidR="009D2AA9" w:rsidRPr="00B32F8A" w:rsidRDefault="009D2AA9" w:rsidP="009D2AA9">
      <w:pPr>
        <w:rPr>
          <w:rFonts w:ascii="Times New Roman" w:hAnsi="Times New Roman" w:cs="Times New Roman"/>
        </w:rPr>
      </w:pPr>
    </w:p>
    <w:p w14:paraId="1CCC9952" w14:textId="77777777" w:rsidR="009D2AA9" w:rsidRPr="00B32F8A" w:rsidRDefault="009D2AA9" w:rsidP="009D2AA9">
      <w:pPr>
        <w:rPr>
          <w:rFonts w:ascii="Times New Roman" w:hAnsi="Times New Roman" w:cs="Times New Roman"/>
        </w:rPr>
      </w:pPr>
    </w:p>
    <w:p w14:paraId="702299AE" w14:textId="79846F09" w:rsidR="009D2AA9" w:rsidRPr="00B32F8A" w:rsidRDefault="009D2AA9" w:rsidP="009D2AA9">
      <w:pPr>
        <w:rPr>
          <w:rFonts w:ascii="Times New Roman" w:hAnsi="Times New Roman" w:cs="Times New Roman"/>
        </w:rPr>
      </w:pPr>
    </w:p>
    <w:p w14:paraId="68A4B66F" w14:textId="11F7BE6F" w:rsidR="0028256C" w:rsidRPr="00B32F8A" w:rsidRDefault="0028256C" w:rsidP="009D2AA9">
      <w:pPr>
        <w:rPr>
          <w:rFonts w:ascii="Times New Roman" w:hAnsi="Times New Roman" w:cs="Times New Roman"/>
        </w:rPr>
      </w:pPr>
    </w:p>
    <w:p w14:paraId="68515055" w14:textId="77777777" w:rsidR="0028256C" w:rsidRPr="00B32F8A" w:rsidRDefault="0028256C" w:rsidP="009D2AA9">
      <w:pPr>
        <w:rPr>
          <w:rFonts w:ascii="Times New Roman" w:hAnsi="Times New Roman" w:cs="Times New Roman"/>
        </w:rPr>
      </w:pPr>
    </w:p>
    <w:p w14:paraId="7A6E9F92" w14:textId="77777777" w:rsidR="009D2AA9" w:rsidRPr="00B32F8A" w:rsidRDefault="009D2AA9" w:rsidP="009D2AA9">
      <w:pPr>
        <w:rPr>
          <w:rFonts w:ascii="Times New Roman" w:hAnsi="Times New Roman" w:cs="Times New Roman"/>
        </w:rPr>
      </w:pPr>
    </w:p>
    <w:p w14:paraId="00EC8B85" w14:textId="77777777" w:rsidR="009D2AA9" w:rsidRPr="00B32F8A" w:rsidRDefault="009D2AA9" w:rsidP="009D2AA9">
      <w:pPr>
        <w:rPr>
          <w:rFonts w:ascii="Times New Roman" w:hAnsi="Times New Roman" w:cs="Times New Roman"/>
        </w:rPr>
      </w:pPr>
    </w:p>
    <w:p w14:paraId="5E63A781" w14:textId="77777777" w:rsidR="009D2AA9" w:rsidRPr="00B32F8A" w:rsidRDefault="009D2AA9" w:rsidP="009D2AA9">
      <w:pPr>
        <w:rPr>
          <w:rFonts w:ascii="Times New Roman" w:hAnsi="Times New Roman" w:cs="Times New Roman"/>
        </w:rPr>
      </w:pPr>
    </w:p>
    <w:p w14:paraId="301DF34B" w14:textId="77777777" w:rsidR="00CD73A9" w:rsidRPr="00B32F8A" w:rsidRDefault="00CD73A9" w:rsidP="009D2AA9">
      <w:pPr>
        <w:jc w:val="center"/>
        <w:rPr>
          <w:rFonts w:ascii="Times New Roman" w:hAnsi="Times New Roman" w:cs="Times New Roman"/>
          <w:b/>
        </w:rPr>
      </w:pPr>
      <w:r w:rsidRPr="00B32F8A">
        <w:rPr>
          <w:rFonts w:ascii="Times New Roman" w:hAnsi="Times New Roman" w:cs="Times New Roman"/>
          <w:b/>
        </w:rPr>
        <w:lastRenderedPageBreak/>
        <w:t>ACKNOWLEDGEMENTS</w:t>
      </w:r>
    </w:p>
    <w:p w14:paraId="080B43F0" w14:textId="77777777" w:rsidR="00CD73A9" w:rsidRPr="00B32F8A" w:rsidRDefault="00CD73A9">
      <w:pPr>
        <w:jc w:val="center"/>
        <w:rPr>
          <w:rFonts w:ascii="Times New Roman" w:hAnsi="Times New Roman" w:cs="Times New Roman"/>
        </w:rPr>
      </w:pPr>
    </w:p>
    <w:p w14:paraId="17313628" w14:textId="78A5686B" w:rsidR="0014117A" w:rsidRPr="00B32F8A" w:rsidRDefault="00E05330" w:rsidP="007E5B56">
      <w:pPr>
        <w:spacing w:line="360" w:lineRule="auto"/>
        <w:jc w:val="center"/>
        <w:rPr>
          <w:rFonts w:ascii="Times New Roman" w:hAnsi="Times New Roman" w:cs="Times New Roman"/>
        </w:rPr>
      </w:pPr>
      <w:r w:rsidRPr="00B32F8A">
        <w:rPr>
          <w:rFonts w:ascii="Times New Roman" w:hAnsi="Times New Roman" w:cs="Times New Roman"/>
        </w:rPr>
        <w:t xml:space="preserve">Many thanks to my wife, Adriana, and my children Oscar, Artemis, and Gabriel, for supporting me through </w:t>
      </w:r>
      <w:r w:rsidR="008845A1" w:rsidRPr="00B32F8A">
        <w:rPr>
          <w:rFonts w:ascii="Times New Roman" w:hAnsi="Times New Roman" w:cs="Times New Roman"/>
        </w:rPr>
        <w:t>this dissertation</w:t>
      </w:r>
      <w:r w:rsidR="0041449C">
        <w:rPr>
          <w:rFonts w:ascii="Times New Roman" w:hAnsi="Times New Roman" w:cs="Times New Roman"/>
        </w:rPr>
        <w:t>.  I also thank</w:t>
      </w:r>
      <w:r w:rsidR="008845A1" w:rsidRPr="00B32F8A">
        <w:rPr>
          <w:rFonts w:ascii="Times New Roman" w:hAnsi="Times New Roman" w:cs="Times New Roman"/>
        </w:rPr>
        <w:t xml:space="preserve"> </w:t>
      </w:r>
      <w:r w:rsidR="0041449C">
        <w:rPr>
          <w:rFonts w:ascii="Times New Roman" w:hAnsi="Times New Roman" w:cs="Times New Roman"/>
        </w:rPr>
        <w:t>my fellow graduate students and committee members for their guidance and</w:t>
      </w:r>
      <w:r w:rsidR="008845A1" w:rsidRPr="00B32F8A">
        <w:rPr>
          <w:rFonts w:ascii="Times New Roman" w:hAnsi="Times New Roman" w:cs="Times New Roman"/>
        </w:rPr>
        <w:t xml:space="preserve"> my advisor</w:t>
      </w:r>
      <w:r w:rsidR="0041449C">
        <w:rPr>
          <w:rFonts w:ascii="Times New Roman" w:hAnsi="Times New Roman" w:cs="Times New Roman"/>
        </w:rPr>
        <w:t xml:space="preserve"> Dr. Uday Vaidya</w:t>
      </w:r>
      <w:r w:rsidR="008845A1" w:rsidRPr="00B32F8A">
        <w:rPr>
          <w:rFonts w:ascii="Times New Roman" w:hAnsi="Times New Roman" w:cs="Times New Roman"/>
        </w:rPr>
        <w:t xml:space="preserve"> for giving me the freedom to pursue my own path. </w:t>
      </w:r>
    </w:p>
    <w:p w14:paraId="0BA2AFF4" w14:textId="77777777" w:rsidR="0014117A" w:rsidRPr="00B32F8A" w:rsidRDefault="0014117A" w:rsidP="007E5B56">
      <w:pPr>
        <w:spacing w:line="360" w:lineRule="auto"/>
        <w:jc w:val="center"/>
        <w:rPr>
          <w:rFonts w:ascii="Times New Roman" w:hAnsi="Times New Roman" w:cs="Times New Roman"/>
        </w:rPr>
      </w:pPr>
    </w:p>
    <w:p w14:paraId="55A34E4E" w14:textId="38D16DBB" w:rsidR="00236E6D" w:rsidRPr="00B830F6" w:rsidRDefault="0014117A" w:rsidP="00B830F6">
      <w:pPr>
        <w:spacing w:line="360" w:lineRule="auto"/>
        <w:jc w:val="center"/>
        <w:rPr>
          <w:rFonts w:ascii="Times New Roman" w:hAnsi="Times New Roman" w:cs="Times New Roman"/>
          <w:sz w:val="28"/>
          <w:szCs w:val="28"/>
        </w:rPr>
      </w:pPr>
      <w:r w:rsidRPr="00B32F8A">
        <w:rPr>
          <w:rFonts w:ascii="Times New Roman" w:hAnsi="Times New Roman" w:cs="Times New Roman"/>
        </w:rPr>
        <w:t>Many student interns helped make this dissertation possible, including Thomas</w:t>
      </w:r>
      <w:r w:rsidR="004D5D5A">
        <w:rPr>
          <w:rFonts w:ascii="Times New Roman" w:hAnsi="Times New Roman" w:cs="Times New Roman"/>
        </w:rPr>
        <w:t>-Allan</w:t>
      </w:r>
      <w:r w:rsidRPr="00B32F8A">
        <w:rPr>
          <w:rFonts w:ascii="Times New Roman" w:hAnsi="Times New Roman" w:cs="Times New Roman"/>
        </w:rPr>
        <w:t xml:space="preserve"> Tison, Liam Pruitt, Jacob Williams, Zachary Papiez, Omar Iqbal, Sarah Wheeler, Will Kobler, Alex Allen, Brian Roberts, Nate Oliver</w:t>
      </w:r>
      <w:r w:rsidR="0041449C">
        <w:rPr>
          <w:rFonts w:ascii="Times New Roman" w:hAnsi="Times New Roman" w:cs="Times New Roman"/>
        </w:rPr>
        <w:t>,</w:t>
      </w:r>
      <w:r w:rsidRPr="00B32F8A">
        <w:rPr>
          <w:rFonts w:ascii="Times New Roman" w:hAnsi="Times New Roman" w:cs="Times New Roman"/>
        </w:rPr>
        <w:t xml:space="preserve"> and Kayla Sims.  </w:t>
      </w:r>
      <w:r w:rsidR="008845A1" w:rsidRPr="00B32F8A">
        <w:rPr>
          <w:rFonts w:ascii="Times New Roman" w:hAnsi="Times New Roman" w:cs="Times New Roman"/>
        </w:rPr>
        <w:t xml:space="preserve"> </w:t>
      </w:r>
      <w:r w:rsidR="00CD73A9" w:rsidRPr="00B32F8A">
        <w:rPr>
          <w:rFonts w:ascii="Times New Roman" w:hAnsi="Times New Roman" w:cs="Times New Roman"/>
        </w:rPr>
        <w:br w:type="page"/>
      </w:r>
      <w:r w:rsidR="00236E6D" w:rsidRPr="00B32F8A">
        <w:rPr>
          <w:rFonts w:ascii="Times New Roman" w:hAnsi="Times New Roman" w:cs="Times New Roman"/>
          <w:b/>
          <w:bCs/>
        </w:rPr>
        <w:lastRenderedPageBreak/>
        <w:t>ABSTRACT</w:t>
      </w:r>
    </w:p>
    <w:p w14:paraId="6345D1D0" w14:textId="0735AEA3" w:rsidR="00B830F6" w:rsidRDefault="00B830F6" w:rsidP="00B830F6">
      <w:pPr>
        <w:spacing w:line="360" w:lineRule="auto"/>
        <w:rPr>
          <w:rFonts w:ascii="Times New Roman" w:hAnsi="Times New Roman" w:cs="Times New Roman"/>
        </w:rPr>
      </w:pPr>
      <w:r>
        <w:rPr>
          <w:rFonts w:ascii="Times New Roman" w:hAnsi="Times New Roman" w:cs="Times New Roman"/>
        </w:rPr>
        <w:t>Large-Format Additive Manufacturing (LFAM) has emerged as an effective method for rapidly building tooling from engineering polymers.  While most current LFAM systems utilize thermoplastic polymers, photopolymers are advantageous because they process in ambient conditions and react within seconds upon exposure to ultraviolet (UV) light. One key application for LFAM is tooling for oven curing composites, but few thermoplastics can withstand the required</w:t>
      </w:r>
      <w:r w:rsidRPr="008B3BCF">
        <w:rPr>
          <w:rFonts w:ascii="Times New Roman" w:hAnsi="Times New Roman" w:cs="Times New Roman"/>
        </w:rPr>
        <w:t xml:space="preserve"> 12</w:t>
      </w:r>
      <w:r>
        <w:rPr>
          <w:rFonts w:ascii="Times New Roman" w:hAnsi="Times New Roman" w:cs="Times New Roman"/>
        </w:rPr>
        <w:t xml:space="preserve">0 </w:t>
      </w:r>
      <w:r w:rsidRPr="008B3BCF">
        <w:rPr>
          <w:rFonts w:ascii="Times New Roman" w:hAnsi="Times New Roman" w:cs="Times New Roman"/>
        </w:rPr>
        <w:t xml:space="preserve">°C </w:t>
      </w:r>
      <w:r>
        <w:rPr>
          <w:rFonts w:ascii="Times New Roman" w:hAnsi="Times New Roman" w:cs="Times New Roman"/>
        </w:rPr>
        <w:t>to</w:t>
      </w:r>
      <w:r w:rsidRPr="008B3BCF">
        <w:rPr>
          <w:rFonts w:ascii="Times New Roman" w:hAnsi="Times New Roman" w:cs="Times New Roman"/>
        </w:rPr>
        <w:t xml:space="preserve"> 1</w:t>
      </w:r>
      <w:r>
        <w:rPr>
          <w:rFonts w:ascii="Times New Roman" w:hAnsi="Times New Roman" w:cs="Times New Roman"/>
        </w:rPr>
        <w:t>80</w:t>
      </w:r>
      <w:r w:rsidRPr="008B3BCF">
        <w:rPr>
          <w:rFonts w:ascii="Times New Roman" w:hAnsi="Times New Roman" w:cs="Times New Roman"/>
        </w:rPr>
        <w:t xml:space="preserve"> °C</w:t>
      </w:r>
      <w:r>
        <w:rPr>
          <w:rFonts w:ascii="Times New Roman" w:hAnsi="Times New Roman" w:cs="Times New Roman"/>
        </w:rPr>
        <w:t xml:space="preserve"> cure conditions.   Bisphenol </w:t>
      </w:r>
      <w:r w:rsidRPr="008B3BCF">
        <w:rPr>
          <w:rFonts w:ascii="Times New Roman" w:hAnsi="Times New Roman" w:cs="Times New Roman"/>
        </w:rPr>
        <w:t>A ethoxylate dimethacrylate (Bis-EMA)</w:t>
      </w:r>
      <w:r>
        <w:rPr>
          <w:rFonts w:ascii="Times New Roman" w:hAnsi="Times New Roman" w:cs="Times New Roman"/>
        </w:rPr>
        <w:t xml:space="preserve"> is a suitable photopolymer oligomer for oven curing applications</w:t>
      </w:r>
      <w:r w:rsidR="0041449C">
        <w:rPr>
          <w:rFonts w:ascii="Times New Roman" w:hAnsi="Times New Roman" w:cs="Times New Roman"/>
        </w:rPr>
        <w:t>.  However,</w:t>
      </w:r>
      <w:r>
        <w:rPr>
          <w:rFonts w:ascii="Times New Roman" w:hAnsi="Times New Roman" w:cs="Times New Roman"/>
        </w:rPr>
        <w:t xml:space="preserve"> the typical LFAM layer thickness (2 mm to 4 mm) restricts photopolymer cure kinetics.  </w:t>
      </w:r>
      <w:r w:rsidDel="00121847">
        <w:rPr>
          <w:rFonts w:ascii="Times New Roman" w:hAnsi="Times New Roman" w:cs="Times New Roman"/>
        </w:rPr>
        <w:t xml:space="preserve"> </w:t>
      </w:r>
      <w:r>
        <w:rPr>
          <w:rFonts w:ascii="Times New Roman" w:hAnsi="Times New Roman" w:cs="Times New Roman"/>
        </w:rPr>
        <w:t xml:space="preserve"> </w:t>
      </w:r>
    </w:p>
    <w:p w14:paraId="088EFFE4" w14:textId="77777777" w:rsidR="00B830F6" w:rsidRDefault="00B830F6" w:rsidP="00B830F6">
      <w:pPr>
        <w:spacing w:line="360" w:lineRule="auto"/>
        <w:rPr>
          <w:rFonts w:ascii="Times New Roman" w:hAnsi="Times New Roman" w:cs="Times New Roman"/>
        </w:rPr>
      </w:pPr>
    </w:p>
    <w:p w14:paraId="7E625F10" w14:textId="21E6EB23" w:rsidR="00B830F6" w:rsidRDefault="00B830F6" w:rsidP="00B830F6">
      <w:pPr>
        <w:spacing w:line="360" w:lineRule="auto"/>
        <w:rPr>
          <w:rFonts w:ascii="Times New Roman" w:hAnsi="Times New Roman" w:cs="Times New Roman"/>
        </w:rPr>
      </w:pPr>
      <w:r>
        <w:rPr>
          <w:rFonts w:ascii="Times New Roman" w:hAnsi="Times New Roman" w:cs="Times New Roman"/>
        </w:rPr>
        <w:t xml:space="preserve">The objectives of this work were to study: (1) thermal cycling effects and the influence of </w:t>
      </w:r>
      <w:r w:rsidRPr="008B3BCF">
        <w:rPr>
          <w:rFonts w:ascii="Times New Roman" w:hAnsi="Times New Roman" w:cs="Times New Roman"/>
        </w:rPr>
        <w:t xml:space="preserve">pentaerythritol triacrylate (PETIA) </w:t>
      </w:r>
      <w:r>
        <w:rPr>
          <w:rFonts w:ascii="Times New Roman" w:hAnsi="Times New Roman" w:cs="Times New Roman"/>
        </w:rPr>
        <w:t>on through-thickness cure response, (2) effects of photoinitiator selection and concentration, and (3) multi-layer irradiation response in both unreinforced and fiberglass-reinforced photopolymers.  In objective 1, 20 wt% PETIA content provided the ideal combination of improved cure response while retaining a T</w:t>
      </w:r>
      <w:r w:rsidRPr="00D1391D">
        <w:rPr>
          <w:rFonts w:ascii="Times New Roman" w:hAnsi="Times New Roman" w:cs="Times New Roman"/>
          <w:vertAlign w:val="subscript"/>
        </w:rPr>
        <w:t>g</w:t>
      </w:r>
      <w:r>
        <w:rPr>
          <w:rFonts w:ascii="Times New Roman" w:hAnsi="Times New Roman" w:cs="Times New Roman"/>
        </w:rPr>
        <w:t xml:space="preserve"> of 150 ºC. This 80:20 blend of Bis-EMA:</w:t>
      </w:r>
      <w:r w:rsidR="0041449C">
        <w:rPr>
          <w:rFonts w:ascii="Times New Roman" w:hAnsi="Times New Roman" w:cs="Times New Roman"/>
        </w:rPr>
        <w:t xml:space="preserve"> </w:t>
      </w:r>
      <w:r>
        <w:rPr>
          <w:rFonts w:ascii="Times New Roman" w:hAnsi="Times New Roman" w:cs="Times New Roman"/>
        </w:rPr>
        <w:t xml:space="preserve">PETIA was then used to produce a composite tool, and after </w:t>
      </w:r>
      <w:proofErr w:type="gramStart"/>
      <w:r>
        <w:rPr>
          <w:rFonts w:ascii="Times New Roman" w:hAnsi="Times New Roman" w:cs="Times New Roman"/>
        </w:rPr>
        <w:t>five part</w:t>
      </w:r>
      <w:proofErr w:type="gramEnd"/>
      <w:r>
        <w:rPr>
          <w:rFonts w:ascii="Times New Roman" w:hAnsi="Times New Roman" w:cs="Times New Roman"/>
        </w:rPr>
        <w:t xml:space="preserve"> cycles at 135 ºC</w:t>
      </w:r>
      <w:r w:rsidR="0041449C">
        <w:rPr>
          <w:rFonts w:ascii="Times New Roman" w:hAnsi="Times New Roman" w:cs="Times New Roman"/>
        </w:rPr>
        <w:t>,</w:t>
      </w:r>
      <w:r>
        <w:rPr>
          <w:rFonts w:ascii="Times New Roman" w:hAnsi="Times New Roman" w:cs="Times New Roman"/>
        </w:rPr>
        <w:t xml:space="preserve"> the tool had</w:t>
      </w:r>
      <w:r w:rsidRPr="008B3BCF">
        <w:rPr>
          <w:rFonts w:ascii="Times New Roman" w:hAnsi="Times New Roman" w:cs="Times New Roman"/>
        </w:rPr>
        <w:t xml:space="preserve"> dimensional changes &lt; 0.1 mm</w:t>
      </w:r>
      <w:r>
        <w:rPr>
          <w:rFonts w:ascii="Times New Roman" w:hAnsi="Times New Roman" w:cs="Times New Roman"/>
        </w:rPr>
        <w:t xml:space="preserve">.  In objective 2, a concentration of 0.1 wt% </w:t>
      </w:r>
      <w:r w:rsidRPr="00913500">
        <w:rPr>
          <w:rFonts w:ascii="Times New Roman" w:hAnsi="Times New Roman" w:cs="Times New Roman"/>
        </w:rPr>
        <w:t>bis(2,4,6-trimethylbenzoyl)-phenylphosphine oxide</w:t>
      </w:r>
      <w:r>
        <w:rPr>
          <w:rFonts w:ascii="Times New Roman" w:hAnsi="Times New Roman" w:cs="Times New Roman"/>
        </w:rPr>
        <w:t xml:space="preserve"> (BAPO) achieved a rapid cure response, with over 45% degree of conversion (DC) at 3 mm depth after 1.0 s irradiation.  In objective 3, multi-layer effects were analyzed by irradiating up to five layers and measuring the level of cure across the depth profile.  Cure gradients only improved with multiple irradiations at 0.8 s irradiation times, but the recommended minimum irradiation time to achieve &gt;65% DC was &lt; 2 s.  Multiple layers of fiberglass composite were also tested</w:t>
      </w:r>
      <w:r w:rsidR="0041449C">
        <w:rPr>
          <w:rFonts w:ascii="Times New Roman" w:hAnsi="Times New Roman" w:cs="Times New Roman"/>
        </w:rPr>
        <w:t>. A</w:t>
      </w:r>
      <w:r>
        <w:rPr>
          <w:rFonts w:ascii="Times New Roman" w:hAnsi="Times New Roman" w:cs="Times New Roman"/>
        </w:rPr>
        <w:t>t a higher irradiation time of 3.5 s</w:t>
      </w:r>
      <w:r w:rsidR="0041449C">
        <w:rPr>
          <w:rFonts w:ascii="Times New Roman" w:hAnsi="Times New Roman" w:cs="Times New Roman"/>
        </w:rPr>
        <w:t>,</w:t>
      </w:r>
      <w:r>
        <w:rPr>
          <w:rFonts w:ascii="Times New Roman" w:hAnsi="Times New Roman" w:cs="Times New Roman"/>
        </w:rPr>
        <w:t xml:space="preserve"> the bond strength between layers was equal to or greater than the fiber-matrix shear strength within a layer.</w:t>
      </w:r>
    </w:p>
    <w:p w14:paraId="50A8A9F4" w14:textId="77777777" w:rsidR="00B830F6" w:rsidRDefault="00B830F6" w:rsidP="00B830F6">
      <w:pPr>
        <w:spacing w:line="360" w:lineRule="auto"/>
        <w:rPr>
          <w:rFonts w:ascii="Times New Roman" w:hAnsi="Times New Roman" w:cs="Times New Roman"/>
        </w:rPr>
      </w:pPr>
    </w:p>
    <w:p w14:paraId="311092F0" w14:textId="789854B5" w:rsidR="003F7FED" w:rsidRPr="00B32F8A" w:rsidRDefault="00B830F6" w:rsidP="00B830F6">
      <w:pPr>
        <w:spacing w:after="160" w:line="360" w:lineRule="auto"/>
        <w:rPr>
          <w:rFonts w:ascii="Times New Roman" w:hAnsi="Times New Roman" w:cs="Times New Roman"/>
        </w:rPr>
      </w:pPr>
      <w:r>
        <w:rPr>
          <w:rFonts w:ascii="Times New Roman" w:hAnsi="Times New Roman" w:cs="Times New Roman"/>
        </w:rPr>
        <w:t>This work demonstrated that oven</w:t>
      </w:r>
      <w:r w:rsidR="0041449C">
        <w:rPr>
          <w:rFonts w:ascii="Times New Roman" w:hAnsi="Times New Roman" w:cs="Times New Roman"/>
        </w:rPr>
        <w:t>-</w:t>
      </w:r>
      <w:r>
        <w:rPr>
          <w:rFonts w:ascii="Times New Roman" w:hAnsi="Times New Roman" w:cs="Times New Roman"/>
        </w:rPr>
        <w:t>cure capable photopolymers c</w:t>
      </w:r>
      <w:r w:rsidR="0041449C">
        <w:rPr>
          <w:rFonts w:ascii="Times New Roman" w:hAnsi="Times New Roman" w:cs="Times New Roman"/>
        </w:rPr>
        <w:t>ould</w:t>
      </w:r>
      <w:r>
        <w:rPr>
          <w:rFonts w:ascii="Times New Roman" w:hAnsi="Times New Roman" w:cs="Times New Roman"/>
        </w:rPr>
        <w:t xml:space="preserve"> be formulated to cure rapidly under conditions suitable for LFAM.    </w:t>
      </w:r>
      <w:r w:rsidR="009C755C" w:rsidRPr="00B32F8A">
        <w:rPr>
          <w:rFonts w:ascii="Times New Roman" w:hAnsi="Times New Roman" w:cs="Times New Roman"/>
          <w:b/>
          <w:bCs/>
        </w:rPr>
        <w:br w:type="page"/>
      </w:r>
    </w:p>
    <w:sdt>
      <w:sdtPr>
        <w:rPr>
          <w:rFonts w:ascii="Arial" w:hAnsi="Arial" w:cs="Arial"/>
          <w:b w:val="0"/>
          <w:caps/>
          <w:szCs w:val="24"/>
        </w:rPr>
        <w:id w:val="607165129"/>
        <w:docPartObj>
          <w:docPartGallery w:val="Table of Contents"/>
          <w:docPartUnique/>
        </w:docPartObj>
      </w:sdtPr>
      <w:sdtEndPr>
        <w:rPr>
          <w:bCs/>
          <w:caps w:val="0"/>
          <w:noProof/>
        </w:rPr>
      </w:sdtEndPr>
      <w:sdtContent>
        <w:p w14:paraId="63E1C1D9" w14:textId="6F9F0B84" w:rsidR="00E91931" w:rsidRPr="00EE46E1" w:rsidRDefault="00737580" w:rsidP="00BF3517">
          <w:pPr>
            <w:pStyle w:val="TOCHeading"/>
          </w:pPr>
          <w:r w:rsidRPr="00EE46E1">
            <w:t>TABLE OF CONTENTS</w:t>
          </w:r>
        </w:p>
        <w:p w14:paraId="66D698AB" w14:textId="77777777" w:rsidR="00D83B30" w:rsidRPr="00EE46E1" w:rsidRDefault="00D83B30" w:rsidP="00D83B30">
          <w:pPr>
            <w:rPr>
              <w:rFonts w:ascii="Times New Roman" w:hAnsi="Times New Roman" w:cs="Times New Roman"/>
            </w:rPr>
          </w:pPr>
        </w:p>
        <w:p w14:paraId="2AC9405E" w14:textId="2BD48C06" w:rsidR="00EE46E1" w:rsidRPr="00EE46E1" w:rsidRDefault="00E91931">
          <w:pPr>
            <w:pStyle w:val="TOC1"/>
            <w:tabs>
              <w:tab w:val="right" w:leader="dot" w:pos="8630"/>
            </w:tabs>
            <w:rPr>
              <w:rFonts w:ascii="Times New Roman" w:eastAsiaTheme="minorEastAsia" w:hAnsi="Times New Roman" w:cs="Times New Roman"/>
              <w:noProof/>
            </w:rPr>
          </w:pPr>
          <w:r w:rsidRPr="00EE46E1">
            <w:rPr>
              <w:rFonts w:ascii="Times New Roman" w:hAnsi="Times New Roman" w:cs="Times New Roman"/>
            </w:rPr>
            <w:fldChar w:fldCharType="begin"/>
          </w:r>
          <w:r w:rsidRPr="00EE46E1">
            <w:rPr>
              <w:rFonts w:ascii="Times New Roman" w:hAnsi="Times New Roman" w:cs="Times New Roman"/>
            </w:rPr>
            <w:instrText xml:space="preserve"> TOC \o "1-3" \h \z \u </w:instrText>
          </w:r>
          <w:r w:rsidRPr="00EE46E1">
            <w:rPr>
              <w:rFonts w:ascii="Times New Roman" w:hAnsi="Times New Roman" w:cs="Times New Roman"/>
            </w:rPr>
            <w:fldChar w:fldCharType="separate"/>
          </w:r>
          <w:hyperlink w:anchor="_Toc101701717" w:history="1">
            <w:r w:rsidR="00EE46E1" w:rsidRPr="00EE46E1">
              <w:rPr>
                <w:rStyle w:val="Hyperlink"/>
                <w:rFonts w:ascii="Times New Roman" w:hAnsi="Times New Roman" w:cs="Times New Roman"/>
                <w:noProof/>
              </w:rPr>
              <w:t>INTRODUCTION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_Toc101701717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w:t>
            </w:r>
            <w:r w:rsidR="00EE46E1" w:rsidRPr="00EE46E1">
              <w:rPr>
                <w:rFonts w:ascii="Times New Roman" w:hAnsi="Times New Roman" w:cs="Times New Roman"/>
                <w:noProof/>
                <w:webHidden/>
              </w:rPr>
              <w:fldChar w:fldCharType="end"/>
            </w:r>
          </w:hyperlink>
        </w:p>
        <w:p w14:paraId="05B72640" w14:textId="14C5C1BD" w:rsidR="00EE46E1" w:rsidRPr="00EE46E1" w:rsidRDefault="002F73EC">
          <w:pPr>
            <w:pStyle w:val="TOC2"/>
            <w:tabs>
              <w:tab w:val="right" w:leader="dot" w:pos="8630"/>
            </w:tabs>
            <w:rPr>
              <w:rFonts w:ascii="Times New Roman" w:eastAsiaTheme="minorEastAsia" w:hAnsi="Times New Roman" w:cs="Times New Roman"/>
              <w:noProof/>
            </w:rPr>
          </w:pPr>
          <w:hyperlink w:anchor="_Toc101701718" w:history="1">
            <w:r w:rsidR="00EE46E1" w:rsidRPr="00EE46E1">
              <w:rPr>
                <w:rStyle w:val="Hyperlink"/>
                <w:rFonts w:ascii="Times New Roman" w:hAnsi="Times New Roman" w:cs="Times New Roman"/>
                <w:noProof/>
              </w:rPr>
              <w:t>Large-Format Additive Manufacturing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_Toc101701718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w:t>
            </w:r>
            <w:r w:rsidR="00EE46E1" w:rsidRPr="00EE46E1">
              <w:rPr>
                <w:rFonts w:ascii="Times New Roman" w:hAnsi="Times New Roman" w:cs="Times New Roman"/>
                <w:noProof/>
                <w:webHidden/>
              </w:rPr>
              <w:fldChar w:fldCharType="end"/>
            </w:r>
          </w:hyperlink>
        </w:p>
        <w:p w14:paraId="5E431F65" w14:textId="2CF86A92" w:rsidR="00EE46E1" w:rsidRPr="00EE46E1" w:rsidRDefault="002F73EC">
          <w:pPr>
            <w:pStyle w:val="TOC2"/>
            <w:tabs>
              <w:tab w:val="right" w:leader="dot" w:pos="8630"/>
            </w:tabs>
            <w:rPr>
              <w:rFonts w:ascii="Times New Roman" w:eastAsiaTheme="minorEastAsia" w:hAnsi="Times New Roman" w:cs="Times New Roman"/>
              <w:noProof/>
            </w:rPr>
          </w:pPr>
          <w:hyperlink w:anchor="_Toc101701719" w:history="1">
            <w:r w:rsidR="00EE46E1" w:rsidRPr="00EE46E1">
              <w:rPr>
                <w:rStyle w:val="Hyperlink"/>
                <w:rFonts w:ascii="Times New Roman" w:hAnsi="Times New Roman" w:cs="Times New Roman"/>
                <w:noProof/>
              </w:rPr>
              <w:t>Photopolymers in LFAM</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_Toc101701719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w:t>
            </w:r>
            <w:r w:rsidR="00EE46E1" w:rsidRPr="00EE46E1">
              <w:rPr>
                <w:rFonts w:ascii="Times New Roman" w:hAnsi="Times New Roman" w:cs="Times New Roman"/>
                <w:noProof/>
                <w:webHidden/>
              </w:rPr>
              <w:fldChar w:fldCharType="end"/>
            </w:r>
          </w:hyperlink>
        </w:p>
        <w:p w14:paraId="50183DBB" w14:textId="66E29C98" w:rsidR="00EE46E1" w:rsidRPr="00EE46E1" w:rsidRDefault="002F73EC">
          <w:pPr>
            <w:pStyle w:val="TOC2"/>
            <w:tabs>
              <w:tab w:val="right" w:leader="dot" w:pos="8630"/>
            </w:tabs>
            <w:rPr>
              <w:rFonts w:ascii="Times New Roman" w:eastAsiaTheme="minorEastAsia" w:hAnsi="Times New Roman" w:cs="Times New Roman"/>
              <w:noProof/>
            </w:rPr>
          </w:pPr>
          <w:hyperlink w:anchor="_Toc101701720" w:history="1">
            <w:r w:rsidR="00EE46E1" w:rsidRPr="00EE46E1">
              <w:rPr>
                <w:rStyle w:val="Hyperlink"/>
                <w:rFonts w:ascii="Times New Roman" w:hAnsi="Times New Roman" w:cs="Times New Roman"/>
                <w:noProof/>
              </w:rPr>
              <w:t>Photopolymer Formulation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w:t>
            </w:r>
            <w:r w:rsidR="00EE46E1" w:rsidRPr="00EE46E1">
              <w:rPr>
                <w:rFonts w:ascii="Times New Roman" w:hAnsi="Times New Roman" w:cs="Times New Roman"/>
                <w:noProof/>
                <w:webHidden/>
              </w:rPr>
              <w:fldChar w:fldCharType="end"/>
            </w:r>
          </w:hyperlink>
        </w:p>
        <w:p w14:paraId="4D05192E" w14:textId="3D1ECF86" w:rsidR="00EE46E1" w:rsidRPr="00EE46E1" w:rsidRDefault="002F73EC">
          <w:pPr>
            <w:pStyle w:val="TOC2"/>
            <w:tabs>
              <w:tab w:val="right" w:leader="dot" w:pos="8630"/>
            </w:tabs>
            <w:rPr>
              <w:rFonts w:ascii="Times New Roman" w:eastAsiaTheme="minorEastAsia" w:hAnsi="Times New Roman" w:cs="Times New Roman"/>
              <w:noProof/>
            </w:rPr>
          </w:pPr>
          <w:hyperlink w:anchor="_Toc101701721" w:history="1">
            <w:r w:rsidR="00EE46E1" w:rsidRPr="00EE46E1">
              <w:rPr>
                <w:rStyle w:val="Hyperlink"/>
                <w:rFonts w:ascii="Times New Roman" w:hAnsi="Times New Roman" w:cs="Times New Roman"/>
                <w:noProof/>
              </w:rPr>
              <w:t>Photopolymer Cure Kinetics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w:t>
            </w:r>
            <w:r w:rsidR="00EE46E1" w:rsidRPr="00EE46E1">
              <w:rPr>
                <w:rFonts w:ascii="Times New Roman" w:hAnsi="Times New Roman" w:cs="Times New Roman"/>
                <w:noProof/>
                <w:webHidden/>
              </w:rPr>
              <w:fldChar w:fldCharType="end"/>
            </w:r>
          </w:hyperlink>
        </w:p>
        <w:p w14:paraId="57A3E947" w14:textId="5D733B00" w:rsidR="00EE46E1" w:rsidRPr="00EE46E1" w:rsidRDefault="002F73EC">
          <w:pPr>
            <w:pStyle w:val="TOC3"/>
            <w:tabs>
              <w:tab w:val="right" w:leader="dot" w:pos="8630"/>
            </w:tabs>
            <w:rPr>
              <w:rFonts w:ascii="Times New Roman" w:eastAsiaTheme="minorEastAsia" w:hAnsi="Times New Roman" w:cs="Times New Roman"/>
              <w:noProof/>
            </w:rPr>
          </w:pPr>
          <w:hyperlink w:anchor="_Toc101701722" w:history="1">
            <w:r w:rsidR="00EE46E1" w:rsidRPr="00EE46E1">
              <w:rPr>
                <w:rStyle w:val="Hyperlink"/>
                <w:rFonts w:ascii="Times New Roman" w:hAnsi="Times New Roman" w:cs="Times New Roman"/>
                <w:noProof/>
              </w:rPr>
              <w:t>Laws of Photochemistry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w:t>
            </w:r>
            <w:r w:rsidR="00EE46E1" w:rsidRPr="00EE46E1">
              <w:rPr>
                <w:rFonts w:ascii="Times New Roman" w:hAnsi="Times New Roman" w:cs="Times New Roman"/>
                <w:noProof/>
                <w:webHidden/>
              </w:rPr>
              <w:fldChar w:fldCharType="end"/>
            </w:r>
          </w:hyperlink>
        </w:p>
        <w:p w14:paraId="46393464" w14:textId="2460D192" w:rsidR="00EE46E1" w:rsidRPr="00EE46E1" w:rsidRDefault="002F73EC">
          <w:pPr>
            <w:pStyle w:val="TOC3"/>
            <w:tabs>
              <w:tab w:val="right" w:leader="dot" w:pos="8630"/>
            </w:tabs>
            <w:rPr>
              <w:rFonts w:ascii="Times New Roman" w:eastAsiaTheme="minorEastAsia" w:hAnsi="Times New Roman" w:cs="Times New Roman"/>
              <w:noProof/>
            </w:rPr>
          </w:pPr>
          <w:hyperlink w:anchor="_Toc101701723" w:history="1">
            <w:r w:rsidR="00EE46E1" w:rsidRPr="00EE46E1">
              <w:rPr>
                <w:rStyle w:val="Hyperlink"/>
                <w:rFonts w:ascii="Times New Roman" w:hAnsi="Times New Roman" w:cs="Times New Roman"/>
                <w:noProof/>
              </w:rPr>
              <w:t>Measuring Cure in Photopolymers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w:t>
            </w:r>
            <w:r w:rsidR="00EE46E1" w:rsidRPr="00EE46E1">
              <w:rPr>
                <w:rFonts w:ascii="Times New Roman" w:hAnsi="Times New Roman" w:cs="Times New Roman"/>
                <w:noProof/>
                <w:webHidden/>
              </w:rPr>
              <w:fldChar w:fldCharType="end"/>
            </w:r>
          </w:hyperlink>
        </w:p>
        <w:p w14:paraId="1B9BB3E0" w14:textId="73D817FF" w:rsidR="00EE46E1" w:rsidRPr="00EE46E1" w:rsidRDefault="002F73EC">
          <w:pPr>
            <w:pStyle w:val="TOC3"/>
            <w:tabs>
              <w:tab w:val="right" w:leader="dot" w:pos="8630"/>
            </w:tabs>
            <w:rPr>
              <w:rFonts w:ascii="Times New Roman" w:eastAsiaTheme="minorEastAsia" w:hAnsi="Times New Roman" w:cs="Times New Roman"/>
              <w:noProof/>
            </w:rPr>
          </w:pPr>
          <w:hyperlink w:anchor="_Toc101701724" w:history="1">
            <w:r w:rsidR="00EE46E1" w:rsidRPr="00EE46E1">
              <w:rPr>
                <w:rStyle w:val="Hyperlink"/>
                <w:rFonts w:ascii="Times New Roman" w:hAnsi="Times New Roman" w:cs="Times New Roman"/>
                <w:noProof/>
              </w:rPr>
              <w:t>Bis-EMA cure in Photopolymers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11</w:t>
            </w:r>
            <w:r w:rsidR="00EE46E1" w:rsidRPr="00EE46E1">
              <w:rPr>
                <w:rFonts w:ascii="Times New Roman" w:hAnsi="Times New Roman" w:cs="Times New Roman"/>
                <w:noProof/>
                <w:webHidden/>
              </w:rPr>
              <w:fldChar w:fldCharType="end"/>
            </w:r>
          </w:hyperlink>
        </w:p>
        <w:p w14:paraId="3F506028" w14:textId="54634A29" w:rsidR="00EE46E1" w:rsidRPr="00EE46E1" w:rsidRDefault="002F73EC">
          <w:pPr>
            <w:pStyle w:val="TOC3"/>
            <w:tabs>
              <w:tab w:val="right" w:leader="dot" w:pos="8630"/>
            </w:tabs>
            <w:rPr>
              <w:rFonts w:ascii="Times New Roman" w:eastAsiaTheme="minorEastAsia" w:hAnsi="Times New Roman" w:cs="Times New Roman"/>
              <w:noProof/>
            </w:rPr>
          </w:pPr>
          <w:hyperlink w:anchor="_Toc101701725" w:history="1">
            <w:r w:rsidR="00EE46E1" w:rsidRPr="00EE46E1">
              <w:rPr>
                <w:rStyle w:val="Hyperlink"/>
                <w:rFonts w:ascii="Times New Roman" w:hAnsi="Times New Roman" w:cs="Times New Roman"/>
                <w:noProof/>
              </w:rPr>
              <w:t>Preliminary DC findings for Polynt Bis-EMA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w:t>
            </w:r>
            <w:r w:rsidR="00EE46E1" w:rsidRPr="00EE46E1">
              <w:rPr>
                <w:rFonts w:ascii="Times New Roman" w:hAnsi="Times New Roman" w:cs="Times New Roman"/>
                <w:noProof/>
                <w:webHidden/>
              </w:rPr>
              <w:fldChar w:fldCharType="end"/>
            </w:r>
          </w:hyperlink>
        </w:p>
        <w:p w14:paraId="0985B8D3" w14:textId="3F780C85" w:rsidR="00EE46E1" w:rsidRPr="00EE46E1" w:rsidRDefault="002F73EC">
          <w:pPr>
            <w:pStyle w:val="TOC2"/>
            <w:tabs>
              <w:tab w:val="right" w:leader="dot" w:pos="8630"/>
            </w:tabs>
            <w:rPr>
              <w:rFonts w:ascii="Times New Roman" w:eastAsiaTheme="minorEastAsia" w:hAnsi="Times New Roman" w:cs="Times New Roman"/>
              <w:noProof/>
            </w:rPr>
          </w:pPr>
          <w:hyperlink w:anchor="_Toc101701726" w:history="1">
            <w:r w:rsidR="00EE46E1" w:rsidRPr="00EE46E1">
              <w:rPr>
                <w:rStyle w:val="Hyperlink"/>
                <w:rFonts w:ascii="Times New Roman" w:hAnsi="Times New Roman" w:cs="Times New Roman"/>
                <w:noProof/>
              </w:rPr>
              <w:t>Photopolymer Formulation for LFAM</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14</w:t>
            </w:r>
            <w:r w:rsidR="00EE46E1" w:rsidRPr="00EE46E1">
              <w:rPr>
                <w:rFonts w:ascii="Times New Roman" w:hAnsi="Times New Roman" w:cs="Times New Roman"/>
                <w:noProof/>
                <w:webHidden/>
              </w:rPr>
              <w:fldChar w:fldCharType="end"/>
            </w:r>
          </w:hyperlink>
        </w:p>
        <w:p w14:paraId="6A102568" w14:textId="18E0FF81" w:rsidR="00EE46E1" w:rsidRPr="00EE46E1" w:rsidRDefault="002F73EC">
          <w:pPr>
            <w:pStyle w:val="TOC2"/>
            <w:tabs>
              <w:tab w:val="right" w:leader="dot" w:pos="8630"/>
            </w:tabs>
            <w:rPr>
              <w:rFonts w:ascii="Times New Roman" w:eastAsiaTheme="minorEastAsia" w:hAnsi="Times New Roman" w:cs="Times New Roman"/>
              <w:noProof/>
            </w:rPr>
          </w:pPr>
          <w:hyperlink w:anchor="_Toc101701727" w:history="1">
            <w:r w:rsidR="00EE46E1" w:rsidRPr="00EE46E1">
              <w:rPr>
                <w:rStyle w:val="Hyperlink"/>
                <w:rFonts w:ascii="Times New Roman" w:hAnsi="Times New Roman" w:cs="Times New Roman"/>
                <w:noProof/>
              </w:rPr>
              <w:t>Dissertation Objectives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15</w:t>
            </w:r>
            <w:r w:rsidR="00EE46E1" w:rsidRPr="00EE46E1">
              <w:rPr>
                <w:rFonts w:ascii="Times New Roman" w:hAnsi="Times New Roman" w:cs="Times New Roman"/>
                <w:noProof/>
                <w:webHidden/>
              </w:rPr>
              <w:fldChar w:fldCharType="end"/>
            </w:r>
          </w:hyperlink>
        </w:p>
        <w:p w14:paraId="0877EDD0" w14:textId="35398B37" w:rsidR="00EE46E1" w:rsidRPr="00EE46E1" w:rsidRDefault="002F73EC">
          <w:pPr>
            <w:pStyle w:val="TOC1"/>
            <w:tabs>
              <w:tab w:val="right" w:leader="dot" w:pos="8630"/>
            </w:tabs>
            <w:rPr>
              <w:rFonts w:ascii="Times New Roman" w:eastAsiaTheme="minorEastAsia" w:hAnsi="Times New Roman" w:cs="Times New Roman"/>
              <w:noProof/>
            </w:rPr>
          </w:pPr>
          <w:hyperlink w:anchor="_Toc101701728" w:history="1">
            <w:r w:rsidR="00EE46E1" w:rsidRPr="00EE46E1">
              <w:rPr>
                <w:rStyle w:val="Hyperlink"/>
                <w:rFonts w:ascii="Times New Roman" w:hAnsi="Times New Roman" w:cs="Times New Roman"/>
                <w:noProof/>
              </w:rPr>
              <w:t xml:space="preserve">CHAPTER I </w:t>
            </w:r>
            <w:r w:rsidR="00EE46E1" w:rsidRPr="00EE46E1">
              <w:rPr>
                <w:rStyle w:val="Hyperlink"/>
                <w:rFonts w:ascii="Times New Roman" w:hAnsi="Times New Roman" w:cs="Times New Roman"/>
                <w:iCs/>
                <w:noProof/>
              </w:rPr>
              <w:t>Photopolymer formulation towards large scale additive manufacturing of autoclave capable tooling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w:t>
            </w:r>
            <w:r w:rsidR="00EE46E1" w:rsidRPr="00EE46E1">
              <w:rPr>
                <w:rFonts w:ascii="Times New Roman" w:hAnsi="Times New Roman" w:cs="Times New Roman"/>
                <w:noProof/>
                <w:webHidden/>
              </w:rPr>
              <w:fldChar w:fldCharType="end"/>
            </w:r>
          </w:hyperlink>
        </w:p>
        <w:p w14:paraId="7BEAEEAB" w14:textId="54C8053D" w:rsidR="00EE46E1" w:rsidRPr="00EE46E1" w:rsidRDefault="002F73EC">
          <w:pPr>
            <w:pStyle w:val="TOC2"/>
            <w:tabs>
              <w:tab w:val="right" w:leader="dot" w:pos="8630"/>
            </w:tabs>
            <w:rPr>
              <w:rFonts w:ascii="Times New Roman" w:eastAsiaTheme="minorEastAsia" w:hAnsi="Times New Roman" w:cs="Times New Roman"/>
              <w:noProof/>
            </w:rPr>
          </w:pPr>
          <w:hyperlink w:anchor="_Toc101701729" w:history="1">
            <w:r w:rsidR="00EE46E1" w:rsidRPr="00EE46E1">
              <w:rPr>
                <w:rStyle w:val="Hyperlink"/>
                <w:rFonts w:ascii="Times New Roman" w:hAnsi="Times New Roman" w:cs="Times New Roman"/>
                <w:noProof/>
              </w:rPr>
              <w:t>Abstract</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_Toc101701729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w:t>
            </w:r>
            <w:r w:rsidR="00EE46E1" w:rsidRPr="00EE46E1">
              <w:rPr>
                <w:rFonts w:ascii="Times New Roman" w:hAnsi="Times New Roman" w:cs="Times New Roman"/>
                <w:noProof/>
                <w:webHidden/>
              </w:rPr>
              <w:fldChar w:fldCharType="end"/>
            </w:r>
          </w:hyperlink>
        </w:p>
        <w:p w14:paraId="7ED31978" w14:textId="5B2ED907" w:rsidR="00EE46E1" w:rsidRPr="00EE46E1" w:rsidRDefault="002F73EC">
          <w:pPr>
            <w:pStyle w:val="TOC2"/>
            <w:tabs>
              <w:tab w:val="right" w:leader="dot" w:pos="8630"/>
            </w:tabs>
            <w:rPr>
              <w:rFonts w:ascii="Times New Roman" w:eastAsiaTheme="minorEastAsia" w:hAnsi="Times New Roman" w:cs="Times New Roman"/>
              <w:noProof/>
            </w:rPr>
          </w:pPr>
          <w:hyperlink w:anchor="_Toc101701730" w:history="1">
            <w:r w:rsidR="00EE46E1" w:rsidRPr="00EE46E1">
              <w:rPr>
                <w:rStyle w:val="Hyperlink"/>
                <w:rFonts w:ascii="Times New Roman" w:hAnsi="Times New Roman" w:cs="Times New Roman"/>
                <w:noProof/>
              </w:rPr>
              <w:t>1.0 Introduction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19</w:t>
            </w:r>
            <w:r w:rsidR="00EE46E1" w:rsidRPr="00EE46E1">
              <w:rPr>
                <w:rFonts w:ascii="Times New Roman" w:hAnsi="Times New Roman" w:cs="Times New Roman"/>
                <w:noProof/>
                <w:webHidden/>
              </w:rPr>
              <w:fldChar w:fldCharType="end"/>
            </w:r>
          </w:hyperlink>
        </w:p>
        <w:p w14:paraId="0384FA79" w14:textId="5D2C39D2" w:rsidR="00EE46E1" w:rsidRPr="00EE46E1" w:rsidRDefault="002F73EC">
          <w:pPr>
            <w:pStyle w:val="TOC2"/>
            <w:tabs>
              <w:tab w:val="right" w:leader="dot" w:pos="8630"/>
            </w:tabs>
            <w:rPr>
              <w:rFonts w:ascii="Times New Roman" w:eastAsiaTheme="minorEastAsia" w:hAnsi="Times New Roman" w:cs="Times New Roman"/>
              <w:noProof/>
            </w:rPr>
          </w:pPr>
          <w:hyperlink w:anchor="_Toc101701731" w:history="1">
            <w:r w:rsidR="00EE46E1" w:rsidRPr="00EE46E1">
              <w:rPr>
                <w:rStyle w:val="Hyperlink"/>
                <w:rFonts w:ascii="Times New Roman" w:hAnsi="Times New Roman" w:cs="Times New Roman"/>
                <w:noProof/>
              </w:rPr>
              <w:t>2.0 Literature Review</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21</w:t>
            </w:r>
            <w:r w:rsidR="00EE46E1" w:rsidRPr="00EE46E1">
              <w:rPr>
                <w:rFonts w:ascii="Times New Roman" w:hAnsi="Times New Roman" w:cs="Times New Roman"/>
                <w:noProof/>
                <w:webHidden/>
              </w:rPr>
              <w:fldChar w:fldCharType="end"/>
            </w:r>
          </w:hyperlink>
        </w:p>
        <w:p w14:paraId="1F899A66" w14:textId="717D95FC" w:rsidR="00EE46E1" w:rsidRPr="00EE46E1" w:rsidRDefault="002F73EC">
          <w:pPr>
            <w:pStyle w:val="TOC2"/>
            <w:tabs>
              <w:tab w:val="right" w:leader="dot" w:pos="8630"/>
            </w:tabs>
            <w:rPr>
              <w:rFonts w:ascii="Times New Roman" w:eastAsiaTheme="minorEastAsia" w:hAnsi="Times New Roman" w:cs="Times New Roman"/>
              <w:noProof/>
            </w:rPr>
          </w:pPr>
          <w:hyperlink w:anchor="_Toc101701732" w:history="1">
            <w:r w:rsidR="00EE46E1" w:rsidRPr="00EE46E1">
              <w:rPr>
                <w:rStyle w:val="Hyperlink"/>
                <w:rFonts w:ascii="Times New Roman" w:hAnsi="Times New Roman" w:cs="Times New Roman"/>
                <w:noProof/>
              </w:rPr>
              <w:t>3.0 Materials and Methods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26</w:t>
            </w:r>
            <w:r w:rsidR="00EE46E1" w:rsidRPr="00EE46E1">
              <w:rPr>
                <w:rFonts w:ascii="Times New Roman" w:hAnsi="Times New Roman" w:cs="Times New Roman"/>
                <w:noProof/>
                <w:webHidden/>
              </w:rPr>
              <w:fldChar w:fldCharType="end"/>
            </w:r>
          </w:hyperlink>
        </w:p>
        <w:p w14:paraId="7CF4F57F" w14:textId="2627FC84" w:rsidR="00EE46E1" w:rsidRPr="00EE46E1" w:rsidRDefault="002F73EC">
          <w:pPr>
            <w:pStyle w:val="TOC3"/>
            <w:tabs>
              <w:tab w:val="right" w:leader="dot" w:pos="8630"/>
            </w:tabs>
            <w:rPr>
              <w:rFonts w:ascii="Times New Roman" w:eastAsiaTheme="minorEastAsia" w:hAnsi="Times New Roman" w:cs="Times New Roman"/>
              <w:noProof/>
            </w:rPr>
          </w:pPr>
          <w:hyperlink w:anchor="_Toc101701733" w:history="1">
            <w:r w:rsidR="00EE46E1" w:rsidRPr="00EE46E1">
              <w:rPr>
                <w:rStyle w:val="Hyperlink"/>
                <w:rFonts w:ascii="Times New Roman" w:hAnsi="Times New Roman" w:cs="Times New Roman"/>
                <w:noProof/>
              </w:rPr>
              <w:t>3.1 Light Source and Materials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26</w:t>
            </w:r>
            <w:r w:rsidR="00EE46E1" w:rsidRPr="00EE46E1">
              <w:rPr>
                <w:rFonts w:ascii="Times New Roman" w:hAnsi="Times New Roman" w:cs="Times New Roman"/>
                <w:noProof/>
                <w:webHidden/>
              </w:rPr>
              <w:fldChar w:fldCharType="end"/>
            </w:r>
          </w:hyperlink>
        </w:p>
        <w:p w14:paraId="5C7AFD0D" w14:textId="0BC49EFF" w:rsidR="00EE46E1" w:rsidRPr="00EE46E1" w:rsidRDefault="002F73EC">
          <w:pPr>
            <w:pStyle w:val="TOC3"/>
            <w:tabs>
              <w:tab w:val="right" w:leader="dot" w:pos="8630"/>
            </w:tabs>
            <w:rPr>
              <w:rFonts w:ascii="Times New Roman" w:eastAsiaTheme="minorEastAsia" w:hAnsi="Times New Roman" w:cs="Times New Roman"/>
              <w:noProof/>
            </w:rPr>
          </w:pPr>
          <w:hyperlink w:anchor="_Toc101701734" w:history="1">
            <w:r w:rsidR="00EE46E1" w:rsidRPr="00EE46E1">
              <w:rPr>
                <w:rStyle w:val="Hyperlink"/>
                <w:rFonts w:ascii="Times New Roman" w:hAnsi="Times New Roman" w:cs="Times New Roman"/>
                <w:noProof/>
              </w:rPr>
              <w:t>3.2 Specimen Preparation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26</w:t>
            </w:r>
            <w:r w:rsidR="00EE46E1" w:rsidRPr="00EE46E1">
              <w:rPr>
                <w:rFonts w:ascii="Times New Roman" w:hAnsi="Times New Roman" w:cs="Times New Roman"/>
                <w:noProof/>
                <w:webHidden/>
              </w:rPr>
              <w:fldChar w:fldCharType="end"/>
            </w:r>
          </w:hyperlink>
        </w:p>
        <w:p w14:paraId="754AB58F" w14:textId="6AF45E1F" w:rsidR="00EE46E1" w:rsidRPr="00EE46E1" w:rsidRDefault="002F73EC">
          <w:pPr>
            <w:pStyle w:val="TOC3"/>
            <w:tabs>
              <w:tab w:val="right" w:leader="dot" w:pos="8630"/>
            </w:tabs>
            <w:rPr>
              <w:rFonts w:ascii="Times New Roman" w:eastAsiaTheme="minorEastAsia" w:hAnsi="Times New Roman" w:cs="Times New Roman"/>
              <w:noProof/>
            </w:rPr>
          </w:pPr>
          <w:hyperlink w:anchor="_Toc101701735" w:history="1">
            <w:r w:rsidR="00EE46E1" w:rsidRPr="00EE46E1">
              <w:rPr>
                <w:rStyle w:val="Hyperlink"/>
                <w:rFonts w:ascii="Times New Roman" w:hAnsi="Times New Roman" w:cs="Times New Roman"/>
                <w:noProof/>
              </w:rPr>
              <w:t>3.3 Uncured Polymer Characterization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28</w:t>
            </w:r>
            <w:r w:rsidR="00EE46E1" w:rsidRPr="00EE46E1">
              <w:rPr>
                <w:rFonts w:ascii="Times New Roman" w:hAnsi="Times New Roman" w:cs="Times New Roman"/>
                <w:noProof/>
                <w:webHidden/>
              </w:rPr>
              <w:fldChar w:fldCharType="end"/>
            </w:r>
          </w:hyperlink>
        </w:p>
        <w:p w14:paraId="4E2426FC" w14:textId="39C86E21" w:rsidR="00EE46E1" w:rsidRPr="00EE46E1" w:rsidRDefault="002F73EC">
          <w:pPr>
            <w:pStyle w:val="TOC3"/>
            <w:tabs>
              <w:tab w:val="right" w:leader="dot" w:pos="8630"/>
            </w:tabs>
            <w:rPr>
              <w:rFonts w:ascii="Times New Roman" w:eastAsiaTheme="minorEastAsia" w:hAnsi="Times New Roman" w:cs="Times New Roman"/>
              <w:noProof/>
            </w:rPr>
          </w:pPr>
          <w:hyperlink w:anchor="_Toc101701736" w:history="1">
            <w:r w:rsidR="00EE46E1" w:rsidRPr="00EE46E1">
              <w:rPr>
                <w:rStyle w:val="Hyperlink"/>
                <w:rFonts w:ascii="Times New Roman" w:hAnsi="Times New Roman" w:cs="Times New Roman"/>
                <w:noProof/>
              </w:rPr>
              <w:t>3.4 Cured Polymer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29</w:t>
            </w:r>
            <w:r w:rsidR="00EE46E1" w:rsidRPr="00EE46E1">
              <w:rPr>
                <w:rFonts w:ascii="Times New Roman" w:hAnsi="Times New Roman" w:cs="Times New Roman"/>
                <w:noProof/>
                <w:webHidden/>
              </w:rPr>
              <w:fldChar w:fldCharType="end"/>
            </w:r>
          </w:hyperlink>
        </w:p>
        <w:p w14:paraId="5BF86B16" w14:textId="2A5541C2" w:rsidR="00EE46E1" w:rsidRPr="00EE46E1" w:rsidRDefault="002F73EC">
          <w:pPr>
            <w:pStyle w:val="TOC2"/>
            <w:tabs>
              <w:tab w:val="right" w:leader="dot" w:pos="8630"/>
            </w:tabs>
            <w:rPr>
              <w:rFonts w:ascii="Times New Roman" w:eastAsiaTheme="minorEastAsia" w:hAnsi="Times New Roman" w:cs="Times New Roman"/>
              <w:noProof/>
            </w:rPr>
          </w:pPr>
          <w:hyperlink w:anchor="_Toc101701737" w:history="1">
            <w:r w:rsidR="00EE46E1" w:rsidRPr="00EE46E1">
              <w:rPr>
                <w:rStyle w:val="Hyperlink"/>
                <w:rFonts w:ascii="Times New Roman" w:hAnsi="Times New Roman" w:cs="Times New Roman"/>
                <w:noProof/>
              </w:rPr>
              <w:t>4.0 Results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30</w:t>
            </w:r>
            <w:r w:rsidR="00EE46E1" w:rsidRPr="00EE46E1">
              <w:rPr>
                <w:rFonts w:ascii="Times New Roman" w:hAnsi="Times New Roman" w:cs="Times New Roman"/>
                <w:noProof/>
                <w:webHidden/>
              </w:rPr>
              <w:fldChar w:fldCharType="end"/>
            </w:r>
          </w:hyperlink>
        </w:p>
        <w:p w14:paraId="64310727" w14:textId="008A89F1" w:rsidR="00EE46E1" w:rsidRPr="00EE46E1" w:rsidRDefault="002F73EC">
          <w:pPr>
            <w:pStyle w:val="TOC3"/>
            <w:tabs>
              <w:tab w:val="right" w:leader="dot" w:pos="8630"/>
            </w:tabs>
            <w:rPr>
              <w:rFonts w:ascii="Times New Roman" w:eastAsiaTheme="minorEastAsia" w:hAnsi="Times New Roman" w:cs="Times New Roman"/>
              <w:noProof/>
            </w:rPr>
          </w:pPr>
          <w:hyperlink w:anchor="_Toc101701738" w:history="1">
            <w:r w:rsidR="00EE46E1" w:rsidRPr="00EE46E1">
              <w:rPr>
                <w:rStyle w:val="Hyperlink"/>
                <w:rFonts w:ascii="Times New Roman" w:hAnsi="Times New Roman" w:cs="Times New Roman"/>
                <w:noProof/>
              </w:rPr>
              <w:t>4.1 Rheology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30</w:t>
            </w:r>
            <w:r w:rsidR="00EE46E1" w:rsidRPr="00EE46E1">
              <w:rPr>
                <w:rFonts w:ascii="Times New Roman" w:hAnsi="Times New Roman" w:cs="Times New Roman"/>
                <w:noProof/>
                <w:webHidden/>
              </w:rPr>
              <w:fldChar w:fldCharType="end"/>
            </w:r>
          </w:hyperlink>
        </w:p>
        <w:p w14:paraId="47EC4D0B" w14:textId="02C7B318" w:rsidR="00EE46E1" w:rsidRPr="00EE46E1" w:rsidRDefault="002F73EC">
          <w:pPr>
            <w:pStyle w:val="TOC3"/>
            <w:tabs>
              <w:tab w:val="right" w:leader="dot" w:pos="8630"/>
            </w:tabs>
            <w:rPr>
              <w:rFonts w:ascii="Times New Roman" w:eastAsiaTheme="minorEastAsia" w:hAnsi="Times New Roman" w:cs="Times New Roman"/>
              <w:noProof/>
            </w:rPr>
          </w:pPr>
          <w:hyperlink w:anchor="_Toc101701739" w:history="1">
            <w:r w:rsidR="00EE46E1" w:rsidRPr="00EE46E1">
              <w:rPr>
                <w:rStyle w:val="Hyperlink"/>
                <w:rFonts w:ascii="Times New Roman" w:hAnsi="Times New Roman" w:cs="Times New Roman"/>
                <w:noProof/>
              </w:rPr>
              <w:t>4.3 Cure Response with variation in PETIA content</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_Toc101701739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32</w:t>
            </w:r>
            <w:r w:rsidR="00EE46E1" w:rsidRPr="00EE46E1">
              <w:rPr>
                <w:rFonts w:ascii="Times New Roman" w:hAnsi="Times New Roman" w:cs="Times New Roman"/>
                <w:noProof/>
                <w:webHidden/>
              </w:rPr>
              <w:fldChar w:fldCharType="end"/>
            </w:r>
          </w:hyperlink>
        </w:p>
        <w:p w14:paraId="4F546BB9" w14:textId="1668F2A7" w:rsidR="00EE46E1" w:rsidRPr="00EE46E1" w:rsidRDefault="002F73EC">
          <w:pPr>
            <w:pStyle w:val="TOC3"/>
            <w:tabs>
              <w:tab w:val="right" w:leader="dot" w:pos="8630"/>
            </w:tabs>
            <w:rPr>
              <w:rFonts w:ascii="Times New Roman" w:eastAsiaTheme="minorEastAsia" w:hAnsi="Times New Roman" w:cs="Times New Roman"/>
              <w:noProof/>
            </w:rPr>
          </w:pPr>
          <w:hyperlink w:anchor="_Toc101701740" w:history="1">
            <w:r w:rsidR="00EE46E1" w:rsidRPr="00EE46E1">
              <w:rPr>
                <w:rStyle w:val="Hyperlink"/>
                <w:rFonts w:ascii="Times New Roman" w:hAnsi="Times New Roman" w:cs="Times New Roman"/>
                <w:noProof/>
              </w:rPr>
              <w:t>4.4 Tensile Modulus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33</w:t>
            </w:r>
            <w:r w:rsidR="00EE46E1" w:rsidRPr="00EE46E1">
              <w:rPr>
                <w:rFonts w:ascii="Times New Roman" w:hAnsi="Times New Roman" w:cs="Times New Roman"/>
                <w:noProof/>
                <w:webHidden/>
              </w:rPr>
              <w:fldChar w:fldCharType="end"/>
            </w:r>
          </w:hyperlink>
        </w:p>
        <w:p w14:paraId="74B5720B" w14:textId="7CE53C9F" w:rsidR="00EE46E1" w:rsidRPr="00EE46E1" w:rsidRDefault="002F73EC">
          <w:pPr>
            <w:pStyle w:val="TOC3"/>
            <w:tabs>
              <w:tab w:val="right" w:leader="dot" w:pos="8630"/>
            </w:tabs>
            <w:rPr>
              <w:rFonts w:ascii="Times New Roman" w:eastAsiaTheme="minorEastAsia" w:hAnsi="Times New Roman" w:cs="Times New Roman"/>
              <w:noProof/>
            </w:rPr>
          </w:pPr>
          <w:hyperlink w:anchor="_Toc101701741" w:history="1">
            <w:r w:rsidR="00EE46E1" w:rsidRPr="00EE46E1">
              <w:rPr>
                <w:rStyle w:val="Hyperlink"/>
                <w:rFonts w:ascii="Times New Roman" w:hAnsi="Times New Roman" w:cs="Times New Roman"/>
                <w:noProof/>
              </w:rPr>
              <w:t>4.5 Glass Transition Temperature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36</w:t>
            </w:r>
            <w:r w:rsidR="00EE46E1" w:rsidRPr="00EE46E1">
              <w:rPr>
                <w:rFonts w:ascii="Times New Roman" w:hAnsi="Times New Roman" w:cs="Times New Roman"/>
                <w:noProof/>
                <w:webHidden/>
              </w:rPr>
              <w:fldChar w:fldCharType="end"/>
            </w:r>
          </w:hyperlink>
        </w:p>
        <w:p w14:paraId="6FE50807" w14:textId="58D50AD1" w:rsidR="00EE46E1" w:rsidRPr="00EE46E1" w:rsidRDefault="002F73EC">
          <w:pPr>
            <w:pStyle w:val="TOC3"/>
            <w:tabs>
              <w:tab w:val="right" w:leader="dot" w:pos="8630"/>
            </w:tabs>
            <w:rPr>
              <w:rFonts w:ascii="Times New Roman" w:eastAsiaTheme="minorEastAsia" w:hAnsi="Times New Roman" w:cs="Times New Roman"/>
              <w:noProof/>
            </w:rPr>
          </w:pPr>
          <w:hyperlink w:anchor="_Toc101701742" w:history="1">
            <w:r w:rsidR="00EE46E1" w:rsidRPr="00EE46E1">
              <w:rPr>
                <w:rStyle w:val="Hyperlink"/>
                <w:rFonts w:ascii="Times New Roman" w:hAnsi="Times New Roman" w:cs="Times New Roman"/>
                <w:noProof/>
              </w:rPr>
              <w:t>4.6 Volumetric Shrinkage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36</w:t>
            </w:r>
            <w:r w:rsidR="00EE46E1" w:rsidRPr="00EE46E1">
              <w:rPr>
                <w:rFonts w:ascii="Times New Roman" w:hAnsi="Times New Roman" w:cs="Times New Roman"/>
                <w:noProof/>
                <w:webHidden/>
              </w:rPr>
              <w:fldChar w:fldCharType="end"/>
            </w:r>
          </w:hyperlink>
        </w:p>
        <w:p w14:paraId="4071F472" w14:textId="21575D35" w:rsidR="00EE46E1" w:rsidRPr="00EE46E1" w:rsidRDefault="002F73EC">
          <w:pPr>
            <w:pStyle w:val="TOC3"/>
            <w:tabs>
              <w:tab w:val="right" w:leader="dot" w:pos="8630"/>
            </w:tabs>
            <w:rPr>
              <w:rFonts w:ascii="Times New Roman" w:eastAsiaTheme="minorEastAsia" w:hAnsi="Times New Roman" w:cs="Times New Roman"/>
              <w:noProof/>
            </w:rPr>
          </w:pPr>
          <w:hyperlink w:anchor="_Toc101701743" w:history="1">
            <w:r w:rsidR="00EE46E1" w:rsidRPr="00EE46E1">
              <w:rPr>
                <w:rStyle w:val="Hyperlink"/>
                <w:rFonts w:ascii="Times New Roman" w:hAnsi="Times New Roman" w:cs="Times New Roman"/>
                <w:noProof/>
              </w:rPr>
              <w:t>4.7 Formulation down selection and thermal treatment characterization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38</w:t>
            </w:r>
            <w:r w:rsidR="00EE46E1" w:rsidRPr="00EE46E1">
              <w:rPr>
                <w:rFonts w:ascii="Times New Roman" w:hAnsi="Times New Roman" w:cs="Times New Roman"/>
                <w:noProof/>
                <w:webHidden/>
              </w:rPr>
              <w:fldChar w:fldCharType="end"/>
            </w:r>
          </w:hyperlink>
        </w:p>
        <w:p w14:paraId="6EBB95A6" w14:textId="6EAA93C6" w:rsidR="00EE46E1" w:rsidRPr="00EE46E1" w:rsidRDefault="002F73EC">
          <w:pPr>
            <w:pStyle w:val="TOC3"/>
            <w:tabs>
              <w:tab w:val="right" w:leader="dot" w:pos="8630"/>
            </w:tabs>
            <w:rPr>
              <w:rFonts w:ascii="Times New Roman" w:eastAsiaTheme="minorEastAsia" w:hAnsi="Times New Roman" w:cs="Times New Roman"/>
              <w:noProof/>
            </w:rPr>
          </w:pPr>
          <w:hyperlink w:anchor="_Toc101701744" w:history="1">
            <w:r w:rsidR="00EE46E1" w:rsidRPr="00EE46E1">
              <w:rPr>
                <w:rStyle w:val="Hyperlink"/>
                <w:rFonts w:ascii="Times New Roman" w:hAnsi="Times New Roman" w:cs="Times New Roman"/>
                <w:noProof/>
              </w:rPr>
              <w:t>4.8 Proof of concept tooling using layer-based additive processing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41</w:t>
            </w:r>
            <w:r w:rsidR="00EE46E1" w:rsidRPr="00EE46E1">
              <w:rPr>
                <w:rFonts w:ascii="Times New Roman" w:hAnsi="Times New Roman" w:cs="Times New Roman"/>
                <w:noProof/>
                <w:webHidden/>
              </w:rPr>
              <w:fldChar w:fldCharType="end"/>
            </w:r>
          </w:hyperlink>
        </w:p>
        <w:p w14:paraId="2D68F226" w14:textId="4EEED9CD" w:rsidR="00EE46E1" w:rsidRPr="00EE46E1" w:rsidRDefault="002F73EC">
          <w:pPr>
            <w:pStyle w:val="TOC3"/>
            <w:tabs>
              <w:tab w:val="right" w:leader="dot" w:pos="8630"/>
            </w:tabs>
            <w:rPr>
              <w:rFonts w:ascii="Times New Roman" w:eastAsiaTheme="minorEastAsia" w:hAnsi="Times New Roman" w:cs="Times New Roman"/>
              <w:noProof/>
            </w:rPr>
          </w:pPr>
          <w:hyperlink w:anchor="_Toc101701745" w:history="1">
            <w:r w:rsidR="00EE46E1" w:rsidRPr="00EE46E1">
              <w:rPr>
                <w:rStyle w:val="Hyperlink"/>
                <w:rFonts w:ascii="Times New Roman" w:hAnsi="Times New Roman" w:cs="Times New Roman"/>
                <w:noProof/>
              </w:rPr>
              <w:t>4.9 Tooling stock material degradation assessment via hardness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44</w:t>
            </w:r>
            <w:r w:rsidR="00EE46E1" w:rsidRPr="00EE46E1">
              <w:rPr>
                <w:rFonts w:ascii="Times New Roman" w:hAnsi="Times New Roman" w:cs="Times New Roman"/>
                <w:noProof/>
                <w:webHidden/>
              </w:rPr>
              <w:fldChar w:fldCharType="end"/>
            </w:r>
          </w:hyperlink>
        </w:p>
        <w:p w14:paraId="2E1E6490" w14:textId="628800E0" w:rsidR="00EE46E1" w:rsidRPr="00EE46E1" w:rsidRDefault="002F73EC">
          <w:pPr>
            <w:pStyle w:val="TOC3"/>
            <w:tabs>
              <w:tab w:val="right" w:leader="dot" w:pos="8630"/>
            </w:tabs>
            <w:rPr>
              <w:rFonts w:ascii="Times New Roman" w:eastAsiaTheme="minorEastAsia" w:hAnsi="Times New Roman" w:cs="Times New Roman"/>
              <w:noProof/>
            </w:rPr>
          </w:pPr>
          <w:hyperlink w:anchor="_Toc101701746" w:history="1">
            <w:r w:rsidR="00EE46E1" w:rsidRPr="00EE46E1">
              <w:rPr>
                <w:rStyle w:val="Hyperlink"/>
                <w:rFonts w:ascii="Times New Roman" w:hAnsi="Times New Roman" w:cs="Times New Roman"/>
                <w:noProof/>
              </w:rPr>
              <w:t>4.10 Tooling stock material degradation assessment via DMA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44</w:t>
            </w:r>
            <w:r w:rsidR="00EE46E1" w:rsidRPr="00EE46E1">
              <w:rPr>
                <w:rFonts w:ascii="Times New Roman" w:hAnsi="Times New Roman" w:cs="Times New Roman"/>
                <w:noProof/>
                <w:webHidden/>
              </w:rPr>
              <w:fldChar w:fldCharType="end"/>
            </w:r>
          </w:hyperlink>
        </w:p>
        <w:p w14:paraId="5F04AA19" w14:textId="18DFEB64" w:rsidR="00EE46E1" w:rsidRPr="00EE46E1" w:rsidRDefault="002F73EC">
          <w:pPr>
            <w:pStyle w:val="TOC3"/>
            <w:tabs>
              <w:tab w:val="right" w:leader="dot" w:pos="8630"/>
            </w:tabs>
            <w:rPr>
              <w:rFonts w:ascii="Times New Roman" w:eastAsiaTheme="minorEastAsia" w:hAnsi="Times New Roman" w:cs="Times New Roman"/>
              <w:noProof/>
            </w:rPr>
          </w:pPr>
          <w:hyperlink w:anchor="_Toc101701747" w:history="1">
            <w:r w:rsidR="00EE46E1" w:rsidRPr="00EE46E1">
              <w:rPr>
                <w:rStyle w:val="Hyperlink"/>
                <w:rFonts w:ascii="Times New Roman" w:hAnsi="Times New Roman" w:cs="Times New Roman"/>
                <w:noProof/>
              </w:rPr>
              <w:t>4.11 Tooling degradation assessment via laser scanning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48</w:t>
            </w:r>
            <w:r w:rsidR="00EE46E1" w:rsidRPr="00EE46E1">
              <w:rPr>
                <w:rFonts w:ascii="Times New Roman" w:hAnsi="Times New Roman" w:cs="Times New Roman"/>
                <w:noProof/>
                <w:webHidden/>
              </w:rPr>
              <w:fldChar w:fldCharType="end"/>
            </w:r>
          </w:hyperlink>
        </w:p>
        <w:p w14:paraId="50FE6D5A" w14:textId="71AF8BAD" w:rsidR="00EE46E1" w:rsidRPr="00EE46E1" w:rsidRDefault="002F73EC">
          <w:pPr>
            <w:pStyle w:val="TOC2"/>
            <w:tabs>
              <w:tab w:val="right" w:leader="dot" w:pos="8630"/>
            </w:tabs>
            <w:rPr>
              <w:rFonts w:ascii="Times New Roman" w:eastAsiaTheme="minorEastAsia" w:hAnsi="Times New Roman" w:cs="Times New Roman"/>
              <w:noProof/>
            </w:rPr>
          </w:pPr>
          <w:hyperlink w:anchor="_Toc101701748" w:history="1">
            <w:r w:rsidR="00EE46E1" w:rsidRPr="00EE46E1">
              <w:rPr>
                <w:rStyle w:val="Hyperlink"/>
                <w:rFonts w:ascii="Times New Roman" w:hAnsi="Times New Roman" w:cs="Times New Roman"/>
                <w:noProof/>
              </w:rPr>
              <w:t>5.0 Discussion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48</w:t>
            </w:r>
            <w:r w:rsidR="00EE46E1" w:rsidRPr="00EE46E1">
              <w:rPr>
                <w:rFonts w:ascii="Times New Roman" w:hAnsi="Times New Roman" w:cs="Times New Roman"/>
                <w:noProof/>
                <w:webHidden/>
              </w:rPr>
              <w:fldChar w:fldCharType="end"/>
            </w:r>
          </w:hyperlink>
        </w:p>
        <w:p w14:paraId="4BB60197" w14:textId="68E4E3C0" w:rsidR="00EE46E1" w:rsidRPr="00EE46E1" w:rsidRDefault="002F73EC">
          <w:pPr>
            <w:pStyle w:val="TOC3"/>
            <w:tabs>
              <w:tab w:val="right" w:leader="dot" w:pos="8630"/>
            </w:tabs>
            <w:rPr>
              <w:rFonts w:ascii="Times New Roman" w:eastAsiaTheme="minorEastAsia" w:hAnsi="Times New Roman" w:cs="Times New Roman"/>
              <w:noProof/>
            </w:rPr>
          </w:pPr>
          <w:hyperlink w:anchor="_Toc101701749" w:history="1">
            <w:r w:rsidR="00EE46E1" w:rsidRPr="00EE46E1">
              <w:rPr>
                <w:rStyle w:val="Hyperlink"/>
                <w:rFonts w:ascii="Times New Roman" w:hAnsi="Times New Roman" w:cs="Times New Roman"/>
                <w:noProof/>
              </w:rPr>
              <w:t>5.1 Viscosity and process suitability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_Toc101701749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48</w:t>
            </w:r>
            <w:r w:rsidR="00EE46E1" w:rsidRPr="00EE46E1">
              <w:rPr>
                <w:rFonts w:ascii="Times New Roman" w:hAnsi="Times New Roman" w:cs="Times New Roman"/>
                <w:noProof/>
                <w:webHidden/>
              </w:rPr>
              <w:fldChar w:fldCharType="end"/>
            </w:r>
          </w:hyperlink>
        </w:p>
        <w:p w14:paraId="2067ED47" w14:textId="69C04068" w:rsidR="00EE46E1" w:rsidRPr="00EE46E1" w:rsidRDefault="002F73EC">
          <w:pPr>
            <w:pStyle w:val="TOC3"/>
            <w:tabs>
              <w:tab w:val="right" w:leader="dot" w:pos="8630"/>
            </w:tabs>
            <w:rPr>
              <w:rFonts w:ascii="Times New Roman" w:eastAsiaTheme="minorEastAsia" w:hAnsi="Times New Roman" w:cs="Times New Roman"/>
              <w:noProof/>
            </w:rPr>
          </w:pPr>
          <w:hyperlink w:anchor="_Toc101701750" w:history="1">
            <w:r w:rsidR="00EE46E1" w:rsidRPr="00EE46E1">
              <w:rPr>
                <w:rStyle w:val="Hyperlink"/>
                <w:rFonts w:ascii="Times New Roman" w:hAnsi="Times New Roman" w:cs="Times New Roman"/>
                <w:noProof/>
              </w:rPr>
              <w:t>5.2 Improvement in Cure Response with PETIA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50</w:t>
            </w:r>
            <w:r w:rsidR="00EE46E1" w:rsidRPr="00EE46E1">
              <w:rPr>
                <w:rFonts w:ascii="Times New Roman" w:hAnsi="Times New Roman" w:cs="Times New Roman"/>
                <w:noProof/>
                <w:webHidden/>
              </w:rPr>
              <w:fldChar w:fldCharType="end"/>
            </w:r>
          </w:hyperlink>
        </w:p>
        <w:p w14:paraId="4E067417" w14:textId="0106DF15" w:rsidR="00EE46E1" w:rsidRPr="00EE46E1" w:rsidRDefault="002F73EC">
          <w:pPr>
            <w:pStyle w:val="TOC3"/>
            <w:tabs>
              <w:tab w:val="right" w:leader="dot" w:pos="8630"/>
            </w:tabs>
            <w:rPr>
              <w:rFonts w:ascii="Times New Roman" w:eastAsiaTheme="minorEastAsia" w:hAnsi="Times New Roman" w:cs="Times New Roman"/>
              <w:noProof/>
            </w:rPr>
          </w:pPr>
          <w:hyperlink w:anchor="_Toc101701751" w:history="1">
            <w:r w:rsidR="00EE46E1" w:rsidRPr="00EE46E1">
              <w:rPr>
                <w:rStyle w:val="Hyperlink"/>
                <w:rFonts w:ascii="Times New Roman" w:hAnsi="Times New Roman" w:cs="Times New Roman"/>
                <w:noProof/>
              </w:rPr>
              <w:t>5.3 Influence of PETIA content on T</w:t>
            </w:r>
            <w:r w:rsidR="00EE46E1" w:rsidRPr="00EE46E1">
              <w:rPr>
                <w:rStyle w:val="Hyperlink"/>
                <w:rFonts w:ascii="Times New Roman" w:hAnsi="Times New Roman" w:cs="Times New Roman"/>
                <w:noProof/>
                <w:vertAlign w:val="subscript"/>
              </w:rPr>
              <w:t>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50</w:t>
            </w:r>
            <w:r w:rsidR="00EE46E1" w:rsidRPr="00EE46E1">
              <w:rPr>
                <w:rFonts w:ascii="Times New Roman" w:hAnsi="Times New Roman" w:cs="Times New Roman"/>
                <w:noProof/>
                <w:webHidden/>
              </w:rPr>
              <w:fldChar w:fldCharType="end"/>
            </w:r>
          </w:hyperlink>
        </w:p>
        <w:p w14:paraId="68A07224" w14:textId="69E143E0" w:rsidR="00EE46E1" w:rsidRPr="00EE46E1" w:rsidRDefault="002F73EC">
          <w:pPr>
            <w:pStyle w:val="TOC3"/>
            <w:tabs>
              <w:tab w:val="right" w:leader="dot" w:pos="8630"/>
            </w:tabs>
            <w:rPr>
              <w:rFonts w:ascii="Times New Roman" w:eastAsiaTheme="minorEastAsia" w:hAnsi="Times New Roman" w:cs="Times New Roman"/>
              <w:noProof/>
            </w:rPr>
          </w:pPr>
          <w:hyperlink w:anchor="_Toc101701752" w:history="1">
            <w:r w:rsidR="00EE46E1" w:rsidRPr="00EE46E1">
              <w:rPr>
                <w:rStyle w:val="Hyperlink"/>
                <w:rFonts w:ascii="Times New Roman" w:hAnsi="Times New Roman" w:cs="Times New Roman"/>
                <w:noProof/>
              </w:rPr>
              <w:t>5.4 Mechanical properties and cure-induced shrinkage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51</w:t>
            </w:r>
            <w:r w:rsidR="00EE46E1" w:rsidRPr="00EE46E1">
              <w:rPr>
                <w:rFonts w:ascii="Times New Roman" w:hAnsi="Times New Roman" w:cs="Times New Roman"/>
                <w:noProof/>
                <w:webHidden/>
              </w:rPr>
              <w:fldChar w:fldCharType="end"/>
            </w:r>
          </w:hyperlink>
        </w:p>
        <w:p w14:paraId="6E47BC79" w14:textId="6F0A122E" w:rsidR="00EE46E1" w:rsidRPr="00EE46E1" w:rsidRDefault="002F73EC">
          <w:pPr>
            <w:pStyle w:val="TOC3"/>
            <w:tabs>
              <w:tab w:val="right" w:leader="dot" w:pos="8630"/>
            </w:tabs>
            <w:rPr>
              <w:rFonts w:ascii="Times New Roman" w:eastAsiaTheme="minorEastAsia" w:hAnsi="Times New Roman" w:cs="Times New Roman"/>
              <w:noProof/>
            </w:rPr>
          </w:pPr>
          <w:hyperlink w:anchor="_Toc101701753" w:history="1">
            <w:r w:rsidR="00EE46E1" w:rsidRPr="00EE46E1">
              <w:rPr>
                <w:rStyle w:val="Hyperlink"/>
                <w:rFonts w:ascii="Times New Roman" w:hAnsi="Times New Roman" w:cs="Times New Roman"/>
                <w:noProof/>
              </w:rPr>
              <w:t>5.5 Tooling Study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52</w:t>
            </w:r>
            <w:r w:rsidR="00EE46E1" w:rsidRPr="00EE46E1">
              <w:rPr>
                <w:rFonts w:ascii="Times New Roman" w:hAnsi="Times New Roman" w:cs="Times New Roman"/>
                <w:noProof/>
                <w:webHidden/>
              </w:rPr>
              <w:fldChar w:fldCharType="end"/>
            </w:r>
          </w:hyperlink>
        </w:p>
        <w:p w14:paraId="51164F4A" w14:textId="13AEA8BB" w:rsidR="00EE46E1" w:rsidRPr="00EE46E1" w:rsidRDefault="002F73EC">
          <w:pPr>
            <w:pStyle w:val="TOC3"/>
            <w:tabs>
              <w:tab w:val="right" w:leader="dot" w:pos="8630"/>
            </w:tabs>
            <w:rPr>
              <w:rFonts w:ascii="Times New Roman" w:eastAsiaTheme="minorEastAsia" w:hAnsi="Times New Roman" w:cs="Times New Roman"/>
              <w:noProof/>
            </w:rPr>
          </w:pPr>
          <w:hyperlink w:anchor="_Toc101701754" w:history="1">
            <w:r w:rsidR="00EE46E1" w:rsidRPr="00EE46E1">
              <w:rPr>
                <w:rStyle w:val="Hyperlink"/>
                <w:rFonts w:ascii="Times New Roman" w:hAnsi="Times New Roman" w:cs="Times New Roman"/>
                <w:noProof/>
              </w:rPr>
              <w:t>5.6 Optimal Formulation for Large Scale AM</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53</w:t>
            </w:r>
            <w:r w:rsidR="00EE46E1" w:rsidRPr="00EE46E1">
              <w:rPr>
                <w:rFonts w:ascii="Times New Roman" w:hAnsi="Times New Roman" w:cs="Times New Roman"/>
                <w:noProof/>
                <w:webHidden/>
              </w:rPr>
              <w:fldChar w:fldCharType="end"/>
            </w:r>
          </w:hyperlink>
        </w:p>
        <w:p w14:paraId="5FECA1EC" w14:textId="2301B9F7" w:rsidR="00EE46E1" w:rsidRPr="00EE46E1" w:rsidRDefault="002F73EC">
          <w:pPr>
            <w:pStyle w:val="TOC2"/>
            <w:tabs>
              <w:tab w:val="right" w:leader="dot" w:pos="8630"/>
            </w:tabs>
            <w:rPr>
              <w:rFonts w:ascii="Times New Roman" w:eastAsiaTheme="minorEastAsia" w:hAnsi="Times New Roman" w:cs="Times New Roman"/>
              <w:noProof/>
            </w:rPr>
          </w:pPr>
          <w:hyperlink w:anchor="_Toc101701755" w:history="1">
            <w:r w:rsidR="00EE46E1" w:rsidRPr="00EE46E1">
              <w:rPr>
                <w:rStyle w:val="Hyperlink"/>
                <w:rFonts w:ascii="Times New Roman" w:hAnsi="Times New Roman" w:cs="Times New Roman"/>
                <w:noProof/>
              </w:rPr>
              <w:t>6.0 Conclusions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53</w:t>
            </w:r>
            <w:r w:rsidR="00EE46E1" w:rsidRPr="00EE46E1">
              <w:rPr>
                <w:rFonts w:ascii="Times New Roman" w:hAnsi="Times New Roman" w:cs="Times New Roman"/>
                <w:noProof/>
                <w:webHidden/>
              </w:rPr>
              <w:fldChar w:fldCharType="end"/>
            </w:r>
          </w:hyperlink>
        </w:p>
        <w:p w14:paraId="140CC4FC" w14:textId="29C55D1F" w:rsidR="00EE46E1" w:rsidRPr="00EE46E1" w:rsidRDefault="002F73EC">
          <w:pPr>
            <w:pStyle w:val="TOC2"/>
            <w:tabs>
              <w:tab w:val="right" w:leader="dot" w:pos="8630"/>
            </w:tabs>
            <w:rPr>
              <w:rFonts w:ascii="Times New Roman" w:eastAsiaTheme="minorEastAsia" w:hAnsi="Times New Roman" w:cs="Times New Roman"/>
              <w:noProof/>
            </w:rPr>
          </w:pPr>
          <w:hyperlink w:anchor="_Toc101701756" w:history="1">
            <w:r w:rsidR="00EE46E1" w:rsidRPr="00EE46E1">
              <w:rPr>
                <w:rStyle w:val="Hyperlink"/>
                <w:rFonts w:ascii="Times New Roman" w:hAnsi="Times New Roman" w:cs="Times New Roman"/>
                <w:noProof/>
              </w:rPr>
              <w:t>Acknowledgements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54</w:t>
            </w:r>
            <w:r w:rsidR="00EE46E1" w:rsidRPr="00EE46E1">
              <w:rPr>
                <w:rFonts w:ascii="Times New Roman" w:hAnsi="Times New Roman" w:cs="Times New Roman"/>
                <w:noProof/>
                <w:webHidden/>
              </w:rPr>
              <w:fldChar w:fldCharType="end"/>
            </w:r>
          </w:hyperlink>
        </w:p>
        <w:p w14:paraId="64087158" w14:textId="5A045661" w:rsidR="00EE46E1" w:rsidRPr="00EE46E1" w:rsidRDefault="002F73EC">
          <w:pPr>
            <w:pStyle w:val="TOC1"/>
            <w:tabs>
              <w:tab w:val="right" w:leader="dot" w:pos="8630"/>
            </w:tabs>
            <w:rPr>
              <w:rFonts w:ascii="Times New Roman" w:eastAsiaTheme="minorEastAsia" w:hAnsi="Times New Roman" w:cs="Times New Roman"/>
              <w:noProof/>
            </w:rPr>
          </w:pPr>
          <w:hyperlink w:anchor="_Toc101701757" w:history="1">
            <w:r w:rsidR="00EE46E1" w:rsidRPr="00EE46E1">
              <w:rPr>
                <w:rStyle w:val="Hyperlink"/>
                <w:rFonts w:ascii="Times New Roman" w:hAnsi="Times New Roman" w:cs="Times New Roman"/>
                <w:noProof/>
              </w:rPr>
              <w:t>CHAPTER II</w:t>
            </w:r>
          </w:hyperlink>
          <w:r w:rsidR="00EE46E1">
            <w:rPr>
              <w:rStyle w:val="Hyperlink"/>
              <w:rFonts w:ascii="Times New Roman" w:hAnsi="Times New Roman" w:cs="Times New Roman"/>
              <w:noProof/>
            </w:rPr>
            <w:t xml:space="preserve"> </w:t>
          </w:r>
          <w:hyperlink w:anchor="_Toc101701758" w:history="1">
            <w:r w:rsidR="00EE46E1" w:rsidRPr="00EE46E1">
              <w:rPr>
                <w:rStyle w:val="Hyperlink"/>
                <w:rFonts w:ascii="Times New Roman" w:hAnsi="Times New Roman" w:cs="Times New Roman"/>
                <w:noProof/>
              </w:rPr>
              <w:t>Photoinitiator selection and concentration in photopolymer formulations towards large format additive manufacturing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55</w:t>
            </w:r>
            <w:r w:rsidR="00EE46E1" w:rsidRPr="00EE46E1">
              <w:rPr>
                <w:rFonts w:ascii="Times New Roman" w:hAnsi="Times New Roman" w:cs="Times New Roman"/>
                <w:noProof/>
                <w:webHidden/>
              </w:rPr>
              <w:fldChar w:fldCharType="end"/>
            </w:r>
          </w:hyperlink>
        </w:p>
        <w:p w14:paraId="32F136E1" w14:textId="226945F8" w:rsidR="00EE46E1" w:rsidRPr="00EE46E1" w:rsidRDefault="002F73EC">
          <w:pPr>
            <w:pStyle w:val="TOC2"/>
            <w:tabs>
              <w:tab w:val="right" w:leader="dot" w:pos="8630"/>
            </w:tabs>
            <w:rPr>
              <w:rFonts w:ascii="Times New Roman" w:eastAsiaTheme="minorEastAsia" w:hAnsi="Times New Roman" w:cs="Times New Roman"/>
              <w:noProof/>
            </w:rPr>
          </w:pPr>
          <w:hyperlink w:anchor="_Toc101701759" w:history="1">
            <w:r w:rsidR="00EE46E1" w:rsidRPr="00EE46E1">
              <w:rPr>
                <w:rStyle w:val="Hyperlink"/>
                <w:rFonts w:ascii="Times New Roman" w:hAnsi="Times New Roman" w:cs="Times New Roman"/>
                <w:noProof/>
              </w:rPr>
              <w:t>Abstract</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_Toc101701759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57</w:t>
            </w:r>
            <w:r w:rsidR="00EE46E1" w:rsidRPr="00EE46E1">
              <w:rPr>
                <w:rFonts w:ascii="Times New Roman" w:hAnsi="Times New Roman" w:cs="Times New Roman"/>
                <w:noProof/>
                <w:webHidden/>
              </w:rPr>
              <w:fldChar w:fldCharType="end"/>
            </w:r>
          </w:hyperlink>
        </w:p>
        <w:p w14:paraId="6AD31D84" w14:textId="573C5141" w:rsidR="00EE46E1" w:rsidRPr="00EE46E1" w:rsidRDefault="002F73EC">
          <w:pPr>
            <w:pStyle w:val="TOC2"/>
            <w:tabs>
              <w:tab w:val="right" w:leader="dot" w:pos="8630"/>
            </w:tabs>
            <w:rPr>
              <w:rFonts w:ascii="Times New Roman" w:eastAsiaTheme="minorEastAsia" w:hAnsi="Times New Roman" w:cs="Times New Roman"/>
              <w:noProof/>
            </w:rPr>
          </w:pPr>
          <w:hyperlink w:anchor="_Toc101701760" w:history="1">
            <w:r w:rsidR="00EE46E1" w:rsidRPr="00EE46E1">
              <w:rPr>
                <w:rStyle w:val="Hyperlink"/>
                <w:rFonts w:ascii="Times New Roman" w:hAnsi="Times New Roman" w:cs="Times New Roman"/>
                <w:noProof/>
              </w:rPr>
              <w:t>1.0 Introduction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58</w:t>
            </w:r>
            <w:r w:rsidR="00EE46E1" w:rsidRPr="00EE46E1">
              <w:rPr>
                <w:rFonts w:ascii="Times New Roman" w:hAnsi="Times New Roman" w:cs="Times New Roman"/>
                <w:noProof/>
                <w:webHidden/>
              </w:rPr>
              <w:fldChar w:fldCharType="end"/>
            </w:r>
          </w:hyperlink>
        </w:p>
        <w:p w14:paraId="4020519B" w14:textId="2BC1B295" w:rsidR="00EE46E1" w:rsidRPr="00EE46E1" w:rsidRDefault="002F73EC">
          <w:pPr>
            <w:pStyle w:val="TOC2"/>
            <w:tabs>
              <w:tab w:val="right" w:leader="dot" w:pos="8630"/>
            </w:tabs>
            <w:rPr>
              <w:rFonts w:ascii="Times New Roman" w:eastAsiaTheme="minorEastAsia" w:hAnsi="Times New Roman" w:cs="Times New Roman"/>
              <w:noProof/>
            </w:rPr>
          </w:pPr>
          <w:hyperlink w:anchor="_Toc101701761" w:history="1">
            <w:r w:rsidR="00EE46E1" w:rsidRPr="00EE46E1">
              <w:rPr>
                <w:rStyle w:val="Hyperlink"/>
                <w:rFonts w:ascii="Times New Roman" w:hAnsi="Times New Roman" w:cs="Times New Roman"/>
                <w:noProof/>
              </w:rPr>
              <w:t>2.0 Literature Review</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61</w:t>
            </w:r>
            <w:r w:rsidR="00EE46E1" w:rsidRPr="00EE46E1">
              <w:rPr>
                <w:rFonts w:ascii="Times New Roman" w:hAnsi="Times New Roman" w:cs="Times New Roman"/>
                <w:noProof/>
                <w:webHidden/>
              </w:rPr>
              <w:fldChar w:fldCharType="end"/>
            </w:r>
          </w:hyperlink>
        </w:p>
        <w:p w14:paraId="32E77C81" w14:textId="309319E8" w:rsidR="00EE46E1" w:rsidRPr="00EE46E1" w:rsidRDefault="002F73EC">
          <w:pPr>
            <w:pStyle w:val="TOC2"/>
            <w:tabs>
              <w:tab w:val="right" w:leader="dot" w:pos="8630"/>
            </w:tabs>
            <w:rPr>
              <w:rFonts w:ascii="Times New Roman" w:eastAsiaTheme="minorEastAsia" w:hAnsi="Times New Roman" w:cs="Times New Roman"/>
              <w:noProof/>
            </w:rPr>
          </w:pPr>
          <w:hyperlink w:anchor="_Toc101701762" w:history="1">
            <w:r w:rsidR="00EE46E1" w:rsidRPr="00EE46E1">
              <w:rPr>
                <w:rStyle w:val="Hyperlink"/>
                <w:rFonts w:ascii="Times New Roman" w:hAnsi="Times New Roman" w:cs="Times New Roman"/>
                <w:noProof/>
              </w:rPr>
              <w:t>3.0 Optical Model</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65</w:t>
            </w:r>
            <w:r w:rsidR="00EE46E1" w:rsidRPr="00EE46E1">
              <w:rPr>
                <w:rFonts w:ascii="Times New Roman" w:hAnsi="Times New Roman" w:cs="Times New Roman"/>
                <w:noProof/>
                <w:webHidden/>
              </w:rPr>
              <w:fldChar w:fldCharType="end"/>
            </w:r>
          </w:hyperlink>
        </w:p>
        <w:p w14:paraId="75A0287E" w14:textId="4DB40CC1" w:rsidR="00EE46E1" w:rsidRPr="00EE46E1" w:rsidRDefault="002F73EC">
          <w:pPr>
            <w:pStyle w:val="TOC2"/>
            <w:tabs>
              <w:tab w:val="right" w:leader="dot" w:pos="8630"/>
            </w:tabs>
            <w:rPr>
              <w:rFonts w:ascii="Times New Roman" w:eastAsiaTheme="minorEastAsia" w:hAnsi="Times New Roman" w:cs="Times New Roman"/>
              <w:noProof/>
            </w:rPr>
          </w:pPr>
          <w:hyperlink w:anchor="_Toc101701763" w:history="1">
            <w:r w:rsidR="00EE46E1" w:rsidRPr="00EE46E1">
              <w:rPr>
                <w:rStyle w:val="Hyperlink"/>
                <w:rFonts w:ascii="Times New Roman" w:hAnsi="Times New Roman" w:cs="Times New Roman"/>
                <w:noProof/>
              </w:rPr>
              <w:t>4.0 Materials and Methods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67</w:t>
            </w:r>
            <w:r w:rsidR="00EE46E1" w:rsidRPr="00EE46E1">
              <w:rPr>
                <w:rFonts w:ascii="Times New Roman" w:hAnsi="Times New Roman" w:cs="Times New Roman"/>
                <w:noProof/>
                <w:webHidden/>
              </w:rPr>
              <w:fldChar w:fldCharType="end"/>
            </w:r>
          </w:hyperlink>
        </w:p>
        <w:p w14:paraId="1C3E5C7E" w14:textId="13367872" w:rsidR="00EE46E1" w:rsidRPr="00EE46E1" w:rsidRDefault="002F73EC">
          <w:pPr>
            <w:pStyle w:val="TOC3"/>
            <w:tabs>
              <w:tab w:val="right" w:leader="dot" w:pos="8630"/>
            </w:tabs>
            <w:rPr>
              <w:rFonts w:ascii="Times New Roman" w:eastAsiaTheme="minorEastAsia" w:hAnsi="Times New Roman" w:cs="Times New Roman"/>
              <w:noProof/>
            </w:rPr>
          </w:pPr>
          <w:hyperlink w:anchor="_Toc101701764" w:history="1">
            <w:r w:rsidR="00EE46E1" w:rsidRPr="00EE46E1">
              <w:rPr>
                <w:rStyle w:val="Hyperlink"/>
                <w:rFonts w:ascii="Times New Roman" w:hAnsi="Times New Roman" w:cs="Times New Roman"/>
                <w:noProof/>
              </w:rPr>
              <w:t>4.1 Light Source and Materials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67</w:t>
            </w:r>
            <w:r w:rsidR="00EE46E1" w:rsidRPr="00EE46E1">
              <w:rPr>
                <w:rFonts w:ascii="Times New Roman" w:hAnsi="Times New Roman" w:cs="Times New Roman"/>
                <w:noProof/>
                <w:webHidden/>
              </w:rPr>
              <w:fldChar w:fldCharType="end"/>
            </w:r>
          </w:hyperlink>
        </w:p>
        <w:p w14:paraId="1F6F04D9" w14:textId="7FB6E048" w:rsidR="00EE46E1" w:rsidRPr="00EE46E1" w:rsidRDefault="002F73EC">
          <w:pPr>
            <w:pStyle w:val="TOC3"/>
            <w:tabs>
              <w:tab w:val="right" w:leader="dot" w:pos="8630"/>
            </w:tabs>
            <w:rPr>
              <w:rFonts w:ascii="Times New Roman" w:eastAsiaTheme="minorEastAsia" w:hAnsi="Times New Roman" w:cs="Times New Roman"/>
              <w:noProof/>
            </w:rPr>
          </w:pPr>
          <w:hyperlink w:anchor="_Toc101701765" w:history="1">
            <w:r w:rsidR="00EE46E1" w:rsidRPr="00EE46E1">
              <w:rPr>
                <w:rStyle w:val="Hyperlink"/>
                <w:rFonts w:ascii="Times New Roman" w:hAnsi="Times New Roman" w:cs="Times New Roman"/>
                <w:noProof/>
              </w:rPr>
              <w:t>4.2 PI Absorptivity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68</w:t>
            </w:r>
            <w:r w:rsidR="00EE46E1" w:rsidRPr="00EE46E1">
              <w:rPr>
                <w:rFonts w:ascii="Times New Roman" w:hAnsi="Times New Roman" w:cs="Times New Roman"/>
                <w:noProof/>
                <w:webHidden/>
              </w:rPr>
              <w:fldChar w:fldCharType="end"/>
            </w:r>
          </w:hyperlink>
        </w:p>
        <w:p w14:paraId="0119BFB8" w14:textId="3C37A232" w:rsidR="00EE46E1" w:rsidRPr="00EE46E1" w:rsidRDefault="002F73EC">
          <w:pPr>
            <w:pStyle w:val="TOC3"/>
            <w:tabs>
              <w:tab w:val="right" w:leader="dot" w:pos="8630"/>
            </w:tabs>
            <w:rPr>
              <w:rFonts w:ascii="Times New Roman" w:eastAsiaTheme="minorEastAsia" w:hAnsi="Times New Roman" w:cs="Times New Roman"/>
              <w:noProof/>
            </w:rPr>
          </w:pPr>
          <w:hyperlink w:anchor="_Toc101701766" w:history="1">
            <w:r w:rsidR="00EE46E1" w:rsidRPr="00EE46E1">
              <w:rPr>
                <w:rStyle w:val="Hyperlink"/>
                <w:rFonts w:ascii="Times New Roman" w:hAnsi="Times New Roman" w:cs="Times New Roman"/>
                <w:noProof/>
              </w:rPr>
              <w:t>4.3 Specimen Preparation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68</w:t>
            </w:r>
            <w:r w:rsidR="00EE46E1" w:rsidRPr="00EE46E1">
              <w:rPr>
                <w:rFonts w:ascii="Times New Roman" w:hAnsi="Times New Roman" w:cs="Times New Roman"/>
                <w:noProof/>
                <w:webHidden/>
              </w:rPr>
              <w:fldChar w:fldCharType="end"/>
            </w:r>
          </w:hyperlink>
        </w:p>
        <w:p w14:paraId="53DCA2E0" w14:textId="199A2A0E" w:rsidR="00EE46E1" w:rsidRPr="00EE46E1" w:rsidRDefault="002F73EC">
          <w:pPr>
            <w:pStyle w:val="TOC3"/>
            <w:tabs>
              <w:tab w:val="right" w:leader="dot" w:pos="8630"/>
            </w:tabs>
            <w:rPr>
              <w:rFonts w:ascii="Times New Roman" w:eastAsiaTheme="minorEastAsia" w:hAnsi="Times New Roman" w:cs="Times New Roman"/>
              <w:noProof/>
            </w:rPr>
          </w:pPr>
          <w:hyperlink w:anchor="_Toc101701767" w:history="1">
            <w:r w:rsidR="00EE46E1" w:rsidRPr="00EE46E1">
              <w:rPr>
                <w:rStyle w:val="Hyperlink"/>
                <w:rFonts w:ascii="Times New Roman" w:hAnsi="Times New Roman" w:cs="Times New Roman"/>
                <w:noProof/>
              </w:rPr>
              <w:t>4.4 Continuous Irradiation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68</w:t>
            </w:r>
            <w:r w:rsidR="00EE46E1" w:rsidRPr="00EE46E1">
              <w:rPr>
                <w:rFonts w:ascii="Times New Roman" w:hAnsi="Times New Roman" w:cs="Times New Roman"/>
                <w:noProof/>
                <w:webHidden/>
              </w:rPr>
              <w:fldChar w:fldCharType="end"/>
            </w:r>
          </w:hyperlink>
        </w:p>
        <w:p w14:paraId="52614B95" w14:textId="52E3DD75" w:rsidR="00EE46E1" w:rsidRPr="00EE46E1" w:rsidRDefault="002F73EC">
          <w:pPr>
            <w:pStyle w:val="TOC3"/>
            <w:tabs>
              <w:tab w:val="right" w:leader="dot" w:pos="8630"/>
            </w:tabs>
            <w:rPr>
              <w:rFonts w:ascii="Times New Roman" w:eastAsiaTheme="minorEastAsia" w:hAnsi="Times New Roman" w:cs="Times New Roman"/>
              <w:noProof/>
            </w:rPr>
          </w:pPr>
          <w:hyperlink w:anchor="_Toc101701768" w:history="1">
            <w:r w:rsidR="00EE46E1" w:rsidRPr="00EE46E1">
              <w:rPr>
                <w:rStyle w:val="Hyperlink"/>
                <w:rFonts w:ascii="Times New Roman" w:hAnsi="Times New Roman" w:cs="Times New Roman"/>
                <w:noProof/>
              </w:rPr>
              <w:t>4.5 Pulse Irradiation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70</w:t>
            </w:r>
            <w:r w:rsidR="00EE46E1" w:rsidRPr="00EE46E1">
              <w:rPr>
                <w:rFonts w:ascii="Times New Roman" w:hAnsi="Times New Roman" w:cs="Times New Roman"/>
                <w:noProof/>
                <w:webHidden/>
              </w:rPr>
              <w:fldChar w:fldCharType="end"/>
            </w:r>
          </w:hyperlink>
        </w:p>
        <w:p w14:paraId="799D811F" w14:textId="2C0CA6BE" w:rsidR="00EE46E1" w:rsidRPr="00EE46E1" w:rsidRDefault="002F73EC">
          <w:pPr>
            <w:pStyle w:val="TOC3"/>
            <w:tabs>
              <w:tab w:val="right" w:leader="dot" w:pos="8630"/>
            </w:tabs>
            <w:rPr>
              <w:rFonts w:ascii="Times New Roman" w:eastAsiaTheme="minorEastAsia" w:hAnsi="Times New Roman" w:cs="Times New Roman"/>
              <w:noProof/>
            </w:rPr>
          </w:pPr>
          <w:hyperlink w:anchor="_Toc101701769" w:history="1">
            <w:r w:rsidR="00EE46E1" w:rsidRPr="00EE46E1">
              <w:rPr>
                <w:rStyle w:val="Hyperlink"/>
                <w:rFonts w:ascii="Times New Roman" w:hAnsi="Times New Roman" w:cs="Times New Roman"/>
                <w:noProof/>
              </w:rPr>
              <w:t>4.6 Flexural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_Toc101701769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70</w:t>
            </w:r>
            <w:r w:rsidR="00EE46E1" w:rsidRPr="00EE46E1">
              <w:rPr>
                <w:rFonts w:ascii="Times New Roman" w:hAnsi="Times New Roman" w:cs="Times New Roman"/>
                <w:noProof/>
                <w:webHidden/>
              </w:rPr>
              <w:fldChar w:fldCharType="end"/>
            </w:r>
          </w:hyperlink>
        </w:p>
        <w:p w14:paraId="2A6F74FB" w14:textId="1E27BB32" w:rsidR="00EE46E1" w:rsidRPr="00EE46E1" w:rsidRDefault="002F73EC">
          <w:pPr>
            <w:pStyle w:val="TOC2"/>
            <w:tabs>
              <w:tab w:val="right" w:leader="dot" w:pos="8630"/>
            </w:tabs>
            <w:rPr>
              <w:rFonts w:ascii="Times New Roman" w:eastAsiaTheme="minorEastAsia" w:hAnsi="Times New Roman" w:cs="Times New Roman"/>
              <w:noProof/>
            </w:rPr>
          </w:pPr>
          <w:hyperlink w:anchor="_Toc101701770" w:history="1">
            <w:r w:rsidR="00EE46E1" w:rsidRPr="00EE46E1">
              <w:rPr>
                <w:rStyle w:val="Hyperlink"/>
                <w:rFonts w:ascii="Times New Roman" w:hAnsi="Times New Roman" w:cs="Times New Roman"/>
                <w:noProof/>
              </w:rPr>
              <w:t>5.0 Results and Discussion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70</w:t>
            </w:r>
            <w:r w:rsidR="00EE46E1" w:rsidRPr="00EE46E1">
              <w:rPr>
                <w:rFonts w:ascii="Times New Roman" w:hAnsi="Times New Roman" w:cs="Times New Roman"/>
                <w:noProof/>
                <w:webHidden/>
              </w:rPr>
              <w:fldChar w:fldCharType="end"/>
            </w:r>
          </w:hyperlink>
        </w:p>
        <w:p w14:paraId="10E77842" w14:textId="602E6AF5" w:rsidR="00EE46E1" w:rsidRPr="00EE46E1" w:rsidRDefault="002F73EC">
          <w:pPr>
            <w:pStyle w:val="TOC3"/>
            <w:tabs>
              <w:tab w:val="right" w:leader="dot" w:pos="8630"/>
            </w:tabs>
            <w:rPr>
              <w:rFonts w:ascii="Times New Roman" w:eastAsiaTheme="minorEastAsia" w:hAnsi="Times New Roman" w:cs="Times New Roman"/>
              <w:noProof/>
            </w:rPr>
          </w:pPr>
          <w:hyperlink w:anchor="_Toc101701771" w:history="1">
            <w:r w:rsidR="00EE46E1" w:rsidRPr="00EE46E1">
              <w:rPr>
                <w:rStyle w:val="Hyperlink"/>
                <w:rFonts w:ascii="Times New Roman" w:hAnsi="Times New Roman" w:cs="Times New Roman"/>
                <w:noProof/>
              </w:rPr>
              <w:t>5.1 Absorption Spectra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70</w:t>
            </w:r>
            <w:r w:rsidR="00EE46E1" w:rsidRPr="00EE46E1">
              <w:rPr>
                <w:rFonts w:ascii="Times New Roman" w:hAnsi="Times New Roman" w:cs="Times New Roman"/>
                <w:noProof/>
                <w:webHidden/>
              </w:rPr>
              <w:fldChar w:fldCharType="end"/>
            </w:r>
          </w:hyperlink>
        </w:p>
        <w:p w14:paraId="1AFD42DC" w14:textId="31F4EB4B" w:rsidR="00EE46E1" w:rsidRPr="00EE46E1" w:rsidRDefault="002F73EC">
          <w:pPr>
            <w:pStyle w:val="TOC3"/>
            <w:tabs>
              <w:tab w:val="right" w:leader="dot" w:pos="8630"/>
            </w:tabs>
            <w:rPr>
              <w:rFonts w:ascii="Times New Roman" w:eastAsiaTheme="minorEastAsia" w:hAnsi="Times New Roman" w:cs="Times New Roman"/>
              <w:noProof/>
            </w:rPr>
          </w:pPr>
          <w:hyperlink w:anchor="_Toc101701772" w:history="1">
            <w:r w:rsidR="00EE46E1" w:rsidRPr="00EE46E1">
              <w:rPr>
                <w:rStyle w:val="Hyperlink"/>
                <w:rFonts w:ascii="Times New Roman" w:hAnsi="Times New Roman" w:cs="Times New Roman"/>
                <w:noProof/>
              </w:rPr>
              <w:t>5.2 Optical Model for Photobleaching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72</w:t>
            </w:r>
            <w:r w:rsidR="00EE46E1" w:rsidRPr="00EE46E1">
              <w:rPr>
                <w:rFonts w:ascii="Times New Roman" w:hAnsi="Times New Roman" w:cs="Times New Roman"/>
                <w:noProof/>
                <w:webHidden/>
              </w:rPr>
              <w:fldChar w:fldCharType="end"/>
            </w:r>
          </w:hyperlink>
        </w:p>
        <w:p w14:paraId="00FAC552" w14:textId="4CE776FF" w:rsidR="00EE46E1" w:rsidRPr="00EE46E1" w:rsidRDefault="002F73EC">
          <w:pPr>
            <w:pStyle w:val="TOC3"/>
            <w:tabs>
              <w:tab w:val="right" w:leader="dot" w:pos="8630"/>
            </w:tabs>
            <w:rPr>
              <w:rFonts w:ascii="Times New Roman" w:eastAsiaTheme="minorEastAsia" w:hAnsi="Times New Roman" w:cs="Times New Roman"/>
              <w:noProof/>
            </w:rPr>
          </w:pPr>
          <w:hyperlink w:anchor="_Toc101701773" w:history="1">
            <w:r w:rsidR="00EE46E1" w:rsidRPr="00EE46E1">
              <w:rPr>
                <w:rStyle w:val="Hyperlink"/>
                <w:rFonts w:ascii="Times New Roman" w:hAnsi="Times New Roman" w:cs="Times New Roman"/>
                <w:noProof/>
              </w:rPr>
              <w:t>5.3 Radiometry for 60 s Irradiation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75</w:t>
            </w:r>
            <w:r w:rsidR="00EE46E1" w:rsidRPr="00EE46E1">
              <w:rPr>
                <w:rFonts w:ascii="Times New Roman" w:hAnsi="Times New Roman" w:cs="Times New Roman"/>
                <w:noProof/>
                <w:webHidden/>
              </w:rPr>
              <w:fldChar w:fldCharType="end"/>
            </w:r>
          </w:hyperlink>
        </w:p>
        <w:p w14:paraId="2F7094A3" w14:textId="1DCBDDF6" w:rsidR="00EE46E1" w:rsidRPr="00EE46E1" w:rsidRDefault="002F73EC">
          <w:pPr>
            <w:pStyle w:val="TOC3"/>
            <w:tabs>
              <w:tab w:val="right" w:leader="dot" w:pos="8630"/>
            </w:tabs>
            <w:rPr>
              <w:rFonts w:ascii="Times New Roman" w:eastAsiaTheme="minorEastAsia" w:hAnsi="Times New Roman" w:cs="Times New Roman"/>
              <w:noProof/>
            </w:rPr>
          </w:pPr>
          <w:hyperlink w:anchor="_Toc101701774" w:history="1">
            <w:r w:rsidR="00EE46E1" w:rsidRPr="00EE46E1">
              <w:rPr>
                <w:rStyle w:val="Hyperlink"/>
                <w:rFonts w:ascii="Times New Roman" w:hAnsi="Times New Roman" w:cs="Times New Roman"/>
                <w:noProof/>
              </w:rPr>
              <w:t>5.4 Rate of Conversion and Degree of Conversion for 60 s Irradiation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75</w:t>
            </w:r>
            <w:r w:rsidR="00EE46E1" w:rsidRPr="00EE46E1">
              <w:rPr>
                <w:rFonts w:ascii="Times New Roman" w:hAnsi="Times New Roman" w:cs="Times New Roman"/>
                <w:noProof/>
                <w:webHidden/>
              </w:rPr>
              <w:fldChar w:fldCharType="end"/>
            </w:r>
          </w:hyperlink>
        </w:p>
        <w:p w14:paraId="0D02ED63" w14:textId="6EB908CD" w:rsidR="00EE46E1" w:rsidRPr="00EE46E1" w:rsidRDefault="002F73EC">
          <w:pPr>
            <w:pStyle w:val="TOC3"/>
            <w:tabs>
              <w:tab w:val="right" w:leader="dot" w:pos="8630"/>
            </w:tabs>
            <w:rPr>
              <w:rFonts w:ascii="Times New Roman" w:eastAsiaTheme="minorEastAsia" w:hAnsi="Times New Roman" w:cs="Times New Roman"/>
              <w:noProof/>
            </w:rPr>
          </w:pPr>
          <w:hyperlink w:anchor="_Toc101701775" w:history="1">
            <w:r w:rsidR="00EE46E1" w:rsidRPr="00EE46E1">
              <w:rPr>
                <w:rStyle w:val="Hyperlink"/>
                <w:rFonts w:ascii="Times New Roman" w:hAnsi="Times New Roman" w:cs="Times New Roman"/>
                <w:noProof/>
              </w:rPr>
              <w:t>5.5 FTIR analysis for Pulse Irradiation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79</w:t>
            </w:r>
            <w:r w:rsidR="00EE46E1" w:rsidRPr="00EE46E1">
              <w:rPr>
                <w:rFonts w:ascii="Times New Roman" w:hAnsi="Times New Roman" w:cs="Times New Roman"/>
                <w:noProof/>
                <w:webHidden/>
              </w:rPr>
              <w:fldChar w:fldCharType="end"/>
            </w:r>
          </w:hyperlink>
        </w:p>
        <w:p w14:paraId="4459A879" w14:textId="267901BF" w:rsidR="00EE46E1" w:rsidRPr="00EE46E1" w:rsidRDefault="002F73EC">
          <w:pPr>
            <w:pStyle w:val="TOC3"/>
            <w:tabs>
              <w:tab w:val="right" w:leader="dot" w:pos="8630"/>
            </w:tabs>
            <w:rPr>
              <w:rFonts w:ascii="Times New Roman" w:eastAsiaTheme="minorEastAsia" w:hAnsi="Times New Roman" w:cs="Times New Roman"/>
              <w:noProof/>
            </w:rPr>
          </w:pPr>
          <w:hyperlink w:anchor="_Toc101701776" w:history="1">
            <w:r w:rsidR="00EE46E1" w:rsidRPr="00EE46E1">
              <w:rPr>
                <w:rStyle w:val="Hyperlink"/>
                <w:rFonts w:ascii="Times New Roman" w:hAnsi="Times New Roman" w:cs="Times New Roman"/>
                <w:noProof/>
              </w:rPr>
              <w:t>5.6 Flexural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80</w:t>
            </w:r>
            <w:r w:rsidR="00EE46E1" w:rsidRPr="00EE46E1">
              <w:rPr>
                <w:rFonts w:ascii="Times New Roman" w:hAnsi="Times New Roman" w:cs="Times New Roman"/>
                <w:noProof/>
                <w:webHidden/>
              </w:rPr>
              <w:fldChar w:fldCharType="end"/>
            </w:r>
          </w:hyperlink>
        </w:p>
        <w:p w14:paraId="3EA10050" w14:textId="0DACE2F3" w:rsidR="00EE46E1" w:rsidRPr="00EE46E1" w:rsidRDefault="002F73EC">
          <w:pPr>
            <w:pStyle w:val="TOC2"/>
            <w:tabs>
              <w:tab w:val="right" w:leader="dot" w:pos="8630"/>
            </w:tabs>
            <w:rPr>
              <w:rFonts w:ascii="Times New Roman" w:eastAsiaTheme="minorEastAsia" w:hAnsi="Times New Roman" w:cs="Times New Roman"/>
              <w:noProof/>
            </w:rPr>
          </w:pPr>
          <w:hyperlink w:anchor="_Toc101701777" w:history="1">
            <w:r w:rsidR="00EE46E1" w:rsidRPr="00EE46E1">
              <w:rPr>
                <w:rStyle w:val="Hyperlink"/>
                <w:rFonts w:ascii="Times New Roman" w:hAnsi="Times New Roman" w:cs="Times New Roman"/>
                <w:noProof/>
              </w:rPr>
              <w:t>6.0 Overall Discussion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82</w:t>
            </w:r>
            <w:r w:rsidR="00EE46E1" w:rsidRPr="00EE46E1">
              <w:rPr>
                <w:rFonts w:ascii="Times New Roman" w:hAnsi="Times New Roman" w:cs="Times New Roman"/>
                <w:noProof/>
                <w:webHidden/>
              </w:rPr>
              <w:fldChar w:fldCharType="end"/>
            </w:r>
          </w:hyperlink>
        </w:p>
        <w:p w14:paraId="4195D0D5" w14:textId="2ED22543" w:rsidR="00EE46E1" w:rsidRPr="00EE46E1" w:rsidRDefault="002F73EC">
          <w:pPr>
            <w:pStyle w:val="TOC2"/>
            <w:tabs>
              <w:tab w:val="right" w:leader="dot" w:pos="8630"/>
            </w:tabs>
            <w:rPr>
              <w:rFonts w:ascii="Times New Roman" w:eastAsiaTheme="minorEastAsia" w:hAnsi="Times New Roman" w:cs="Times New Roman"/>
              <w:noProof/>
            </w:rPr>
          </w:pPr>
          <w:hyperlink w:anchor="_Toc101701778" w:history="1">
            <w:r w:rsidR="00EE46E1" w:rsidRPr="00EE46E1">
              <w:rPr>
                <w:rStyle w:val="Hyperlink"/>
                <w:rFonts w:ascii="Times New Roman" w:hAnsi="Times New Roman" w:cs="Times New Roman"/>
                <w:noProof/>
              </w:rPr>
              <w:t>7.0 Conclusions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84</w:t>
            </w:r>
            <w:r w:rsidR="00EE46E1" w:rsidRPr="00EE46E1">
              <w:rPr>
                <w:rFonts w:ascii="Times New Roman" w:hAnsi="Times New Roman" w:cs="Times New Roman"/>
                <w:noProof/>
                <w:webHidden/>
              </w:rPr>
              <w:fldChar w:fldCharType="end"/>
            </w:r>
          </w:hyperlink>
        </w:p>
        <w:p w14:paraId="2B795811" w14:textId="5A5D3DD9" w:rsidR="00EE46E1" w:rsidRPr="00EE46E1" w:rsidRDefault="002F73EC">
          <w:pPr>
            <w:pStyle w:val="TOC2"/>
            <w:tabs>
              <w:tab w:val="right" w:leader="dot" w:pos="8630"/>
            </w:tabs>
            <w:rPr>
              <w:rFonts w:ascii="Times New Roman" w:eastAsiaTheme="minorEastAsia" w:hAnsi="Times New Roman" w:cs="Times New Roman"/>
              <w:noProof/>
            </w:rPr>
          </w:pPr>
          <w:hyperlink w:anchor="_Toc101701779" w:history="1">
            <w:r w:rsidR="00EE46E1" w:rsidRPr="00EE46E1">
              <w:rPr>
                <w:rStyle w:val="Hyperlink"/>
                <w:rFonts w:ascii="Times New Roman" w:hAnsi="Times New Roman" w:cs="Times New Roman"/>
                <w:noProof/>
              </w:rPr>
              <w:t>Acknowledgments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_Toc101701779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86</w:t>
            </w:r>
            <w:r w:rsidR="00EE46E1" w:rsidRPr="00EE46E1">
              <w:rPr>
                <w:rFonts w:ascii="Times New Roman" w:hAnsi="Times New Roman" w:cs="Times New Roman"/>
                <w:noProof/>
                <w:webHidden/>
              </w:rPr>
              <w:fldChar w:fldCharType="end"/>
            </w:r>
          </w:hyperlink>
        </w:p>
        <w:p w14:paraId="173E85B1" w14:textId="03C4E1B3" w:rsidR="00EE46E1" w:rsidRPr="00EE46E1" w:rsidRDefault="002F73EC">
          <w:pPr>
            <w:pStyle w:val="TOC1"/>
            <w:tabs>
              <w:tab w:val="right" w:leader="dot" w:pos="8630"/>
            </w:tabs>
            <w:rPr>
              <w:rFonts w:ascii="Times New Roman" w:eastAsiaTheme="minorEastAsia" w:hAnsi="Times New Roman" w:cs="Times New Roman"/>
              <w:noProof/>
            </w:rPr>
          </w:pPr>
          <w:hyperlink w:anchor="_Toc101701780" w:history="1">
            <w:r w:rsidR="00EE46E1" w:rsidRPr="00EE46E1">
              <w:rPr>
                <w:rStyle w:val="Hyperlink"/>
                <w:rFonts w:ascii="Times New Roman" w:hAnsi="Times New Roman" w:cs="Times New Roman"/>
                <w:noProof/>
              </w:rPr>
              <w:t>CHAPTER III</w:t>
            </w:r>
          </w:hyperlink>
          <w:r w:rsidR="00EE46E1">
            <w:rPr>
              <w:rStyle w:val="Hyperlink"/>
              <w:rFonts w:ascii="Times New Roman" w:hAnsi="Times New Roman" w:cs="Times New Roman"/>
              <w:noProof/>
            </w:rPr>
            <w:t xml:space="preserve"> </w:t>
          </w:r>
          <w:hyperlink w:anchor="_Toc101701781" w:history="1">
            <w:r w:rsidR="00EE46E1" w:rsidRPr="00EE46E1">
              <w:rPr>
                <w:rStyle w:val="Hyperlink"/>
                <w:rFonts w:ascii="Times New Roman" w:hAnsi="Times New Roman" w:cs="Times New Roman"/>
                <w:noProof/>
              </w:rPr>
              <w:t>Investigation of multi-layer cure effects in photopolymers towards large format additive manufacturing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87</w:t>
            </w:r>
            <w:r w:rsidR="00EE46E1" w:rsidRPr="00EE46E1">
              <w:rPr>
                <w:rFonts w:ascii="Times New Roman" w:hAnsi="Times New Roman" w:cs="Times New Roman"/>
                <w:noProof/>
                <w:webHidden/>
              </w:rPr>
              <w:fldChar w:fldCharType="end"/>
            </w:r>
          </w:hyperlink>
        </w:p>
        <w:p w14:paraId="549B8D66" w14:textId="49E0C5E8" w:rsidR="00EE46E1" w:rsidRPr="00EE46E1" w:rsidRDefault="002F73EC">
          <w:pPr>
            <w:pStyle w:val="TOC2"/>
            <w:tabs>
              <w:tab w:val="right" w:leader="dot" w:pos="8630"/>
            </w:tabs>
            <w:rPr>
              <w:rFonts w:ascii="Times New Roman" w:eastAsiaTheme="minorEastAsia" w:hAnsi="Times New Roman" w:cs="Times New Roman"/>
              <w:noProof/>
            </w:rPr>
          </w:pPr>
          <w:hyperlink w:anchor="_Toc101701782" w:history="1">
            <w:r w:rsidR="00EE46E1" w:rsidRPr="00EE46E1">
              <w:rPr>
                <w:rStyle w:val="Hyperlink"/>
                <w:rFonts w:ascii="Times New Roman" w:hAnsi="Times New Roman" w:cs="Times New Roman"/>
                <w:noProof/>
              </w:rPr>
              <w:t>Abstract</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89</w:t>
            </w:r>
            <w:r w:rsidR="00EE46E1" w:rsidRPr="00EE46E1">
              <w:rPr>
                <w:rFonts w:ascii="Times New Roman" w:hAnsi="Times New Roman" w:cs="Times New Roman"/>
                <w:noProof/>
                <w:webHidden/>
              </w:rPr>
              <w:fldChar w:fldCharType="end"/>
            </w:r>
          </w:hyperlink>
        </w:p>
        <w:p w14:paraId="6E8C6170" w14:textId="113D5E0B" w:rsidR="00EE46E1" w:rsidRPr="00EE46E1" w:rsidRDefault="002F73EC">
          <w:pPr>
            <w:pStyle w:val="TOC2"/>
            <w:tabs>
              <w:tab w:val="right" w:leader="dot" w:pos="8630"/>
            </w:tabs>
            <w:rPr>
              <w:rFonts w:ascii="Times New Roman" w:eastAsiaTheme="minorEastAsia" w:hAnsi="Times New Roman" w:cs="Times New Roman"/>
              <w:noProof/>
            </w:rPr>
          </w:pPr>
          <w:hyperlink w:anchor="_Toc101701783" w:history="1">
            <w:r w:rsidR="00EE46E1" w:rsidRPr="00EE46E1">
              <w:rPr>
                <w:rStyle w:val="Hyperlink"/>
                <w:rFonts w:ascii="Times New Roman" w:hAnsi="Times New Roman" w:cs="Times New Roman"/>
                <w:noProof/>
              </w:rPr>
              <w:t>1.0 Introduction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90</w:t>
            </w:r>
            <w:r w:rsidR="00EE46E1" w:rsidRPr="00EE46E1">
              <w:rPr>
                <w:rFonts w:ascii="Times New Roman" w:hAnsi="Times New Roman" w:cs="Times New Roman"/>
                <w:noProof/>
                <w:webHidden/>
              </w:rPr>
              <w:fldChar w:fldCharType="end"/>
            </w:r>
          </w:hyperlink>
        </w:p>
        <w:p w14:paraId="1A82E84C" w14:textId="599113AC" w:rsidR="00EE46E1" w:rsidRPr="00EE46E1" w:rsidRDefault="002F73EC">
          <w:pPr>
            <w:pStyle w:val="TOC2"/>
            <w:tabs>
              <w:tab w:val="right" w:leader="dot" w:pos="8630"/>
            </w:tabs>
            <w:rPr>
              <w:rFonts w:ascii="Times New Roman" w:eastAsiaTheme="minorEastAsia" w:hAnsi="Times New Roman" w:cs="Times New Roman"/>
              <w:noProof/>
            </w:rPr>
          </w:pPr>
          <w:hyperlink w:anchor="_Toc101701784" w:history="1">
            <w:r w:rsidR="00EE46E1" w:rsidRPr="00EE46E1">
              <w:rPr>
                <w:rStyle w:val="Hyperlink"/>
                <w:rFonts w:ascii="Times New Roman" w:hAnsi="Times New Roman" w:cs="Times New Roman"/>
                <w:noProof/>
              </w:rPr>
              <w:t>2.0 Literature Review</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91</w:t>
            </w:r>
            <w:r w:rsidR="00EE46E1" w:rsidRPr="00EE46E1">
              <w:rPr>
                <w:rFonts w:ascii="Times New Roman" w:hAnsi="Times New Roman" w:cs="Times New Roman"/>
                <w:noProof/>
                <w:webHidden/>
              </w:rPr>
              <w:fldChar w:fldCharType="end"/>
            </w:r>
          </w:hyperlink>
        </w:p>
        <w:p w14:paraId="2B166096" w14:textId="2AC1EDE5" w:rsidR="00EE46E1" w:rsidRPr="00EE46E1" w:rsidRDefault="002F73EC">
          <w:pPr>
            <w:pStyle w:val="TOC2"/>
            <w:tabs>
              <w:tab w:val="right" w:leader="dot" w:pos="8630"/>
            </w:tabs>
            <w:rPr>
              <w:rFonts w:ascii="Times New Roman" w:eastAsiaTheme="minorEastAsia" w:hAnsi="Times New Roman" w:cs="Times New Roman"/>
              <w:noProof/>
            </w:rPr>
          </w:pPr>
          <w:hyperlink w:anchor="_Toc101701785" w:history="1">
            <w:r w:rsidR="00EE46E1" w:rsidRPr="00EE46E1">
              <w:rPr>
                <w:rStyle w:val="Hyperlink"/>
                <w:rFonts w:ascii="Times New Roman" w:hAnsi="Times New Roman" w:cs="Times New Roman"/>
                <w:noProof/>
              </w:rPr>
              <w:t>3.0 Materials and Methods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94</w:t>
            </w:r>
            <w:r w:rsidR="00EE46E1" w:rsidRPr="00EE46E1">
              <w:rPr>
                <w:rFonts w:ascii="Times New Roman" w:hAnsi="Times New Roman" w:cs="Times New Roman"/>
                <w:noProof/>
                <w:webHidden/>
              </w:rPr>
              <w:fldChar w:fldCharType="end"/>
            </w:r>
          </w:hyperlink>
        </w:p>
        <w:p w14:paraId="14841E15" w14:textId="3B120D65" w:rsidR="00EE46E1" w:rsidRPr="00EE46E1" w:rsidRDefault="002F73EC">
          <w:pPr>
            <w:pStyle w:val="TOC3"/>
            <w:tabs>
              <w:tab w:val="right" w:leader="dot" w:pos="8630"/>
            </w:tabs>
            <w:rPr>
              <w:rFonts w:ascii="Times New Roman" w:eastAsiaTheme="minorEastAsia" w:hAnsi="Times New Roman" w:cs="Times New Roman"/>
              <w:noProof/>
            </w:rPr>
          </w:pPr>
          <w:hyperlink w:anchor="_Toc101701786" w:history="1">
            <w:r w:rsidR="00EE46E1" w:rsidRPr="00EE46E1">
              <w:rPr>
                <w:rStyle w:val="Hyperlink"/>
                <w:rFonts w:ascii="Times New Roman" w:hAnsi="Times New Roman" w:cs="Times New Roman"/>
                <w:noProof/>
              </w:rPr>
              <w:t>3.1 Light Source and Materials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94</w:t>
            </w:r>
            <w:r w:rsidR="00EE46E1" w:rsidRPr="00EE46E1">
              <w:rPr>
                <w:rFonts w:ascii="Times New Roman" w:hAnsi="Times New Roman" w:cs="Times New Roman"/>
                <w:noProof/>
                <w:webHidden/>
              </w:rPr>
              <w:fldChar w:fldCharType="end"/>
            </w:r>
          </w:hyperlink>
        </w:p>
        <w:p w14:paraId="2B82B8F6" w14:textId="51B88800" w:rsidR="00EE46E1" w:rsidRPr="00EE46E1" w:rsidRDefault="002F73EC">
          <w:pPr>
            <w:pStyle w:val="TOC3"/>
            <w:tabs>
              <w:tab w:val="right" w:leader="dot" w:pos="8630"/>
            </w:tabs>
            <w:rPr>
              <w:rFonts w:ascii="Times New Roman" w:eastAsiaTheme="minorEastAsia" w:hAnsi="Times New Roman" w:cs="Times New Roman"/>
              <w:noProof/>
            </w:rPr>
          </w:pPr>
          <w:hyperlink w:anchor="_Toc101701787" w:history="1">
            <w:r w:rsidR="00EE46E1" w:rsidRPr="00EE46E1">
              <w:rPr>
                <w:rStyle w:val="Hyperlink"/>
                <w:rFonts w:ascii="Times New Roman" w:hAnsi="Times New Roman" w:cs="Times New Roman"/>
                <w:noProof/>
              </w:rPr>
              <w:t>3.2 Post Cure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94</w:t>
            </w:r>
            <w:r w:rsidR="00EE46E1" w:rsidRPr="00EE46E1">
              <w:rPr>
                <w:rFonts w:ascii="Times New Roman" w:hAnsi="Times New Roman" w:cs="Times New Roman"/>
                <w:noProof/>
                <w:webHidden/>
              </w:rPr>
              <w:fldChar w:fldCharType="end"/>
            </w:r>
          </w:hyperlink>
        </w:p>
        <w:p w14:paraId="50FE8B16" w14:textId="06E84C2B" w:rsidR="00EE46E1" w:rsidRPr="00EE46E1" w:rsidRDefault="002F73EC">
          <w:pPr>
            <w:pStyle w:val="TOC3"/>
            <w:tabs>
              <w:tab w:val="right" w:leader="dot" w:pos="8630"/>
            </w:tabs>
            <w:rPr>
              <w:rFonts w:ascii="Times New Roman" w:eastAsiaTheme="minorEastAsia" w:hAnsi="Times New Roman" w:cs="Times New Roman"/>
              <w:noProof/>
            </w:rPr>
          </w:pPr>
          <w:hyperlink w:anchor="_Toc101701788" w:history="1">
            <w:r w:rsidR="00EE46E1" w:rsidRPr="00EE46E1">
              <w:rPr>
                <w:rStyle w:val="Hyperlink"/>
                <w:rFonts w:ascii="Times New Roman" w:hAnsi="Times New Roman" w:cs="Times New Roman"/>
                <w:noProof/>
              </w:rPr>
              <w:t>3.3 RT-FTIR Neat Resin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95</w:t>
            </w:r>
            <w:r w:rsidR="00EE46E1" w:rsidRPr="00EE46E1">
              <w:rPr>
                <w:rFonts w:ascii="Times New Roman" w:hAnsi="Times New Roman" w:cs="Times New Roman"/>
                <w:noProof/>
                <w:webHidden/>
              </w:rPr>
              <w:fldChar w:fldCharType="end"/>
            </w:r>
          </w:hyperlink>
        </w:p>
        <w:p w14:paraId="502A9D0A" w14:textId="7A3CCE56" w:rsidR="00EE46E1" w:rsidRPr="00EE46E1" w:rsidRDefault="002F73EC">
          <w:pPr>
            <w:pStyle w:val="TOC3"/>
            <w:tabs>
              <w:tab w:val="right" w:leader="dot" w:pos="8630"/>
            </w:tabs>
            <w:rPr>
              <w:rFonts w:ascii="Times New Roman" w:eastAsiaTheme="minorEastAsia" w:hAnsi="Times New Roman" w:cs="Times New Roman"/>
              <w:noProof/>
            </w:rPr>
          </w:pPr>
          <w:hyperlink w:anchor="_Toc101701789" w:history="1">
            <w:r w:rsidR="00EE46E1" w:rsidRPr="00EE46E1">
              <w:rPr>
                <w:rStyle w:val="Hyperlink"/>
                <w:rFonts w:ascii="Times New Roman" w:hAnsi="Times New Roman" w:cs="Times New Roman"/>
                <w:noProof/>
              </w:rPr>
              <w:t>3.4 Neat Resin Nanoindentation and FTIR Microscopy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_Toc101701789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95</w:t>
            </w:r>
            <w:r w:rsidR="00EE46E1" w:rsidRPr="00EE46E1">
              <w:rPr>
                <w:rFonts w:ascii="Times New Roman" w:hAnsi="Times New Roman" w:cs="Times New Roman"/>
                <w:noProof/>
                <w:webHidden/>
              </w:rPr>
              <w:fldChar w:fldCharType="end"/>
            </w:r>
          </w:hyperlink>
        </w:p>
        <w:p w14:paraId="0DD75E81" w14:textId="51705AD1" w:rsidR="00EE46E1" w:rsidRPr="00EE46E1" w:rsidRDefault="002F73EC">
          <w:pPr>
            <w:pStyle w:val="TOC3"/>
            <w:tabs>
              <w:tab w:val="right" w:leader="dot" w:pos="8630"/>
            </w:tabs>
            <w:rPr>
              <w:rFonts w:ascii="Times New Roman" w:eastAsiaTheme="minorEastAsia" w:hAnsi="Times New Roman" w:cs="Times New Roman"/>
              <w:noProof/>
            </w:rPr>
          </w:pPr>
          <w:hyperlink w:anchor="_Toc101701790" w:history="1">
            <w:r w:rsidR="00EE46E1" w:rsidRPr="00EE46E1">
              <w:rPr>
                <w:rStyle w:val="Hyperlink"/>
                <w:rFonts w:ascii="Times New Roman" w:hAnsi="Times New Roman" w:cs="Times New Roman"/>
                <w:noProof/>
              </w:rPr>
              <w:t>3.5 Preparation  of Fiberglass Composite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97</w:t>
            </w:r>
            <w:r w:rsidR="00EE46E1" w:rsidRPr="00EE46E1">
              <w:rPr>
                <w:rFonts w:ascii="Times New Roman" w:hAnsi="Times New Roman" w:cs="Times New Roman"/>
                <w:noProof/>
                <w:webHidden/>
              </w:rPr>
              <w:fldChar w:fldCharType="end"/>
            </w:r>
          </w:hyperlink>
        </w:p>
        <w:p w14:paraId="1A51347C" w14:textId="65B376E7" w:rsidR="00EE46E1" w:rsidRPr="00EE46E1" w:rsidRDefault="002F73EC">
          <w:pPr>
            <w:pStyle w:val="TOC3"/>
            <w:tabs>
              <w:tab w:val="right" w:leader="dot" w:pos="8630"/>
            </w:tabs>
            <w:rPr>
              <w:rFonts w:ascii="Times New Roman" w:eastAsiaTheme="minorEastAsia" w:hAnsi="Times New Roman" w:cs="Times New Roman"/>
              <w:noProof/>
            </w:rPr>
          </w:pPr>
          <w:hyperlink w:anchor="_Toc101701791" w:history="1">
            <w:r w:rsidR="00EE46E1" w:rsidRPr="00EE46E1">
              <w:rPr>
                <w:rStyle w:val="Hyperlink"/>
                <w:rFonts w:ascii="Times New Roman" w:hAnsi="Times New Roman" w:cs="Times New Roman"/>
                <w:noProof/>
              </w:rPr>
              <w:t>3.6 Composite Characterization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98</w:t>
            </w:r>
            <w:r w:rsidR="00EE46E1" w:rsidRPr="00EE46E1">
              <w:rPr>
                <w:rFonts w:ascii="Times New Roman" w:hAnsi="Times New Roman" w:cs="Times New Roman"/>
                <w:noProof/>
                <w:webHidden/>
              </w:rPr>
              <w:fldChar w:fldCharType="end"/>
            </w:r>
          </w:hyperlink>
        </w:p>
        <w:p w14:paraId="385746AC" w14:textId="602204EE" w:rsidR="00EE46E1" w:rsidRPr="00EE46E1" w:rsidRDefault="002F73EC">
          <w:pPr>
            <w:pStyle w:val="TOC3"/>
            <w:tabs>
              <w:tab w:val="right" w:leader="dot" w:pos="8630"/>
            </w:tabs>
            <w:rPr>
              <w:rFonts w:ascii="Times New Roman" w:eastAsiaTheme="minorEastAsia" w:hAnsi="Times New Roman" w:cs="Times New Roman"/>
              <w:noProof/>
            </w:rPr>
          </w:pPr>
          <w:hyperlink w:anchor="_Toc101701792" w:history="1">
            <w:r w:rsidR="00EE46E1" w:rsidRPr="00EE46E1">
              <w:rPr>
                <w:rStyle w:val="Hyperlink"/>
                <w:rFonts w:ascii="Times New Roman" w:hAnsi="Times New Roman" w:cs="Times New Roman"/>
                <w:noProof/>
              </w:rPr>
              <w:t>3.7 Composite Nano-indentation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101</w:t>
            </w:r>
            <w:r w:rsidR="00EE46E1" w:rsidRPr="00EE46E1">
              <w:rPr>
                <w:rFonts w:ascii="Times New Roman" w:hAnsi="Times New Roman" w:cs="Times New Roman"/>
                <w:noProof/>
                <w:webHidden/>
              </w:rPr>
              <w:fldChar w:fldCharType="end"/>
            </w:r>
          </w:hyperlink>
        </w:p>
        <w:p w14:paraId="073F1538" w14:textId="144E00D0" w:rsidR="00EE46E1" w:rsidRPr="00EE46E1" w:rsidRDefault="002F73EC">
          <w:pPr>
            <w:pStyle w:val="TOC2"/>
            <w:tabs>
              <w:tab w:val="right" w:leader="dot" w:pos="8630"/>
            </w:tabs>
            <w:rPr>
              <w:rFonts w:ascii="Times New Roman" w:eastAsiaTheme="minorEastAsia" w:hAnsi="Times New Roman" w:cs="Times New Roman"/>
              <w:noProof/>
            </w:rPr>
          </w:pPr>
          <w:hyperlink w:anchor="_Toc101701793" w:history="1">
            <w:r w:rsidR="00EE46E1" w:rsidRPr="00EE46E1">
              <w:rPr>
                <w:rStyle w:val="Hyperlink"/>
                <w:rFonts w:ascii="Times New Roman" w:hAnsi="Times New Roman" w:cs="Times New Roman"/>
                <w:noProof/>
              </w:rPr>
              <w:t>4.0 Results and Discussion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101</w:t>
            </w:r>
            <w:r w:rsidR="00EE46E1" w:rsidRPr="00EE46E1">
              <w:rPr>
                <w:rFonts w:ascii="Times New Roman" w:hAnsi="Times New Roman" w:cs="Times New Roman"/>
                <w:noProof/>
                <w:webHidden/>
              </w:rPr>
              <w:fldChar w:fldCharType="end"/>
            </w:r>
          </w:hyperlink>
        </w:p>
        <w:p w14:paraId="1A1DCBEE" w14:textId="3C42B33A" w:rsidR="00EE46E1" w:rsidRPr="00EE46E1" w:rsidRDefault="002F73EC">
          <w:pPr>
            <w:pStyle w:val="TOC3"/>
            <w:tabs>
              <w:tab w:val="right" w:leader="dot" w:pos="8630"/>
            </w:tabs>
            <w:rPr>
              <w:rFonts w:ascii="Times New Roman" w:eastAsiaTheme="minorEastAsia" w:hAnsi="Times New Roman" w:cs="Times New Roman"/>
              <w:noProof/>
            </w:rPr>
          </w:pPr>
          <w:hyperlink w:anchor="_Toc101701794" w:history="1">
            <w:r w:rsidR="00EE46E1" w:rsidRPr="00EE46E1">
              <w:rPr>
                <w:rStyle w:val="Hyperlink"/>
                <w:rFonts w:ascii="Times New Roman" w:hAnsi="Times New Roman" w:cs="Times New Roman"/>
                <w:noProof/>
              </w:rPr>
              <w:t>4.1 Post Cure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101</w:t>
            </w:r>
            <w:r w:rsidR="00EE46E1" w:rsidRPr="00EE46E1">
              <w:rPr>
                <w:rFonts w:ascii="Times New Roman" w:hAnsi="Times New Roman" w:cs="Times New Roman"/>
                <w:noProof/>
                <w:webHidden/>
              </w:rPr>
              <w:fldChar w:fldCharType="end"/>
            </w:r>
          </w:hyperlink>
        </w:p>
        <w:p w14:paraId="042520FD" w14:textId="7CF2F057" w:rsidR="00EE46E1" w:rsidRPr="00EE46E1" w:rsidRDefault="002F73EC">
          <w:pPr>
            <w:pStyle w:val="TOC3"/>
            <w:tabs>
              <w:tab w:val="right" w:leader="dot" w:pos="8630"/>
            </w:tabs>
            <w:rPr>
              <w:rFonts w:ascii="Times New Roman" w:eastAsiaTheme="minorEastAsia" w:hAnsi="Times New Roman" w:cs="Times New Roman"/>
              <w:noProof/>
            </w:rPr>
          </w:pPr>
          <w:hyperlink w:anchor="_Toc101701795" w:history="1">
            <w:r w:rsidR="00EE46E1" w:rsidRPr="00EE46E1">
              <w:rPr>
                <w:rStyle w:val="Hyperlink"/>
                <w:rFonts w:ascii="Times New Roman" w:hAnsi="Times New Roman" w:cs="Times New Roman"/>
                <w:noProof/>
              </w:rPr>
              <w:t>4.2 Cure depth profile on single-layer neat resin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108</w:t>
            </w:r>
            <w:r w:rsidR="00EE46E1" w:rsidRPr="00EE46E1">
              <w:rPr>
                <w:rFonts w:ascii="Times New Roman" w:hAnsi="Times New Roman" w:cs="Times New Roman"/>
                <w:noProof/>
                <w:webHidden/>
              </w:rPr>
              <w:fldChar w:fldCharType="end"/>
            </w:r>
          </w:hyperlink>
        </w:p>
        <w:p w14:paraId="1F6F2DE1" w14:textId="022A397F" w:rsidR="00EE46E1" w:rsidRPr="00EE46E1" w:rsidRDefault="002F73EC">
          <w:pPr>
            <w:pStyle w:val="TOC3"/>
            <w:tabs>
              <w:tab w:val="right" w:leader="dot" w:pos="8630"/>
            </w:tabs>
            <w:rPr>
              <w:rFonts w:ascii="Times New Roman" w:eastAsiaTheme="minorEastAsia" w:hAnsi="Times New Roman" w:cs="Times New Roman"/>
              <w:noProof/>
            </w:rPr>
          </w:pPr>
          <w:hyperlink w:anchor="_Toc101701796" w:history="1">
            <w:r w:rsidR="00EE46E1" w:rsidRPr="00EE46E1">
              <w:rPr>
                <w:rStyle w:val="Hyperlink"/>
                <w:rFonts w:ascii="Times New Roman" w:hAnsi="Times New Roman" w:cs="Times New Roman"/>
                <w:noProof/>
              </w:rPr>
              <w:t>4.3 RT-FTIR on multi-layer neat resin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109</w:t>
            </w:r>
            <w:r w:rsidR="00EE46E1" w:rsidRPr="00EE46E1">
              <w:rPr>
                <w:rFonts w:ascii="Times New Roman" w:hAnsi="Times New Roman" w:cs="Times New Roman"/>
                <w:noProof/>
                <w:webHidden/>
              </w:rPr>
              <w:fldChar w:fldCharType="end"/>
            </w:r>
          </w:hyperlink>
        </w:p>
        <w:p w14:paraId="073FCB69" w14:textId="7CE86551" w:rsidR="00EE46E1" w:rsidRPr="00EE46E1" w:rsidRDefault="002F73EC">
          <w:pPr>
            <w:pStyle w:val="TOC3"/>
            <w:tabs>
              <w:tab w:val="right" w:leader="dot" w:pos="8630"/>
            </w:tabs>
            <w:rPr>
              <w:rFonts w:ascii="Times New Roman" w:eastAsiaTheme="minorEastAsia" w:hAnsi="Times New Roman" w:cs="Times New Roman"/>
              <w:noProof/>
            </w:rPr>
          </w:pPr>
          <w:hyperlink w:anchor="_Toc101701797" w:history="1">
            <w:r w:rsidR="00EE46E1" w:rsidRPr="00EE46E1">
              <w:rPr>
                <w:rStyle w:val="Hyperlink"/>
                <w:rFonts w:ascii="Times New Roman" w:hAnsi="Times New Roman" w:cs="Times New Roman"/>
                <w:noProof/>
              </w:rPr>
              <w:t>4.4 Cure depth heat map on multi-layer neat resin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112</w:t>
            </w:r>
            <w:r w:rsidR="00EE46E1" w:rsidRPr="00EE46E1">
              <w:rPr>
                <w:rFonts w:ascii="Times New Roman" w:hAnsi="Times New Roman" w:cs="Times New Roman"/>
                <w:noProof/>
                <w:webHidden/>
              </w:rPr>
              <w:fldChar w:fldCharType="end"/>
            </w:r>
          </w:hyperlink>
        </w:p>
        <w:p w14:paraId="356B373D" w14:textId="76EF5B04" w:rsidR="00EE46E1" w:rsidRPr="00EE46E1" w:rsidRDefault="002F73EC">
          <w:pPr>
            <w:pStyle w:val="TOC3"/>
            <w:tabs>
              <w:tab w:val="right" w:leader="dot" w:pos="8630"/>
            </w:tabs>
            <w:rPr>
              <w:rFonts w:ascii="Times New Roman" w:eastAsiaTheme="minorEastAsia" w:hAnsi="Times New Roman" w:cs="Times New Roman"/>
              <w:noProof/>
            </w:rPr>
          </w:pPr>
          <w:hyperlink w:anchor="_Toc101701798" w:history="1">
            <w:r w:rsidR="00EE46E1" w:rsidRPr="00EE46E1">
              <w:rPr>
                <w:rStyle w:val="Hyperlink"/>
                <w:rFonts w:ascii="Times New Roman" w:hAnsi="Times New Roman" w:cs="Times New Roman"/>
                <w:noProof/>
              </w:rPr>
              <w:t>4.5 Cure depth profile on multi-layer fiberglass composite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113</w:t>
            </w:r>
            <w:r w:rsidR="00EE46E1" w:rsidRPr="00EE46E1">
              <w:rPr>
                <w:rFonts w:ascii="Times New Roman" w:hAnsi="Times New Roman" w:cs="Times New Roman"/>
                <w:noProof/>
                <w:webHidden/>
              </w:rPr>
              <w:fldChar w:fldCharType="end"/>
            </w:r>
          </w:hyperlink>
        </w:p>
        <w:p w14:paraId="6D32EC8F" w14:textId="4E4BE74E" w:rsidR="00EE46E1" w:rsidRPr="00EE46E1" w:rsidRDefault="002F73EC">
          <w:pPr>
            <w:pStyle w:val="TOC3"/>
            <w:tabs>
              <w:tab w:val="right" w:leader="dot" w:pos="8630"/>
            </w:tabs>
            <w:rPr>
              <w:rFonts w:ascii="Times New Roman" w:eastAsiaTheme="minorEastAsia" w:hAnsi="Times New Roman" w:cs="Times New Roman"/>
              <w:noProof/>
            </w:rPr>
          </w:pPr>
          <w:hyperlink w:anchor="_Toc101701799" w:history="1">
            <w:r w:rsidR="00EE46E1" w:rsidRPr="00EE46E1">
              <w:rPr>
                <w:rStyle w:val="Hyperlink"/>
                <w:rFonts w:ascii="Times New Roman" w:hAnsi="Times New Roman" w:cs="Times New Roman"/>
                <w:noProof/>
              </w:rPr>
              <w:t>4.6 ILSS on Multi-Layer Fiberglass Composite</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_Toc101701799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117</w:t>
            </w:r>
            <w:r w:rsidR="00EE46E1" w:rsidRPr="00EE46E1">
              <w:rPr>
                <w:rFonts w:ascii="Times New Roman" w:hAnsi="Times New Roman" w:cs="Times New Roman"/>
                <w:noProof/>
                <w:webHidden/>
              </w:rPr>
              <w:fldChar w:fldCharType="end"/>
            </w:r>
          </w:hyperlink>
        </w:p>
        <w:p w14:paraId="55AA1C24" w14:textId="0DA458C4" w:rsidR="00EE46E1" w:rsidRPr="00EE46E1" w:rsidRDefault="002F73EC">
          <w:pPr>
            <w:pStyle w:val="TOC3"/>
            <w:tabs>
              <w:tab w:val="right" w:leader="dot" w:pos="8630"/>
            </w:tabs>
            <w:rPr>
              <w:rFonts w:ascii="Times New Roman" w:eastAsiaTheme="minorEastAsia" w:hAnsi="Times New Roman" w:cs="Times New Roman"/>
              <w:noProof/>
            </w:rPr>
          </w:pPr>
          <w:hyperlink w:anchor="_Toc101701800" w:history="1">
            <w:r w:rsidR="00EE46E1" w:rsidRPr="00EE46E1">
              <w:rPr>
                <w:rStyle w:val="Hyperlink"/>
                <w:rFonts w:ascii="Times New Roman" w:hAnsi="Times New Roman" w:cs="Times New Roman"/>
                <w:noProof/>
              </w:rPr>
              <w:t>4.7 Single-Layer Fracture Surface Analysis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119</w:t>
            </w:r>
            <w:r w:rsidR="00EE46E1" w:rsidRPr="00EE46E1">
              <w:rPr>
                <w:rFonts w:ascii="Times New Roman" w:hAnsi="Times New Roman" w:cs="Times New Roman"/>
                <w:noProof/>
                <w:webHidden/>
              </w:rPr>
              <w:fldChar w:fldCharType="end"/>
            </w:r>
          </w:hyperlink>
        </w:p>
        <w:p w14:paraId="7A066405" w14:textId="04EC5E50" w:rsidR="00EE46E1" w:rsidRPr="00EE46E1" w:rsidRDefault="002F73EC">
          <w:pPr>
            <w:pStyle w:val="TOC3"/>
            <w:tabs>
              <w:tab w:val="right" w:leader="dot" w:pos="8630"/>
            </w:tabs>
            <w:rPr>
              <w:rFonts w:ascii="Times New Roman" w:eastAsiaTheme="minorEastAsia" w:hAnsi="Times New Roman" w:cs="Times New Roman"/>
              <w:noProof/>
            </w:rPr>
          </w:pPr>
          <w:hyperlink w:anchor="_Toc101701801" w:history="1">
            <w:r w:rsidR="00EE46E1" w:rsidRPr="00EE46E1">
              <w:rPr>
                <w:rStyle w:val="Hyperlink"/>
                <w:rFonts w:ascii="Times New Roman" w:hAnsi="Times New Roman" w:cs="Times New Roman"/>
                <w:noProof/>
              </w:rPr>
              <w:t>4.8 Multi-Layer Fracture Surface Analysis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122</w:t>
            </w:r>
            <w:r w:rsidR="00EE46E1" w:rsidRPr="00EE46E1">
              <w:rPr>
                <w:rFonts w:ascii="Times New Roman" w:hAnsi="Times New Roman" w:cs="Times New Roman"/>
                <w:noProof/>
                <w:webHidden/>
              </w:rPr>
              <w:fldChar w:fldCharType="end"/>
            </w:r>
          </w:hyperlink>
        </w:p>
        <w:p w14:paraId="623816F0" w14:textId="569213BE" w:rsidR="00EE46E1" w:rsidRPr="00EE46E1" w:rsidRDefault="002F73EC">
          <w:pPr>
            <w:pStyle w:val="TOC2"/>
            <w:tabs>
              <w:tab w:val="right" w:leader="dot" w:pos="8630"/>
            </w:tabs>
            <w:rPr>
              <w:rFonts w:ascii="Times New Roman" w:eastAsiaTheme="minorEastAsia" w:hAnsi="Times New Roman" w:cs="Times New Roman"/>
              <w:noProof/>
            </w:rPr>
          </w:pPr>
          <w:hyperlink w:anchor="_Toc101701802" w:history="1">
            <w:r w:rsidR="00EE46E1" w:rsidRPr="00EE46E1">
              <w:rPr>
                <w:rStyle w:val="Hyperlink"/>
                <w:rFonts w:ascii="Times New Roman" w:hAnsi="Times New Roman" w:cs="Times New Roman"/>
                <w:noProof/>
              </w:rPr>
              <w:t>5.0 Overall Discussion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122</w:t>
            </w:r>
            <w:r w:rsidR="00EE46E1" w:rsidRPr="00EE46E1">
              <w:rPr>
                <w:rFonts w:ascii="Times New Roman" w:hAnsi="Times New Roman" w:cs="Times New Roman"/>
                <w:noProof/>
                <w:webHidden/>
              </w:rPr>
              <w:fldChar w:fldCharType="end"/>
            </w:r>
          </w:hyperlink>
        </w:p>
        <w:p w14:paraId="1CD4F099" w14:textId="3B48F9FB" w:rsidR="00EE46E1" w:rsidRPr="00EE46E1" w:rsidRDefault="002F73EC">
          <w:pPr>
            <w:pStyle w:val="TOC3"/>
            <w:tabs>
              <w:tab w:val="right" w:leader="dot" w:pos="8630"/>
            </w:tabs>
            <w:rPr>
              <w:rFonts w:ascii="Times New Roman" w:eastAsiaTheme="minorEastAsia" w:hAnsi="Times New Roman" w:cs="Times New Roman"/>
              <w:noProof/>
            </w:rPr>
          </w:pPr>
          <w:hyperlink w:anchor="_Toc101701803" w:history="1">
            <w:r w:rsidR="00EE46E1" w:rsidRPr="00EE46E1">
              <w:rPr>
                <w:rStyle w:val="Hyperlink"/>
                <w:rFonts w:ascii="Times New Roman" w:hAnsi="Times New Roman" w:cs="Times New Roman"/>
                <w:noProof/>
              </w:rPr>
              <w:t>5.1 Single-layer neat resin depth profile via FTIR microscopy versus nanoindentation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122</w:t>
            </w:r>
            <w:r w:rsidR="00EE46E1" w:rsidRPr="00EE46E1">
              <w:rPr>
                <w:rFonts w:ascii="Times New Roman" w:hAnsi="Times New Roman" w:cs="Times New Roman"/>
                <w:noProof/>
                <w:webHidden/>
              </w:rPr>
              <w:fldChar w:fldCharType="end"/>
            </w:r>
          </w:hyperlink>
        </w:p>
        <w:p w14:paraId="301ED747" w14:textId="64DA55E5" w:rsidR="00EE46E1" w:rsidRPr="00EE46E1" w:rsidRDefault="002F73EC">
          <w:pPr>
            <w:pStyle w:val="TOC3"/>
            <w:tabs>
              <w:tab w:val="right" w:leader="dot" w:pos="8630"/>
            </w:tabs>
            <w:rPr>
              <w:rFonts w:ascii="Times New Roman" w:eastAsiaTheme="minorEastAsia" w:hAnsi="Times New Roman" w:cs="Times New Roman"/>
              <w:noProof/>
            </w:rPr>
          </w:pPr>
          <w:hyperlink w:anchor="_Toc101701804" w:history="1">
            <w:r w:rsidR="00EE46E1" w:rsidRPr="00EE46E1">
              <w:rPr>
                <w:rStyle w:val="Hyperlink"/>
                <w:rFonts w:ascii="Times New Roman" w:hAnsi="Times New Roman" w:cs="Times New Roman"/>
                <w:noProof/>
              </w:rPr>
              <w:t>5.2 Multi-Layer neat resin results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125</w:t>
            </w:r>
            <w:r w:rsidR="00EE46E1" w:rsidRPr="00EE46E1">
              <w:rPr>
                <w:rFonts w:ascii="Times New Roman" w:hAnsi="Times New Roman" w:cs="Times New Roman"/>
                <w:noProof/>
                <w:webHidden/>
              </w:rPr>
              <w:fldChar w:fldCharType="end"/>
            </w:r>
          </w:hyperlink>
        </w:p>
        <w:p w14:paraId="2A359363" w14:textId="332156B9" w:rsidR="00EE46E1" w:rsidRPr="00EE46E1" w:rsidRDefault="002F73EC">
          <w:pPr>
            <w:pStyle w:val="TOC3"/>
            <w:tabs>
              <w:tab w:val="right" w:leader="dot" w:pos="8630"/>
            </w:tabs>
            <w:rPr>
              <w:rFonts w:ascii="Times New Roman" w:eastAsiaTheme="minorEastAsia" w:hAnsi="Times New Roman" w:cs="Times New Roman"/>
              <w:noProof/>
            </w:rPr>
          </w:pPr>
          <w:hyperlink w:anchor="_Toc101701805" w:history="1">
            <w:r w:rsidR="00EE46E1" w:rsidRPr="00EE46E1">
              <w:rPr>
                <w:rStyle w:val="Hyperlink"/>
                <w:rFonts w:ascii="Times New Roman" w:hAnsi="Times New Roman" w:cs="Times New Roman"/>
                <w:noProof/>
              </w:rPr>
              <w:t>5.3 ILSS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126</w:t>
            </w:r>
            <w:r w:rsidR="00EE46E1" w:rsidRPr="00EE46E1">
              <w:rPr>
                <w:rFonts w:ascii="Times New Roman" w:hAnsi="Times New Roman" w:cs="Times New Roman"/>
                <w:noProof/>
                <w:webHidden/>
              </w:rPr>
              <w:fldChar w:fldCharType="end"/>
            </w:r>
          </w:hyperlink>
        </w:p>
        <w:p w14:paraId="64641993" w14:textId="0D230D53" w:rsidR="00EE46E1" w:rsidRPr="00EE46E1" w:rsidRDefault="002F73EC">
          <w:pPr>
            <w:pStyle w:val="TOC2"/>
            <w:tabs>
              <w:tab w:val="right" w:leader="dot" w:pos="8630"/>
            </w:tabs>
            <w:rPr>
              <w:rFonts w:ascii="Times New Roman" w:eastAsiaTheme="minorEastAsia" w:hAnsi="Times New Roman" w:cs="Times New Roman"/>
              <w:noProof/>
            </w:rPr>
          </w:pPr>
          <w:hyperlink w:anchor="_Toc101701806" w:history="1">
            <w:r w:rsidR="00EE46E1" w:rsidRPr="00EE46E1">
              <w:rPr>
                <w:rStyle w:val="Hyperlink"/>
                <w:rFonts w:ascii="Times New Roman" w:hAnsi="Times New Roman" w:cs="Times New Roman"/>
                <w:noProof/>
              </w:rPr>
              <w:t>6.0 Conclusions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128</w:t>
            </w:r>
            <w:r w:rsidR="00EE46E1" w:rsidRPr="00EE46E1">
              <w:rPr>
                <w:rFonts w:ascii="Times New Roman" w:hAnsi="Times New Roman" w:cs="Times New Roman"/>
                <w:noProof/>
                <w:webHidden/>
              </w:rPr>
              <w:fldChar w:fldCharType="end"/>
            </w:r>
          </w:hyperlink>
        </w:p>
        <w:p w14:paraId="6F3609B8" w14:textId="670CB702" w:rsidR="00EE46E1" w:rsidRPr="00EE46E1" w:rsidRDefault="002F73EC">
          <w:pPr>
            <w:pStyle w:val="TOC2"/>
            <w:tabs>
              <w:tab w:val="right" w:leader="dot" w:pos="8630"/>
            </w:tabs>
            <w:rPr>
              <w:rFonts w:ascii="Times New Roman" w:eastAsiaTheme="minorEastAsia" w:hAnsi="Times New Roman" w:cs="Times New Roman"/>
              <w:noProof/>
            </w:rPr>
          </w:pPr>
          <w:hyperlink w:anchor="_Toc101701807" w:history="1">
            <w:r w:rsidR="00EE46E1" w:rsidRPr="00EE46E1">
              <w:rPr>
                <w:rStyle w:val="Hyperlink"/>
                <w:rFonts w:ascii="Times New Roman" w:hAnsi="Times New Roman" w:cs="Times New Roman"/>
                <w:noProof/>
              </w:rPr>
              <w:t>Acknowledgements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130</w:t>
            </w:r>
            <w:r w:rsidR="00EE46E1" w:rsidRPr="00EE46E1">
              <w:rPr>
                <w:rFonts w:ascii="Times New Roman" w:hAnsi="Times New Roman" w:cs="Times New Roman"/>
                <w:noProof/>
                <w:webHidden/>
              </w:rPr>
              <w:fldChar w:fldCharType="end"/>
            </w:r>
          </w:hyperlink>
        </w:p>
        <w:p w14:paraId="071FD893" w14:textId="12BAE7CD" w:rsidR="00EE46E1" w:rsidRPr="00EE46E1" w:rsidRDefault="002F73EC">
          <w:pPr>
            <w:pStyle w:val="TOC1"/>
            <w:tabs>
              <w:tab w:val="right" w:leader="dot" w:pos="8630"/>
            </w:tabs>
            <w:rPr>
              <w:rFonts w:ascii="Times New Roman" w:eastAsiaTheme="minorEastAsia" w:hAnsi="Times New Roman" w:cs="Times New Roman"/>
              <w:noProof/>
            </w:rPr>
          </w:pPr>
          <w:hyperlink w:anchor="_Toc101701808" w:history="1">
            <w:r w:rsidR="00EE46E1" w:rsidRPr="00EE46E1">
              <w:rPr>
                <w:rStyle w:val="Hyperlink"/>
                <w:rFonts w:ascii="Times New Roman" w:hAnsi="Times New Roman" w:cs="Times New Roman"/>
                <w:noProof/>
              </w:rPr>
              <w:t>OVERALL CONCLUSIONS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131</w:t>
            </w:r>
            <w:r w:rsidR="00EE46E1" w:rsidRPr="00EE46E1">
              <w:rPr>
                <w:rFonts w:ascii="Times New Roman" w:hAnsi="Times New Roman" w:cs="Times New Roman"/>
                <w:noProof/>
                <w:webHidden/>
              </w:rPr>
              <w:fldChar w:fldCharType="end"/>
            </w:r>
          </w:hyperlink>
        </w:p>
        <w:p w14:paraId="6BC43546" w14:textId="669108E8" w:rsidR="00EE46E1" w:rsidRPr="00EE46E1" w:rsidRDefault="002F73EC">
          <w:pPr>
            <w:pStyle w:val="TOC3"/>
            <w:tabs>
              <w:tab w:val="right" w:leader="dot" w:pos="8630"/>
            </w:tabs>
            <w:rPr>
              <w:rFonts w:ascii="Times New Roman" w:eastAsiaTheme="minorEastAsia" w:hAnsi="Times New Roman" w:cs="Times New Roman"/>
              <w:noProof/>
            </w:rPr>
          </w:pPr>
          <w:hyperlink w:anchor="_Toc101701809" w:history="1">
            <w:r w:rsidR="00EE46E1" w:rsidRPr="00EE46E1">
              <w:rPr>
                <w:rStyle w:val="Hyperlink"/>
                <w:rFonts w:ascii="Times New Roman" w:hAnsi="Times New Roman" w:cs="Times New Roman"/>
                <w:noProof/>
              </w:rPr>
              <w:t>Closing Remarks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_Toc101701809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138</w:t>
            </w:r>
            <w:r w:rsidR="00EE46E1" w:rsidRPr="00EE46E1">
              <w:rPr>
                <w:rFonts w:ascii="Times New Roman" w:hAnsi="Times New Roman" w:cs="Times New Roman"/>
                <w:noProof/>
                <w:webHidden/>
              </w:rPr>
              <w:fldChar w:fldCharType="end"/>
            </w:r>
          </w:hyperlink>
        </w:p>
        <w:p w14:paraId="613CAF45" w14:textId="0244B4F0" w:rsidR="00EE46E1" w:rsidRPr="00EE46E1" w:rsidRDefault="002F73EC">
          <w:pPr>
            <w:pStyle w:val="TOC1"/>
            <w:tabs>
              <w:tab w:val="right" w:leader="dot" w:pos="8630"/>
            </w:tabs>
            <w:rPr>
              <w:rFonts w:ascii="Times New Roman" w:eastAsiaTheme="minorEastAsia" w:hAnsi="Times New Roman" w:cs="Times New Roman"/>
              <w:noProof/>
            </w:rPr>
          </w:pPr>
          <w:hyperlink w:anchor="_Toc101701810" w:history="1">
            <w:r w:rsidR="00EE46E1" w:rsidRPr="00EE46E1">
              <w:rPr>
                <w:rStyle w:val="Hyperlink"/>
                <w:rFonts w:ascii="Times New Roman" w:hAnsi="Times New Roman" w:cs="Times New Roman"/>
                <w:noProof/>
              </w:rPr>
              <w:t>REFERENCES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139</w:t>
            </w:r>
            <w:r w:rsidR="00EE46E1" w:rsidRPr="00EE46E1">
              <w:rPr>
                <w:rFonts w:ascii="Times New Roman" w:hAnsi="Times New Roman" w:cs="Times New Roman"/>
                <w:noProof/>
                <w:webHidden/>
              </w:rPr>
              <w:fldChar w:fldCharType="end"/>
            </w:r>
          </w:hyperlink>
        </w:p>
        <w:p w14:paraId="701CD92F" w14:textId="4EBB37CA" w:rsidR="00EE46E1" w:rsidRPr="00EE46E1" w:rsidRDefault="002F73EC">
          <w:pPr>
            <w:pStyle w:val="TOC1"/>
            <w:tabs>
              <w:tab w:val="right" w:leader="dot" w:pos="8630"/>
            </w:tabs>
            <w:rPr>
              <w:rFonts w:ascii="Times New Roman" w:eastAsiaTheme="minorEastAsia" w:hAnsi="Times New Roman" w:cs="Times New Roman"/>
              <w:noProof/>
            </w:rPr>
          </w:pPr>
          <w:hyperlink w:anchor="_Toc101701811" w:history="1">
            <w:r w:rsidR="00EE46E1" w:rsidRPr="00EE46E1">
              <w:rPr>
                <w:rStyle w:val="Hyperlink"/>
                <w:rFonts w:ascii="Times New Roman" w:hAnsi="Times New Roman" w:cs="Times New Roman"/>
                <w:noProof/>
              </w:rPr>
              <w:t>APPENDICES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158</w:t>
            </w:r>
            <w:r w:rsidR="00EE46E1" w:rsidRPr="00EE46E1">
              <w:rPr>
                <w:rFonts w:ascii="Times New Roman" w:hAnsi="Times New Roman" w:cs="Times New Roman"/>
                <w:noProof/>
                <w:webHidden/>
              </w:rPr>
              <w:fldChar w:fldCharType="end"/>
            </w:r>
          </w:hyperlink>
        </w:p>
        <w:p w14:paraId="1DC4C83A" w14:textId="37F0E3FB" w:rsidR="00EE46E1" w:rsidRPr="00EE46E1" w:rsidRDefault="002F73EC">
          <w:pPr>
            <w:pStyle w:val="TOC2"/>
            <w:tabs>
              <w:tab w:val="right" w:leader="dot" w:pos="8630"/>
            </w:tabs>
            <w:rPr>
              <w:rFonts w:ascii="Times New Roman" w:eastAsiaTheme="minorEastAsia" w:hAnsi="Times New Roman" w:cs="Times New Roman"/>
              <w:noProof/>
            </w:rPr>
          </w:pPr>
          <w:hyperlink w:anchor="_Toc101701812" w:history="1">
            <w:r w:rsidR="00EE46E1" w:rsidRPr="00EE46E1">
              <w:rPr>
                <w:rStyle w:val="Hyperlink"/>
                <w:rFonts w:ascii="Times New Roman" w:hAnsi="Times New Roman" w:cs="Times New Roman"/>
                <w:noProof/>
              </w:rPr>
              <w:t>Oligomer Characterization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159</w:t>
            </w:r>
            <w:r w:rsidR="00EE46E1" w:rsidRPr="00EE46E1">
              <w:rPr>
                <w:rFonts w:ascii="Times New Roman" w:hAnsi="Times New Roman" w:cs="Times New Roman"/>
                <w:noProof/>
                <w:webHidden/>
              </w:rPr>
              <w:fldChar w:fldCharType="end"/>
            </w:r>
          </w:hyperlink>
        </w:p>
        <w:p w14:paraId="21421F21" w14:textId="7B5F4CE6" w:rsidR="00EE46E1" w:rsidRPr="00EE46E1" w:rsidRDefault="002F73EC">
          <w:pPr>
            <w:pStyle w:val="TOC3"/>
            <w:tabs>
              <w:tab w:val="right" w:leader="dot" w:pos="8630"/>
            </w:tabs>
            <w:rPr>
              <w:rFonts w:ascii="Times New Roman" w:eastAsiaTheme="minorEastAsia" w:hAnsi="Times New Roman" w:cs="Times New Roman"/>
              <w:noProof/>
            </w:rPr>
          </w:pPr>
          <w:hyperlink w:anchor="_Toc101701813" w:history="1">
            <w:r w:rsidR="00EE46E1" w:rsidRPr="00EE46E1">
              <w:rPr>
                <w:rStyle w:val="Hyperlink"/>
                <w:rFonts w:ascii="Times New Roman" w:hAnsi="Times New Roman" w:cs="Times New Roman"/>
                <w:noProof/>
              </w:rPr>
              <w:t>Electrospray Ionization Mass Spectroscopy (ESI-MS)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160</w:t>
            </w:r>
            <w:r w:rsidR="00EE46E1" w:rsidRPr="00EE46E1">
              <w:rPr>
                <w:rFonts w:ascii="Times New Roman" w:hAnsi="Times New Roman" w:cs="Times New Roman"/>
                <w:noProof/>
                <w:webHidden/>
              </w:rPr>
              <w:fldChar w:fldCharType="end"/>
            </w:r>
          </w:hyperlink>
        </w:p>
        <w:p w14:paraId="00B10876" w14:textId="6304F887" w:rsidR="00EE46E1" w:rsidRPr="00EE46E1" w:rsidRDefault="002F73EC">
          <w:pPr>
            <w:pStyle w:val="TOC3"/>
            <w:tabs>
              <w:tab w:val="right" w:leader="dot" w:pos="8630"/>
            </w:tabs>
            <w:rPr>
              <w:rFonts w:ascii="Times New Roman" w:eastAsiaTheme="minorEastAsia" w:hAnsi="Times New Roman" w:cs="Times New Roman"/>
              <w:noProof/>
            </w:rPr>
          </w:pPr>
          <w:hyperlink w:anchor="_Toc101701814" w:history="1">
            <w:r w:rsidR="00EE46E1" w:rsidRPr="00EE46E1">
              <w:rPr>
                <w:rStyle w:val="Hyperlink"/>
                <w:rFonts w:ascii="Times New Roman" w:hAnsi="Times New Roman" w:cs="Times New Roman"/>
                <w:noProof/>
              </w:rPr>
              <w:t>Nuclear magnetic resonance spectroscopy (NMR)</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160</w:t>
            </w:r>
            <w:r w:rsidR="00EE46E1" w:rsidRPr="00EE46E1">
              <w:rPr>
                <w:rFonts w:ascii="Times New Roman" w:hAnsi="Times New Roman" w:cs="Times New Roman"/>
                <w:noProof/>
                <w:webHidden/>
              </w:rPr>
              <w:fldChar w:fldCharType="end"/>
            </w:r>
          </w:hyperlink>
        </w:p>
        <w:p w14:paraId="229E57AF" w14:textId="3D67BC90" w:rsidR="00EE46E1" w:rsidRPr="00EE46E1" w:rsidRDefault="002F73EC">
          <w:pPr>
            <w:pStyle w:val="TOC3"/>
            <w:tabs>
              <w:tab w:val="right" w:leader="dot" w:pos="8630"/>
            </w:tabs>
            <w:rPr>
              <w:rFonts w:ascii="Times New Roman" w:eastAsiaTheme="minorEastAsia" w:hAnsi="Times New Roman" w:cs="Times New Roman"/>
              <w:noProof/>
            </w:rPr>
          </w:pPr>
          <w:hyperlink w:anchor="_Toc101701815" w:history="1">
            <w:r w:rsidR="00EE46E1" w:rsidRPr="00EE46E1">
              <w:rPr>
                <w:rStyle w:val="Hyperlink"/>
                <w:rFonts w:ascii="Times New Roman" w:hAnsi="Times New Roman" w:cs="Times New Roman"/>
                <w:noProof/>
              </w:rPr>
              <w:t>Thermogravimetric Analysis (TGA)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160</w:t>
            </w:r>
            <w:r w:rsidR="00EE46E1" w:rsidRPr="00EE46E1">
              <w:rPr>
                <w:rFonts w:ascii="Times New Roman" w:hAnsi="Times New Roman" w:cs="Times New Roman"/>
                <w:noProof/>
                <w:webHidden/>
              </w:rPr>
              <w:fldChar w:fldCharType="end"/>
            </w:r>
          </w:hyperlink>
        </w:p>
        <w:p w14:paraId="2F968CA0" w14:textId="01DF0E79" w:rsidR="00EE46E1" w:rsidRPr="00EE46E1" w:rsidRDefault="002F73EC">
          <w:pPr>
            <w:pStyle w:val="TOC3"/>
            <w:tabs>
              <w:tab w:val="right" w:leader="dot" w:pos="8630"/>
            </w:tabs>
            <w:rPr>
              <w:rFonts w:ascii="Times New Roman" w:eastAsiaTheme="minorEastAsia" w:hAnsi="Times New Roman" w:cs="Times New Roman"/>
              <w:noProof/>
            </w:rPr>
          </w:pPr>
          <w:hyperlink w:anchor="_Toc101701816" w:history="1">
            <w:r w:rsidR="00EE46E1" w:rsidRPr="00EE46E1">
              <w:rPr>
                <w:rStyle w:val="Hyperlink"/>
                <w:rFonts w:ascii="Times New Roman" w:hAnsi="Times New Roman" w:cs="Times New Roman"/>
                <w:noProof/>
              </w:rPr>
              <w:t>Radiometry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164</w:t>
            </w:r>
            <w:r w:rsidR="00EE46E1" w:rsidRPr="00EE46E1">
              <w:rPr>
                <w:rFonts w:ascii="Times New Roman" w:hAnsi="Times New Roman" w:cs="Times New Roman"/>
                <w:noProof/>
                <w:webHidden/>
              </w:rPr>
              <w:fldChar w:fldCharType="end"/>
            </w:r>
          </w:hyperlink>
        </w:p>
        <w:p w14:paraId="3D9D9002" w14:textId="6A7FC4CA" w:rsidR="00EE46E1" w:rsidRPr="00EE46E1" w:rsidRDefault="002F73EC">
          <w:pPr>
            <w:pStyle w:val="TOC3"/>
            <w:tabs>
              <w:tab w:val="right" w:leader="dot" w:pos="8630"/>
            </w:tabs>
            <w:rPr>
              <w:rFonts w:ascii="Times New Roman" w:eastAsiaTheme="minorEastAsia" w:hAnsi="Times New Roman" w:cs="Times New Roman"/>
              <w:noProof/>
            </w:rPr>
          </w:pPr>
          <w:hyperlink w:anchor="_Toc101701817" w:history="1">
            <w:r w:rsidR="00EE46E1" w:rsidRPr="00EE46E1">
              <w:rPr>
                <w:rStyle w:val="Hyperlink"/>
                <w:rFonts w:ascii="Times New Roman" w:hAnsi="Times New Roman" w:cs="Times New Roman"/>
                <w:noProof/>
              </w:rPr>
              <w:t>UV-Vis Spectroscopy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164</w:t>
            </w:r>
            <w:r w:rsidR="00EE46E1" w:rsidRPr="00EE46E1">
              <w:rPr>
                <w:rFonts w:ascii="Times New Roman" w:hAnsi="Times New Roman" w:cs="Times New Roman"/>
                <w:noProof/>
                <w:webHidden/>
              </w:rPr>
              <w:fldChar w:fldCharType="end"/>
            </w:r>
          </w:hyperlink>
        </w:p>
        <w:p w14:paraId="60AA6F8F" w14:textId="6CDE5D55" w:rsidR="00EE46E1" w:rsidRPr="00EE46E1" w:rsidRDefault="002F73EC">
          <w:pPr>
            <w:pStyle w:val="TOC2"/>
            <w:tabs>
              <w:tab w:val="right" w:leader="dot" w:pos="8630"/>
            </w:tabs>
            <w:rPr>
              <w:rFonts w:ascii="Times New Roman" w:eastAsiaTheme="minorEastAsia" w:hAnsi="Times New Roman" w:cs="Times New Roman"/>
              <w:noProof/>
            </w:rPr>
          </w:pPr>
          <w:hyperlink w:anchor="_Toc101701818" w:history="1">
            <w:r w:rsidR="00EE46E1" w:rsidRPr="00EE46E1">
              <w:rPr>
                <w:rStyle w:val="Hyperlink"/>
                <w:rFonts w:ascii="Times New Roman" w:hAnsi="Times New Roman" w:cs="Times New Roman"/>
                <w:noProof/>
              </w:rPr>
              <w:t>Chapter 1 Supplemental Information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166</w:t>
            </w:r>
            <w:r w:rsidR="00EE46E1" w:rsidRPr="00EE46E1">
              <w:rPr>
                <w:rFonts w:ascii="Times New Roman" w:hAnsi="Times New Roman" w:cs="Times New Roman"/>
                <w:noProof/>
                <w:webHidden/>
              </w:rPr>
              <w:fldChar w:fldCharType="end"/>
            </w:r>
          </w:hyperlink>
        </w:p>
        <w:p w14:paraId="0586A668" w14:textId="04A9E95B" w:rsidR="00EE46E1" w:rsidRPr="00EE46E1" w:rsidRDefault="002F73EC">
          <w:pPr>
            <w:pStyle w:val="TOC3"/>
            <w:tabs>
              <w:tab w:val="right" w:leader="dot" w:pos="8630"/>
            </w:tabs>
            <w:rPr>
              <w:rFonts w:ascii="Times New Roman" w:eastAsiaTheme="minorEastAsia" w:hAnsi="Times New Roman" w:cs="Times New Roman"/>
              <w:noProof/>
            </w:rPr>
          </w:pPr>
          <w:hyperlink w:anchor="_Toc101701819" w:history="1">
            <w:r w:rsidR="00EE46E1" w:rsidRPr="00EE46E1">
              <w:rPr>
                <w:rStyle w:val="Hyperlink"/>
                <w:rFonts w:ascii="Times New Roman" w:hAnsi="Times New Roman" w:cs="Times New Roman"/>
                <w:noProof/>
              </w:rPr>
              <w:t>Shear-Rate Calculations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_Toc101701819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166</w:t>
            </w:r>
            <w:r w:rsidR="00EE46E1" w:rsidRPr="00EE46E1">
              <w:rPr>
                <w:rFonts w:ascii="Times New Roman" w:hAnsi="Times New Roman" w:cs="Times New Roman"/>
                <w:noProof/>
                <w:webHidden/>
              </w:rPr>
              <w:fldChar w:fldCharType="end"/>
            </w:r>
          </w:hyperlink>
        </w:p>
        <w:p w14:paraId="19AA9503" w14:textId="6E24B01E" w:rsidR="00EE46E1" w:rsidRPr="00EE46E1" w:rsidRDefault="002F73EC">
          <w:pPr>
            <w:pStyle w:val="TOC3"/>
            <w:tabs>
              <w:tab w:val="right" w:leader="dot" w:pos="8630"/>
            </w:tabs>
            <w:rPr>
              <w:rFonts w:ascii="Times New Roman" w:eastAsiaTheme="minorEastAsia" w:hAnsi="Times New Roman" w:cs="Times New Roman"/>
              <w:noProof/>
            </w:rPr>
          </w:pPr>
          <w:hyperlink w:anchor="_Toc101701820" w:history="1">
            <w:r w:rsidR="00EE46E1" w:rsidRPr="00EE46E1">
              <w:rPr>
                <w:rStyle w:val="Hyperlink"/>
                <w:rFonts w:ascii="Times New Roman" w:hAnsi="Times New Roman" w:cs="Times New Roman"/>
                <w:noProof/>
              </w:rPr>
              <w:t>Tensile Properties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166</w:t>
            </w:r>
            <w:r w:rsidR="00EE46E1" w:rsidRPr="00EE46E1">
              <w:rPr>
                <w:rFonts w:ascii="Times New Roman" w:hAnsi="Times New Roman" w:cs="Times New Roman"/>
                <w:noProof/>
                <w:webHidden/>
              </w:rPr>
              <w:fldChar w:fldCharType="end"/>
            </w:r>
          </w:hyperlink>
        </w:p>
        <w:p w14:paraId="40235487" w14:textId="01F9F087" w:rsidR="00EE46E1" w:rsidRPr="00EE46E1" w:rsidRDefault="002F73EC">
          <w:pPr>
            <w:pStyle w:val="TOC3"/>
            <w:tabs>
              <w:tab w:val="right" w:leader="dot" w:pos="8630"/>
            </w:tabs>
            <w:rPr>
              <w:rFonts w:ascii="Times New Roman" w:eastAsiaTheme="minorEastAsia" w:hAnsi="Times New Roman" w:cs="Times New Roman"/>
              <w:noProof/>
            </w:rPr>
          </w:pPr>
          <w:hyperlink w:anchor="_Toc101701821" w:history="1">
            <w:r w:rsidR="00EE46E1" w:rsidRPr="00EE46E1">
              <w:rPr>
                <w:rStyle w:val="Hyperlink"/>
                <w:rFonts w:ascii="Times New Roman" w:hAnsi="Times New Roman" w:cs="Times New Roman"/>
                <w:noProof/>
              </w:rPr>
              <w:t>Change in FTIR Spectrum with PETIA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168</w:t>
            </w:r>
            <w:r w:rsidR="00EE46E1" w:rsidRPr="00EE46E1">
              <w:rPr>
                <w:rFonts w:ascii="Times New Roman" w:hAnsi="Times New Roman" w:cs="Times New Roman"/>
                <w:noProof/>
                <w:webHidden/>
              </w:rPr>
              <w:fldChar w:fldCharType="end"/>
            </w:r>
          </w:hyperlink>
        </w:p>
        <w:p w14:paraId="266EA0FA" w14:textId="5EA1CA35" w:rsidR="00EE46E1" w:rsidRPr="00EE46E1" w:rsidRDefault="002F73EC">
          <w:pPr>
            <w:pStyle w:val="TOC3"/>
            <w:tabs>
              <w:tab w:val="right" w:leader="dot" w:pos="8630"/>
            </w:tabs>
            <w:rPr>
              <w:rFonts w:ascii="Times New Roman" w:eastAsiaTheme="minorEastAsia" w:hAnsi="Times New Roman" w:cs="Times New Roman"/>
              <w:noProof/>
            </w:rPr>
          </w:pPr>
          <w:hyperlink w:anchor="_Toc101701822" w:history="1">
            <w:r w:rsidR="00EE46E1" w:rsidRPr="00EE46E1">
              <w:rPr>
                <w:rStyle w:val="Hyperlink"/>
                <w:rFonts w:ascii="Times New Roman" w:hAnsi="Times New Roman" w:cs="Times New Roman"/>
                <w:noProof/>
              </w:rPr>
              <w:t>DMA Curves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170</w:t>
            </w:r>
            <w:r w:rsidR="00EE46E1" w:rsidRPr="00EE46E1">
              <w:rPr>
                <w:rFonts w:ascii="Times New Roman" w:hAnsi="Times New Roman" w:cs="Times New Roman"/>
                <w:noProof/>
                <w:webHidden/>
              </w:rPr>
              <w:fldChar w:fldCharType="end"/>
            </w:r>
          </w:hyperlink>
        </w:p>
        <w:p w14:paraId="7D2259CE" w14:textId="66705F50" w:rsidR="00EE46E1" w:rsidRPr="00EE46E1" w:rsidRDefault="002F73EC">
          <w:pPr>
            <w:pStyle w:val="TOC2"/>
            <w:tabs>
              <w:tab w:val="right" w:leader="dot" w:pos="8630"/>
            </w:tabs>
            <w:rPr>
              <w:rFonts w:ascii="Times New Roman" w:eastAsiaTheme="minorEastAsia" w:hAnsi="Times New Roman" w:cs="Times New Roman"/>
              <w:noProof/>
            </w:rPr>
          </w:pPr>
          <w:hyperlink w:anchor="_Toc101701823" w:history="1">
            <w:r w:rsidR="00EE46E1" w:rsidRPr="00EE46E1">
              <w:rPr>
                <w:rStyle w:val="Hyperlink"/>
                <w:rFonts w:ascii="Times New Roman" w:hAnsi="Times New Roman" w:cs="Times New Roman"/>
                <w:noProof/>
              </w:rPr>
              <w:t>Chapter 2 Supplemental Information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_Toc101701823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173</w:t>
            </w:r>
            <w:r w:rsidR="00EE46E1" w:rsidRPr="00EE46E1">
              <w:rPr>
                <w:rFonts w:ascii="Times New Roman" w:hAnsi="Times New Roman" w:cs="Times New Roman"/>
                <w:noProof/>
                <w:webHidden/>
              </w:rPr>
              <w:fldChar w:fldCharType="end"/>
            </w:r>
          </w:hyperlink>
        </w:p>
        <w:p w14:paraId="29DC1C83" w14:textId="6D2BAA6E" w:rsidR="00EE46E1" w:rsidRPr="00EE46E1" w:rsidRDefault="002F73EC">
          <w:pPr>
            <w:pStyle w:val="TOC3"/>
            <w:tabs>
              <w:tab w:val="right" w:leader="dot" w:pos="8630"/>
            </w:tabs>
            <w:rPr>
              <w:rFonts w:ascii="Times New Roman" w:eastAsiaTheme="minorEastAsia" w:hAnsi="Times New Roman" w:cs="Times New Roman"/>
              <w:noProof/>
            </w:rPr>
          </w:pPr>
          <w:hyperlink w:anchor="_Toc101701824" w:history="1">
            <w:r w:rsidR="00EE46E1" w:rsidRPr="00EE46E1">
              <w:rPr>
                <w:rStyle w:val="Hyperlink"/>
                <w:rFonts w:ascii="Times New Roman" w:hAnsi="Times New Roman" w:cs="Times New Roman"/>
                <w:noProof/>
              </w:rPr>
              <w:t>MATLAB script for polychromatic optical model</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_Toc101701824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173</w:t>
            </w:r>
            <w:r w:rsidR="00EE46E1" w:rsidRPr="00EE46E1">
              <w:rPr>
                <w:rFonts w:ascii="Times New Roman" w:hAnsi="Times New Roman" w:cs="Times New Roman"/>
                <w:noProof/>
                <w:webHidden/>
              </w:rPr>
              <w:fldChar w:fldCharType="end"/>
            </w:r>
          </w:hyperlink>
        </w:p>
        <w:p w14:paraId="7C3E9DFC" w14:textId="40568582" w:rsidR="00EE46E1" w:rsidRPr="00EE46E1" w:rsidRDefault="002F73EC">
          <w:pPr>
            <w:pStyle w:val="TOC3"/>
            <w:tabs>
              <w:tab w:val="right" w:leader="dot" w:pos="8630"/>
            </w:tabs>
            <w:rPr>
              <w:rFonts w:ascii="Times New Roman" w:eastAsiaTheme="minorEastAsia" w:hAnsi="Times New Roman" w:cs="Times New Roman"/>
              <w:noProof/>
            </w:rPr>
          </w:pPr>
          <w:hyperlink w:anchor="_Toc101701825" w:history="1">
            <w:r w:rsidR="00EE46E1" w:rsidRPr="00EE46E1">
              <w:rPr>
                <w:rStyle w:val="Hyperlink"/>
                <w:rFonts w:ascii="Times New Roman" w:hAnsi="Times New Roman" w:cs="Times New Roman"/>
                <w:noProof/>
              </w:rPr>
              <w:t>Values for BAPO molar absorptivity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_Toc101701825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175</w:t>
            </w:r>
            <w:r w:rsidR="00EE46E1" w:rsidRPr="00EE46E1">
              <w:rPr>
                <w:rFonts w:ascii="Times New Roman" w:hAnsi="Times New Roman" w:cs="Times New Roman"/>
                <w:noProof/>
                <w:webHidden/>
              </w:rPr>
              <w:fldChar w:fldCharType="end"/>
            </w:r>
          </w:hyperlink>
        </w:p>
        <w:p w14:paraId="093FC8EE" w14:textId="0F5A585D" w:rsidR="00EE46E1" w:rsidRPr="00EE46E1" w:rsidRDefault="002F73EC">
          <w:pPr>
            <w:pStyle w:val="TOC3"/>
            <w:tabs>
              <w:tab w:val="right" w:leader="dot" w:pos="8630"/>
            </w:tabs>
            <w:rPr>
              <w:rFonts w:ascii="Times New Roman" w:eastAsiaTheme="minorEastAsia" w:hAnsi="Times New Roman" w:cs="Times New Roman"/>
              <w:noProof/>
            </w:rPr>
          </w:pPr>
          <w:hyperlink w:anchor="_Toc101701826" w:history="1">
            <w:r w:rsidR="00EE46E1" w:rsidRPr="00EE46E1">
              <w:rPr>
                <w:rStyle w:val="Hyperlink"/>
                <w:rFonts w:ascii="Times New Roman" w:hAnsi="Times New Roman" w:cs="Times New Roman"/>
                <w:noProof/>
              </w:rPr>
              <w:t>Values for 25% Power Lamp Output</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_Toc101701826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177</w:t>
            </w:r>
            <w:r w:rsidR="00EE46E1" w:rsidRPr="00EE46E1">
              <w:rPr>
                <w:rFonts w:ascii="Times New Roman" w:hAnsi="Times New Roman" w:cs="Times New Roman"/>
                <w:noProof/>
                <w:webHidden/>
              </w:rPr>
              <w:fldChar w:fldCharType="end"/>
            </w:r>
          </w:hyperlink>
        </w:p>
        <w:p w14:paraId="6F0C1A04" w14:textId="7FD9773F" w:rsidR="00EE46E1" w:rsidRPr="00EE46E1" w:rsidRDefault="002F73EC">
          <w:pPr>
            <w:pStyle w:val="TOC3"/>
            <w:tabs>
              <w:tab w:val="right" w:leader="dot" w:pos="8630"/>
            </w:tabs>
            <w:rPr>
              <w:rFonts w:ascii="Times New Roman" w:eastAsiaTheme="minorEastAsia" w:hAnsi="Times New Roman" w:cs="Times New Roman"/>
              <w:noProof/>
            </w:rPr>
          </w:pPr>
          <w:hyperlink w:anchor="_Toc101701827" w:history="1">
            <w:r w:rsidR="00EE46E1" w:rsidRPr="00EE46E1">
              <w:rPr>
                <w:rStyle w:val="Hyperlink"/>
                <w:rFonts w:ascii="Times New Roman" w:hAnsi="Times New Roman" w:cs="Times New Roman"/>
                <w:noProof/>
              </w:rPr>
              <w:t>Values for 80:20 Bis-EMA:PETIA light absorptivity</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_Toc101701827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179</w:t>
            </w:r>
            <w:r w:rsidR="00EE46E1" w:rsidRPr="00EE46E1">
              <w:rPr>
                <w:rFonts w:ascii="Times New Roman" w:hAnsi="Times New Roman" w:cs="Times New Roman"/>
                <w:noProof/>
                <w:webHidden/>
              </w:rPr>
              <w:fldChar w:fldCharType="end"/>
            </w:r>
          </w:hyperlink>
        </w:p>
        <w:p w14:paraId="3E4EF733" w14:textId="6E7C73BE" w:rsidR="00EE46E1" w:rsidRPr="00EE46E1" w:rsidRDefault="002F73EC">
          <w:pPr>
            <w:pStyle w:val="TOC1"/>
            <w:tabs>
              <w:tab w:val="right" w:leader="dot" w:pos="8630"/>
            </w:tabs>
            <w:rPr>
              <w:rFonts w:ascii="Times New Roman" w:eastAsiaTheme="minorEastAsia" w:hAnsi="Times New Roman" w:cs="Times New Roman"/>
              <w:noProof/>
            </w:rPr>
          </w:pPr>
          <w:hyperlink w:anchor="_Toc101701828" w:history="1">
            <w:r w:rsidR="00EE46E1" w:rsidRPr="00EE46E1">
              <w:rPr>
                <w:rStyle w:val="Hyperlink"/>
                <w:rFonts w:ascii="Times New Roman" w:hAnsi="Times New Roman" w:cs="Times New Roman"/>
                <w:noProof/>
              </w:rPr>
              <w:t>Chapter 3 Supplemental Information</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_Toc101701828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181</w:t>
            </w:r>
            <w:r w:rsidR="00EE46E1" w:rsidRPr="00EE46E1">
              <w:rPr>
                <w:rFonts w:ascii="Times New Roman" w:hAnsi="Times New Roman" w:cs="Times New Roman"/>
                <w:noProof/>
                <w:webHidden/>
              </w:rPr>
              <w:fldChar w:fldCharType="end"/>
            </w:r>
          </w:hyperlink>
        </w:p>
        <w:p w14:paraId="766E4128" w14:textId="6F8C23C2" w:rsidR="00EE46E1" w:rsidRPr="00EE46E1" w:rsidRDefault="002F73EC">
          <w:pPr>
            <w:pStyle w:val="TOC3"/>
            <w:tabs>
              <w:tab w:val="right" w:leader="dot" w:pos="8630"/>
            </w:tabs>
            <w:rPr>
              <w:rFonts w:ascii="Times New Roman" w:eastAsiaTheme="minorEastAsia" w:hAnsi="Times New Roman" w:cs="Times New Roman"/>
              <w:noProof/>
            </w:rPr>
          </w:pPr>
          <w:hyperlink w:anchor="_Toc101701829" w:history="1">
            <w:r w:rsidR="00EE46E1" w:rsidRPr="00EE46E1">
              <w:rPr>
                <w:rStyle w:val="Hyperlink"/>
                <w:rFonts w:ascii="Times New Roman" w:hAnsi="Times New Roman" w:cs="Times New Roman"/>
                <w:noProof/>
              </w:rPr>
              <w:t>Tensile Curves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_Toc101701829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182</w:t>
            </w:r>
            <w:r w:rsidR="00EE46E1" w:rsidRPr="00EE46E1">
              <w:rPr>
                <w:rFonts w:ascii="Times New Roman" w:hAnsi="Times New Roman" w:cs="Times New Roman"/>
                <w:noProof/>
                <w:webHidden/>
              </w:rPr>
              <w:fldChar w:fldCharType="end"/>
            </w:r>
          </w:hyperlink>
        </w:p>
        <w:p w14:paraId="7EC68F5E" w14:textId="4FC5D528" w:rsidR="00EE46E1" w:rsidRPr="00EE46E1" w:rsidRDefault="002F73EC">
          <w:pPr>
            <w:pStyle w:val="TOC3"/>
            <w:tabs>
              <w:tab w:val="right" w:leader="dot" w:pos="8630"/>
            </w:tabs>
            <w:rPr>
              <w:rFonts w:ascii="Times New Roman" w:eastAsiaTheme="minorEastAsia" w:hAnsi="Times New Roman" w:cs="Times New Roman"/>
              <w:noProof/>
            </w:rPr>
          </w:pPr>
          <w:hyperlink w:anchor="_Toc101701830" w:history="1">
            <w:r w:rsidR="00EE46E1" w:rsidRPr="00EE46E1">
              <w:rPr>
                <w:rStyle w:val="Hyperlink"/>
                <w:rFonts w:ascii="Times New Roman" w:hAnsi="Times New Roman" w:cs="Times New Roman"/>
                <w:noProof/>
              </w:rPr>
              <w:t>DSC Thermograms</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_Toc101701830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182</w:t>
            </w:r>
            <w:r w:rsidR="00EE46E1" w:rsidRPr="00EE46E1">
              <w:rPr>
                <w:rFonts w:ascii="Times New Roman" w:hAnsi="Times New Roman" w:cs="Times New Roman"/>
                <w:noProof/>
                <w:webHidden/>
              </w:rPr>
              <w:fldChar w:fldCharType="end"/>
            </w:r>
          </w:hyperlink>
        </w:p>
        <w:p w14:paraId="22770276" w14:textId="7DD615E9" w:rsidR="00EE46E1" w:rsidRPr="00EE46E1" w:rsidRDefault="002F73EC">
          <w:pPr>
            <w:pStyle w:val="TOC3"/>
            <w:tabs>
              <w:tab w:val="right" w:leader="dot" w:pos="8630"/>
            </w:tabs>
            <w:rPr>
              <w:rFonts w:ascii="Times New Roman" w:eastAsiaTheme="minorEastAsia" w:hAnsi="Times New Roman" w:cs="Times New Roman"/>
              <w:noProof/>
            </w:rPr>
          </w:pPr>
          <w:hyperlink w:anchor="_Toc101701831" w:history="1">
            <w:r w:rsidR="00EE46E1" w:rsidRPr="00EE46E1">
              <w:rPr>
                <w:rStyle w:val="Hyperlink"/>
                <w:rFonts w:ascii="Times New Roman" w:hAnsi="Times New Roman" w:cs="Times New Roman"/>
                <w:noProof/>
              </w:rPr>
              <w:t>Dark Cure Testing</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_Toc101701831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182</w:t>
            </w:r>
            <w:r w:rsidR="00EE46E1" w:rsidRPr="00EE46E1">
              <w:rPr>
                <w:rFonts w:ascii="Times New Roman" w:hAnsi="Times New Roman" w:cs="Times New Roman"/>
                <w:noProof/>
                <w:webHidden/>
              </w:rPr>
              <w:fldChar w:fldCharType="end"/>
            </w:r>
          </w:hyperlink>
        </w:p>
        <w:p w14:paraId="4AA61F57" w14:textId="23E24560" w:rsidR="00EE46E1" w:rsidRPr="00EE46E1" w:rsidRDefault="002F73EC">
          <w:pPr>
            <w:pStyle w:val="TOC1"/>
            <w:tabs>
              <w:tab w:val="right" w:leader="dot" w:pos="8630"/>
            </w:tabs>
            <w:rPr>
              <w:rFonts w:ascii="Times New Roman" w:eastAsiaTheme="minorEastAsia" w:hAnsi="Times New Roman" w:cs="Times New Roman"/>
              <w:noProof/>
            </w:rPr>
          </w:pPr>
          <w:hyperlink w:anchor="_Toc101701832" w:history="1">
            <w:r w:rsidR="00EE46E1" w:rsidRPr="00EE46E1">
              <w:rPr>
                <w:rStyle w:val="Hyperlink"/>
                <w:rFonts w:ascii="Times New Roman" w:hAnsi="Times New Roman" w:cs="Times New Roman"/>
                <w:noProof/>
              </w:rPr>
              <w:t>VITA</w:t>
            </w:r>
            <w:r w:rsidR="00EE46E1" w:rsidRPr="00EE46E1">
              <w:rPr>
                <w:rFonts w:ascii="Times New Roman" w:hAnsi="Times New Roman" w:cs="Times New Roman"/>
                <w:noProof/>
                <w:webHidden/>
              </w:rPr>
              <w:tab/>
            </w:r>
            <w:r w:rsidR="00EE46E1" w:rsidRPr="00EE46E1">
              <w:rPr>
                <w:rFonts w:ascii="Times New Roman" w:hAnsi="Times New Roman" w:cs="Times New Roman"/>
                <w:noProof/>
                <w:webHidden/>
              </w:rPr>
              <w:fldChar w:fldCharType="begin"/>
            </w:r>
            <w:r w:rsidR="00EE46E1" w:rsidRPr="00EE46E1">
              <w:rPr>
                <w:rFonts w:ascii="Times New Roman" w:hAnsi="Times New Roman" w:cs="Times New Roman"/>
                <w:noProof/>
                <w:webHidden/>
              </w:rPr>
              <w:instrText xml:space="preserve"> PAGEREF _Toc101701832 \h </w:instrText>
            </w:r>
            <w:r w:rsidR="00EE46E1" w:rsidRPr="00EE46E1">
              <w:rPr>
                <w:rFonts w:ascii="Times New Roman" w:hAnsi="Times New Roman" w:cs="Times New Roman"/>
                <w:noProof/>
                <w:webHidden/>
              </w:rPr>
            </w:r>
            <w:r w:rsidR="00EE46E1" w:rsidRPr="00EE46E1">
              <w:rPr>
                <w:rFonts w:ascii="Times New Roman" w:hAnsi="Times New Roman" w:cs="Times New Roman"/>
                <w:noProof/>
                <w:webHidden/>
              </w:rPr>
              <w:fldChar w:fldCharType="separate"/>
            </w:r>
            <w:r w:rsidR="00EE46E1" w:rsidRPr="00EE46E1">
              <w:rPr>
                <w:rFonts w:ascii="Times New Roman" w:hAnsi="Times New Roman" w:cs="Times New Roman"/>
                <w:noProof/>
                <w:webHidden/>
              </w:rPr>
              <w:t>186</w:t>
            </w:r>
            <w:r w:rsidR="00EE46E1" w:rsidRPr="00EE46E1">
              <w:rPr>
                <w:rFonts w:ascii="Times New Roman" w:hAnsi="Times New Roman" w:cs="Times New Roman"/>
                <w:noProof/>
                <w:webHidden/>
              </w:rPr>
              <w:fldChar w:fldCharType="end"/>
            </w:r>
          </w:hyperlink>
        </w:p>
        <w:p w14:paraId="60C0A561" w14:textId="620D2877" w:rsidR="00E91931" w:rsidRPr="00B32F8A" w:rsidRDefault="00E91931">
          <w:pPr>
            <w:rPr>
              <w:rFonts w:ascii="Times New Roman" w:hAnsi="Times New Roman" w:cs="Times New Roman"/>
            </w:rPr>
          </w:pPr>
          <w:r w:rsidRPr="00EE46E1">
            <w:rPr>
              <w:rFonts w:ascii="Times New Roman" w:hAnsi="Times New Roman" w:cs="Times New Roman"/>
              <w:b/>
              <w:bCs/>
              <w:noProof/>
            </w:rPr>
            <w:fldChar w:fldCharType="end"/>
          </w:r>
        </w:p>
      </w:sdtContent>
    </w:sdt>
    <w:p w14:paraId="59955EA4" w14:textId="77777777" w:rsidR="003F7FED" w:rsidRPr="00B32F8A" w:rsidRDefault="003F7FED">
      <w:pPr>
        <w:rPr>
          <w:rFonts w:ascii="Times New Roman" w:hAnsi="Times New Roman" w:cs="Times New Roman"/>
        </w:rPr>
      </w:pPr>
    </w:p>
    <w:p w14:paraId="525CA2B4" w14:textId="77777777" w:rsidR="003F7FED" w:rsidRPr="00B32F8A" w:rsidRDefault="003F7FED">
      <w:pPr>
        <w:rPr>
          <w:rFonts w:ascii="Times New Roman" w:hAnsi="Times New Roman" w:cs="Times New Roman"/>
          <w:b/>
          <w:bCs/>
        </w:rPr>
      </w:pPr>
      <w:r w:rsidRPr="00B32F8A">
        <w:rPr>
          <w:rFonts w:ascii="Times New Roman" w:hAnsi="Times New Roman" w:cs="Times New Roman"/>
          <w:b/>
          <w:bCs/>
        </w:rPr>
        <w:br w:type="page"/>
      </w:r>
    </w:p>
    <w:p w14:paraId="46DAA729" w14:textId="77777777" w:rsidR="00236E6D" w:rsidRPr="0041449C" w:rsidRDefault="00236E6D">
      <w:pPr>
        <w:numPr>
          <w:ilvl w:val="12"/>
          <w:numId w:val="0"/>
        </w:numPr>
        <w:jc w:val="center"/>
        <w:rPr>
          <w:rFonts w:ascii="Times New Roman" w:hAnsi="Times New Roman" w:cs="Times New Roman"/>
        </w:rPr>
      </w:pPr>
      <w:r w:rsidRPr="0041449C">
        <w:rPr>
          <w:rFonts w:ascii="Times New Roman" w:hAnsi="Times New Roman" w:cs="Times New Roman"/>
          <w:b/>
          <w:bCs/>
        </w:rPr>
        <w:lastRenderedPageBreak/>
        <w:t>LIST OF TABLES</w:t>
      </w:r>
    </w:p>
    <w:p w14:paraId="4D4BAC95" w14:textId="77777777" w:rsidR="00236E6D" w:rsidRPr="0041449C" w:rsidRDefault="00236E6D">
      <w:pPr>
        <w:numPr>
          <w:ilvl w:val="12"/>
          <w:numId w:val="0"/>
        </w:numPr>
        <w:jc w:val="center"/>
        <w:rPr>
          <w:rFonts w:ascii="Times New Roman" w:hAnsi="Times New Roman" w:cs="Times New Roman"/>
        </w:rPr>
      </w:pPr>
    </w:p>
    <w:p w14:paraId="4652BD77" w14:textId="5724CFF4" w:rsidR="003A21C7" w:rsidRPr="003A21C7" w:rsidRDefault="00665C7E">
      <w:pPr>
        <w:pStyle w:val="TableofFigures"/>
        <w:tabs>
          <w:tab w:val="right" w:leader="dot" w:pos="8630"/>
        </w:tabs>
        <w:rPr>
          <w:rFonts w:ascii="Times New Roman" w:eastAsiaTheme="minorEastAsia" w:hAnsi="Times New Roman" w:cs="Times New Roman"/>
          <w:noProof/>
          <w:sz w:val="22"/>
          <w:szCs w:val="22"/>
        </w:rPr>
      </w:pPr>
      <w:r w:rsidRPr="003A21C7">
        <w:rPr>
          <w:rFonts w:ascii="Times New Roman" w:hAnsi="Times New Roman" w:cs="Times New Roman"/>
        </w:rPr>
        <w:fldChar w:fldCharType="begin"/>
      </w:r>
      <w:r w:rsidR="00236E6D" w:rsidRPr="003A21C7">
        <w:rPr>
          <w:rFonts w:ascii="Times New Roman" w:hAnsi="Times New Roman" w:cs="Times New Roman"/>
        </w:rPr>
        <w:instrText xml:space="preserve"> TOC \h \z \c "Table" </w:instrText>
      </w:r>
      <w:r w:rsidRPr="003A21C7">
        <w:rPr>
          <w:rFonts w:ascii="Times New Roman" w:hAnsi="Times New Roman" w:cs="Times New Roman"/>
        </w:rPr>
        <w:fldChar w:fldCharType="separate"/>
      </w:r>
      <w:hyperlink w:anchor="_Toc101382362" w:history="1">
        <w:r w:rsidR="003A21C7" w:rsidRPr="003A21C7">
          <w:rPr>
            <w:rStyle w:val="Hyperlink"/>
            <w:rFonts w:ascii="Times New Roman" w:hAnsi="Times New Roman" w:cs="Times New Roman"/>
            <w:noProof/>
          </w:rPr>
          <w:t xml:space="preserve">Table 1 Mechanical properties </w:t>
        </w:r>
        <w:r w:rsidR="003A21C7">
          <w:rPr>
            <w:rStyle w:val="Hyperlink"/>
            <w:rFonts w:ascii="Times New Roman" w:hAnsi="Times New Roman" w:cs="Times New Roman"/>
            <w:noProof/>
          </w:rPr>
          <w:t>for</w:t>
        </w:r>
        <w:r w:rsidR="003A21C7" w:rsidRPr="003A21C7">
          <w:rPr>
            <w:rStyle w:val="Hyperlink"/>
            <w:rFonts w:ascii="Times New Roman" w:hAnsi="Times New Roman" w:cs="Times New Roman"/>
            <w:noProof/>
          </w:rPr>
          <w:t xml:space="preserve"> Bis-EMA and unreinforced ABS.</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_Toc101382362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7</w:t>
        </w:r>
        <w:r w:rsidR="003A21C7" w:rsidRPr="003A21C7">
          <w:rPr>
            <w:rFonts w:ascii="Times New Roman" w:hAnsi="Times New Roman" w:cs="Times New Roman"/>
            <w:noProof/>
            <w:webHidden/>
          </w:rPr>
          <w:fldChar w:fldCharType="end"/>
        </w:r>
      </w:hyperlink>
    </w:p>
    <w:p w14:paraId="6F3B5093" w14:textId="58F64B5B"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3" w:history="1">
        <w:r w:rsidR="003A21C7" w:rsidRPr="003A21C7">
          <w:rPr>
            <w:rStyle w:val="Hyperlink"/>
            <w:rFonts w:ascii="Times New Roman" w:hAnsi="Times New Roman" w:cs="Times New Roman"/>
            <w:noProof/>
          </w:rPr>
          <w:t>Table 2 Effect of PETIA content on rheological properties of photopolymer</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_Toc101382363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31</w:t>
        </w:r>
        <w:r w:rsidR="003A21C7" w:rsidRPr="003A21C7">
          <w:rPr>
            <w:rFonts w:ascii="Times New Roman" w:hAnsi="Times New Roman" w:cs="Times New Roman"/>
            <w:noProof/>
            <w:webHidden/>
          </w:rPr>
          <w:fldChar w:fldCharType="end"/>
        </w:r>
      </w:hyperlink>
    </w:p>
    <w:p w14:paraId="518F0925" w14:textId="5E97936F"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4" w:history="1">
        <w:r w:rsidR="003A21C7" w:rsidRPr="003A21C7">
          <w:rPr>
            <w:rStyle w:val="Hyperlink"/>
            <w:rFonts w:ascii="Times New Roman" w:hAnsi="Times New Roman" w:cs="Times New Roman"/>
            <w:noProof/>
          </w:rPr>
          <w:t>Table 3 Summary of UV cured polymer test results</w:t>
        </w:r>
        <w:r w:rsidR="003A21C7">
          <w:rPr>
            <w:rStyle w:val="Hyperlink"/>
            <w:rFonts w:ascii="Times New Roman" w:hAnsi="Times New Roman" w:cs="Times New Roman"/>
            <w:noProof/>
          </w:rPr>
          <w:t xml:space="preserve"> with varying PETIA content</w:t>
        </w:r>
        <w:r w:rsidR="003A21C7" w:rsidRPr="003A21C7">
          <w:rPr>
            <w:rStyle w:val="Hyperlink"/>
            <w:rFonts w:ascii="Times New Roman" w:hAnsi="Times New Roman" w:cs="Times New Roman"/>
            <w:noProof/>
          </w:rPr>
          <w:t>.</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_Toc101382364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39</w:t>
        </w:r>
        <w:r w:rsidR="003A21C7" w:rsidRPr="003A21C7">
          <w:rPr>
            <w:rFonts w:ascii="Times New Roman" w:hAnsi="Times New Roman" w:cs="Times New Roman"/>
            <w:noProof/>
            <w:webHidden/>
          </w:rPr>
          <w:fldChar w:fldCharType="end"/>
        </w:r>
      </w:hyperlink>
    </w:p>
    <w:p w14:paraId="775EA016" w14:textId="0A22ED25"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5" w:history="1">
        <w:r w:rsidR="003A21C7" w:rsidRPr="003A21C7">
          <w:rPr>
            <w:rStyle w:val="Hyperlink"/>
            <w:rFonts w:ascii="Times New Roman" w:hAnsi="Times New Roman" w:cs="Times New Roman"/>
            <w:noProof/>
          </w:rPr>
          <w:t xml:space="preserve">Table 4 </w:t>
        </w:r>
        <w:r w:rsidR="003A21C7">
          <w:rPr>
            <w:rStyle w:val="Hyperlink"/>
            <w:rFonts w:ascii="Times New Roman" w:hAnsi="Times New Roman" w:cs="Times New Roman"/>
            <w:noProof/>
          </w:rPr>
          <w:t>Thermal aging effects</w:t>
        </w:r>
        <w:r w:rsidR="003A21C7" w:rsidRPr="003A21C7">
          <w:rPr>
            <w:rStyle w:val="Hyperlink"/>
            <w:rFonts w:ascii="Times New Roman" w:hAnsi="Times New Roman" w:cs="Times New Roman"/>
            <w:noProof/>
          </w:rPr>
          <w:t xml:space="preserve"> for 20 wt% PETIA photopolymer.</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_Toc101382365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40</w:t>
        </w:r>
        <w:r w:rsidR="003A21C7" w:rsidRPr="003A21C7">
          <w:rPr>
            <w:rFonts w:ascii="Times New Roman" w:hAnsi="Times New Roman" w:cs="Times New Roman"/>
            <w:noProof/>
            <w:webHidden/>
          </w:rPr>
          <w:fldChar w:fldCharType="end"/>
        </w:r>
      </w:hyperlink>
    </w:p>
    <w:p w14:paraId="04306F6C" w14:textId="6D143FA5"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6" w:history="1">
        <w:r w:rsidR="003A21C7" w:rsidRPr="003A21C7">
          <w:rPr>
            <w:rStyle w:val="Hyperlink"/>
            <w:rFonts w:ascii="Times New Roman" w:hAnsi="Times New Roman" w:cs="Times New Roman"/>
            <w:noProof/>
          </w:rPr>
          <w:t xml:space="preserve">Table 5 Average VHN </w:t>
        </w:r>
        <w:r w:rsidR="00294668">
          <w:rPr>
            <w:rStyle w:val="Hyperlink"/>
            <w:rFonts w:ascii="Times New Roman" w:hAnsi="Times New Roman" w:cs="Times New Roman"/>
            <w:noProof/>
          </w:rPr>
          <w:t>with thermal aging</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_Toc101382366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47</w:t>
        </w:r>
        <w:r w:rsidR="003A21C7" w:rsidRPr="003A21C7">
          <w:rPr>
            <w:rFonts w:ascii="Times New Roman" w:hAnsi="Times New Roman" w:cs="Times New Roman"/>
            <w:noProof/>
            <w:webHidden/>
          </w:rPr>
          <w:fldChar w:fldCharType="end"/>
        </w:r>
      </w:hyperlink>
    </w:p>
    <w:p w14:paraId="512F266D" w14:textId="649FFEBA"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7" w:history="1">
        <w:r w:rsidR="003A21C7" w:rsidRPr="003A21C7">
          <w:rPr>
            <w:rStyle w:val="Hyperlink"/>
            <w:rFonts w:ascii="Times New Roman" w:hAnsi="Times New Roman" w:cs="Times New Roman"/>
            <w:noProof/>
          </w:rPr>
          <w:t>Table 6 Average flexural properties from three-point bend testing.</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_Toc101382367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81</w:t>
        </w:r>
        <w:r w:rsidR="003A21C7" w:rsidRPr="003A21C7">
          <w:rPr>
            <w:rFonts w:ascii="Times New Roman" w:hAnsi="Times New Roman" w:cs="Times New Roman"/>
            <w:noProof/>
            <w:webHidden/>
          </w:rPr>
          <w:fldChar w:fldCharType="end"/>
        </w:r>
      </w:hyperlink>
    </w:p>
    <w:p w14:paraId="18E1F32D" w14:textId="2D9BD18D"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8" w:history="1">
        <w:r w:rsidR="003A21C7" w:rsidRPr="003A21C7">
          <w:rPr>
            <w:rStyle w:val="Hyperlink"/>
            <w:rFonts w:ascii="Times New Roman" w:hAnsi="Times New Roman" w:cs="Times New Roman"/>
            <w:noProof/>
          </w:rPr>
          <w:t>Table 7 UV Dose equivalence for static irradiation vs. linear stage</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_Toc101382368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99</w:t>
        </w:r>
        <w:r w:rsidR="003A21C7" w:rsidRPr="003A21C7">
          <w:rPr>
            <w:rFonts w:ascii="Times New Roman" w:hAnsi="Times New Roman" w:cs="Times New Roman"/>
            <w:noProof/>
            <w:webHidden/>
          </w:rPr>
          <w:fldChar w:fldCharType="end"/>
        </w:r>
      </w:hyperlink>
    </w:p>
    <w:p w14:paraId="2F3AB514" w14:textId="0AC090FE"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69" w:history="1">
        <w:r w:rsidR="003A21C7" w:rsidRPr="003A21C7">
          <w:rPr>
            <w:rStyle w:val="Hyperlink"/>
            <w:rFonts w:ascii="Times New Roman" w:hAnsi="Times New Roman" w:cs="Times New Roman"/>
            <w:noProof/>
          </w:rPr>
          <w:t>Table 8 Summary of tensile properties with various cure conditions.</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_Toc101382369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103</w:t>
        </w:r>
        <w:r w:rsidR="003A21C7" w:rsidRPr="003A21C7">
          <w:rPr>
            <w:rFonts w:ascii="Times New Roman" w:hAnsi="Times New Roman" w:cs="Times New Roman"/>
            <w:noProof/>
            <w:webHidden/>
          </w:rPr>
          <w:fldChar w:fldCharType="end"/>
        </w:r>
      </w:hyperlink>
    </w:p>
    <w:p w14:paraId="7A418ECA" w14:textId="6C30C16F"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70" w:history="1">
        <w:r w:rsidR="003A21C7" w:rsidRPr="003A21C7">
          <w:rPr>
            <w:rStyle w:val="Hyperlink"/>
            <w:rFonts w:ascii="Times New Roman" w:hAnsi="Times New Roman" w:cs="Times New Roman"/>
            <w:noProof/>
          </w:rPr>
          <w:t>Table 9 Summary of average interlaminar shear strength and fiber volume fraction</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_Toc101382370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121</w:t>
        </w:r>
        <w:r w:rsidR="003A21C7" w:rsidRPr="003A21C7">
          <w:rPr>
            <w:rFonts w:ascii="Times New Roman" w:hAnsi="Times New Roman" w:cs="Times New Roman"/>
            <w:noProof/>
            <w:webHidden/>
          </w:rPr>
          <w:fldChar w:fldCharType="end"/>
        </w:r>
      </w:hyperlink>
    </w:p>
    <w:p w14:paraId="400FC302" w14:textId="2579A501" w:rsidR="003A21C7" w:rsidRPr="003A21C7" w:rsidRDefault="002F73EC">
      <w:pPr>
        <w:pStyle w:val="TableofFigures"/>
        <w:tabs>
          <w:tab w:val="right" w:leader="dot" w:pos="8630"/>
        </w:tabs>
        <w:rPr>
          <w:rFonts w:ascii="Times New Roman" w:eastAsiaTheme="minorEastAsia" w:hAnsi="Times New Roman" w:cs="Times New Roman"/>
          <w:noProof/>
          <w:sz w:val="22"/>
          <w:szCs w:val="22"/>
        </w:rPr>
      </w:pPr>
      <w:hyperlink w:anchor="_Toc101382371" w:history="1">
        <w:r w:rsidR="003A21C7" w:rsidRPr="003A21C7">
          <w:rPr>
            <w:rStyle w:val="Hyperlink"/>
            <w:rFonts w:ascii="Times New Roman" w:hAnsi="Times New Roman" w:cs="Times New Roman"/>
            <w:noProof/>
          </w:rPr>
          <w:t>Table 10 Tensile properties for neat resin blends of Bis-EMA and PETIA</w:t>
        </w:r>
        <w:r w:rsidR="003A21C7" w:rsidRPr="003A21C7">
          <w:rPr>
            <w:rFonts w:ascii="Times New Roman" w:hAnsi="Times New Roman" w:cs="Times New Roman"/>
            <w:noProof/>
            <w:webHidden/>
          </w:rPr>
          <w:tab/>
        </w:r>
        <w:r w:rsidR="003A21C7" w:rsidRPr="003A21C7">
          <w:rPr>
            <w:rFonts w:ascii="Times New Roman" w:hAnsi="Times New Roman" w:cs="Times New Roman"/>
            <w:noProof/>
            <w:webHidden/>
          </w:rPr>
          <w:fldChar w:fldCharType="begin"/>
        </w:r>
        <w:r w:rsidR="003A21C7" w:rsidRPr="003A21C7">
          <w:rPr>
            <w:rFonts w:ascii="Times New Roman" w:hAnsi="Times New Roman" w:cs="Times New Roman"/>
            <w:noProof/>
            <w:webHidden/>
          </w:rPr>
          <w:instrText xml:space="preserve"> PAGEREF _Toc101382371 \h </w:instrText>
        </w:r>
        <w:r w:rsidR="003A21C7" w:rsidRPr="003A21C7">
          <w:rPr>
            <w:rFonts w:ascii="Times New Roman" w:hAnsi="Times New Roman" w:cs="Times New Roman"/>
            <w:noProof/>
            <w:webHidden/>
          </w:rPr>
        </w:r>
        <w:r w:rsidR="003A21C7" w:rsidRPr="003A21C7">
          <w:rPr>
            <w:rFonts w:ascii="Times New Roman" w:hAnsi="Times New Roman" w:cs="Times New Roman"/>
            <w:noProof/>
            <w:webHidden/>
          </w:rPr>
          <w:fldChar w:fldCharType="separate"/>
        </w:r>
        <w:r w:rsidR="003A21C7" w:rsidRPr="003A21C7">
          <w:rPr>
            <w:rFonts w:ascii="Times New Roman" w:hAnsi="Times New Roman" w:cs="Times New Roman"/>
            <w:noProof/>
            <w:webHidden/>
          </w:rPr>
          <w:t>167</w:t>
        </w:r>
        <w:r w:rsidR="003A21C7" w:rsidRPr="003A21C7">
          <w:rPr>
            <w:rFonts w:ascii="Times New Roman" w:hAnsi="Times New Roman" w:cs="Times New Roman"/>
            <w:noProof/>
            <w:webHidden/>
          </w:rPr>
          <w:fldChar w:fldCharType="end"/>
        </w:r>
      </w:hyperlink>
    </w:p>
    <w:p w14:paraId="5DC75D13" w14:textId="37B905A9" w:rsidR="00236E6D" w:rsidRPr="00B32F8A"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3A21C7">
        <w:rPr>
          <w:rFonts w:ascii="Times New Roman" w:hAnsi="Times New Roman" w:cs="Times New Roman"/>
        </w:rPr>
        <w:fldChar w:fldCharType="end"/>
      </w:r>
    </w:p>
    <w:p w14:paraId="444A8063" w14:textId="77777777" w:rsidR="00236E6D" w:rsidRPr="00B32F8A" w:rsidRDefault="00236E6D">
      <w:pPr>
        <w:spacing w:line="2" w:lineRule="exact"/>
        <w:rPr>
          <w:rFonts w:ascii="Times New Roman" w:hAnsi="Times New Roman" w:cs="Times New Roman"/>
        </w:rPr>
      </w:pPr>
    </w:p>
    <w:p w14:paraId="792C31AD" w14:textId="77777777" w:rsidR="00236E6D" w:rsidRPr="00B32F8A" w:rsidRDefault="00236E6D">
      <w:pPr>
        <w:spacing w:line="2" w:lineRule="exact"/>
        <w:rPr>
          <w:rFonts w:ascii="Times New Roman" w:hAnsi="Times New Roman" w:cs="Times New Roman"/>
        </w:rPr>
      </w:pPr>
    </w:p>
    <w:p w14:paraId="2F7AA047" w14:textId="77777777" w:rsidR="00236E6D" w:rsidRPr="00B32F8A" w:rsidRDefault="00236E6D">
      <w:pPr>
        <w:pStyle w:val="Level1"/>
        <w:tabs>
          <w:tab w:val="right" w:leader="dot" w:pos="8228"/>
        </w:tabs>
        <w:ind w:left="0"/>
        <w:rPr>
          <w:rFonts w:cs="Times New Roman"/>
          <w:b/>
          <w:bCs/>
        </w:rPr>
      </w:pPr>
    </w:p>
    <w:p w14:paraId="1AA3CF91" w14:textId="5594047F" w:rsidR="00236E6D" w:rsidRDefault="00236E6D" w:rsidP="00724880">
      <w:pPr>
        <w:jc w:val="center"/>
        <w:rPr>
          <w:rFonts w:ascii="Times New Roman" w:hAnsi="Times New Roman" w:cs="Times New Roman"/>
          <w:b/>
        </w:rPr>
      </w:pPr>
      <w:r w:rsidRPr="00B32F8A">
        <w:rPr>
          <w:rFonts w:ascii="Times New Roman" w:hAnsi="Times New Roman" w:cs="Times New Roman"/>
        </w:rPr>
        <w:br w:type="page"/>
      </w:r>
      <w:r w:rsidRPr="00195E1C">
        <w:rPr>
          <w:rFonts w:ascii="Times New Roman" w:hAnsi="Times New Roman" w:cs="Times New Roman"/>
          <w:b/>
        </w:rPr>
        <w:lastRenderedPageBreak/>
        <w:t>LIST OF FIGURES</w:t>
      </w:r>
    </w:p>
    <w:p w14:paraId="257EB1D4" w14:textId="77777777" w:rsidR="00507CD8" w:rsidRPr="00195E1C" w:rsidRDefault="00507CD8" w:rsidP="00724880">
      <w:pPr>
        <w:jc w:val="center"/>
        <w:rPr>
          <w:rFonts w:ascii="Times New Roman" w:hAnsi="Times New Roman" w:cs="Times New Roman"/>
          <w:b/>
        </w:rPr>
      </w:pPr>
    </w:p>
    <w:bookmarkStart w:id="1" w:name="_Hlk97499072"/>
    <w:p w14:paraId="4104ED53" w14:textId="0AF9E837" w:rsidR="00195E1C" w:rsidRPr="00195E1C" w:rsidRDefault="00665C7E">
      <w:pPr>
        <w:pStyle w:val="TableofFigures"/>
        <w:tabs>
          <w:tab w:val="right" w:leader="dot" w:pos="8630"/>
        </w:tabs>
        <w:rPr>
          <w:rFonts w:ascii="Times New Roman" w:eastAsiaTheme="minorEastAsia" w:hAnsi="Times New Roman" w:cs="Times New Roman"/>
          <w:noProof/>
          <w:sz w:val="22"/>
          <w:szCs w:val="22"/>
        </w:rPr>
      </w:pPr>
      <w:r w:rsidRPr="00195E1C">
        <w:rPr>
          <w:rFonts w:ascii="Times New Roman" w:hAnsi="Times New Roman" w:cs="Times New Roman"/>
        </w:rPr>
        <w:fldChar w:fldCharType="begin"/>
      </w:r>
      <w:r w:rsidR="00304BD0" w:rsidRPr="00195E1C">
        <w:rPr>
          <w:rFonts w:ascii="Times New Roman" w:hAnsi="Times New Roman" w:cs="Times New Roman"/>
        </w:rPr>
        <w:instrText xml:space="preserve"> TOC \h \z \c "Figure" </w:instrText>
      </w:r>
      <w:r w:rsidRPr="00195E1C">
        <w:rPr>
          <w:rFonts w:ascii="Times New Roman" w:hAnsi="Times New Roman" w:cs="Times New Roman"/>
        </w:rPr>
        <w:fldChar w:fldCharType="separate"/>
      </w:r>
      <w:hyperlink w:anchor="_Toc101365663" w:history="1">
        <w:r w:rsidR="00195E1C" w:rsidRPr="00195E1C">
          <w:rPr>
            <w:rStyle w:val="Hyperlink"/>
            <w:rFonts w:ascii="Times New Roman" w:hAnsi="Times New Roman" w:cs="Times New Roman"/>
            <w:noProof/>
          </w:rPr>
          <w:t>Figure 1 Schematic of a typical FDM material extrusion process.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w:t>
        </w:r>
        <w:r w:rsidR="00195E1C" w:rsidRPr="00195E1C">
          <w:rPr>
            <w:rFonts w:ascii="Times New Roman" w:hAnsi="Times New Roman" w:cs="Times New Roman"/>
            <w:noProof/>
            <w:webHidden/>
          </w:rPr>
          <w:fldChar w:fldCharType="end"/>
        </w:r>
      </w:hyperlink>
    </w:p>
    <w:p w14:paraId="751162B0" w14:textId="08FACBC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4" w:history="1">
        <w:r w:rsidR="00195E1C" w:rsidRPr="00195E1C">
          <w:rPr>
            <w:rStyle w:val="Hyperlink"/>
            <w:rFonts w:ascii="Times New Roman" w:hAnsi="Times New Roman" w:cs="Times New Roman"/>
            <w:noProof/>
          </w:rPr>
          <w:t xml:space="preserve">Figure 2 Large-scale thermoplastic AM </w:t>
        </w:r>
        <w:r w:rsidR="00195E1C">
          <w:rPr>
            <w:rStyle w:val="Hyperlink"/>
            <w:rFonts w:ascii="Times New Roman" w:hAnsi="Times New Roman" w:cs="Times New Roman"/>
            <w:noProof/>
          </w:rPr>
          <w:t>examples in</w:t>
        </w:r>
        <w:r w:rsidR="00195E1C" w:rsidRPr="00195E1C">
          <w:rPr>
            <w:rStyle w:val="Hyperlink"/>
            <w:rFonts w:ascii="Times New Roman" w:hAnsi="Times New Roman" w:cs="Times New Roman"/>
            <w:noProof/>
          </w:rPr>
          <w:t xml:space="preserve"> the tooling industry</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w:t>
        </w:r>
        <w:r w:rsidR="00195E1C" w:rsidRPr="00195E1C">
          <w:rPr>
            <w:rFonts w:ascii="Times New Roman" w:hAnsi="Times New Roman" w:cs="Times New Roman"/>
            <w:noProof/>
            <w:webHidden/>
          </w:rPr>
          <w:fldChar w:fldCharType="end"/>
        </w:r>
      </w:hyperlink>
    </w:p>
    <w:p w14:paraId="3703FC77" w14:textId="7653668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5" w:history="1">
        <w:r w:rsidR="00195E1C" w:rsidRPr="00195E1C">
          <w:rPr>
            <w:rStyle w:val="Hyperlink"/>
            <w:rFonts w:ascii="Times New Roman" w:hAnsi="Times New Roman" w:cs="Times New Roman"/>
            <w:noProof/>
          </w:rPr>
          <w:t>Figure 3 Photopolymers are emerging as a polymer feedstock for LFAM</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5</w:t>
        </w:r>
        <w:r w:rsidR="00195E1C" w:rsidRPr="00195E1C">
          <w:rPr>
            <w:rFonts w:ascii="Times New Roman" w:hAnsi="Times New Roman" w:cs="Times New Roman"/>
            <w:noProof/>
            <w:webHidden/>
          </w:rPr>
          <w:fldChar w:fldCharType="end"/>
        </w:r>
      </w:hyperlink>
    </w:p>
    <w:p w14:paraId="2EF924E4" w14:textId="58F8751B"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6" w:history="1">
        <w:r w:rsidR="00195E1C" w:rsidRPr="00195E1C">
          <w:rPr>
            <w:rStyle w:val="Hyperlink"/>
            <w:rFonts w:ascii="Times New Roman" w:hAnsi="Times New Roman" w:cs="Times New Roman"/>
            <w:noProof/>
          </w:rPr>
          <w:t>Figure 4 Material extrusion AM method with photopolymers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5</w:t>
        </w:r>
        <w:r w:rsidR="00195E1C" w:rsidRPr="00195E1C">
          <w:rPr>
            <w:rFonts w:ascii="Times New Roman" w:hAnsi="Times New Roman" w:cs="Times New Roman"/>
            <w:noProof/>
            <w:webHidden/>
          </w:rPr>
          <w:fldChar w:fldCharType="end"/>
        </w:r>
      </w:hyperlink>
    </w:p>
    <w:p w14:paraId="2709197E" w14:textId="72533EE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7" w:history="1">
        <w:r w:rsidR="00195E1C" w:rsidRPr="00195E1C">
          <w:rPr>
            <w:rStyle w:val="Hyperlink"/>
            <w:rFonts w:ascii="Times New Roman" w:hAnsi="Times New Roman" w:cs="Times New Roman"/>
            <w:noProof/>
          </w:rPr>
          <w:t>Figure 5 Typical photopolymer formulation components.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w:t>
        </w:r>
        <w:r w:rsidR="00195E1C" w:rsidRPr="00195E1C">
          <w:rPr>
            <w:rFonts w:ascii="Times New Roman" w:hAnsi="Times New Roman" w:cs="Times New Roman"/>
            <w:noProof/>
            <w:webHidden/>
          </w:rPr>
          <w:fldChar w:fldCharType="end"/>
        </w:r>
      </w:hyperlink>
    </w:p>
    <w:p w14:paraId="2323C85F" w14:textId="0B05CE9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8" w:history="1">
        <w:r w:rsidR="00195E1C" w:rsidRPr="00195E1C">
          <w:rPr>
            <w:rStyle w:val="Hyperlink"/>
            <w:rFonts w:ascii="Times New Roman" w:hAnsi="Times New Roman" w:cs="Times New Roman"/>
            <w:noProof/>
          </w:rPr>
          <w:t>Figure 6 Chemical structure for Bis-EMA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w:t>
        </w:r>
        <w:r w:rsidR="00195E1C" w:rsidRPr="00195E1C">
          <w:rPr>
            <w:rFonts w:ascii="Times New Roman" w:hAnsi="Times New Roman" w:cs="Times New Roman"/>
            <w:noProof/>
            <w:webHidden/>
          </w:rPr>
          <w:fldChar w:fldCharType="end"/>
        </w:r>
      </w:hyperlink>
    </w:p>
    <w:p w14:paraId="2ECAB6EF" w14:textId="7813375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69" w:history="1">
        <w:r w:rsidR="00195E1C" w:rsidRPr="00195E1C">
          <w:rPr>
            <w:rStyle w:val="Hyperlink"/>
            <w:rFonts w:ascii="Times New Roman" w:hAnsi="Times New Roman" w:cs="Times New Roman"/>
            <w:noProof/>
          </w:rPr>
          <w:t xml:space="preserve">Figure 7 </w:t>
        </w:r>
        <w:r w:rsidR="00264BD1">
          <w:rPr>
            <w:rStyle w:val="Hyperlink"/>
            <w:rFonts w:ascii="Times New Roman" w:hAnsi="Times New Roman" w:cs="Times New Roman"/>
            <w:noProof/>
          </w:rPr>
          <w:t xml:space="preserve">Schematic of </w:t>
        </w:r>
        <w:r w:rsidR="00195E1C" w:rsidRPr="00195E1C">
          <w:rPr>
            <w:rStyle w:val="Hyperlink"/>
            <w:rFonts w:ascii="Times New Roman" w:hAnsi="Times New Roman" w:cs="Times New Roman"/>
            <w:noProof/>
          </w:rPr>
          <w:t xml:space="preserve">photopolymer reaction </w:t>
        </w:r>
        <w:r w:rsidR="00264BD1">
          <w:rPr>
            <w:rStyle w:val="Hyperlink"/>
            <w:rFonts w:ascii="Times New Roman" w:hAnsi="Times New Roman" w:cs="Times New Roman"/>
            <w:noProof/>
          </w:rPr>
          <w:t>in thick polymer systems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_Toc101365669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w:t>
        </w:r>
        <w:r w:rsidR="00195E1C" w:rsidRPr="00195E1C">
          <w:rPr>
            <w:rFonts w:ascii="Times New Roman" w:hAnsi="Times New Roman" w:cs="Times New Roman"/>
            <w:noProof/>
            <w:webHidden/>
          </w:rPr>
          <w:fldChar w:fldCharType="end"/>
        </w:r>
      </w:hyperlink>
    </w:p>
    <w:p w14:paraId="31D8C12C" w14:textId="2B5C323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0" w:history="1">
        <w:r w:rsidR="00195E1C" w:rsidRPr="00195E1C">
          <w:rPr>
            <w:rStyle w:val="Hyperlink"/>
            <w:rFonts w:ascii="Times New Roman" w:hAnsi="Times New Roman" w:cs="Times New Roman"/>
            <w:noProof/>
          </w:rPr>
          <w:t>Figure 8 Scission reaction of BAPO</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w:t>
        </w:r>
        <w:r w:rsidR="00195E1C" w:rsidRPr="00195E1C">
          <w:rPr>
            <w:rFonts w:ascii="Times New Roman" w:hAnsi="Times New Roman" w:cs="Times New Roman"/>
            <w:noProof/>
            <w:webHidden/>
          </w:rPr>
          <w:fldChar w:fldCharType="end"/>
        </w:r>
      </w:hyperlink>
    </w:p>
    <w:p w14:paraId="6377805C" w14:textId="0AFE3DD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1" w:history="1">
        <w:r w:rsidR="00195E1C" w:rsidRPr="00195E1C">
          <w:rPr>
            <w:rStyle w:val="Hyperlink"/>
            <w:rFonts w:ascii="Times New Roman" w:hAnsi="Times New Roman" w:cs="Times New Roman"/>
            <w:noProof/>
          </w:rPr>
          <w:t>Figure 9 Absorption spectra of TPO</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w:t>
        </w:r>
        <w:r w:rsidR="00195E1C" w:rsidRPr="00195E1C">
          <w:rPr>
            <w:rFonts w:ascii="Times New Roman" w:hAnsi="Times New Roman" w:cs="Times New Roman"/>
            <w:noProof/>
            <w:webHidden/>
          </w:rPr>
          <w:fldChar w:fldCharType="end"/>
        </w:r>
      </w:hyperlink>
    </w:p>
    <w:p w14:paraId="7A843F48" w14:textId="494D46B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2" w:history="1">
        <w:r w:rsidR="00195E1C" w:rsidRPr="00195E1C">
          <w:rPr>
            <w:rStyle w:val="Hyperlink"/>
            <w:rFonts w:ascii="Times New Roman" w:hAnsi="Times New Roman" w:cs="Times New Roman"/>
            <w:noProof/>
          </w:rPr>
          <w:t xml:space="preserve">Figure 10 Degree of conversion </w:t>
        </w:r>
        <w:r w:rsidR="00264BD1">
          <w:rPr>
            <w:rStyle w:val="Hyperlink"/>
            <w:rFonts w:ascii="Times New Roman" w:hAnsi="Times New Roman" w:cs="Times New Roman"/>
            <w:noProof/>
          </w:rPr>
          <w:t>a</w:t>
        </w:r>
        <w:r w:rsidR="00195E1C" w:rsidRPr="00195E1C">
          <w:rPr>
            <w:rStyle w:val="Hyperlink"/>
            <w:rFonts w:ascii="Times New Roman" w:hAnsi="Times New Roman" w:cs="Times New Roman"/>
            <w:noProof/>
          </w:rPr>
          <w:t>s measured in FTIR</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13</w:t>
        </w:r>
        <w:r w:rsidR="00195E1C" w:rsidRPr="00195E1C">
          <w:rPr>
            <w:rFonts w:ascii="Times New Roman" w:hAnsi="Times New Roman" w:cs="Times New Roman"/>
            <w:noProof/>
            <w:webHidden/>
          </w:rPr>
          <w:fldChar w:fldCharType="end"/>
        </w:r>
      </w:hyperlink>
    </w:p>
    <w:p w14:paraId="3E7CA2A5" w14:textId="5B107DC9"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3" w:history="1">
        <w:r w:rsidR="00195E1C" w:rsidRPr="00195E1C">
          <w:rPr>
            <w:rStyle w:val="Hyperlink"/>
            <w:rFonts w:ascii="Times New Roman" w:hAnsi="Times New Roman" w:cs="Times New Roman"/>
            <w:noProof/>
          </w:rPr>
          <w:t>Figure 11 Thermal DSC results for Bis-EMA formulated as thermoset.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13</w:t>
        </w:r>
        <w:r w:rsidR="00195E1C" w:rsidRPr="00195E1C">
          <w:rPr>
            <w:rFonts w:ascii="Times New Roman" w:hAnsi="Times New Roman" w:cs="Times New Roman"/>
            <w:noProof/>
            <w:webHidden/>
          </w:rPr>
          <w:fldChar w:fldCharType="end"/>
        </w:r>
      </w:hyperlink>
    </w:p>
    <w:p w14:paraId="4E786696" w14:textId="2390750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4" w:history="1">
        <w:r w:rsidR="00195E1C" w:rsidRPr="00195E1C">
          <w:rPr>
            <w:rStyle w:val="Hyperlink"/>
            <w:rFonts w:ascii="Times New Roman" w:hAnsi="Times New Roman" w:cs="Times New Roman"/>
            <w:noProof/>
          </w:rPr>
          <w:t xml:space="preserve">Figure 12 </w:t>
        </w:r>
        <w:r w:rsidR="00264BD1">
          <w:rPr>
            <w:rStyle w:val="Hyperlink"/>
            <w:rFonts w:ascii="Times New Roman" w:hAnsi="Times New Roman" w:cs="Times New Roman"/>
            <w:noProof/>
          </w:rPr>
          <w:t>Schematic of photopolymer reaction in thick polymer systems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22</w:t>
        </w:r>
        <w:r w:rsidR="00195E1C" w:rsidRPr="00195E1C">
          <w:rPr>
            <w:rFonts w:ascii="Times New Roman" w:hAnsi="Times New Roman" w:cs="Times New Roman"/>
            <w:noProof/>
            <w:webHidden/>
          </w:rPr>
          <w:fldChar w:fldCharType="end"/>
        </w:r>
      </w:hyperlink>
    </w:p>
    <w:p w14:paraId="7C046FBD" w14:textId="4A3D78B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5" w:history="1">
        <w:r w:rsidR="00195E1C" w:rsidRPr="00195E1C">
          <w:rPr>
            <w:rStyle w:val="Hyperlink"/>
            <w:rFonts w:ascii="Times New Roman" w:hAnsi="Times New Roman" w:cs="Times New Roman"/>
            <w:noProof/>
          </w:rPr>
          <w:t xml:space="preserve">Figure 13 </w:t>
        </w:r>
        <w:r w:rsidR="00264BD1">
          <w:rPr>
            <w:rStyle w:val="Hyperlink"/>
            <w:rFonts w:ascii="Times New Roman" w:hAnsi="Times New Roman" w:cs="Times New Roman"/>
            <w:noProof/>
          </w:rPr>
          <w:t>Chemical structures of Bis-EMA and PETIA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27</w:t>
        </w:r>
        <w:r w:rsidR="00195E1C" w:rsidRPr="00195E1C">
          <w:rPr>
            <w:rFonts w:ascii="Times New Roman" w:hAnsi="Times New Roman" w:cs="Times New Roman"/>
            <w:noProof/>
            <w:webHidden/>
          </w:rPr>
          <w:fldChar w:fldCharType="end"/>
        </w:r>
      </w:hyperlink>
    </w:p>
    <w:p w14:paraId="513FB167" w14:textId="1430B9D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6" w:history="1">
        <w:r w:rsidR="00195E1C" w:rsidRPr="00195E1C">
          <w:rPr>
            <w:rStyle w:val="Hyperlink"/>
            <w:rFonts w:ascii="Times New Roman" w:hAnsi="Times New Roman" w:cs="Times New Roman"/>
            <w:noProof/>
          </w:rPr>
          <w:t>Figure 14 Absorption spectrum for BDMB</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27</w:t>
        </w:r>
        <w:r w:rsidR="00195E1C" w:rsidRPr="00195E1C">
          <w:rPr>
            <w:rFonts w:ascii="Times New Roman" w:hAnsi="Times New Roman" w:cs="Times New Roman"/>
            <w:noProof/>
            <w:webHidden/>
          </w:rPr>
          <w:fldChar w:fldCharType="end"/>
        </w:r>
      </w:hyperlink>
    </w:p>
    <w:p w14:paraId="13858D1E" w14:textId="41A9555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7" w:history="1">
        <w:r w:rsidR="00195E1C" w:rsidRPr="00195E1C">
          <w:rPr>
            <w:rStyle w:val="Hyperlink"/>
            <w:rFonts w:ascii="Times New Roman" w:hAnsi="Times New Roman" w:cs="Times New Roman"/>
            <w:noProof/>
          </w:rPr>
          <w:t>Figure 15 Apparent viscosity vs. shear rate for neat resin formulations of Bis-EMA with varying PETIA content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31</w:t>
        </w:r>
        <w:r w:rsidR="00195E1C" w:rsidRPr="00195E1C">
          <w:rPr>
            <w:rFonts w:ascii="Times New Roman" w:hAnsi="Times New Roman" w:cs="Times New Roman"/>
            <w:noProof/>
            <w:webHidden/>
          </w:rPr>
          <w:fldChar w:fldCharType="end"/>
        </w:r>
      </w:hyperlink>
    </w:p>
    <w:p w14:paraId="0583836E" w14:textId="14F8A2A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8" w:history="1">
        <w:r w:rsidR="00195E1C" w:rsidRPr="00195E1C">
          <w:rPr>
            <w:rStyle w:val="Hyperlink"/>
            <w:rFonts w:ascii="Times New Roman" w:hAnsi="Times New Roman" w:cs="Times New Roman"/>
            <w:noProof/>
          </w:rPr>
          <w:t>Figure 16 Vickers hardness (VHN) with increasing PETIA level</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34</w:t>
        </w:r>
        <w:r w:rsidR="00195E1C" w:rsidRPr="00195E1C">
          <w:rPr>
            <w:rFonts w:ascii="Times New Roman" w:hAnsi="Times New Roman" w:cs="Times New Roman"/>
            <w:noProof/>
            <w:webHidden/>
          </w:rPr>
          <w:fldChar w:fldCharType="end"/>
        </w:r>
      </w:hyperlink>
    </w:p>
    <w:p w14:paraId="2155CA09" w14:textId="12FEE39C"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79" w:history="1">
        <w:r w:rsidR="00195E1C" w:rsidRPr="00195E1C">
          <w:rPr>
            <w:rStyle w:val="Hyperlink"/>
            <w:rFonts w:ascii="Times New Roman" w:hAnsi="Times New Roman" w:cs="Times New Roman"/>
            <w:noProof/>
          </w:rPr>
          <w:t xml:space="preserve">Figure 17 </w:t>
        </w:r>
        <w:r w:rsidR="00264BD1">
          <w:rPr>
            <w:rStyle w:val="Hyperlink"/>
            <w:rFonts w:ascii="Times New Roman" w:hAnsi="Times New Roman" w:cs="Times New Roman"/>
            <w:noProof/>
          </w:rPr>
          <w:t>FTIR results with varying PETIA content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_Toc101365679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34</w:t>
        </w:r>
        <w:r w:rsidR="00195E1C" w:rsidRPr="00195E1C">
          <w:rPr>
            <w:rFonts w:ascii="Times New Roman" w:hAnsi="Times New Roman" w:cs="Times New Roman"/>
            <w:noProof/>
            <w:webHidden/>
          </w:rPr>
          <w:fldChar w:fldCharType="end"/>
        </w:r>
      </w:hyperlink>
    </w:p>
    <w:p w14:paraId="73348226" w14:textId="4B53F05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0" w:history="1">
        <w:r w:rsidR="00195E1C" w:rsidRPr="00195E1C">
          <w:rPr>
            <w:rStyle w:val="Hyperlink"/>
            <w:rFonts w:ascii="Times New Roman" w:hAnsi="Times New Roman" w:cs="Times New Roman"/>
            <w:noProof/>
          </w:rPr>
          <w:t xml:space="preserve">Figure 18 Tensile stress-strain curves </w:t>
        </w:r>
        <w:r w:rsidR="00264BD1">
          <w:rPr>
            <w:rStyle w:val="Hyperlink"/>
            <w:rFonts w:ascii="Times New Roman" w:hAnsi="Times New Roman" w:cs="Times New Roman"/>
            <w:noProof/>
          </w:rPr>
          <w:t>with varying PETIA content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35</w:t>
        </w:r>
        <w:r w:rsidR="00195E1C" w:rsidRPr="00195E1C">
          <w:rPr>
            <w:rFonts w:ascii="Times New Roman" w:hAnsi="Times New Roman" w:cs="Times New Roman"/>
            <w:noProof/>
            <w:webHidden/>
          </w:rPr>
          <w:fldChar w:fldCharType="end"/>
        </w:r>
      </w:hyperlink>
    </w:p>
    <w:p w14:paraId="4071E590" w14:textId="44999B5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1" w:history="1">
        <w:r w:rsidR="00195E1C" w:rsidRPr="00195E1C">
          <w:rPr>
            <w:rStyle w:val="Hyperlink"/>
            <w:rFonts w:ascii="Times New Roman" w:hAnsi="Times New Roman" w:cs="Times New Roman"/>
            <w:noProof/>
          </w:rPr>
          <w:t>Figure 19 Tensile modulus variation by PETIA content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35</w:t>
        </w:r>
        <w:r w:rsidR="00195E1C" w:rsidRPr="00195E1C">
          <w:rPr>
            <w:rFonts w:ascii="Times New Roman" w:hAnsi="Times New Roman" w:cs="Times New Roman"/>
            <w:noProof/>
            <w:webHidden/>
          </w:rPr>
          <w:fldChar w:fldCharType="end"/>
        </w:r>
      </w:hyperlink>
    </w:p>
    <w:p w14:paraId="6C80A598" w14:textId="0981DD6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2" w:history="1">
        <w:r w:rsidR="00195E1C" w:rsidRPr="00195E1C">
          <w:rPr>
            <w:rStyle w:val="Hyperlink"/>
            <w:rFonts w:ascii="Times New Roman" w:hAnsi="Times New Roman" w:cs="Times New Roman"/>
            <w:noProof/>
          </w:rPr>
          <w:t>Figure 20 Tan(δ) curves for Bis-EMA formulations with varying levels of PETIA.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37</w:t>
        </w:r>
        <w:r w:rsidR="00195E1C" w:rsidRPr="00195E1C">
          <w:rPr>
            <w:rFonts w:ascii="Times New Roman" w:hAnsi="Times New Roman" w:cs="Times New Roman"/>
            <w:noProof/>
            <w:webHidden/>
          </w:rPr>
          <w:fldChar w:fldCharType="end"/>
        </w:r>
      </w:hyperlink>
    </w:p>
    <w:p w14:paraId="1E5DA1B8" w14:textId="509E79E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3" w:history="1">
        <w:r w:rsidR="00195E1C" w:rsidRPr="00195E1C">
          <w:rPr>
            <w:rStyle w:val="Hyperlink"/>
            <w:rFonts w:ascii="Times New Roman" w:hAnsi="Times New Roman" w:cs="Times New Roman"/>
            <w:noProof/>
          </w:rPr>
          <w:t>Figure 21 Change in cure-induced shrinkage with PETIA content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39</w:t>
        </w:r>
        <w:r w:rsidR="00195E1C" w:rsidRPr="00195E1C">
          <w:rPr>
            <w:rFonts w:ascii="Times New Roman" w:hAnsi="Times New Roman" w:cs="Times New Roman"/>
            <w:noProof/>
            <w:webHidden/>
          </w:rPr>
          <w:fldChar w:fldCharType="end"/>
        </w:r>
      </w:hyperlink>
    </w:p>
    <w:p w14:paraId="0911E018" w14:textId="74FC5D1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4" w:history="1">
        <w:r w:rsidR="00195E1C" w:rsidRPr="00195E1C">
          <w:rPr>
            <w:rStyle w:val="Hyperlink"/>
            <w:rFonts w:ascii="Times New Roman" w:hAnsi="Times New Roman" w:cs="Times New Roman"/>
            <w:noProof/>
          </w:rPr>
          <w:t>Figure 22 Thermogravimetric analysis of cured 20 wt% PETIA photopolymers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40</w:t>
        </w:r>
        <w:r w:rsidR="00195E1C" w:rsidRPr="00195E1C">
          <w:rPr>
            <w:rFonts w:ascii="Times New Roman" w:hAnsi="Times New Roman" w:cs="Times New Roman"/>
            <w:noProof/>
            <w:webHidden/>
          </w:rPr>
          <w:fldChar w:fldCharType="end"/>
        </w:r>
      </w:hyperlink>
    </w:p>
    <w:p w14:paraId="0DCEC0CE" w14:textId="7E65BB7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5" w:history="1">
        <w:r w:rsidR="00195E1C" w:rsidRPr="00195E1C">
          <w:rPr>
            <w:rStyle w:val="Hyperlink"/>
            <w:rFonts w:ascii="Times New Roman" w:hAnsi="Times New Roman" w:cs="Times New Roman"/>
            <w:noProof/>
          </w:rPr>
          <w:t>Figure 23 Fiberglass laminate curing and pseudo-additive manufacturing process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43</w:t>
        </w:r>
        <w:r w:rsidR="00195E1C" w:rsidRPr="00195E1C">
          <w:rPr>
            <w:rFonts w:ascii="Times New Roman" w:hAnsi="Times New Roman" w:cs="Times New Roman"/>
            <w:noProof/>
            <w:webHidden/>
          </w:rPr>
          <w:fldChar w:fldCharType="end"/>
        </w:r>
      </w:hyperlink>
    </w:p>
    <w:p w14:paraId="4FC74845" w14:textId="3819D72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6" w:history="1">
        <w:r w:rsidR="00195E1C" w:rsidRPr="00195E1C">
          <w:rPr>
            <w:rStyle w:val="Hyperlink"/>
            <w:rFonts w:ascii="Times New Roman" w:hAnsi="Times New Roman" w:cs="Times New Roman"/>
            <w:noProof/>
          </w:rPr>
          <w:t>Figure 24 Schematic for the design, fabrication and durability analysis of tooling</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43</w:t>
        </w:r>
        <w:r w:rsidR="00195E1C" w:rsidRPr="00195E1C">
          <w:rPr>
            <w:rFonts w:ascii="Times New Roman" w:hAnsi="Times New Roman" w:cs="Times New Roman"/>
            <w:noProof/>
            <w:webHidden/>
          </w:rPr>
          <w:fldChar w:fldCharType="end"/>
        </w:r>
      </w:hyperlink>
    </w:p>
    <w:p w14:paraId="2B2C6A11" w14:textId="1B81A26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7" w:history="1">
        <w:r w:rsidR="00195E1C" w:rsidRPr="00195E1C">
          <w:rPr>
            <w:rStyle w:val="Hyperlink"/>
            <w:rFonts w:ascii="Times New Roman" w:hAnsi="Times New Roman" w:cs="Times New Roman"/>
            <w:noProof/>
          </w:rPr>
          <w:t xml:space="preserve">Figure 25 </w:t>
        </w:r>
        <w:r w:rsidR="00264BD1">
          <w:rPr>
            <w:rStyle w:val="Hyperlink"/>
            <w:rFonts w:ascii="Times New Roman" w:hAnsi="Times New Roman" w:cs="Times New Roman"/>
            <w:noProof/>
          </w:rPr>
          <w:t>UV cured tools used in case study</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45</w:t>
        </w:r>
        <w:r w:rsidR="00195E1C" w:rsidRPr="00195E1C">
          <w:rPr>
            <w:rFonts w:ascii="Times New Roman" w:hAnsi="Times New Roman" w:cs="Times New Roman"/>
            <w:noProof/>
            <w:webHidden/>
          </w:rPr>
          <w:fldChar w:fldCharType="end"/>
        </w:r>
      </w:hyperlink>
    </w:p>
    <w:p w14:paraId="61EDD056" w14:textId="7B13287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8" w:history="1">
        <w:r w:rsidR="00195E1C" w:rsidRPr="00195E1C">
          <w:rPr>
            <w:rStyle w:val="Hyperlink"/>
            <w:rFonts w:ascii="Times New Roman" w:hAnsi="Times New Roman" w:cs="Times New Roman"/>
            <w:noProof/>
          </w:rPr>
          <w:t xml:space="preserve">Figure 26 </w:t>
        </w:r>
        <w:r w:rsidR="00264BD1">
          <w:rPr>
            <w:rStyle w:val="Hyperlink"/>
            <w:rFonts w:ascii="Times New Roman" w:hAnsi="Times New Roman" w:cs="Times New Roman"/>
            <w:noProof/>
          </w:rPr>
          <w:t xml:space="preserve">UV cured tools </w:t>
        </w:r>
        <w:r w:rsidR="0029180D">
          <w:rPr>
            <w:rStyle w:val="Hyperlink"/>
            <w:rFonts w:ascii="Times New Roman" w:hAnsi="Times New Roman" w:cs="Times New Roman"/>
            <w:noProof/>
          </w:rPr>
          <w:t>after</w:t>
        </w:r>
        <w:r w:rsidR="00264BD1">
          <w:rPr>
            <w:rStyle w:val="Hyperlink"/>
            <w:rFonts w:ascii="Times New Roman" w:hAnsi="Times New Roman" w:cs="Times New Roman"/>
            <w:noProof/>
          </w:rPr>
          <w:t xml:space="preserve"> </w:t>
        </w:r>
        <w:r w:rsidR="0029180D">
          <w:rPr>
            <w:rStyle w:val="Hyperlink"/>
            <w:rFonts w:ascii="Times New Roman" w:hAnsi="Times New Roman" w:cs="Times New Roman"/>
            <w:noProof/>
          </w:rPr>
          <w:t>thermal curing cycles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46</w:t>
        </w:r>
        <w:r w:rsidR="00195E1C" w:rsidRPr="00195E1C">
          <w:rPr>
            <w:rFonts w:ascii="Times New Roman" w:hAnsi="Times New Roman" w:cs="Times New Roman"/>
            <w:noProof/>
            <w:webHidden/>
          </w:rPr>
          <w:fldChar w:fldCharType="end"/>
        </w:r>
      </w:hyperlink>
    </w:p>
    <w:p w14:paraId="7B5E5BFD" w14:textId="45B071F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89" w:history="1">
        <w:r w:rsidR="00195E1C" w:rsidRPr="00195E1C">
          <w:rPr>
            <w:rStyle w:val="Hyperlink"/>
            <w:rFonts w:ascii="Times New Roman" w:hAnsi="Times New Roman" w:cs="Times New Roman"/>
            <w:noProof/>
          </w:rPr>
          <w:t xml:space="preserve">Figure 27 Vickers hardness </w:t>
        </w:r>
        <w:r w:rsidR="0029180D">
          <w:rPr>
            <w:rStyle w:val="Hyperlink"/>
            <w:rFonts w:ascii="Times New Roman" w:hAnsi="Times New Roman" w:cs="Times New Roman"/>
            <w:noProof/>
          </w:rPr>
          <w:t>for tooling stock with thermal cycling</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_Toc101365689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47</w:t>
        </w:r>
        <w:r w:rsidR="00195E1C" w:rsidRPr="00195E1C">
          <w:rPr>
            <w:rFonts w:ascii="Times New Roman" w:hAnsi="Times New Roman" w:cs="Times New Roman"/>
            <w:noProof/>
            <w:webHidden/>
          </w:rPr>
          <w:fldChar w:fldCharType="end"/>
        </w:r>
      </w:hyperlink>
    </w:p>
    <w:p w14:paraId="6DFBF690" w14:textId="322B3C8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0" w:history="1">
        <w:r w:rsidR="00195E1C" w:rsidRPr="00195E1C">
          <w:rPr>
            <w:rStyle w:val="Hyperlink"/>
            <w:rFonts w:ascii="Times New Roman" w:hAnsi="Times New Roman" w:cs="Times New Roman"/>
            <w:noProof/>
          </w:rPr>
          <w:t>Figure 28 Tan delta response</w:t>
        </w:r>
        <w:r w:rsidR="0029180D">
          <w:rPr>
            <w:rStyle w:val="Hyperlink"/>
            <w:rFonts w:ascii="Times New Roman" w:hAnsi="Times New Roman" w:cs="Times New Roman"/>
            <w:noProof/>
          </w:rPr>
          <w:t xml:space="preserve"> with thermal aging</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49</w:t>
        </w:r>
        <w:r w:rsidR="00195E1C" w:rsidRPr="00195E1C">
          <w:rPr>
            <w:rFonts w:ascii="Times New Roman" w:hAnsi="Times New Roman" w:cs="Times New Roman"/>
            <w:noProof/>
            <w:webHidden/>
          </w:rPr>
          <w:fldChar w:fldCharType="end"/>
        </w:r>
      </w:hyperlink>
    </w:p>
    <w:p w14:paraId="762EE3AD" w14:textId="79E915A9"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1" w:history="1">
        <w:r w:rsidR="00195E1C" w:rsidRPr="00195E1C">
          <w:rPr>
            <w:rStyle w:val="Hyperlink"/>
            <w:rFonts w:ascii="Times New Roman" w:hAnsi="Times New Roman" w:cs="Times New Roman"/>
            <w:noProof/>
          </w:rPr>
          <w:t xml:space="preserve">Figure 29 Deviation analysis for the </w:t>
        </w:r>
        <w:r w:rsidR="0029180D">
          <w:rPr>
            <w:rStyle w:val="Hyperlink"/>
            <w:rFonts w:ascii="Times New Roman" w:hAnsi="Times New Roman" w:cs="Times New Roman"/>
            <w:noProof/>
          </w:rPr>
          <w:t>tooling post thermal cycling</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49</w:t>
        </w:r>
        <w:r w:rsidR="00195E1C" w:rsidRPr="00195E1C">
          <w:rPr>
            <w:rFonts w:ascii="Times New Roman" w:hAnsi="Times New Roman" w:cs="Times New Roman"/>
            <w:noProof/>
            <w:webHidden/>
          </w:rPr>
          <w:fldChar w:fldCharType="end"/>
        </w:r>
      </w:hyperlink>
    </w:p>
    <w:p w14:paraId="7FE15D4E" w14:textId="215452C7"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2" w:history="1">
        <w:r w:rsidR="00195E1C" w:rsidRPr="00195E1C">
          <w:rPr>
            <w:rStyle w:val="Hyperlink"/>
            <w:rFonts w:ascii="Times New Roman" w:hAnsi="Times New Roman" w:cs="Times New Roman"/>
            <w:noProof/>
          </w:rPr>
          <w:t>Figure 30 Schematic depicting the UV-DIW printing process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59</w:t>
        </w:r>
        <w:r w:rsidR="00195E1C" w:rsidRPr="00195E1C">
          <w:rPr>
            <w:rFonts w:ascii="Times New Roman" w:hAnsi="Times New Roman" w:cs="Times New Roman"/>
            <w:noProof/>
            <w:webHidden/>
          </w:rPr>
          <w:fldChar w:fldCharType="end"/>
        </w:r>
      </w:hyperlink>
    </w:p>
    <w:p w14:paraId="03C5641D" w14:textId="79A2CD1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3" w:history="1">
        <w:r w:rsidR="00195E1C" w:rsidRPr="00195E1C">
          <w:rPr>
            <w:rStyle w:val="Hyperlink"/>
            <w:rFonts w:ascii="Times New Roman" w:hAnsi="Times New Roman" w:cs="Times New Roman"/>
            <w:noProof/>
          </w:rPr>
          <w:t xml:space="preserve">Figure 31 </w:t>
        </w:r>
        <w:r w:rsidR="0029180D">
          <w:rPr>
            <w:rStyle w:val="Hyperlink"/>
            <w:rFonts w:ascii="Times New Roman" w:hAnsi="Times New Roman" w:cs="Times New Roman"/>
            <w:noProof/>
          </w:rPr>
          <w:t>Chemical structures of Bis-EMA and PETIA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69</w:t>
        </w:r>
        <w:r w:rsidR="00195E1C" w:rsidRPr="00195E1C">
          <w:rPr>
            <w:rFonts w:ascii="Times New Roman" w:hAnsi="Times New Roman" w:cs="Times New Roman"/>
            <w:noProof/>
            <w:webHidden/>
          </w:rPr>
          <w:fldChar w:fldCharType="end"/>
        </w:r>
      </w:hyperlink>
    </w:p>
    <w:p w14:paraId="469E59DE" w14:textId="437ECAB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4" w:history="1">
        <w:r w:rsidR="00195E1C" w:rsidRPr="00195E1C">
          <w:rPr>
            <w:rStyle w:val="Hyperlink"/>
            <w:rFonts w:ascii="Times New Roman" w:hAnsi="Times New Roman" w:cs="Times New Roman"/>
            <w:noProof/>
          </w:rPr>
          <w:t xml:space="preserve">Figure 32 </w:t>
        </w:r>
        <w:r w:rsidR="0029180D">
          <w:rPr>
            <w:rStyle w:val="Hyperlink"/>
            <w:rFonts w:ascii="Times New Roman" w:hAnsi="Times New Roman" w:cs="Times New Roman"/>
            <w:noProof/>
          </w:rPr>
          <w:t>Chemical structures of BAPO and BDMB</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69</w:t>
        </w:r>
        <w:r w:rsidR="00195E1C" w:rsidRPr="00195E1C">
          <w:rPr>
            <w:rFonts w:ascii="Times New Roman" w:hAnsi="Times New Roman" w:cs="Times New Roman"/>
            <w:noProof/>
            <w:webHidden/>
          </w:rPr>
          <w:fldChar w:fldCharType="end"/>
        </w:r>
      </w:hyperlink>
    </w:p>
    <w:p w14:paraId="43EA6F5E" w14:textId="2D79317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5" w:history="1">
        <w:r w:rsidR="00195E1C" w:rsidRPr="00195E1C">
          <w:rPr>
            <w:rStyle w:val="Hyperlink"/>
            <w:rFonts w:ascii="Times New Roman" w:hAnsi="Times New Roman" w:cs="Times New Roman"/>
            <w:noProof/>
          </w:rPr>
          <w:t>Figure 33 Specimen setup for 60 s irradiation testing at 3 mm specimen thickness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71</w:t>
        </w:r>
        <w:r w:rsidR="00195E1C" w:rsidRPr="00195E1C">
          <w:rPr>
            <w:rFonts w:ascii="Times New Roman" w:hAnsi="Times New Roman" w:cs="Times New Roman"/>
            <w:noProof/>
            <w:webHidden/>
          </w:rPr>
          <w:fldChar w:fldCharType="end"/>
        </w:r>
      </w:hyperlink>
    </w:p>
    <w:p w14:paraId="13BF3B33" w14:textId="78E2BCFD"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6" w:history="1">
        <w:r w:rsidR="00195E1C" w:rsidRPr="00195E1C">
          <w:rPr>
            <w:rStyle w:val="Hyperlink"/>
            <w:rFonts w:ascii="Times New Roman" w:hAnsi="Times New Roman" w:cs="Times New Roman"/>
            <w:noProof/>
          </w:rPr>
          <w:t>Figure 34 The molar absorptivity of BAPO and BDMB</w:t>
        </w:r>
        <w:r w:rsidR="0029180D">
          <w:rPr>
            <w:rStyle w:val="Hyperlink"/>
            <w:rFonts w:ascii="Times New Roman" w:hAnsi="Times New Roman" w:cs="Times New Roman"/>
            <w:noProof/>
          </w:rPr>
          <w:t xml:space="preserve"> with lamp spectrum</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73</w:t>
        </w:r>
        <w:r w:rsidR="00195E1C" w:rsidRPr="00195E1C">
          <w:rPr>
            <w:rFonts w:ascii="Times New Roman" w:hAnsi="Times New Roman" w:cs="Times New Roman"/>
            <w:noProof/>
            <w:webHidden/>
          </w:rPr>
          <w:fldChar w:fldCharType="end"/>
        </w:r>
      </w:hyperlink>
    </w:p>
    <w:p w14:paraId="2A4EC309" w14:textId="54274FA6"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7" w:history="1">
        <w:r w:rsidR="00195E1C" w:rsidRPr="00195E1C">
          <w:rPr>
            <w:rStyle w:val="Hyperlink"/>
            <w:rFonts w:ascii="Times New Roman" w:hAnsi="Times New Roman" w:cs="Times New Roman"/>
            <w:noProof/>
          </w:rPr>
          <w:t xml:space="preserve">Figure 35 </w:t>
        </w:r>
        <w:r w:rsidR="0029180D">
          <w:rPr>
            <w:rStyle w:val="Hyperlink"/>
            <w:rFonts w:ascii="Times New Roman" w:hAnsi="Times New Roman" w:cs="Times New Roman"/>
            <w:noProof/>
          </w:rPr>
          <w:t>M</w:t>
        </w:r>
        <w:r w:rsidR="00195E1C" w:rsidRPr="00195E1C">
          <w:rPr>
            <w:rStyle w:val="Hyperlink"/>
            <w:rFonts w:ascii="Times New Roman" w:hAnsi="Times New Roman" w:cs="Times New Roman"/>
            <w:noProof/>
          </w:rPr>
          <w:t xml:space="preserve">olar absorptivity of BAPO and BDMB PIs </w:t>
        </w:r>
        <w:r w:rsidR="0029180D">
          <w:rPr>
            <w:rStyle w:val="Hyperlink"/>
            <w:rFonts w:ascii="Times New Roman" w:hAnsi="Times New Roman" w:cs="Times New Roman"/>
            <w:noProof/>
          </w:rPr>
          <w:t xml:space="preserve">and </w:t>
        </w:r>
        <w:r w:rsidR="00195E1C" w:rsidRPr="00195E1C">
          <w:rPr>
            <w:rStyle w:val="Hyperlink"/>
            <w:rFonts w:ascii="Times New Roman" w:hAnsi="Times New Roman" w:cs="Times New Roman"/>
            <w:noProof/>
          </w:rPr>
          <w:t>PI byproducts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73</w:t>
        </w:r>
        <w:r w:rsidR="00195E1C" w:rsidRPr="00195E1C">
          <w:rPr>
            <w:rFonts w:ascii="Times New Roman" w:hAnsi="Times New Roman" w:cs="Times New Roman"/>
            <w:noProof/>
            <w:webHidden/>
          </w:rPr>
          <w:fldChar w:fldCharType="end"/>
        </w:r>
      </w:hyperlink>
    </w:p>
    <w:p w14:paraId="2A9CE9E4" w14:textId="3A87C1EB"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8" w:history="1">
        <w:r w:rsidR="00195E1C" w:rsidRPr="00195E1C">
          <w:rPr>
            <w:rStyle w:val="Hyperlink"/>
            <w:rFonts w:ascii="Times New Roman" w:hAnsi="Times New Roman" w:cs="Times New Roman"/>
            <w:noProof/>
          </w:rPr>
          <w:t>Figure 36 Photoinitiation rate for BAPO system at 1.0 wt% concentration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74</w:t>
        </w:r>
        <w:r w:rsidR="00195E1C" w:rsidRPr="00195E1C">
          <w:rPr>
            <w:rFonts w:ascii="Times New Roman" w:hAnsi="Times New Roman" w:cs="Times New Roman"/>
            <w:noProof/>
            <w:webHidden/>
          </w:rPr>
          <w:fldChar w:fldCharType="end"/>
        </w:r>
      </w:hyperlink>
    </w:p>
    <w:p w14:paraId="60C59D74" w14:textId="3E16B5ED"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699" w:history="1">
        <w:r w:rsidR="00195E1C" w:rsidRPr="00195E1C">
          <w:rPr>
            <w:rStyle w:val="Hyperlink"/>
            <w:rFonts w:ascii="Times New Roman" w:hAnsi="Times New Roman" w:cs="Times New Roman"/>
            <w:noProof/>
          </w:rPr>
          <w:t>Figure 37 Photoinitiation rate at 3 mm depth with varying concentrations of BAPO.</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_Toc101365699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74</w:t>
        </w:r>
        <w:r w:rsidR="00195E1C" w:rsidRPr="00195E1C">
          <w:rPr>
            <w:rFonts w:ascii="Times New Roman" w:hAnsi="Times New Roman" w:cs="Times New Roman"/>
            <w:noProof/>
            <w:webHidden/>
          </w:rPr>
          <w:fldChar w:fldCharType="end"/>
        </w:r>
      </w:hyperlink>
    </w:p>
    <w:p w14:paraId="18364BE0" w14:textId="523DC9D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0" w:history="1">
        <w:r w:rsidR="00195E1C" w:rsidRPr="00195E1C">
          <w:rPr>
            <w:rStyle w:val="Hyperlink"/>
            <w:rFonts w:ascii="Times New Roman" w:hAnsi="Times New Roman" w:cs="Times New Roman"/>
            <w:noProof/>
          </w:rPr>
          <w:t xml:space="preserve">Figure 38 Experimental values for transmitted light intensity at varying </w:t>
        </w:r>
        <w:r w:rsidR="0029180D">
          <w:rPr>
            <w:rStyle w:val="Hyperlink"/>
            <w:rFonts w:ascii="Times New Roman" w:hAnsi="Times New Roman" w:cs="Times New Roman"/>
            <w:noProof/>
          </w:rPr>
          <w:t>PI wt%</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76</w:t>
        </w:r>
        <w:r w:rsidR="00195E1C" w:rsidRPr="00195E1C">
          <w:rPr>
            <w:rFonts w:ascii="Times New Roman" w:hAnsi="Times New Roman" w:cs="Times New Roman"/>
            <w:noProof/>
            <w:webHidden/>
          </w:rPr>
          <w:fldChar w:fldCharType="end"/>
        </w:r>
      </w:hyperlink>
    </w:p>
    <w:p w14:paraId="760996F4" w14:textId="037F0F69"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1" w:history="1">
        <w:r w:rsidR="00195E1C" w:rsidRPr="00195E1C">
          <w:rPr>
            <w:rStyle w:val="Hyperlink"/>
            <w:rFonts w:ascii="Times New Roman" w:hAnsi="Times New Roman" w:cs="Times New Roman"/>
            <w:noProof/>
          </w:rPr>
          <w:t>Figure 39 Polymerization rate for BAPO and BDMB at various concentrations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76</w:t>
        </w:r>
        <w:r w:rsidR="00195E1C" w:rsidRPr="00195E1C">
          <w:rPr>
            <w:rFonts w:ascii="Times New Roman" w:hAnsi="Times New Roman" w:cs="Times New Roman"/>
            <w:noProof/>
            <w:webHidden/>
          </w:rPr>
          <w:fldChar w:fldCharType="end"/>
        </w:r>
      </w:hyperlink>
    </w:p>
    <w:p w14:paraId="68F112E3" w14:textId="7192E2DE"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2" w:history="1">
        <w:r w:rsidR="00195E1C" w:rsidRPr="00195E1C">
          <w:rPr>
            <w:rStyle w:val="Hyperlink"/>
            <w:rFonts w:ascii="Times New Roman" w:hAnsi="Times New Roman" w:cs="Times New Roman"/>
            <w:noProof/>
          </w:rPr>
          <w:t>Figure 40 DC post 60 s UV irradiation, measured at 3 mm polymer</w:t>
        </w:r>
        <w:r w:rsidR="0029180D">
          <w:rPr>
            <w:rStyle w:val="Hyperlink"/>
            <w:rFonts w:ascii="Times New Roman" w:hAnsi="Times New Roman" w:cs="Times New Roman"/>
            <w:noProof/>
          </w:rPr>
          <w:t xml:space="preserve"> depth</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78</w:t>
        </w:r>
        <w:r w:rsidR="00195E1C" w:rsidRPr="00195E1C">
          <w:rPr>
            <w:rFonts w:ascii="Times New Roman" w:hAnsi="Times New Roman" w:cs="Times New Roman"/>
            <w:noProof/>
            <w:webHidden/>
          </w:rPr>
          <w:fldChar w:fldCharType="end"/>
        </w:r>
      </w:hyperlink>
    </w:p>
    <w:p w14:paraId="036E7F3C" w14:textId="522AA0F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3" w:history="1">
        <w:r w:rsidR="00195E1C" w:rsidRPr="00195E1C">
          <w:rPr>
            <w:rStyle w:val="Hyperlink"/>
            <w:rFonts w:ascii="Times New Roman" w:hAnsi="Times New Roman" w:cs="Times New Roman"/>
            <w:noProof/>
          </w:rPr>
          <w:t>Figure 41 Cage effect, which can apply to occluded PI molecules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78</w:t>
        </w:r>
        <w:r w:rsidR="00195E1C" w:rsidRPr="00195E1C">
          <w:rPr>
            <w:rFonts w:ascii="Times New Roman" w:hAnsi="Times New Roman" w:cs="Times New Roman"/>
            <w:noProof/>
            <w:webHidden/>
          </w:rPr>
          <w:fldChar w:fldCharType="end"/>
        </w:r>
      </w:hyperlink>
    </w:p>
    <w:p w14:paraId="4113E26F" w14:textId="7933A24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4" w:history="1">
        <w:r w:rsidR="00195E1C" w:rsidRPr="00195E1C">
          <w:rPr>
            <w:rStyle w:val="Hyperlink"/>
            <w:rFonts w:ascii="Times New Roman" w:hAnsi="Times New Roman" w:cs="Times New Roman"/>
            <w:noProof/>
          </w:rPr>
          <w:t>Figure 42 DC for all six formulas as measured at 3 mm depth</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81</w:t>
        </w:r>
        <w:r w:rsidR="00195E1C" w:rsidRPr="00195E1C">
          <w:rPr>
            <w:rFonts w:ascii="Times New Roman" w:hAnsi="Times New Roman" w:cs="Times New Roman"/>
            <w:noProof/>
            <w:webHidden/>
          </w:rPr>
          <w:fldChar w:fldCharType="end"/>
        </w:r>
      </w:hyperlink>
    </w:p>
    <w:p w14:paraId="32E29AA9" w14:textId="213CF98C"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5" w:history="1">
        <w:r w:rsidR="00195E1C" w:rsidRPr="00195E1C">
          <w:rPr>
            <w:rStyle w:val="Hyperlink"/>
            <w:rFonts w:ascii="Times New Roman" w:hAnsi="Times New Roman" w:cs="Times New Roman"/>
            <w:noProof/>
          </w:rPr>
          <w:t xml:space="preserve">Figure 43 Predicted transmitted light intensity at t=0 across the 3.0 mm </w:t>
        </w:r>
        <w:r w:rsidR="0029180D">
          <w:rPr>
            <w:rStyle w:val="Hyperlink"/>
            <w:rFonts w:ascii="Times New Roman" w:hAnsi="Times New Roman" w:cs="Times New Roman"/>
            <w:noProof/>
          </w:rPr>
          <w:t>depth</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85</w:t>
        </w:r>
        <w:r w:rsidR="00195E1C" w:rsidRPr="00195E1C">
          <w:rPr>
            <w:rFonts w:ascii="Times New Roman" w:hAnsi="Times New Roman" w:cs="Times New Roman"/>
            <w:noProof/>
            <w:webHidden/>
          </w:rPr>
          <w:fldChar w:fldCharType="end"/>
        </w:r>
      </w:hyperlink>
    </w:p>
    <w:p w14:paraId="3A54132C" w14:textId="73858BC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6" w:history="1">
        <w:r w:rsidR="00195E1C" w:rsidRPr="00195E1C">
          <w:rPr>
            <w:rStyle w:val="Hyperlink"/>
            <w:rFonts w:ascii="Times New Roman" w:hAnsi="Times New Roman" w:cs="Times New Roman"/>
            <w:noProof/>
          </w:rPr>
          <w:t xml:space="preserve">Figure 44 </w:t>
        </w:r>
        <w:r w:rsidR="0029180D">
          <w:rPr>
            <w:rStyle w:val="Hyperlink"/>
            <w:rFonts w:ascii="Times New Roman" w:hAnsi="Times New Roman" w:cs="Times New Roman"/>
            <w:noProof/>
          </w:rPr>
          <w:t>Chemical structure of Bis-EMA and PETIA</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96</w:t>
        </w:r>
        <w:r w:rsidR="00195E1C" w:rsidRPr="00195E1C">
          <w:rPr>
            <w:rFonts w:ascii="Times New Roman" w:hAnsi="Times New Roman" w:cs="Times New Roman"/>
            <w:noProof/>
            <w:webHidden/>
          </w:rPr>
          <w:fldChar w:fldCharType="end"/>
        </w:r>
      </w:hyperlink>
    </w:p>
    <w:p w14:paraId="4670474A" w14:textId="52A4AD1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7" w:history="1">
        <w:r w:rsidR="00195E1C" w:rsidRPr="00195E1C">
          <w:rPr>
            <w:rStyle w:val="Hyperlink"/>
            <w:rFonts w:ascii="Times New Roman" w:hAnsi="Times New Roman" w:cs="Times New Roman"/>
            <w:noProof/>
          </w:rPr>
          <w:t xml:space="preserve">Figure 45 </w:t>
        </w:r>
        <w:r w:rsidR="001B1AC1">
          <w:rPr>
            <w:rStyle w:val="Hyperlink"/>
            <w:rFonts w:ascii="Times New Roman" w:hAnsi="Times New Roman" w:cs="Times New Roman"/>
            <w:noProof/>
          </w:rPr>
          <w:t>Schematic of m</w:t>
        </w:r>
        <w:r w:rsidR="00195E1C" w:rsidRPr="00195E1C">
          <w:rPr>
            <w:rStyle w:val="Hyperlink"/>
            <w:rFonts w:ascii="Times New Roman" w:hAnsi="Times New Roman" w:cs="Times New Roman"/>
            <w:noProof/>
          </w:rPr>
          <w:t>ulti-layer in situ curing of neat resin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96</w:t>
        </w:r>
        <w:r w:rsidR="00195E1C" w:rsidRPr="00195E1C">
          <w:rPr>
            <w:rFonts w:ascii="Times New Roman" w:hAnsi="Times New Roman" w:cs="Times New Roman"/>
            <w:noProof/>
            <w:webHidden/>
          </w:rPr>
          <w:fldChar w:fldCharType="end"/>
        </w:r>
      </w:hyperlink>
    </w:p>
    <w:p w14:paraId="5C6BC696" w14:textId="7C3FEFE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8" w:history="1">
        <w:r w:rsidR="00195E1C" w:rsidRPr="00195E1C">
          <w:rPr>
            <w:rStyle w:val="Hyperlink"/>
            <w:rFonts w:ascii="Times New Roman" w:hAnsi="Times New Roman" w:cs="Times New Roman"/>
            <w:noProof/>
          </w:rPr>
          <w:t xml:space="preserve">Figure 46 </w:t>
        </w:r>
        <w:r w:rsidR="001B1AC1">
          <w:rPr>
            <w:rStyle w:val="Hyperlink"/>
            <w:rFonts w:ascii="Times New Roman" w:hAnsi="Times New Roman" w:cs="Times New Roman"/>
            <w:noProof/>
          </w:rPr>
          <w:t>Schematic of f</w:t>
        </w:r>
        <w:r w:rsidR="00195E1C" w:rsidRPr="00195E1C">
          <w:rPr>
            <w:rStyle w:val="Hyperlink"/>
            <w:rFonts w:ascii="Times New Roman" w:hAnsi="Times New Roman" w:cs="Times New Roman"/>
            <w:noProof/>
          </w:rPr>
          <w:t>iberglass laminate curing and multi-layer process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99</w:t>
        </w:r>
        <w:r w:rsidR="00195E1C" w:rsidRPr="00195E1C">
          <w:rPr>
            <w:rFonts w:ascii="Times New Roman" w:hAnsi="Times New Roman" w:cs="Times New Roman"/>
            <w:noProof/>
            <w:webHidden/>
          </w:rPr>
          <w:fldChar w:fldCharType="end"/>
        </w:r>
      </w:hyperlink>
    </w:p>
    <w:p w14:paraId="2DAE4721" w14:textId="1ABAD256"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09" w:history="1">
        <w:r w:rsidR="00195E1C" w:rsidRPr="00195E1C">
          <w:rPr>
            <w:rStyle w:val="Hyperlink"/>
            <w:rFonts w:ascii="Times New Roman" w:hAnsi="Times New Roman" w:cs="Times New Roman"/>
            <w:noProof/>
          </w:rPr>
          <w:t xml:space="preserve">Figure 47 </w:t>
        </w:r>
        <w:r w:rsidR="001B1AC1">
          <w:rPr>
            <w:rStyle w:val="Hyperlink"/>
            <w:rFonts w:ascii="Times New Roman" w:hAnsi="Times New Roman" w:cs="Times New Roman"/>
            <w:noProof/>
          </w:rPr>
          <w:t xml:space="preserve">Photo of </w:t>
        </w:r>
        <w:r w:rsidR="00195E1C" w:rsidRPr="00195E1C">
          <w:rPr>
            <w:rStyle w:val="Hyperlink"/>
            <w:rFonts w:ascii="Times New Roman" w:hAnsi="Times New Roman" w:cs="Times New Roman"/>
            <w:noProof/>
          </w:rPr>
          <w:t>UV LED lamp mounted to a linear stage</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_Toc101365709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100</w:t>
        </w:r>
        <w:r w:rsidR="00195E1C" w:rsidRPr="00195E1C">
          <w:rPr>
            <w:rFonts w:ascii="Times New Roman" w:hAnsi="Times New Roman" w:cs="Times New Roman"/>
            <w:noProof/>
            <w:webHidden/>
          </w:rPr>
          <w:fldChar w:fldCharType="end"/>
        </w:r>
      </w:hyperlink>
    </w:p>
    <w:p w14:paraId="11EB8047" w14:textId="0064A267"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0" w:history="1">
        <w:r w:rsidR="00195E1C" w:rsidRPr="00195E1C">
          <w:rPr>
            <w:rStyle w:val="Hyperlink"/>
            <w:rFonts w:ascii="Times New Roman" w:hAnsi="Times New Roman" w:cs="Times New Roman"/>
            <w:noProof/>
          </w:rPr>
          <w:t>Figure 48 Partial set of measurements for nanoindentation dataset locations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102</w:t>
        </w:r>
        <w:r w:rsidR="00195E1C" w:rsidRPr="00195E1C">
          <w:rPr>
            <w:rFonts w:ascii="Times New Roman" w:hAnsi="Times New Roman" w:cs="Times New Roman"/>
            <w:noProof/>
            <w:webHidden/>
          </w:rPr>
          <w:fldChar w:fldCharType="end"/>
        </w:r>
      </w:hyperlink>
    </w:p>
    <w:p w14:paraId="12A4DB9E" w14:textId="558CDABC"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1" w:history="1">
        <w:r w:rsidR="00195E1C" w:rsidRPr="00195E1C">
          <w:rPr>
            <w:rStyle w:val="Hyperlink"/>
            <w:rFonts w:ascii="Times New Roman" w:hAnsi="Times New Roman" w:cs="Times New Roman"/>
            <w:noProof/>
          </w:rPr>
          <w:t>Figure 49 Example nanoindentation pattern for photopolymer composites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102</w:t>
        </w:r>
        <w:r w:rsidR="00195E1C" w:rsidRPr="00195E1C">
          <w:rPr>
            <w:rFonts w:ascii="Times New Roman" w:hAnsi="Times New Roman" w:cs="Times New Roman"/>
            <w:noProof/>
            <w:webHidden/>
          </w:rPr>
          <w:fldChar w:fldCharType="end"/>
        </w:r>
      </w:hyperlink>
    </w:p>
    <w:p w14:paraId="5989FC3C" w14:textId="2F8BF43D"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2" w:history="1">
        <w:r w:rsidR="00195E1C" w:rsidRPr="00195E1C">
          <w:rPr>
            <w:rStyle w:val="Hyperlink"/>
            <w:rFonts w:ascii="Times New Roman" w:hAnsi="Times New Roman" w:cs="Times New Roman"/>
            <w:noProof/>
          </w:rPr>
          <w:t>Figure 50 Top and bottom surface DC with various cure conditions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103</w:t>
        </w:r>
        <w:r w:rsidR="00195E1C" w:rsidRPr="00195E1C">
          <w:rPr>
            <w:rFonts w:ascii="Times New Roman" w:hAnsi="Times New Roman" w:cs="Times New Roman"/>
            <w:noProof/>
            <w:webHidden/>
          </w:rPr>
          <w:fldChar w:fldCharType="end"/>
        </w:r>
      </w:hyperlink>
    </w:p>
    <w:p w14:paraId="1D9E80B6" w14:textId="4C6A2CCD"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3" w:history="1">
        <w:r w:rsidR="00195E1C" w:rsidRPr="00195E1C">
          <w:rPr>
            <w:rStyle w:val="Hyperlink"/>
            <w:rFonts w:ascii="Times New Roman" w:hAnsi="Times New Roman" w:cs="Times New Roman"/>
            <w:noProof/>
          </w:rPr>
          <w:t>Figure 51 DMA curves for various cure conditions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104</w:t>
        </w:r>
        <w:r w:rsidR="00195E1C" w:rsidRPr="00195E1C">
          <w:rPr>
            <w:rFonts w:ascii="Times New Roman" w:hAnsi="Times New Roman" w:cs="Times New Roman"/>
            <w:noProof/>
            <w:webHidden/>
          </w:rPr>
          <w:fldChar w:fldCharType="end"/>
        </w:r>
      </w:hyperlink>
    </w:p>
    <w:p w14:paraId="64BC83B5" w14:textId="63F1168B"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4" w:history="1">
        <w:r w:rsidR="00195E1C" w:rsidRPr="00195E1C">
          <w:rPr>
            <w:rStyle w:val="Hyperlink"/>
            <w:rFonts w:ascii="Times New Roman" w:hAnsi="Times New Roman" w:cs="Times New Roman"/>
            <w:noProof/>
          </w:rPr>
          <w:t>Figure 52 TGA results for various cure conditions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107</w:t>
        </w:r>
        <w:r w:rsidR="00195E1C" w:rsidRPr="00195E1C">
          <w:rPr>
            <w:rFonts w:ascii="Times New Roman" w:hAnsi="Times New Roman" w:cs="Times New Roman"/>
            <w:noProof/>
            <w:webHidden/>
          </w:rPr>
          <w:fldChar w:fldCharType="end"/>
        </w:r>
      </w:hyperlink>
    </w:p>
    <w:p w14:paraId="2F159C6F" w14:textId="291C2FDE"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5" w:history="1">
        <w:r w:rsidR="00195E1C" w:rsidRPr="00195E1C">
          <w:rPr>
            <w:rStyle w:val="Hyperlink"/>
            <w:rFonts w:ascii="Times New Roman" w:hAnsi="Times New Roman" w:cs="Times New Roman"/>
            <w:noProof/>
          </w:rPr>
          <w:t>Figure 53 DSC results for liquid 80:20 blend of Bis-EMA:PETIA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107</w:t>
        </w:r>
        <w:r w:rsidR="00195E1C" w:rsidRPr="00195E1C">
          <w:rPr>
            <w:rFonts w:ascii="Times New Roman" w:hAnsi="Times New Roman" w:cs="Times New Roman"/>
            <w:noProof/>
            <w:webHidden/>
          </w:rPr>
          <w:fldChar w:fldCharType="end"/>
        </w:r>
      </w:hyperlink>
    </w:p>
    <w:p w14:paraId="6B1F1474" w14:textId="621DB9C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6" w:history="1">
        <w:r w:rsidR="00195E1C" w:rsidRPr="00195E1C">
          <w:rPr>
            <w:rStyle w:val="Hyperlink"/>
            <w:rFonts w:ascii="Times New Roman" w:hAnsi="Times New Roman" w:cs="Times New Roman"/>
            <w:noProof/>
          </w:rPr>
          <w:t>Figure 54 Degree of conversion across the depth of a 3 mm specimen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110</w:t>
        </w:r>
        <w:r w:rsidR="00195E1C" w:rsidRPr="00195E1C">
          <w:rPr>
            <w:rFonts w:ascii="Times New Roman" w:hAnsi="Times New Roman" w:cs="Times New Roman"/>
            <w:noProof/>
            <w:webHidden/>
          </w:rPr>
          <w:fldChar w:fldCharType="end"/>
        </w:r>
      </w:hyperlink>
    </w:p>
    <w:p w14:paraId="2260A6F2" w14:textId="07071C2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7" w:history="1">
        <w:r w:rsidR="00195E1C" w:rsidRPr="00195E1C">
          <w:rPr>
            <w:rStyle w:val="Hyperlink"/>
            <w:rFonts w:ascii="Times New Roman" w:hAnsi="Times New Roman" w:cs="Times New Roman"/>
            <w:noProof/>
          </w:rPr>
          <w:t>Figure 55 Hardness values via nanoindentation across specimen depth for neat resin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110</w:t>
        </w:r>
        <w:r w:rsidR="00195E1C" w:rsidRPr="00195E1C">
          <w:rPr>
            <w:rFonts w:ascii="Times New Roman" w:hAnsi="Times New Roman" w:cs="Times New Roman"/>
            <w:noProof/>
            <w:webHidden/>
          </w:rPr>
          <w:fldChar w:fldCharType="end"/>
        </w:r>
      </w:hyperlink>
    </w:p>
    <w:p w14:paraId="70F14EAE" w14:textId="17FC9A5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8" w:history="1">
        <w:r w:rsidR="00195E1C" w:rsidRPr="00195E1C">
          <w:rPr>
            <w:rStyle w:val="Hyperlink"/>
            <w:rFonts w:ascii="Times New Roman" w:hAnsi="Times New Roman" w:cs="Times New Roman"/>
            <w:noProof/>
          </w:rPr>
          <w:t>Figure 56 D</w:t>
        </w:r>
        <w:r w:rsidR="001B1AC1">
          <w:rPr>
            <w:rStyle w:val="Hyperlink"/>
            <w:rFonts w:ascii="Times New Roman" w:hAnsi="Times New Roman" w:cs="Times New Roman"/>
            <w:noProof/>
          </w:rPr>
          <w:t>C</w:t>
        </w:r>
        <w:r w:rsidR="00195E1C" w:rsidRPr="00195E1C">
          <w:rPr>
            <w:rStyle w:val="Hyperlink"/>
            <w:rFonts w:ascii="Times New Roman" w:hAnsi="Times New Roman" w:cs="Times New Roman"/>
            <w:noProof/>
          </w:rPr>
          <w:t xml:space="preserve"> on the bottom surface </w:t>
        </w:r>
        <w:r w:rsidR="001B1AC1">
          <w:rPr>
            <w:rStyle w:val="Hyperlink"/>
            <w:rFonts w:ascii="Times New Roman" w:hAnsi="Times New Roman" w:cs="Times New Roman"/>
            <w:noProof/>
          </w:rPr>
          <w:t>with multi-layer irradiation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111</w:t>
        </w:r>
        <w:r w:rsidR="00195E1C" w:rsidRPr="00195E1C">
          <w:rPr>
            <w:rFonts w:ascii="Times New Roman" w:hAnsi="Times New Roman" w:cs="Times New Roman"/>
            <w:noProof/>
            <w:webHidden/>
          </w:rPr>
          <w:fldChar w:fldCharType="end"/>
        </w:r>
      </w:hyperlink>
    </w:p>
    <w:p w14:paraId="74644EF6" w14:textId="0E5513B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19" w:history="1">
        <w:r w:rsidR="00195E1C" w:rsidRPr="00195E1C">
          <w:rPr>
            <w:rStyle w:val="Hyperlink"/>
            <w:rFonts w:ascii="Times New Roman" w:hAnsi="Times New Roman" w:cs="Times New Roman"/>
            <w:noProof/>
          </w:rPr>
          <w:t>Figure 57 FTIR microscopy results</w:t>
        </w:r>
        <w:r w:rsidR="001B1AC1">
          <w:rPr>
            <w:rStyle w:val="Hyperlink"/>
            <w:rFonts w:ascii="Times New Roman" w:hAnsi="Times New Roman" w:cs="Times New Roman"/>
            <w:noProof/>
          </w:rPr>
          <w:t xml:space="preserve"> </w:t>
        </w:r>
        <w:r w:rsidR="00195E1C" w:rsidRPr="00195E1C">
          <w:rPr>
            <w:rStyle w:val="Hyperlink"/>
            <w:rFonts w:ascii="Times New Roman" w:hAnsi="Times New Roman" w:cs="Times New Roman"/>
            <w:noProof/>
          </w:rPr>
          <w:t>for five-layer Low Dose specimens.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_Toc101365719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114</w:t>
        </w:r>
        <w:r w:rsidR="00195E1C" w:rsidRPr="00195E1C">
          <w:rPr>
            <w:rFonts w:ascii="Times New Roman" w:hAnsi="Times New Roman" w:cs="Times New Roman"/>
            <w:noProof/>
            <w:webHidden/>
          </w:rPr>
          <w:fldChar w:fldCharType="end"/>
        </w:r>
      </w:hyperlink>
    </w:p>
    <w:p w14:paraId="473626FB" w14:textId="7922664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0" w:history="1">
        <w:r w:rsidR="00195E1C" w:rsidRPr="00195E1C">
          <w:rPr>
            <w:rStyle w:val="Hyperlink"/>
            <w:rFonts w:ascii="Times New Roman" w:hAnsi="Times New Roman" w:cs="Times New Roman"/>
            <w:noProof/>
          </w:rPr>
          <w:t xml:space="preserve">Figure 58 FTIR microscopy </w:t>
        </w:r>
        <w:r w:rsidR="001B1AC1">
          <w:rPr>
            <w:rStyle w:val="Hyperlink"/>
            <w:rFonts w:ascii="Times New Roman" w:hAnsi="Times New Roman" w:cs="Times New Roman"/>
            <w:noProof/>
          </w:rPr>
          <w:t xml:space="preserve">results </w:t>
        </w:r>
        <w:r w:rsidR="00195E1C" w:rsidRPr="00195E1C">
          <w:rPr>
            <w:rStyle w:val="Hyperlink"/>
            <w:rFonts w:ascii="Times New Roman" w:hAnsi="Times New Roman" w:cs="Times New Roman"/>
            <w:noProof/>
          </w:rPr>
          <w:t>for Medium Dose specimens..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115</w:t>
        </w:r>
        <w:r w:rsidR="00195E1C" w:rsidRPr="00195E1C">
          <w:rPr>
            <w:rFonts w:ascii="Times New Roman" w:hAnsi="Times New Roman" w:cs="Times New Roman"/>
            <w:noProof/>
            <w:webHidden/>
          </w:rPr>
          <w:fldChar w:fldCharType="end"/>
        </w:r>
      </w:hyperlink>
    </w:p>
    <w:p w14:paraId="03824F84" w14:textId="48CE9BA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1" w:history="1">
        <w:r w:rsidR="00195E1C" w:rsidRPr="00195E1C">
          <w:rPr>
            <w:rStyle w:val="Hyperlink"/>
            <w:rFonts w:ascii="Times New Roman" w:hAnsi="Times New Roman" w:cs="Times New Roman"/>
            <w:noProof/>
          </w:rPr>
          <w:t xml:space="preserve">Figure 59 FTIR microscopy </w:t>
        </w:r>
        <w:r w:rsidR="001B1AC1">
          <w:rPr>
            <w:rStyle w:val="Hyperlink"/>
            <w:rFonts w:ascii="Times New Roman" w:hAnsi="Times New Roman" w:cs="Times New Roman"/>
            <w:noProof/>
          </w:rPr>
          <w:t xml:space="preserve">results </w:t>
        </w:r>
        <w:r w:rsidR="00195E1C" w:rsidRPr="00195E1C">
          <w:rPr>
            <w:rStyle w:val="Hyperlink"/>
            <w:rFonts w:ascii="Times New Roman" w:hAnsi="Times New Roman" w:cs="Times New Roman"/>
            <w:noProof/>
          </w:rPr>
          <w:t>for High Dose specimens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116</w:t>
        </w:r>
        <w:r w:rsidR="00195E1C" w:rsidRPr="00195E1C">
          <w:rPr>
            <w:rFonts w:ascii="Times New Roman" w:hAnsi="Times New Roman" w:cs="Times New Roman"/>
            <w:noProof/>
            <w:webHidden/>
          </w:rPr>
          <w:fldChar w:fldCharType="end"/>
        </w:r>
      </w:hyperlink>
    </w:p>
    <w:p w14:paraId="393136BF" w14:textId="72FFC3E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2" w:history="1">
        <w:r w:rsidR="00195E1C" w:rsidRPr="00195E1C">
          <w:rPr>
            <w:rStyle w:val="Hyperlink"/>
            <w:rFonts w:ascii="Times New Roman" w:hAnsi="Times New Roman" w:cs="Times New Roman"/>
            <w:noProof/>
          </w:rPr>
          <w:t>Figure 60 Centerline depth profile of post cured five-layer specimens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118</w:t>
        </w:r>
        <w:r w:rsidR="00195E1C" w:rsidRPr="00195E1C">
          <w:rPr>
            <w:rFonts w:ascii="Times New Roman" w:hAnsi="Times New Roman" w:cs="Times New Roman"/>
            <w:noProof/>
            <w:webHidden/>
          </w:rPr>
          <w:fldChar w:fldCharType="end"/>
        </w:r>
      </w:hyperlink>
    </w:p>
    <w:p w14:paraId="300E1547" w14:textId="1242B034"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3" w:history="1">
        <w:r w:rsidR="00195E1C" w:rsidRPr="00195E1C">
          <w:rPr>
            <w:rStyle w:val="Hyperlink"/>
            <w:rFonts w:ascii="Times New Roman" w:hAnsi="Times New Roman" w:cs="Times New Roman"/>
            <w:noProof/>
          </w:rPr>
          <w:t>Figure 61 Nanoindentation hardness profile across</w:t>
        </w:r>
        <w:r w:rsidR="001B1AC1">
          <w:rPr>
            <w:rStyle w:val="Hyperlink"/>
            <w:rFonts w:ascii="Times New Roman" w:hAnsi="Times New Roman" w:cs="Times New Roman"/>
            <w:noProof/>
          </w:rPr>
          <w:t xml:space="preserve"> composite</w:t>
        </w:r>
        <w:r w:rsidR="00195E1C" w:rsidRPr="00195E1C">
          <w:rPr>
            <w:rStyle w:val="Hyperlink"/>
            <w:rFonts w:ascii="Times New Roman" w:hAnsi="Times New Roman" w:cs="Times New Roman"/>
            <w:noProof/>
          </w:rPr>
          <w:t xml:space="preserve"> layers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118</w:t>
        </w:r>
        <w:r w:rsidR="00195E1C" w:rsidRPr="00195E1C">
          <w:rPr>
            <w:rFonts w:ascii="Times New Roman" w:hAnsi="Times New Roman" w:cs="Times New Roman"/>
            <w:noProof/>
            <w:webHidden/>
          </w:rPr>
          <w:fldChar w:fldCharType="end"/>
        </w:r>
      </w:hyperlink>
    </w:p>
    <w:p w14:paraId="2753211B" w14:textId="6035F09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4" w:history="1">
        <w:r w:rsidR="00195E1C" w:rsidRPr="00195E1C">
          <w:rPr>
            <w:rStyle w:val="Hyperlink"/>
            <w:rFonts w:ascii="Times New Roman" w:hAnsi="Times New Roman" w:cs="Times New Roman"/>
            <w:noProof/>
          </w:rPr>
          <w:t>Figure 62 Interlaminar shear strength for 1 layer composites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120</w:t>
        </w:r>
        <w:r w:rsidR="00195E1C" w:rsidRPr="00195E1C">
          <w:rPr>
            <w:rFonts w:ascii="Times New Roman" w:hAnsi="Times New Roman" w:cs="Times New Roman"/>
            <w:noProof/>
            <w:webHidden/>
          </w:rPr>
          <w:fldChar w:fldCharType="end"/>
        </w:r>
      </w:hyperlink>
    </w:p>
    <w:p w14:paraId="3B29DA42" w14:textId="10CD5A0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5" w:history="1">
        <w:r w:rsidR="00195E1C" w:rsidRPr="00195E1C">
          <w:rPr>
            <w:rStyle w:val="Hyperlink"/>
            <w:rFonts w:ascii="Times New Roman" w:hAnsi="Times New Roman" w:cs="Times New Roman"/>
            <w:noProof/>
          </w:rPr>
          <w:t>Figure 63 For multi-layer, multi-irradiation composites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120</w:t>
        </w:r>
        <w:r w:rsidR="00195E1C" w:rsidRPr="00195E1C">
          <w:rPr>
            <w:rFonts w:ascii="Times New Roman" w:hAnsi="Times New Roman" w:cs="Times New Roman"/>
            <w:noProof/>
            <w:webHidden/>
          </w:rPr>
          <w:fldChar w:fldCharType="end"/>
        </w:r>
      </w:hyperlink>
    </w:p>
    <w:p w14:paraId="4FA6DA76" w14:textId="61C57A1E"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6" w:history="1">
        <w:r w:rsidR="00195E1C" w:rsidRPr="00195E1C">
          <w:rPr>
            <w:rStyle w:val="Hyperlink"/>
            <w:rFonts w:ascii="Times New Roman" w:hAnsi="Times New Roman" w:cs="Times New Roman"/>
            <w:noProof/>
          </w:rPr>
          <w:t xml:space="preserve">Figure 64 Interlaminar shear strength for </w:t>
        </w:r>
        <w:r w:rsidR="001B1AC1">
          <w:rPr>
            <w:rStyle w:val="Hyperlink"/>
            <w:rFonts w:ascii="Times New Roman" w:hAnsi="Times New Roman" w:cs="Times New Roman"/>
            <w:noProof/>
          </w:rPr>
          <w:t>1</w:t>
        </w:r>
        <w:r w:rsidR="00195E1C" w:rsidRPr="00195E1C">
          <w:rPr>
            <w:rStyle w:val="Hyperlink"/>
            <w:rFonts w:ascii="Times New Roman" w:hAnsi="Times New Roman" w:cs="Times New Roman"/>
            <w:noProof/>
          </w:rPr>
          <w:t xml:space="preserve"> layer </w:t>
        </w:r>
        <w:r w:rsidR="001B1AC1">
          <w:rPr>
            <w:rStyle w:val="Hyperlink"/>
            <w:rFonts w:ascii="Times New Roman" w:hAnsi="Times New Roman" w:cs="Times New Roman"/>
            <w:noProof/>
          </w:rPr>
          <w:t>and</w:t>
        </w:r>
        <w:r w:rsidR="00195E1C" w:rsidRPr="00195E1C">
          <w:rPr>
            <w:rStyle w:val="Hyperlink"/>
            <w:rFonts w:ascii="Times New Roman" w:hAnsi="Times New Roman" w:cs="Times New Roman"/>
            <w:noProof/>
          </w:rPr>
          <w:t xml:space="preserve"> </w:t>
        </w:r>
        <w:r w:rsidR="001B1AC1">
          <w:rPr>
            <w:rStyle w:val="Hyperlink"/>
            <w:rFonts w:ascii="Times New Roman" w:hAnsi="Times New Roman" w:cs="Times New Roman"/>
            <w:noProof/>
          </w:rPr>
          <w:t xml:space="preserve">2 </w:t>
        </w:r>
        <w:r w:rsidR="00195E1C" w:rsidRPr="00195E1C">
          <w:rPr>
            <w:rStyle w:val="Hyperlink"/>
            <w:rFonts w:ascii="Times New Roman" w:hAnsi="Times New Roman" w:cs="Times New Roman"/>
            <w:noProof/>
          </w:rPr>
          <w:t xml:space="preserve">layer </w:t>
        </w:r>
        <w:r w:rsidR="001B1AC1">
          <w:rPr>
            <w:rStyle w:val="Hyperlink"/>
            <w:rFonts w:ascii="Times New Roman" w:hAnsi="Times New Roman" w:cs="Times New Roman"/>
            <w:noProof/>
          </w:rPr>
          <w:t>composites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121</w:t>
        </w:r>
        <w:r w:rsidR="00195E1C" w:rsidRPr="00195E1C">
          <w:rPr>
            <w:rFonts w:ascii="Times New Roman" w:hAnsi="Times New Roman" w:cs="Times New Roman"/>
            <w:noProof/>
            <w:webHidden/>
          </w:rPr>
          <w:fldChar w:fldCharType="end"/>
        </w:r>
      </w:hyperlink>
    </w:p>
    <w:p w14:paraId="4F17BB74" w14:textId="3B47DD46"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7" w:history="1">
        <w:r w:rsidR="00195E1C" w:rsidRPr="00195E1C">
          <w:rPr>
            <w:rStyle w:val="Hyperlink"/>
            <w:rFonts w:ascii="Times New Roman" w:hAnsi="Times New Roman" w:cs="Times New Roman"/>
            <w:noProof/>
          </w:rPr>
          <w:t xml:space="preserve">Figure 65 </w:t>
        </w:r>
        <w:r w:rsidR="007D203B">
          <w:rPr>
            <w:rStyle w:val="Hyperlink"/>
            <w:rFonts w:ascii="Times New Roman" w:hAnsi="Times New Roman" w:cs="Times New Roman"/>
            <w:noProof/>
          </w:rPr>
          <w:t>F</w:t>
        </w:r>
        <w:r w:rsidR="00195E1C" w:rsidRPr="00195E1C">
          <w:rPr>
            <w:rStyle w:val="Hyperlink"/>
            <w:rFonts w:ascii="Times New Roman" w:hAnsi="Times New Roman" w:cs="Times New Roman"/>
            <w:noProof/>
          </w:rPr>
          <w:t xml:space="preserve">racture surface for </w:t>
        </w:r>
        <w:r w:rsidR="001B1AC1">
          <w:rPr>
            <w:rStyle w:val="Hyperlink"/>
            <w:rFonts w:ascii="Times New Roman" w:hAnsi="Times New Roman" w:cs="Times New Roman"/>
            <w:noProof/>
          </w:rPr>
          <w:t>1</w:t>
        </w:r>
        <w:r w:rsidR="00195E1C" w:rsidRPr="00195E1C">
          <w:rPr>
            <w:rStyle w:val="Hyperlink"/>
            <w:rFonts w:ascii="Times New Roman" w:hAnsi="Times New Roman" w:cs="Times New Roman"/>
            <w:noProof/>
          </w:rPr>
          <w:t xml:space="preserve"> layer </w:t>
        </w:r>
        <w:r w:rsidR="001B1AC1">
          <w:rPr>
            <w:rStyle w:val="Hyperlink"/>
            <w:rFonts w:ascii="Times New Roman" w:hAnsi="Times New Roman" w:cs="Times New Roman"/>
            <w:noProof/>
          </w:rPr>
          <w:t>composite</w:t>
        </w:r>
        <w:r w:rsidR="00195E1C" w:rsidRPr="00195E1C">
          <w:rPr>
            <w:rStyle w:val="Hyperlink"/>
            <w:rFonts w:ascii="Times New Roman" w:hAnsi="Times New Roman" w:cs="Times New Roman"/>
            <w:noProof/>
          </w:rPr>
          <w:t xml:space="preserve"> at high UV dose</w:t>
        </w:r>
        <w:r w:rsidR="007D203B">
          <w:rPr>
            <w:rStyle w:val="Hyperlink"/>
            <w:rFonts w:ascii="Times New Roman" w:hAnsi="Times New Roman" w:cs="Times New Roman"/>
            <w:noProof/>
          </w:rPr>
          <w:t>, post cured</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123</w:t>
        </w:r>
        <w:r w:rsidR="00195E1C" w:rsidRPr="00195E1C">
          <w:rPr>
            <w:rFonts w:ascii="Times New Roman" w:hAnsi="Times New Roman" w:cs="Times New Roman"/>
            <w:noProof/>
            <w:webHidden/>
          </w:rPr>
          <w:fldChar w:fldCharType="end"/>
        </w:r>
      </w:hyperlink>
    </w:p>
    <w:p w14:paraId="5C7F4222" w14:textId="79E2E34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8" w:history="1">
        <w:r w:rsidR="00195E1C" w:rsidRPr="00195E1C">
          <w:rPr>
            <w:rStyle w:val="Hyperlink"/>
            <w:rFonts w:ascii="Times New Roman" w:hAnsi="Times New Roman" w:cs="Times New Roman"/>
            <w:noProof/>
          </w:rPr>
          <w:t xml:space="preserve">Figure 66 The low UV dose </w:t>
        </w:r>
        <w:r w:rsidR="007D203B">
          <w:rPr>
            <w:rStyle w:val="Hyperlink"/>
            <w:rFonts w:ascii="Times New Roman" w:hAnsi="Times New Roman" w:cs="Times New Roman"/>
            <w:noProof/>
          </w:rPr>
          <w:t xml:space="preserve">2 </w:t>
        </w:r>
        <w:r w:rsidR="00195E1C" w:rsidRPr="00195E1C">
          <w:rPr>
            <w:rStyle w:val="Hyperlink"/>
            <w:rFonts w:ascii="Times New Roman" w:hAnsi="Times New Roman" w:cs="Times New Roman"/>
            <w:noProof/>
          </w:rPr>
          <w:t>layer fracture surface.</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123</w:t>
        </w:r>
        <w:r w:rsidR="00195E1C" w:rsidRPr="00195E1C">
          <w:rPr>
            <w:rFonts w:ascii="Times New Roman" w:hAnsi="Times New Roman" w:cs="Times New Roman"/>
            <w:noProof/>
            <w:webHidden/>
          </w:rPr>
          <w:fldChar w:fldCharType="end"/>
        </w:r>
      </w:hyperlink>
    </w:p>
    <w:p w14:paraId="1918E8E5" w14:textId="58B4830F"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29" w:history="1">
        <w:r w:rsidR="00195E1C" w:rsidRPr="00195E1C">
          <w:rPr>
            <w:rStyle w:val="Hyperlink"/>
            <w:rFonts w:ascii="Times New Roman" w:hAnsi="Times New Roman" w:cs="Times New Roman"/>
            <w:noProof/>
          </w:rPr>
          <w:t>Figure 67 Fracture surfaces for</w:t>
        </w:r>
        <w:r w:rsidR="007D203B">
          <w:rPr>
            <w:rStyle w:val="Hyperlink"/>
            <w:rFonts w:ascii="Times New Roman" w:hAnsi="Times New Roman" w:cs="Times New Roman"/>
            <w:noProof/>
          </w:rPr>
          <w:t xml:space="preserve"> 2 </w:t>
        </w:r>
        <w:r w:rsidR="00195E1C" w:rsidRPr="00195E1C">
          <w:rPr>
            <w:rStyle w:val="Hyperlink"/>
            <w:rFonts w:ascii="Times New Roman" w:hAnsi="Times New Roman" w:cs="Times New Roman"/>
            <w:noProof/>
          </w:rPr>
          <w:t>layer specimens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_Toc101365729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124</w:t>
        </w:r>
        <w:r w:rsidR="00195E1C" w:rsidRPr="00195E1C">
          <w:rPr>
            <w:rFonts w:ascii="Times New Roman" w:hAnsi="Times New Roman" w:cs="Times New Roman"/>
            <w:noProof/>
            <w:webHidden/>
          </w:rPr>
          <w:fldChar w:fldCharType="end"/>
        </w:r>
      </w:hyperlink>
    </w:p>
    <w:p w14:paraId="6BAB6B29" w14:textId="3746D6A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0" w:history="1">
        <w:r w:rsidR="00195E1C" w:rsidRPr="00195E1C">
          <w:rPr>
            <w:rStyle w:val="Hyperlink"/>
            <w:rFonts w:ascii="Times New Roman" w:hAnsi="Times New Roman" w:cs="Times New Roman"/>
            <w:noProof/>
          </w:rPr>
          <w:t xml:space="preserve">Figure 68 FTIR Microscopy results for a </w:t>
        </w:r>
        <w:r w:rsidR="007D203B">
          <w:rPr>
            <w:rStyle w:val="Hyperlink"/>
            <w:rFonts w:ascii="Times New Roman" w:hAnsi="Times New Roman" w:cs="Times New Roman"/>
            <w:noProof/>
          </w:rPr>
          <w:t xml:space="preserve">poorly cured </w:t>
        </w:r>
        <w:r w:rsidR="00195E1C" w:rsidRPr="00195E1C">
          <w:rPr>
            <w:rStyle w:val="Hyperlink"/>
            <w:rFonts w:ascii="Times New Roman" w:hAnsi="Times New Roman" w:cs="Times New Roman"/>
            <w:noProof/>
          </w:rPr>
          <w:t>Low Dose</w:t>
        </w:r>
        <w:r w:rsidR="007D203B">
          <w:rPr>
            <w:rStyle w:val="Hyperlink"/>
            <w:rFonts w:ascii="Times New Roman" w:hAnsi="Times New Roman" w:cs="Times New Roman"/>
            <w:noProof/>
          </w:rPr>
          <w:t xml:space="preserve"> specimen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127</w:t>
        </w:r>
        <w:r w:rsidR="00195E1C" w:rsidRPr="00195E1C">
          <w:rPr>
            <w:rFonts w:ascii="Times New Roman" w:hAnsi="Times New Roman" w:cs="Times New Roman"/>
            <w:noProof/>
            <w:webHidden/>
          </w:rPr>
          <w:fldChar w:fldCharType="end"/>
        </w:r>
      </w:hyperlink>
    </w:p>
    <w:p w14:paraId="2A3AF929" w14:textId="0CEA5D7B"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1" w:history="1">
        <w:r w:rsidR="00195E1C" w:rsidRPr="00195E1C">
          <w:rPr>
            <w:rStyle w:val="Hyperlink"/>
            <w:rFonts w:ascii="Times New Roman" w:hAnsi="Times New Roman" w:cs="Times New Roman"/>
            <w:noProof/>
          </w:rPr>
          <w:t xml:space="preserve">Figure 69 </w:t>
        </w:r>
        <w:r w:rsidR="007D203B">
          <w:rPr>
            <w:rStyle w:val="Hyperlink"/>
            <w:rFonts w:ascii="Times New Roman" w:hAnsi="Times New Roman" w:cs="Times New Roman"/>
            <w:noProof/>
          </w:rPr>
          <w:t>Chemical structure of Bis-EMA</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161</w:t>
        </w:r>
        <w:r w:rsidR="00195E1C" w:rsidRPr="00195E1C">
          <w:rPr>
            <w:rFonts w:ascii="Times New Roman" w:hAnsi="Times New Roman" w:cs="Times New Roman"/>
            <w:noProof/>
            <w:webHidden/>
          </w:rPr>
          <w:fldChar w:fldCharType="end"/>
        </w:r>
      </w:hyperlink>
    </w:p>
    <w:p w14:paraId="337557B6" w14:textId="357F4C9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2" w:history="1">
        <w:r w:rsidR="00195E1C" w:rsidRPr="00195E1C">
          <w:rPr>
            <w:rStyle w:val="Hyperlink"/>
            <w:rFonts w:ascii="Times New Roman" w:hAnsi="Times New Roman" w:cs="Times New Roman"/>
            <w:noProof/>
          </w:rPr>
          <w:t>Figure 70 ESI-MS results for CG Bis-EMA.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161</w:t>
        </w:r>
        <w:r w:rsidR="00195E1C" w:rsidRPr="00195E1C">
          <w:rPr>
            <w:rFonts w:ascii="Times New Roman" w:hAnsi="Times New Roman" w:cs="Times New Roman"/>
            <w:noProof/>
            <w:webHidden/>
          </w:rPr>
          <w:fldChar w:fldCharType="end"/>
        </w:r>
      </w:hyperlink>
    </w:p>
    <w:p w14:paraId="37B2B556" w14:textId="5198FDF2"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3" w:history="1">
        <w:r w:rsidR="00195E1C" w:rsidRPr="00195E1C">
          <w:rPr>
            <w:rStyle w:val="Hyperlink"/>
            <w:rFonts w:ascii="Times New Roman" w:hAnsi="Times New Roman" w:cs="Times New Roman"/>
            <w:noProof/>
          </w:rPr>
          <w:t>Figure 71 ESI-MS results for DG Bis-EMA.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162</w:t>
        </w:r>
        <w:r w:rsidR="00195E1C" w:rsidRPr="00195E1C">
          <w:rPr>
            <w:rFonts w:ascii="Times New Roman" w:hAnsi="Times New Roman" w:cs="Times New Roman"/>
            <w:noProof/>
            <w:webHidden/>
          </w:rPr>
          <w:fldChar w:fldCharType="end"/>
        </w:r>
      </w:hyperlink>
    </w:p>
    <w:p w14:paraId="5DE38460" w14:textId="005BA77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4" w:history="1">
        <w:r w:rsidR="00195E1C" w:rsidRPr="00195E1C">
          <w:rPr>
            <w:rStyle w:val="Hyperlink"/>
            <w:rFonts w:ascii="Times New Roman" w:hAnsi="Times New Roman" w:cs="Times New Roman"/>
            <w:noProof/>
          </w:rPr>
          <w:t xml:space="preserve">Figure 72 Comparison of mass loss in uncured </w:t>
        </w:r>
        <w:r w:rsidR="007D203B">
          <w:rPr>
            <w:rStyle w:val="Hyperlink"/>
            <w:rFonts w:ascii="Times New Roman" w:hAnsi="Times New Roman" w:cs="Times New Roman"/>
            <w:noProof/>
          </w:rPr>
          <w:t>CG Bis-EMA and DG Bis-EMA</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163</w:t>
        </w:r>
        <w:r w:rsidR="00195E1C" w:rsidRPr="00195E1C">
          <w:rPr>
            <w:rFonts w:ascii="Times New Roman" w:hAnsi="Times New Roman" w:cs="Times New Roman"/>
            <w:noProof/>
            <w:webHidden/>
          </w:rPr>
          <w:fldChar w:fldCharType="end"/>
        </w:r>
      </w:hyperlink>
    </w:p>
    <w:p w14:paraId="7C5A326F" w14:textId="7C476C09"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5" w:history="1">
        <w:r w:rsidR="00195E1C" w:rsidRPr="00195E1C">
          <w:rPr>
            <w:rStyle w:val="Hyperlink"/>
            <w:rFonts w:ascii="Times New Roman" w:hAnsi="Times New Roman" w:cs="Times New Roman"/>
            <w:noProof/>
          </w:rPr>
          <w:t>Figure 73 Comparison of mass loss with temperature</w:t>
        </w:r>
        <w:r w:rsidR="007D203B">
          <w:rPr>
            <w:rStyle w:val="Hyperlink"/>
            <w:rFonts w:ascii="Times New Roman" w:hAnsi="Times New Roman" w:cs="Times New Roman"/>
            <w:noProof/>
          </w:rPr>
          <w:t xml:space="preserve"> adjusted</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163</w:t>
        </w:r>
        <w:r w:rsidR="00195E1C" w:rsidRPr="00195E1C">
          <w:rPr>
            <w:rFonts w:ascii="Times New Roman" w:hAnsi="Times New Roman" w:cs="Times New Roman"/>
            <w:noProof/>
            <w:webHidden/>
          </w:rPr>
          <w:fldChar w:fldCharType="end"/>
        </w:r>
      </w:hyperlink>
    </w:p>
    <w:p w14:paraId="2B4DCB2E" w14:textId="17C6CE19"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6" w:history="1">
        <w:r w:rsidR="00195E1C" w:rsidRPr="00195E1C">
          <w:rPr>
            <w:rStyle w:val="Hyperlink"/>
            <w:rFonts w:ascii="Times New Roman" w:hAnsi="Times New Roman" w:cs="Times New Roman"/>
            <w:noProof/>
          </w:rPr>
          <w:t xml:space="preserve">Figure 74 Transmitted light intensity </w:t>
        </w:r>
        <w:r w:rsidR="007D203B">
          <w:rPr>
            <w:rStyle w:val="Hyperlink"/>
            <w:rFonts w:ascii="Times New Roman" w:hAnsi="Times New Roman" w:cs="Times New Roman"/>
            <w:noProof/>
          </w:rPr>
          <w:t>resin comparison</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_Toc101365736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165</w:t>
        </w:r>
        <w:r w:rsidR="00195E1C" w:rsidRPr="00195E1C">
          <w:rPr>
            <w:rFonts w:ascii="Times New Roman" w:hAnsi="Times New Roman" w:cs="Times New Roman"/>
            <w:noProof/>
            <w:webHidden/>
          </w:rPr>
          <w:fldChar w:fldCharType="end"/>
        </w:r>
      </w:hyperlink>
    </w:p>
    <w:p w14:paraId="62786B1E" w14:textId="04E966A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7" w:history="1">
        <w:r w:rsidR="00195E1C" w:rsidRPr="00195E1C">
          <w:rPr>
            <w:rStyle w:val="Hyperlink"/>
            <w:rFonts w:ascii="Times New Roman" w:hAnsi="Times New Roman" w:cs="Times New Roman"/>
            <w:noProof/>
          </w:rPr>
          <w:t xml:space="preserve">Figure 75 UV-Vis absorption spectrum </w:t>
        </w:r>
        <w:r w:rsidR="007D203B">
          <w:rPr>
            <w:rStyle w:val="Hyperlink"/>
            <w:rFonts w:ascii="Times New Roman" w:hAnsi="Times New Roman" w:cs="Times New Roman"/>
            <w:noProof/>
          </w:rPr>
          <w:t>resin comparison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_Toc101365737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165</w:t>
        </w:r>
        <w:r w:rsidR="00195E1C" w:rsidRPr="00195E1C">
          <w:rPr>
            <w:rFonts w:ascii="Times New Roman" w:hAnsi="Times New Roman" w:cs="Times New Roman"/>
            <w:noProof/>
            <w:webHidden/>
          </w:rPr>
          <w:fldChar w:fldCharType="end"/>
        </w:r>
      </w:hyperlink>
    </w:p>
    <w:p w14:paraId="40B23BB5" w14:textId="58775B28"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8" w:history="1">
        <w:r w:rsidR="00195E1C" w:rsidRPr="00195E1C">
          <w:rPr>
            <w:rStyle w:val="Hyperlink"/>
            <w:rFonts w:ascii="Times New Roman" w:hAnsi="Times New Roman" w:cs="Times New Roman"/>
            <w:noProof/>
          </w:rPr>
          <w:t>Figure 76 Nozzle diameter vs. shear rate for various deposition rates</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_Toc101365738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167</w:t>
        </w:r>
        <w:r w:rsidR="00195E1C" w:rsidRPr="00195E1C">
          <w:rPr>
            <w:rFonts w:ascii="Times New Roman" w:hAnsi="Times New Roman" w:cs="Times New Roman"/>
            <w:noProof/>
            <w:webHidden/>
          </w:rPr>
          <w:fldChar w:fldCharType="end"/>
        </w:r>
      </w:hyperlink>
    </w:p>
    <w:p w14:paraId="10A9787B" w14:textId="5CB2054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39" w:history="1">
        <w:r w:rsidR="00195E1C" w:rsidRPr="00195E1C">
          <w:rPr>
            <w:rStyle w:val="Hyperlink"/>
            <w:rFonts w:ascii="Times New Roman" w:hAnsi="Times New Roman" w:cs="Times New Roman"/>
            <w:noProof/>
          </w:rPr>
          <w:t>Figure 77 FTIR spectra for uncured polymer with</w:t>
        </w:r>
        <w:r w:rsidR="007D203B">
          <w:rPr>
            <w:rStyle w:val="Hyperlink"/>
            <w:rFonts w:ascii="Times New Roman" w:hAnsi="Times New Roman" w:cs="Times New Roman"/>
            <w:noProof/>
          </w:rPr>
          <w:t xml:space="preserve"> varying PETIA content</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_Toc101365739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169</w:t>
        </w:r>
        <w:r w:rsidR="00195E1C" w:rsidRPr="00195E1C">
          <w:rPr>
            <w:rFonts w:ascii="Times New Roman" w:hAnsi="Times New Roman" w:cs="Times New Roman"/>
            <w:noProof/>
            <w:webHidden/>
          </w:rPr>
          <w:fldChar w:fldCharType="end"/>
        </w:r>
      </w:hyperlink>
    </w:p>
    <w:p w14:paraId="507FC579" w14:textId="2579EFF0"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0" w:history="1">
        <w:r w:rsidR="00195E1C" w:rsidRPr="00195E1C">
          <w:rPr>
            <w:rStyle w:val="Hyperlink"/>
            <w:rFonts w:ascii="Times New Roman" w:hAnsi="Times New Roman" w:cs="Times New Roman"/>
            <w:noProof/>
          </w:rPr>
          <w:t>Figure 78 Full DMA curves for PETIA content ranging from 0 wt% to 50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_Toc101365740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171</w:t>
        </w:r>
        <w:r w:rsidR="00195E1C" w:rsidRPr="00195E1C">
          <w:rPr>
            <w:rFonts w:ascii="Times New Roman" w:hAnsi="Times New Roman" w:cs="Times New Roman"/>
            <w:noProof/>
            <w:webHidden/>
          </w:rPr>
          <w:fldChar w:fldCharType="end"/>
        </w:r>
      </w:hyperlink>
    </w:p>
    <w:p w14:paraId="50C7950A" w14:textId="4A70E7B3"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1" w:history="1">
        <w:r w:rsidR="00195E1C" w:rsidRPr="00195E1C">
          <w:rPr>
            <w:rStyle w:val="Hyperlink"/>
            <w:rFonts w:ascii="Times New Roman" w:hAnsi="Times New Roman" w:cs="Times New Roman"/>
            <w:noProof/>
          </w:rPr>
          <w:t xml:space="preserve">Figure 79 DMA curves comparing </w:t>
        </w:r>
        <w:r w:rsidR="007D203B">
          <w:rPr>
            <w:rStyle w:val="Hyperlink"/>
            <w:rFonts w:ascii="Times New Roman" w:hAnsi="Times New Roman" w:cs="Times New Roman"/>
            <w:noProof/>
          </w:rPr>
          <w:t>single cantilever and film tension</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_Toc101365741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172</w:t>
        </w:r>
        <w:r w:rsidR="00195E1C" w:rsidRPr="00195E1C">
          <w:rPr>
            <w:rFonts w:ascii="Times New Roman" w:hAnsi="Times New Roman" w:cs="Times New Roman"/>
            <w:noProof/>
            <w:webHidden/>
          </w:rPr>
          <w:fldChar w:fldCharType="end"/>
        </w:r>
      </w:hyperlink>
    </w:p>
    <w:p w14:paraId="13AD718F" w14:textId="0FDDABE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2" w:history="1">
        <w:r w:rsidR="00195E1C" w:rsidRPr="00195E1C">
          <w:rPr>
            <w:rStyle w:val="Hyperlink"/>
            <w:rFonts w:ascii="Times New Roman" w:hAnsi="Times New Roman" w:cs="Times New Roman"/>
            <w:noProof/>
          </w:rPr>
          <w:t>Figure 80 Stress-strain curves for tensile specimens after various cure conditio</w:t>
        </w:r>
        <w:r w:rsidR="007D203B">
          <w:rPr>
            <w:rStyle w:val="Hyperlink"/>
            <w:rFonts w:ascii="Times New Roman" w:hAnsi="Times New Roman" w:cs="Times New Roman"/>
            <w:noProof/>
          </w:rPr>
          <w:t>ns</w:t>
        </w:r>
        <w:r w:rsidR="00195E1C" w:rsidRPr="00195E1C">
          <w:rPr>
            <w:rStyle w:val="Hyperlink"/>
            <w:rFonts w:ascii="Times New Roman" w:hAnsi="Times New Roman" w:cs="Times New Roman"/>
            <w:noProof/>
          </w:rPr>
          <w:t>.</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_Toc101365742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183</w:t>
        </w:r>
        <w:r w:rsidR="00195E1C" w:rsidRPr="00195E1C">
          <w:rPr>
            <w:rFonts w:ascii="Times New Roman" w:hAnsi="Times New Roman" w:cs="Times New Roman"/>
            <w:noProof/>
            <w:webHidden/>
          </w:rPr>
          <w:fldChar w:fldCharType="end"/>
        </w:r>
      </w:hyperlink>
    </w:p>
    <w:p w14:paraId="7FEA3504" w14:textId="7312FC0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3" w:history="1">
        <w:r w:rsidR="00195E1C" w:rsidRPr="00195E1C">
          <w:rPr>
            <w:rStyle w:val="Hyperlink"/>
            <w:rFonts w:ascii="Times New Roman" w:hAnsi="Times New Roman" w:cs="Times New Roman"/>
            <w:noProof/>
          </w:rPr>
          <w:t>Figure 81 DSC Thermogram for liquid Bis-EMA.</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_Toc101365743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184</w:t>
        </w:r>
        <w:r w:rsidR="00195E1C" w:rsidRPr="00195E1C">
          <w:rPr>
            <w:rFonts w:ascii="Times New Roman" w:hAnsi="Times New Roman" w:cs="Times New Roman"/>
            <w:noProof/>
            <w:webHidden/>
          </w:rPr>
          <w:fldChar w:fldCharType="end"/>
        </w:r>
      </w:hyperlink>
    </w:p>
    <w:p w14:paraId="5700D1E3" w14:textId="17D11571"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4" w:history="1">
        <w:r w:rsidR="00195E1C" w:rsidRPr="00195E1C">
          <w:rPr>
            <w:rStyle w:val="Hyperlink"/>
            <w:rFonts w:ascii="Times New Roman" w:hAnsi="Times New Roman" w:cs="Times New Roman"/>
            <w:noProof/>
          </w:rPr>
          <w:t>Figure 82 DSC Thermogram for 80:20 Bis-EMA:PETIA with 0.1 wt% BAPO.</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_Toc101365744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184</w:t>
        </w:r>
        <w:r w:rsidR="00195E1C" w:rsidRPr="00195E1C">
          <w:rPr>
            <w:rFonts w:ascii="Times New Roman" w:hAnsi="Times New Roman" w:cs="Times New Roman"/>
            <w:noProof/>
            <w:webHidden/>
          </w:rPr>
          <w:fldChar w:fldCharType="end"/>
        </w:r>
      </w:hyperlink>
    </w:p>
    <w:p w14:paraId="5580DFFC" w14:textId="4F0ED56A" w:rsidR="00195E1C" w:rsidRPr="00195E1C" w:rsidRDefault="002F73EC">
      <w:pPr>
        <w:pStyle w:val="TableofFigures"/>
        <w:tabs>
          <w:tab w:val="right" w:leader="dot" w:pos="8630"/>
        </w:tabs>
        <w:rPr>
          <w:rFonts w:ascii="Times New Roman" w:eastAsiaTheme="minorEastAsia" w:hAnsi="Times New Roman" w:cs="Times New Roman"/>
          <w:noProof/>
          <w:sz w:val="22"/>
          <w:szCs w:val="22"/>
        </w:rPr>
      </w:pPr>
      <w:hyperlink w:anchor="_Toc101365745" w:history="1">
        <w:r w:rsidR="00195E1C" w:rsidRPr="00195E1C">
          <w:rPr>
            <w:rStyle w:val="Hyperlink"/>
            <w:rFonts w:ascii="Times New Roman" w:hAnsi="Times New Roman" w:cs="Times New Roman"/>
            <w:noProof/>
          </w:rPr>
          <w:t>Figure 83 Post-irradiation change in degree of conversion</w:t>
        </w:r>
        <w:r w:rsidR="00195E1C" w:rsidRPr="00195E1C">
          <w:rPr>
            <w:rFonts w:ascii="Times New Roman" w:hAnsi="Times New Roman" w:cs="Times New Roman"/>
            <w:noProof/>
            <w:webHidden/>
          </w:rPr>
          <w:tab/>
        </w:r>
        <w:r w:rsidR="00195E1C" w:rsidRPr="00195E1C">
          <w:rPr>
            <w:rFonts w:ascii="Times New Roman" w:hAnsi="Times New Roman" w:cs="Times New Roman"/>
            <w:noProof/>
            <w:webHidden/>
          </w:rPr>
          <w:fldChar w:fldCharType="begin"/>
        </w:r>
        <w:r w:rsidR="00195E1C" w:rsidRPr="00195E1C">
          <w:rPr>
            <w:rFonts w:ascii="Times New Roman" w:hAnsi="Times New Roman" w:cs="Times New Roman"/>
            <w:noProof/>
            <w:webHidden/>
          </w:rPr>
          <w:instrText xml:space="preserve"> PAGEREF _Toc101365745 \h </w:instrText>
        </w:r>
        <w:r w:rsidR="00195E1C" w:rsidRPr="00195E1C">
          <w:rPr>
            <w:rFonts w:ascii="Times New Roman" w:hAnsi="Times New Roman" w:cs="Times New Roman"/>
            <w:noProof/>
            <w:webHidden/>
          </w:rPr>
        </w:r>
        <w:r w:rsidR="00195E1C" w:rsidRPr="00195E1C">
          <w:rPr>
            <w:rFonts w:ascii="Times New Roman" w:hAnsi="Times New Roman" w:cs="Times New Roman"/>
            <w:noProof/>
            <w:webHidden/>
          </w:rPr>
          <w:fldChar w:fldCharType="separate"/>
        </w:r>
        <w:r w:rsidR="00195E1C" w:rsidRPr="00195E1C">
          <w:rPr>
            <w:rFonts w:ascii="Times New Roman" w:hAnsi="Times New Roman" w:cs="Times New Roman"/>
            <w:noProof/>
            <w:webHidden/>
          </w:rPr>
          <w:t>185</w:t>
        </w:r>
        <w:r w:rsidR="00195E1C" w:rsidRPr="00195E1C">
          <w:rPr>
            <w:rFonts w:ascii="Times New Roman" w:hAnsi="Times New Roman" w:cs="Times New Roman"/>
            <w:noProof/>
            <w:webHidden/>
          </w:rPr>
          <w:fldChar w:fldCharType="end"/>
        </w:r>
      </w:hyperlink>
    </w:p>
    <w:p w14:paraId="71A8AE97" w14:textId="4C1D9D50" w:rsidR="003C1575" w:rsidRPr="00B32F8A" w:rsidRDefault="00665C7E">
      <w:pPr>
        <w:numPr>
          <w:ilvl w:val="12"/>
          <w:numId w:val="0"/>
        </w:numPr>
        <w:rPr>
          <w:rFonts w:ascii="Times New Roman" w:hAnsi="Times New Roman" w:cs="Times New Roman"/>
        </w:rPr>
        <w:sectPr w:rsidR="003C1575" w:rsidRPr="00B32F8A"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195E1C">
        <w:rPr>
          <w:rFonts w:ascii="Times New Roman" w:hAnsi="Times New Roman" w:cs="Times New Roman"/>
        </w:rPr>
        <w:fldChar w:fldCharType="end"/>
      </w:r>
      <w:bookmarkEnd w:id="1"/>
    </w:p>
    <w:p w14:paraId="0939AED9" w14:textId="720B5F80" w:rsidR="006F1981" w:rsidRPr="00E55557" w:rsidRDefault="00737580" w:rsidP="00BF3517">
      <w:pPr>
        <w:pStyle w:val="Heading1"/>
      </w:pPr>
      <w:bookmarkStart w:id="2" w:name="_Toc101701717"/>
      <w:r>
        <w:lastRenderedPageBreak/>
        <w:t>INTRODUCTION</w:t>
      </w:r>
      <w:bookmarkEnd w:id="2"/>
    </w:p>
    <w:p w14:paraId="04F576C7" w14:textId="77777777" w:rsidR="006F1981" w:rsidRPr="00B32F8A" w:rsidRDefault="006F1981" w:rsidP="00DB3040">
      <w:pPr>
        <w:pStyle w:val="Heading2"/>
      </w:pPr>
      <w:bookmarkStart w:id="3" w:name="_Toc101701718"/>
      <w:r w:rsidRPr="00B32F8A">
        <w:t>Large-</w:t>
      </w:r>
      <w:r>
        <w:t>Format</w:t>
      </w:r>
      <w:r w:rsidRPr="00B32F8A">
        <w:t xml:space="preserve"> Additive Manufacturing</w:t>
      </w:r>
      <w:bookmarkEnd w:id="3"/>
    </w:p>
    <w:p w14:paraId="40F2820E" w14:textId="156F1F02" w:rsidR="006F1981" w:rsidRPr="006F1981" w:rsidRDefault="006F1981" w:rsidP="006F1981">
      <w:pPr>
        <w:numPr>
          <w:ilvl w:val="12"/>
          <w:numId w:val="0"/>
        </w:numPr>
        <w:spacing w:line="360" w:lineRule="auto"/>
        <w:rPr>
          <w:rFonts w:ascii="Times New Roman" w:hAnsi="Times New Roman" w:cs="Times New Roman"/>
        </w:rPr>
      </w:pPr>
      <w:r>
        <w:rPr>
          <w:rFonts w:ascii="Times New Roman" w:hAnsi="Times New Roman" w:cs="Times New Roman"/>
        </w:rPr>
        <w:t xml:space="preserve">Additive Manufacturing (AM) is </w:t>
      </w:r>
      <w:r w:rsidR="00F74031">
        <w:rPr>
          <w:rFonts w:ascii="Times New Roman" w:hAnsi="Times New Roman" w:cs="Times New Roman"/>
        </w:rPr>
        <w:t xml:space="preserve">a </w:t>
      </w:r>
      <w:r>
        <w:rPr>
          <w:rFonts w:ascii="Times New Roman" w:hAnsi="Times New Roman" w:cs="Times New Roman"/>
        </w:rPr>
        <w:t>process by which</w:t>
      </w:r>
      <w:r w:rsidR="00F74031">
        <w:rPr>
          <w:rFonts w:ascii="Times New Roman" w:hAnsi="Times New Roman" w:cs="Times New Roman"/>
        </w:rPr>
        <w:t xml:space="preserve"> </w:t>
      </w:r>
      <w:r>
        <w:rPr>
          <w:rFonts w:ascii="Times New Roman" w:hAnsi="Times New Roman" w:cs="Times New Roman"/>
        </w:rPr>
        <w:t xml:space="preserve">three-dimensional (3D) objects are produced using successive joining of material as specified by 3D model data </w:t>
      </w:r>
      <w:r>
        <w:rPr>
          <w:rFonts w:ascii="Times New Roman" w:hAnsi="Times New Roman" w:cs="Times New Roman"/>
        </w:rPr>
        <w:fldChar w:fldCharType="begin" w:fldLock="1"/>
      </w:r>
      <w:r>
        <w:rPr>
          <w:rFonts w:ascii="Times New Roman" w:hAnsi="Times New Roman" w:cs="Times New Roman"/>
        </w:rPr>
        <w:instrText>ADDIN CSL_CITATION {"citationItems":[{"id":"ITEM-1","itemData":{"URL":"https://www.iso.org/obp/ui/#iso:std:iso-astm:52900:ed-1:v1:en","accessed":{"date-parts":[["2017","7","13"]]},"id":"ITEM-1","issued":{"date-parts":[["0"]]},"title":"ISO/ASTM 52900:2015(en), Additive manufacturing — General principles — Terminology","type":"webpage"},"uris":["http://www.mendeley.com/documents/?uuid=0332b14e-cb3c-3535-a125-5588ea5726e6"]}],"mendeley":{"formattedCitation":"[1]","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sidRPr="003E19DC">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AM technologies first emerged in the 1980s with stereolithography, which used ultraviolet (UV) light to selectively cure polymers in a vat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ohlers","given":"Terry","non-dropping-particle":"","parse-names":false,"suffix":""},{"dropping-particle":"","family":"Gornet","given":"Tim","non-dropping-particle":"","parse-names":false,"suffix":""}],"id":"ITEM-1","issued":{"date-parts":[["2014"]]},"title":"History of additive manufacturing","type":"report"},"uris":["http://www.mendeley.com/documents/?uuid=a84a1e6b-195f-3c41-929f-f2e493d26853"]}],"mendeley":{"formattedCitation":"[2]","plainTextFormattedCitation":"[2]","previouslyFormattedCitation":"[2]"},"properties":{"noteIndex":0},"schema":"https://github.com/citation-style-language/schema/raw/master/csl-citation.json"}</w:instrText>
      </w:r>
      <w:r>
        <w:rPr>
          <w:rFonts w:ascii="Times New Roman" w:hAnsi="Times New Roman" w:cs="Times New Roman"/>
        </w:rPr>
        <w:fldChar w:fldCharType="separate"/>
      </w:r>
      <w:r w:rsidRPr="003E19DC">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More AM technologies followed in rapid succession, </w:t>
      </w:r>
      <w:r w:rsidR="005933CA">
        <w:rPr>
          <w:rFonts w:ascii="Times New Roman" w:hAnsi="Times New Roman" w:cs="Times New Roman"/>
        </w:rPr>
        <w:t>and</w:t>
      </w:r>
      <w:r>
        <w:rPr>
          <w:rFonts w:ascii="Times New Roman" w:hAnsi="Times New Roman" w:cs="Times New Roman"/>
        </w:rPr>
        <w:t xml:space="preserve"> ASTM 52900 </w:t>
      </w:r>
      <w:r w:rsidR="005933CA">
        <w:rPr>
          <w:rFonts w:ascii="Times New Roman" w:hAnsi="Times New Roman" w:cs="Times New Roman"/>
        </w:rPr>
        <w:t>divides these into seven categories</w:t>
      </w:r>
      <w:r>
        <w:rPr>
          <w:rFonts w:ascii="Times New Roman" w:hAnsi="Times New Roman" w:cs="Times New Roman"/>
        </w:rPr>
        <w:t>:</w:t>
      </w:r>
      <w:r w:rsidR="006749E2">
        <w:rPr>
          <w:rFonts w:ascii="Times New Roman" w:hAnsi="Times New Roman" w:cs="Times New Roman"/>
        </w:rPr>
        <w:t xml:space="preserve"> (1) Binder Jetting; (2) Directed energy deposition; (3) Material extrusion; (</w:t>
      </w:r>
      <w:r w:rsidR="00757A68">
        <w:rPr>
          <w:rFonts w:ascii="Times New Roman" w:hAnsi="Times New Roman" w:cs="Times New Roman"/>
        </w:rPr>
        <w:t>4</w:t>
      </w:r>
      <w:r w:rsidR="006749E2">
        <w:rPr>
          <w:rFonts w:ascii="Times New Roman" w:hAnsi="Times New Roman" w:cs="Times New Roman"/>
        </w:rPr>
        <w:t>) Material jetting</w:t>
      </w:r>
      <w:r w:rsidR="00757A68">
        <w:rPr>
          <w:rFonts w:ascii="Times New Roman" w:hAnsi="Times New Roman" w:cs="Times New Roman"/>
        </w:rPr>
        <w:t xml:space="preserve">; (5) Powder bed fusion; (6) Sheet lamination; (7) Vat polymerization. </w:t>
      </w:r>
    </w:p>
    <w:p w14:paraId="7B4FED6E" w14:textId="77777777" w:rsidR="006F1981" w:rsidRPr="003E19DC" w:rsidRDefault="006F1981" w:rsidP="006F1981">
      <w:pPr>
        <w:ind w:left="720"/>
      </w:pPr>
    </w:p>
    <w:p w14:paraId="44549696" w14:textId="4C49EF04" w:rsidR="006F1981" w:rsidRDefault="006F1981" w:rsidP="006F1981">
      <w:pPr>
        <w:numPr>
          <w:ilvl w:val="12"/>
          <w:numId w:val="0"/>
        </w:numPr>
        <w:spacing w:line="360" w:lineRule="auto"/>
        <w:rPr>
          <w:rFonts w:ascii="Times New Roman" w:hAnsi="Times New Roman" w:cs="Times New Roman"/>
        </w:rPr>
      </w:pPr>
      <w:r>
        <w:rPr>
          <w:rFonts w:ascii="Times New Roman" w:hAnsi="Times New Roman" w:cs="Times New Roman"/>
        </w:rPr>
        <w:t>Often referred to as 3D printing</w:t>
      </w:r>
      <w:r w:rsidR="006A692E">
        <w:rPr>
          <w:rFonts w:ascii="Times New Roman" w:hAnsi="Times New Roman" w:cs="Times New Roman"/>
        </w:rPr>
        <w:t xml:space="preserve"> or rapid prototyping</w:t>
      </w:r>
      <w:r>
        <w:rPr>
          <w:rFonts w:ascii="Times New Roman" w:hAnsi="Times New Roman" w:cs="Times New Roman"/>
        </w:rPr>
        <w:t>,</w:t>
      </w:r>
      <w:r w:rsidRPr="00B32F8A">
        <w:rPr>
          <w:rFonts w:ascii="Times New Roman" w:hAnsi="Times New Roman" w:cs="Times New Roman"/>
        </w:rPr>
        <w:t xml:space="preserve"> </w:t>
      </w:r>
      <w:r>
        <w:rPr>
          <w:rFonts w:ascii="Times New Roman" w:hAnsi="Times New Roman" w:cs="Times New Roman"/>
        </w:rPr>
        <w:t>AM technologies have been available commercially since the 1990s</w:t>
      </w:r>
      <w:r w:rsidRPr="00B32F8A">
        <w:rPr>
          <w:rFonts w:ascii="Times New Roman" w:hAnsi="Times New Roman" w:cs="Times New Roman"/>
        </w:rPr>
        <w:t xml:space="preserve">, </w:t>
      </w:r>
      <w:r>
        <w:rPr>
          <w:rFonts w:ascii="Times New Roman" w:hAnsi="Times New Roman" w:cs="Times New Roman"/>
        </w:rPr>
        <w:t xml:space="preserve">but </w:t>
      </w:r>
      <w:r w:rsidR="00111706">
        <w:rPr>
          <w:rFonts w:ascii="Times New Roman" w:hAnsi="Times New Roman" w:cs="Times New Roman"/>
        </w:rPr>
        <w:t>the first 3D printers sold for upwards of $300,000 and</w:t>
      </w:r>
      <w:r w:rsidR="00500145">
        <w:rPr>
          <w:rFonts w:ascii="Times New Roman" w:hAnsi="Times New Roman" w:cs="Times New Roman"/>
        </w:rPr>
        <w:t xml:space="preserve"> had</w:t>
      </w:r>
      <w:r>
        <w:rPr>
          <w:rFonts w:ascii="Times New Roman" w:hAnsi="Times New Roman" w:cs="Times New Roman"/>
        </w:rPr>
        <w:t xml:space="preserve"> </w:t>
      </w:r>
      <w:r w:rsidR="00500145">
        <w:rPr>
          <w:rFonts w:ascii="Times New Roman" w:hAnsi="Times New Roman" w:cs="Times New Roman"/>
        </w:rPr>
        <w:t xml:space="preserve">limited early adoption </w:t>
      </w:r>
      <w:r w:rsidR="00500145">
        <w:rPr>
          <w:rFonts w:ascii="Times New Roman" w:hAnsi="Times New Roman" w:cs="Times New Roman"/>
        </w:rPr>
        <w:fldChar w:fldCharType="begin" w:fldLock="1"/>
      </w:r>
      <w:r w:rsidR="00500145">
        <w:rPr>
          <w:rFonts w:ascii="Times New Roman" w:hAnsi="Times New Roman" w:cs="Times New Roman"/>
        </w:rPr>
        <w:instrText>ADDIN CSL_CITATION {"citationItems":[{"id":"ITEM-1","itemData":{"URL":"https://3dprintingindustry.com/news/evolution-3d-printing-past-present-future-90605/","accessed":{"date-parts":[["2022","3","1"]]},"id":"ITEM-1","issued":{"date-parts":[["0"]]},"title":"The Evolution of 3D Printing: Past, Present and Future - 3D Printing Industry","type":"webpage"},"uris":["http://www.mendeley.com/documents/?uuid=d8a00b8c-3763-35f5-87b2-d3eaa5d4fb7b"]}],"mendeley":{"formattedCitation":"[3]","plainTextFormattedCitation":"[3]","previouslyFormattedCitation":"[3]"},"properties":{"noteIndex":0},"schema":"https://github.com/citation-style-language/schema/raw/master/csl-citation.json"}</w:instrText>
      </w:r>
      <w:r w:rsidR="00500145">
        <w:rPr>
          <w:rFonts w:ascii="Times New Roman" w:hAnsi="Times New Roman" w:cs="Times New Roman"/>
        </w:rPr>
        <w:fldChar w:fldCharType="separate"/>
      </w:r>
      <w:r w:rsidR="00500145" w:rsidRPr="00500145">
        <w:rPr>
          <w:rFonts w:ascii="Times New Roman" w:hAnsi="Times New Roman" w:cs="Times New Roman"/>
          <w:noProof/>
        </w:rPr>
        <w:t>[3]</w:t>
      </w:r>
      <w:r w:rsidR="00500145">
        <w:rPr>
          <w:rFonts w:ascii="Times New Roman" w:hAnsi="Times New Roman" w:cs="Times New Roman"/>
        </w:rPr>
        <w:fldChar w:fldCharType="end"/>
      </w:r>
      <w:r w:rsidRPr="00B32F8A">
        <w:rPr>
          <w:rFonts w:ascii="Times New Roman" w:hAnsi="Times New Roman" w:cs="Times New Roman"/>
        </w:rPr>
        <w:t>.</w:t>
      </w:r>
      <w:r w:rsidR="00500145">
        <w:rPr>
          <w:rFonts w:ascii="Times New Roman" w:hAnsi="Times New Roman" w:cs="Times New Roman"/>
        </w:rPr>
        <w:t xml:space="preserve">  During the 2000s, companies such as Stratasys began marketing more affordable desktop printers, but these still sold for $10,000 to $50,000 </w:t>
      </w:r>
      <w:r w:rsidR="00500145">
        <w:rPr>
          <w:rFonts w:ascii="Times New Roman" w:hAnsi="Times New Roman" w:cs="Times New Roman"/>
        </w:rPr>
        <w:fldChar w:fldCharType="begin" w:fldLock="1"/>
      </w:r>
      <w:r w:rsidR="00DE3748">
        <w:rPr>
          <w:rFonts w:ascii="Times New Roman" w:hAnsi="Times New Roman" w:cs="Times New Roman"/>
        </w:rPr>
        <w:instrText>ADDIN CSL_CITATION {"citationItems":[{"id":"ITEM-1","itemData":{"author":[{"dropping-particle":"","family":"Wohlers","given":"Terry","non-dropping-particle":"","parse-names":false,"suffix":""},{"dropping-particle":"","family":"Gornet","given":"Tim","non-dropping-particle":"","parse-names":false,"suffix":""}],"id":"ITEM-1","issued":{"date-parts":[["2014"]]},"title":"History of additive manufacturing","type":"report"},"uris":["http://www.mendeley.com/documents/?uuid=a84a1e6b-195f-3c41-929f-f2e493d26853"]}],"mendeley":{"formattedCitation":"[2]","plainTextFormattedCitation":"[2]","previouslyFormattedCitation":"[2]"},"properties":{"noteIndex":0},"schema":"https://github.com/citation-style-language/schema/raw/master/csl-citation.json"}</w:instrText>
      </w:r>
      <w:r w:rsidR="00500145">
        <w:rPr>
          <w:rFonts w:ascii="Times New Roman" w:hAnsi="Times New Roman" w:cs="Times New Roman"/>
        </w:rPr>
        <w:fldChar w:fldCharType="separate"/>
      </w:r>
      <w:r w:rsidR="00500145" w:rsidRPr="00500145">
        <w:rPr>
          <w:rFonts w:ascii="Times New Roman" w:hAnsi="Times New Roman" w:cs="Times New Roman"/>
          <w:noProof/>
        </w:rPr>
        <w:t>[2]</w:t>
      </w:r>
      <w:r w:rsidR="00500145">
        <w:rPr>
          <w:rFonts w:ascii="Times New Roman" w:hAnsi="Times New Roman" w:cs="Times New Roman"/>
        </w:rPr>
        <w:fldChar w:fldCharType="end"/>
      </w:r>
      <w:r w:rsidR="00500145">
        <w:rPr>
          <w:rFonts w:ascii="Times New Roman" w:hAnsi="Times New Roman" w:cs="Times New Roman"/>
        </w:rPr>
        <w:t>.</w:t>
      </w:r>
      <w:r w:rsidRPr="00B32F8A">
        <w:rPr>
          <w:rFonts w:ascii="Times New Roman" w:hAnsi="Times New Roman" w:cs="Times New Roman"/>
        </w:rPr>
        <w:t xml:space="preserve"> </w:t>
      </w:r>
      <w:r w:rsidR="00500145">
        <w:rPr>
          <w:rFonts w:ascii="Times New Roman" w:hAnsi="Times New Roman" w:cs="Times New Roman"/>
        </w:rPr>
        <w:t xml:space="preserve">It wasn’t until </w:t>
      </w:r>
      <w:r w:rsidRPr="00B32F8A">
        <w:rPr>
          <w:rFonts w:ascii="Times New Roman" w:hAnsi="Times New Roman" w:cs="Times New Roman"/>
        </w:rPr>
        <w:t xml:space="preserve">the original patents </w:t>
      </w:r>
      <w:r w:rsidR="005933CA">
        <w:rPr>
          <w:rFonts w:ascii="Times New Roman" w:hAnsi="Times New Roman" w:cs="Times New Roman"/>
        </w:rPr>
        <w:t>protecting</w:t>
      </w:r>
      <w:r w:rsidRPr="00B32F8A">
        <w:rPr>
          <w:rFonts w:ascii="Times New Roman" w:hAnsi="Times New Roman" w:cs="Times New Roman"/>
        </w:rPr>
        <w:t xml:space="preserve"> these technologies </w:t>
      </w:r>
      <w:r>
        <w:rPr>
          <w:rFonts w:ascii="Times New Roman" w:hAnsi="Times New Roman" w:cs="Times New Roman"/>
        </w:rPr>
        <w:t>expired</w:t>
      </w:r>
      <w:r w:rsidR="00500145">
        <w:rPr>
          <w:rFonts w:ascii="Times New Roman" w:hAnsi="Times New Roman" w:cs="Times New Roman"/>
        </w:rPr>
        <w:t xml:space="preserve"> that</w:t>
      </w:r>
      <w:r w:rsidRPr="00B32F8A">
        <w:rPr>
          <w:rFonts w:ascii="Times New Roman" w:hAnsi="Times New Roman" w:cs="Times New Roman"/>
        </w:rPr>
        <w:t xml:space="preserve"> desktop printers began to emerge that were affordable for hobbyists.</w:t>
      </w:r>
      <w:r>
        <w:rPr>
          <w:rFonts w:ascii="Times New Roman" w:hAnsi="Times New Roman" w:cs="Times New Roman"/>
        </w:rPr>
        <w:t xml:space="preserve">  Most notably, in 2009, the patent</w:t>
      </w:r>
      <w:r w:rsidR="006A692E">
        <w:rPr>
          <w:rFonts w:ascii="Times New Roman" w:hAnsi="Times New Roman" w:cs="Times New Roman"/>
        </w:rPr>
        <w:t xml:space="preserve"> held by Stratasys</w:t>
      </w:r>
      <w:r>
        <w:rPr>
          <w:rFonts w:ascii="Times New Roman" w:hAnsi="Times New Roman" w:cs="Times New Roman"/>
        </w:rPr>
        <w:t xml:space="preserve"> </w:t>
      </w:r>
      <w:r w:rsidR="006A692E">
        <w:rPr>
          <w:rFonts w:ascii="Times New Roman" w:hAnsi="Times New Roman" w:cs="Times New Roman"/>
        </w:rPr>
        <w:t>expired for</w:t>
      </w:r>
      <w:r>
        <w:rPr>
          <w:rFonts w:ascii="Times New Roman" w:hAnsi="Times New Roman" w:cs="Times New Roman"/>
        </w:rPr>
        <w:t xml:space="preserve"> a material extrusion process called Fused Deposition Modeling (FDM)</w:t>
      </w:r>
      <w:r w:rsidR="0041449C">
        <w:rPr>
          <w:rFonts w:ascii="Times New Roman" w:hAnsi="Times New Roman" w:cs="Times New Roman"/>
        </w:rPr>
        <w:t xml:space="preserve">, </w:t>
      </w:r>
      <w:r w:rsidR="00500145">
        <w:rPr>
          <w:rFonts w:ascii="Times New Roman" w:hAnsi="Times New Roman" w:cs="Times New Roman"/>
        </w:rPr>
        <w:t>and</w:t>
      </w:r>
      <w:r w:rsidR="006A692E">
        <w:rPr>
          <w:rFonts w:ascii="Times New Roman" w:hAnsi="Times New Roman" w:cs="Times New Roman"/>
        </w:rPr>
        <w:t xml:space="preserve"> start-up </w:t>
      </w:r>
      <w:r>
        <w:rPr>
          <w:rFonts w:ascii="Times New Roman" w:hAnsi="Times New Roman" w:cs="Times New Roman"/>
        </w:rPr>
        <w:t>MakerBot introduced a</w:t>
      </w:r>
      <w:r w:rsidR="006A692E">
        <w:rPr>
          <w:rFonts w:ascii="Times New Roman" w:hAnsi="Times New Roman" w:cs="Times New Roman"/>
        </w:rPr>
        <w:t xml:space="preserve"> competing</w:t>
      </w:r>
      <w:r>
        <w:rPr>
          <w:rFonts w:ascii="Times New Roman" w:hAnsi="Times New Roman" w:cs="Times New Roman"/>
        </w:rPr>
        <w:t xml:space="preserve"> $750 3D printer kit based on</w:t>
      </w:r>
      <w:r w:rsidR="006A692E">
        <w:rPr>
          <w:rFonts w:ascii="Times New Roman" w:hAnsi="Times New Roman" w:cs="Times New Roman"/>
        </w:rPr>
        <w:t xml:space="preserve"> </w:t>
      </w:r>
      <w:r>
        <w:rPr>
          <w:rFonts w:ascii="Times New Roman" w:hAnsi="Times New Roman" w:cs="Times New Roman"/>
        </w:rPr>
        <w:t>FDM technology.  MakerBot became one of a new generation of 3D printer companies to</w:t>
      </w:r>
      <w:r w:rsidR="00DE3748">
        <w:rPr>
          <w:rFonts w:ascii="Times New Roman" w:hAnsi="Times New Roman" w:cs="Times New Roman"/>
        </w:rPr>
        <w:t xml:space="preserve"> help</w:t>
      </w:r>
      <w:r>
        <w:rPr>
          <w:rFonts w:ascii="Times New Roman" w:hAnsi="Times New Roman" w:cs="Times New Roman"/>
        </w:rPr>
        <w:t xml:space="preserve"> create a market for affordable personal 3D printers</w:t>
      </w:r>
      <w:r w:rsidR="00DE3748">
        <w:rPr>
          <w:rFonts w:ascii="Times New Roman" w:hAnsi="Times New Roman" w:cs="Times New Roman"/>
        </w:rPr>
        <w:t>, ushering in</w:t>
      </w:r>
      <w:r w:rsidR="00500145">
        <w:rPr>
          <w:rFonts w:ascii="Times New Roman" w:hAnsi="Times New Roman" w:cs="Times New Roman"/>
        </w:rPr>
        <w:t xml:space="preserve"> broader public </w:t>
      </w:r>
      <w:r w:rsidR="00DE3748">
        <w:rPr>
          <w:rFonts w:ascii="Times New Roman" w:hAnsi="Times New Roman" w:cs="Times New Roman"/>
        </w:rPr>
        <w:t>interest</w:t>
      </w:r>
      <w:r w:rsidR="00500145">
        <w:rPr>
          <w:rFonts w:ascii="Times New Roman" w:hAnsi="Times New Roman" w:cs="Times New Roman"/>
        </w:rPr>
        <w:t xml:space="preserve"> </w:t>
      </w:r>
      <w:r w:rsidR="00DE3748">
        <w:rPr>
          <w:rFonts w:ascii="Times New Roman" w:hAnsi="Times New Roman" w:cs="Times New Roman"/>
        </w:rPr>
        <w:t>in</w:t>
      </w:r>
      <w:r w:rsidR="00500145">
        <w:rPr>
          <w:rFonts w:ascii="Times New Roman" w:hAnsi="Times New Roman" w:cs="Times New Roman"/>
        </w:rPr>
        <w:t xml:space="preserve"> AM technologies</w:t>
      </w:r>
      <w:r w:rsidR="004502D6">
        <w:rPr>
          <w:rFonts w:ascii="Times New Roman" w:hAnsi="Times New Roman" w:cs="Times New Roman"/>
        </w:rPr>
        <w:t xml:space="preserve"> </w:t>
      </w:r>
      <w:r w:rsidR="004502D6">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{"citationItems":[{"id":"ITEM-1","itemData":{"URL":"https://trends.google.com/trends/explore?date=all&amp;q=3D printing","accessed":{"date-parts":[["2022","3","1"]]},"id":"ITEM-1","issued":{"date-parts":[["0"]]},"title":"3D printing - Explore - Google Trends","type":"webpage"},"uris":["http://www.mendeley.com/documents/?uuid=4ac2b8c2-4c0e-3787-88e8-9d73ba285c98"]}],"mendeley":{"formattedCitation":"[4]","plainTextFormattedCitation":"[4]","previouslyFormattedCitation":"[4]"},"properties":{"noteIndex":0},"schema":"https://github.com/citation-style-language/schema/raw/master/csl-citation.json"}</w:instrText>
      </w:r>
      <w:r w:rsidR="004502D6">
        <w:rPr>
          <w:rFonts w:ascii="Times New Roman" w:hAnsi="Times New Roman" w:cs="Times New Roman"/>
        </w:rPr>
        <w:fldChar w:fldCharType="separate"/>
      </w:r>
      <w:r w:rsidR="004502D6" w:rsidRPr="004502D6">
        <w:rPr>
          <w:rFonts w:ascii="Times New Roman" w:hAnsi="Times New Roman" w:cs="Times New Roman"/>
          <w:noProof/>
        </w:rPr>
        <w:t>[4]</w:t>
      </w:r>
      <w:r w:rsidR="004502D6">
        <w:rPr>
          <w:rFonts w:ascii="Times New Roman" w:hAnsi="Times New Roman" w:cs="Times New Roman"/>
        </w:rPr>
        <w:fldChar w:fldCharType="end"/>
      </w:r>
      <w:r w:rsidR="00DE3748">
        <w:rPr>
          <w:rFonts w:ascii="Times New Roman" w:hAnsi="Times New Roman" w:cs="Times New Roman"/>
        </w:rPr>
        <w:t xml:space="preserve"> </w:t>
      </w:r>
      <w:r w:rsidR="00DE3748">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{"citationItems":[{"id":"ITEM-1","itemData":{"URL":"https://www.3dsourced.com/guides/history-of-3d-printing/","accessed":{"date-parts":[["2022","3","1"]]},"id":"ITEM-1","issued":{"date-parts":[["0"]]},"title":"The Complete History of 3D Printing: From 1980 to 2022 - 3DSourced","type":"webpage"},"uris":["http://www.mendeley.com/documents/?uuid=9126fd8e-fb95-349a-9d17-667b3a888b47"]}],"mendeley":{"formattedCitation":"[5]","plainTextFormattedCitation":"[5]","previouslyFormattedCitation":"[5]"},"properties":{"noteIndex":0},"schema":"https://github.com/citation-style-language/schema/raw/master/csl-citation.json"}</w:instrText>
      </w:r>
      <w:r w:rsidR="00DE3748">
        <w:rPr>
          <w:rFonts w:ascii="Times New Roman" w:hAnsi="Times New Roman" w:cs="Times New Roman"/>
        </w:rPr>
        <w:fldChar w:fldCharType="separate"/>
      </w:r>
      <w:r w:rsidR="004502D6" w:rsidRPr="004502D6">
        <w:rPr>
          <w:rFonts w:ascii="Times New Roman" w:hAnsi="Times New Roman" w:cs="Times New Roman"/>
          <w:noProof/>
        </w:rPr>
        <w:t>[5]</w:t>
      </w:r>
      <w:r w:rsidR="00DE3748">
        <w:rPr>
          <w:rFonts w:ascii="Times New Roman" w:hAnsi="Times New Roman" w:cs="Times New Roman"/>
        </w:rPr>
        <w:fldChar w:fldCharType="end"/>
      </w:r>
      <w:r w:rsidR="00500145">
        <w:rPr>
          <w:rFonts w:ascii="Times New Roman" w:hAnsi="Times New Roman" w:cs="Times New Roman"/>
        </w:rPr>
        <w:t xml:space="preserve">.  </w:t>
      </w:r>
      <w:r w:rsidR="00DE3748">
        <w:rPr>
          <w:rFonts w:ascii="Times New Roman" w:hAnsi="Times New Roman" w:cs="Times New Roman"/>
        </w:rPr>
        <w:t>A</w:t>
      </w:r>
      <w:r>
        <w:rPr>
          <w:rFonts w:ascii="Times New Roman" w:hAnsi="Times New Roman" w:cs="Times New Roman"/>
        </w:rPr>
        <w:t>s of 2020</w:t>
      </w:r>
      <w:r w:rsidR="00DE3748">
        <w:rPr>
          <w:rFonts w:ascii="Times New Roman" w:hAnsi="Times New Roman" w:cs="Times New Roman"/>
        </w:rPr>
        <w:t>,</w:t>
      </w:r>
      <w:r>
        <w:rPr>
          <w:rFonts w:ascii="Times New Roman" w:hAnsi="Times New Roman" w:cs="Times New Roman"/>
        </w:rPr>
        <w:t xml:space="preserve"> the global AM market had grown to $12.6 billion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{"citationItems":[{"id":"ITEM-1","itemData":{"URL":"https://3dprintingindustry.com/news/3d-hubs-am-trends-report-reveals-3d-printing-grew-21-despite-covid-19-189087/","accessed":{"date-parts":[["2022","2","19"]]},"id":"ITEM-1","issued":{"date-parts":[["0"]]},"title":"3D Hubs AM Trends Report reveals 3D printing grew 21% despite Covid-19 - 3D Printing Industry","type":"webpage"},"uris":["http://www.mendeley.com/documents/?uuid=a996f559-b47e-3d47-bfa5-00154efa0f1b"]}],"mendeley":{"formattedCitation":"[6]","plainTextFormattedCitation":"[6]","previouslyFormattedCitation":"[6]"},"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[6]</w:t>
      </w:r>
      <w:r>
        <w:rPr>
          <w:rFonts w:ascii="Times New Roman" w:hAnsi="Times New Roman" w:cs="Times New Roman"/>
        </w:rPr>
        <w:fldChar w:fldCharType="end"/>
      </w:r>
      <w:r w:rsidR="005933CA">
        <w:rPr>
          <w:rFonts w:ascii="Times New Roman" w:hAnsi="Times New Roman" w:cs="Times New Roman"/>
        </w:rPr>
        <w:t>.</w:t>
      </w:r>
      <w:r>
        <w:rPr>
          <w:rFonts w:ascii="Times New Roman" w:hAnsi="Times New Roman" w:cs="Times New Roman"/>
        </w:rPr>
        <w:t xml:space="preserve">         </w:t>
      </w:r>
    </w:p>
    <w:p w14:paraId="009E01B7" w14:textId="77777777" w:rsidR="006F1981" w:rsidRPr="00B32F8A" w:rsidRDefault="006F1981" w:rsidP="006F1981">
      <w:pPr>
        <w:numPr>
          <w:ilvl w:val="12"/>
          <w:numId w:val="0"/>
        </w:numPr>
        <w:spacing w:line="360" w:lineRule="auto"/>
        <w:rPr>
          <w:rFonts w:ascii="Times New Roman" w:hAnsi="Times New Roman" w:cs="Times New Roman"/>
        </w:rPr>
      </w:pPr>
    </w:p>
    <w:p w14:paraId="39F34884" w14:textId="7922EF79" w:rsidR="006F1981" w:rsidRPr="00B32F8A" w:rsidRDefault="006F1981" w:rsidP="006F1981">
      <w:pPr>
        <w:numPr>
          <w:ilvl w:val="12"/>
          <w:numId w:val="0"/>
        </w:numPr>
        <w:spacing w:line="360" w:lineRule="auto"/>
        <w:rPr>
          <w:rFonts w:ascii="Times New Roman" w:hAnsi="Times New Roman" w:cs="Times New Roman"/>
        </w:rPr>
      </w:pPr>
      <w:r>
        <w:rPr>
          <w:rFonts w:ascii="Times New Roman" w:hAnsi="Times New Roman" w:cs="Times New Roman"/>
        </w:rPr>
        <w:t xml:space="preserve">The availability of AM technology continues to grow at a rapid pace, with applications ranging from prototypes to final parts and from nanoscale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engineering.purdue.edu/ME/News/2021/no-more-jagged-edges-nanoscale-3d-printing-that-is-fast-smooth-and-repeatable","accessed":{"date-parts":[["2022","2","19"]]},"id":"ITEM-1","issued":{"date-parts":[["0"]]},"title":"From nano to macro: Nanoscale 3D printing that is fast, smooth, and scalable - Mechanical Engineering - Purdue University","type":"webpage"},"uris":["http://www.mendeley.com/documents/?uuid=7ca3d866-33a5-3aa2-922f-61f4a9af67ce"]}],"mendeley":{"formattedCitation":"[7]","plainTextFormattedCitation":"[7]","previouslyFormattedCitation":"[7]"},"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rPr>
        <w:t xml:space="preserve"> to the size of a building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3dprintingindustry.com/news/interview-mighty-buildings-co-founder-sam-ruben-on-gaining-a-30m-investment-and-3d-printing-houses-174712/","accessed":{"date-parts":[["2020","11","19"]]},"id":"ITEM-1","issued":{"date-parts":[["0"]]},"title":"Interview: Mighty Buildings Co-founder Sam Ruben on gaining a $30m investment and 3D printing houses  - 3D Printing Industry","type":"webpage"},"uris":["http://www.mendeley.com/documents/?uuid=d194a2a7-8ecf-3a13-84a9-c12262737fdb"]}],"mendeley":{"formattedCitation":"[8]","plainTextFormattedCitation":"[8]","previouslyFormattedCitation":"[8]"},"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w:t>
      </w:r>
      <w:r w:rsidRPr="00B32F8A">
        <w:rPr>
          <w:rFonts w:ascii="Times New Roman" w:hAnsi="Times New Roman" w:cs="Times New Roman"/>
        </w:rPr>
        <w:t xml:space="preserve"> </w:t>
      </w:r>
      <w:r w:rsidR="005933CA">
        <w:rPr>
          <w:rFonts w:ascii="Times New Roman" w:hAnsi="Times New Roman" w:cs="Times New Roman"/>
        </w:rPr>
        <w:t>In 2020</w:t>
      </w:r>
      <w:r w:rsidR="005933CA" w:rsidRPr="005933CA">
        <w:rPr>
          <w:rFonts w:ascii="Times New Roman" w:hAnsi="Times New Roman" w:cs="Times New Roman"/>
        </w:rPr>
        <w:t xml:space="preserve"> </w:t>
      </w:r>
      <w:r w:rsidR="005933CA" w:rsidRPr="00B32F8A">
        <w:rPr>
          <w:rFonts w:ascii="Times New Roman" w:hAnsi="Times New Roman" w:cs="Times New Roman"/>
        </w:rPr>
        <w:t>during the early days of the COVID-19 pandemic</w:t>
      </w:r>
      <w:r w:rsidR="0041449C">
        <w:rPr>
          <w:rFonts w:ascii="Times New Roman" w:hAnsi="Times New Roman" w:cs="Times New Roman"/>
        </w:rPr>
        <w:t xml:space="preserve">, </w:t>
      </w:r>
      <w:r w:rsidRPr="00B32F8A">
        <w:rPr>
          <w:rFonts w:ascii="Times New Roman" w:hAnsi="Times New Roman" w:cs="Times New Roman"/>
        </w:rPr>
        <w:t xml:space="preserve">the University of Tennessee </w:t>
      </w:r>
      <w:r w:rsidR="005933CA">
        <w:rPr>
          <w:rFonts w:ascii="Times New Roman" w:hAnsi="Times New Roman" w:cs="Times New Roman"/>
        </w:rPr>
        <w:t>turned to 3D printing when</w:t>
      </w:r>
      <w:r w:rsidRPr="00B32F8A">
        <w:rPr>
          <w:rFonts w:ascii="Times New Roman" w:hAnsi="Times New Roman" w:cs="Times New Roman"/>
        </w:rPr>
        <w:t xml:space="preserve"> tasked with producing face shields to supply medical personnel throughout the state. </w:t>
      </w:r>
      <w:r>
        <w:rPr>
          <w:rFonts w:ascii="Times New Roman" w:hAnsi="Times New Roman" w:cs="Times New Roman"/>
        </w:rPr>
        <w:t xml:space="preserve"> The author reached out to student “maker” clubs</w:t>
      </w:r>
      <w:r w:rsidR="0041449C">
        <w:rPr>
          <w:rFonts w:ascii="Times New Roman" w:hAnsi="Times New Roman" w:cs="Times New Roman"/>
        </w:rPr>
        <w:t>,</w:t>
      </w:r>
      <w:r>
        <w:rPr>
          <w:rFonts w:ascii="Times New Roman" w:hAnsi="Times New Roman" w:cs="Times New Roman"/>
        </w:rPr>
        <w:t xml:space="preserve"> and within hours had assembled </w:t>
      </w:r>
      <w:r w:rsidRPr="00B32F8A">
        <w:rPr>
          <w:rFonts w:ascii="Times New Roman" w:hAnsi="Times New Roman" w:cs="Times New Roman"/>
        </w:rPr>
        <w:t>a team of more than a dozen students</w:t>
      </w:r>
      <w:r>
        <w:rPr>
          <w:rFonts w:ascii="Times New Roman" w:hAnsi="Times New Roman" w:cs="Times New Roman"/>
        </w:rPr>
        <w:t xml:space="preserve"> who</w:t>
      </w:r>
      <w:r w:rsidRPr="00B32F8A">
        <w:rPr>
          <w:rFonts w:ascii="Times New Roman" w:hAnsi="Times New Roman" w:cs="Times New Roman"/>
        </w:rPr>
        <w:t xml:space="preserve"> volunteered t</w:t>
      </w:r>
      <w:r w:rsidR="0041449C">
        <w:rPr>
          <w:rFonts w:ascii="Times New Roman" w:hAnsi="Times New Roman" w:cs="Times New Roman"/>
        </w:rPr>
        <w:t>o use</w:t>
      </w:r>
      <w:r w:rsidRPr="00B32F8A">
        <w:rPr>
          <w:rFonts w:ascii="Times New Roman" w:hAnsi="Times New Roman" w:cs="Times New Roman"/>
        </w:rPr>
        <w:t xml:space="preserve"> </w:t>
      </w:r>
      <w:r w:rsidRPr="00B32F8A">
        <w:rPr>
          <w:rFonts w:ascii="Times New Roman" w:hAnsi="Times New Roman" w:cs="Times New Roman"/>
        </w:rPr>
        <w:lastRenderedPageBreak/>
        <w:t xml:space="preserve">their </w:t>
      </w:r>
      <w:r>
        <w:rPr>
          <w:rFonts w:ascii="Times New Roman" w:hAnsi="Times New Roman" w:cs="Times New Roman"/>
        </w:rPr>
        <w:t>personal</w:t>
      </w:r>
      <w:r w:rsidRPr="00B32F8A">
        <w:rPr>
          <w:rFonts w:ascii="Times New Roman" w:hAnsi="Times New Roman" w:cs="Times New Roman"/>
        </w:rPr>
        <w:t xml:space="preserve"> 3D printers</w:t>
      </w:r>
      <w:r>
        <w:rPr>
          <w:rFonts w:ascii="Times New Roman" w:hAnsi="Times New Roman" w:cs="Times New Roman"/>
        </w:rPr>
        <w:t xml:space="preserve"> while quarantined at home</w:t>
      </w:r>
      <w:r w:rsidRPr="00B32F8A">
        <w:rPr>
          <w:rFonts w:ascii="Times New Roman" w:hAnsi="Times New Roman" w:cs="Times New Roman"/>
        </w:rPr>
        <w:t xml:space="preserve">.  </w:t>
      </w:r>
      <w:r>
        <w:rPr>
          <w:rFonts w:ascii="Times New Roman" w:hAnsi="Times New Roman" w:cs="Times New Roman"/>
        </w:rPr>
        <w:t xml:space="preserve">Staff members, professors, and </w:t>
      </w:r>
      <w:r w:rsidRPr="00B32F8A">
        <w:rPr>
          <w:rFonts w:ascii="Times New Roman" w:hAnsi="Times New Roman" w:cs="Times New Roman"/>
        </w:rPr>
        <w:t xml:space="preserve">3D printing labs across campus </w:t>
      </w:r>
      <w:r>
        <w:rPr>
          <w:rFonts w:ascii="Times New Roman" w:hAnsi="Times New Roman" w:cs="Times New Roman"/>
        </w:rPr>
        <w:t>joined in the effort</w:t>
      </w:r>
      <w:r w:rsidRPr="00B32F8A">
        <w:rPr>
          <w:rFonts w:ascii="Times New Roman" w:hAnsi="Times New Roman" w:cs="Times New Roman"/>
        </w:rPr>
        <w:t xml:space="preserve">, and </w:t>
      </w:r>
      <w:r>
        <w:rPr>
          <w:rFonts w:ascii="Times New Roman" w:hAnsi="Times New Roman" w:cs="Times New Roman"/>
        </w:rPr>
        <w:t>in</w:t>
      </w:r>
      <w:r w:rsidRPr="00B32F8A">
        <w:rPr>
          <w:rFonts w:ascii="Times New Roman" w:hAnsi="Times New Roman" w:cs="Times New Roman"/>
        </w:rPr>
        <w:t xml:space="preserve"> three days</w:t>
      </w:r>
      <w:r w:rsidR="0041449C">
        <w:rPr>
          <w:rFonts w:ascii="Times New Roman" w:hAnsi="Times New Roman" w:cs="Times New Roman"/>
        </w:rPr>
        <w:t>,</w:t>
      </w:r>
      <w:r w:rsidRPr="00B32F8A">
        <w:rPr>
          <w:rFonts w:ascii="Times New Roman" w:hAnsi="Times New Roman" w:cs="Times New Roman"/>
        </w:rPr>
        <w:t xml:space="preserve"> </w:t>
      </w:r>
      <w:r>
        <w:rPr>
          <w:rFonts w:ascii="Times New Roman" w:hAnsi="Times New Roman" w:cs="Times New Roman"/>
        </w:rPr>
        <w:t>this ad hoc production team</w:t>
      </w:r>
      <w:r w:rsidRPr="00B32F8A">
        <w:rPr>
          <w:rFonts w:ascii="Times New Roman" w:hAnsi="Times New Roman" w:cs="Times New Roman"/>
        </w:rPr>
        <w:t xml:space="preserve"> had </w:t>
      </w:r>
      <w:r>
        <w:rPr>
          <w:rFonts w:ascii="Times New Roman" w:hAnsi="Times New Roman" w:cs="Times New Roman"/>
        </w:rPr>
        <w:t>printed over</w:t>
      </w:r>
      <w:r w:rsidRPr="00B32F8A">
        <w:rPr>
          <w:rFonts w:ascii="Times New Roman" w:hAnsi="Times New Roman" w:cs="Times New Roman"/>
        </w:rPr>
        <w:t xml:space="preserve"> 1,500 face shield headbands </w:t>
      </w:r>
      <w:r w:rsidRPr="00B32F8A">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{"citationItems":[{"id":"ITEM-1","itemData":{"URL":"https://tickle.utk.edu/ut-labs-producing-face-shield-components-to-protect-health-care-workers-in-tennessee/","accessed":{"date-parts":[["2021","9","11"]]},"id":"ITEM-1","issued":{"date-parts":[["0"]]},"title":"UT Labs Producing Face Shield Components to Protect Health Care Workers in Tennessee - Tickle College of Engineering","type":"webpage"},"uris":["http://www.mendeley.com/documents/?uuid=76f19069-cfc0-3953-b960-6099a55dfe19"]}],"mendeley":{"formattedCitation":"[9]","plainTextFormattedCitation":"[9]","previouslyFormattedCitation":"[9]"},"properties":{"noteIndex":0},"schema":"https://github.com/citation-style-language/schema/raw/master/csl-citation.json"}</w:instrText>
      </w:r>
      <w:r w:rsidRPr="00B32F8A">
        <w:rPr>
          <w:rFonts w:ascii="Times New Roman" w:hAnsi="Times New Roman" w:cs="Times New Roman"/>
        </w:rPr>
        <w:fldChar w:fldCharType="separate"/>
      </w:r>
      <w:r w:rsidR="004502D6" w:rsidRPr="004502D6">
        <w:rPr>
          <w:rFonts w:ascii="Times New Roman" w:hAnsi="Times New Roman" w:cs="Times New Roman"/>
          <w:noProof/>
        </w:rPr>
        <w:t>[9]</w:t>
      </w:r>
      <w:r w:rsidRPr="00B32F8A">
        <w:rPr>
          <w:rFonts w:ascii="Times New Roman" w:hAnsi="Times New Roman" w:cs="Times New Roman"/>
        </w:rPr>
        <w:fldChar w:fldCharType="end"/>
      </w:r>
      <w:r w:rsidRPr="00B32F8A">
        <w:rPr>
          <w:rFonts w:ascii="Times New Roman" w:hAnsi="Times New Roman" w:cs="Times New Roman"/>
        </w:rPr>
        <w:t xml:space="preserve">.        </w:t>
      </w:r>
    </w:p>
    <w:p w14:paraId="4531BD34" w14:textId="77777777" w:rsidR="006F1981" w:rsidRPr="00B32F8A" w:rsidRDefault="006F1981" w:rsidP="006F1981">
      <w:pPr>
        <w:numPr>
          <w:ilvl w:val="12"/>
          <w:numId w:val="0"/>
        </w:numPr>
        <w:spacing w:line="360" w:lineRule="auto"/>
        <w:rPr>
          <w:rFonts w:ascii="Times New Roman" w:hAnsi="Times New Roman" w:cs="Times New Roman"/>
        </w:rPr>
      </w:pPr>
    </w:p>
    <w:p w14:paraId="20345826" w14:textId="13D6087D" w:rsidR="006F1981" w:rsidRDefault="006A692E" w:rsidP="006F1981">
      <w:pPr>
        <w:spacing w:line="360" w:lineRule="auto"/>
        <w:rPr>
          <w:rFonts w:ascii="Times New Roman" w:eastAsiaTheme="minorEastAsia" w:hAnsi="Times New Roman" w:cs="Times New Roman"/>
          <w:iCs/>
        </w:rPr>
      </w:pPr>
      <w:r>
        <w:rPr>
          <w:rFonts w:ascii="Times New Roman" w:hAnsi="Times New Roman" w:cs="Times New Roman"/>
        </w:rPr>
        <w:t>FDM is now t</w:t>
      </w:r>
      <w:r w:rsidR="006F1981">
        <w:rPr>
          <w:rFonts w:ascii="Times New Roman" w:hAnsi="Times New Roman" w:cs="Times New Roman"/>
        </w:rPr>
        <w:t>he most ubiquitous 3D printer technology</w:t>
      </w:r>
      <w:r>
        <w:rPr>
          <w:rFonts w:ascii="Times New Roman" w:hAnsi="Times New Roman" w:cs="Times New Roman"/>
        </w:rPr>
        <w:t xml:space="preserve"> </w:t>
      </w:r>
      <w:r w:rsidR="006F1981" w:rsidRPr="00B32F8A">
        <w:rPr>
          <w:rFonts w:ascii="Times New Roman" w:hAnsi="Times New Roman" w:cs="Times New Roman"/>
        </w:rPr>
        <w:t>used at home, in classrooms</w:t>
      </w:r>
      <w:r w:rsidR="0041449C">
        <w:rPr>
          <w:rFonts w:ascii="Times New Roman" w:hAnsi="Times New Roman" w:cs="Times New Roman"/>
        </w:rPr>
        <w:t>,</w:t>
      </w:r>
      <w:r w:rsidR="006F1981" w:rsidRPr="00B32F8A">
        <w:rPr>
          <w:rFonts w:ascii="Times New Roman" w:hAnsi="Times New Roman" w:cs="Times New Roman"/>
        </w:rPr>
        <w:t xml:space="preserve"> and</w:t>
      </w:r>
      <w:r w:rsidR="0041449C">
        <w:rPr>
          <w:rFonts w:ascii="Times New Roman" w:hAnsi="Times New Roman" w:cs="Times New Roman"/>
        </w:rPr>
        <w:t xml:space="preserve"> in</w:t>
      </w:r>
      <w:r w:rsidR="006F1981" w:rsidRPr="00B32F8A">
        <w:rPr>
          <w:rFonts w:ascii="Times New Roman" w:hAnsi="Times New Roman" w:cs="Times New Roman"/>
        </w:rPr>
        <w:t xml:space="preserve"> small-scale 3D printing labs</w:t>
      </w:r>
      <w:r w:rsidR="006F1981">
        <w:rPr>
          <w:rFonts w:ascii="Times New Roman" w:hAnsi="Times New Roman" w:cs="Times New Roman"/>
        </w:rPr>
        <w:t xml:space="preserve">.  Such printers use </w:t>
      </w:r>
      <w:r w:rsidR="006F1981" w:rsidRPr="00B32F8A">
        <w:rPr>
          <w:rFonts w:ascii="Times New Roman" w:hAnsi="Times New Roman" w:cs="Times New Roman"/>
        </w:rPr>
        <w:t>spool</w:t>
      </w:r>
      <w:r w:rsidR="006F1981">
        <w:rPr>
          <w:rFonts w:ascii="Times New Roman" w:hAnsi="Times New Roman" w:cs="Times New Roman"/>
        </w:rPr>
        <w:t>s</w:t>
      </w:r>
      <w:r w:rsidR="006F1981" w:rsidRPr="00B32F8A">
        <w:rPr>
          <w:rFonts w:ascii="Times New Roman" w:hAnsi="Times New Roman" w:cs="Times New Roman"/>
        </w:rPr>
        <w:t xml:space="preserve"> of </w:t>
      </w:r>
      <w:r w:rsidR="006F1981">
        <w:rPr>
          <w:rFonts w:ascii="Times New Roman" w:hAnsi="Times New Roman" w:cs="Times New Roman"/>
        </w:rPr>
        <w:t xml:space="preserve">thermoplastic </w:t>
      </w:r>
      <w:r w:rsidR="006F1981" w:rsidRPr="00B32F8A">
        <w:rPr>
          <w:rFonts w:ascii="Times New Roman" w:hAnsi="Times New Roman" w:cs="Times New Roman"/>
        </w:rPr>
        <w:t>polymer filament</w:t>
      </w:r>
      <w:r w:rsidR="006F1981">
        <w:rPr>
          <w:rFonts w:ascii="Times New Roman" w:hAnsi="Times New Roman" w:cs="Times New Roman"/>
        </w:rPr>
        <w:t xml:space="preserve"> as feedstock</w:t>
      </w:r>
      <w:r w:rsidR="006F1981" w:rsidRPr="00B32F8A">
        <w:rPr>
          <w:rFonts w:ascii="Times New Roman" w:hAnsi="Times New Roman" w:cs="Times New Roman"/>
        </w:rPr>
        <w:t xml:space="preserve">, which is fed into a heated tube and liquified before being extruded to form the series of thin beads of polymer that </w:t>
      </w:r>
      <w:r w:rsidR="006F1981">
        <w:rPr>
          <w:rFonts w:ascii="Times New Roman" w:hAnsi="Times New Roman" w:cs="Times New Roman"/>
        </w:rPr>
        <w:t>form</w:t>
      </w:r>
      <w:r w:rsidR="006F1981" w:rsidRPr="00B32F8A">
        <w:rPr>
          <w:rFonts w:ascii="Times New Roman" w:hAnsi="Times New Roman" w:cs="Times New Roman"/>
        </w:rPr>
        <w:t xml:space="preserve"> the printed component</w:t>
      </w:r>
      <w:r w:rsidR="006F1981">
        <w:rPr>
          <w:rFonts w:ascii="Times New Roman" w:hAnsi="Times New Roman" w:cs="Times New Roman"/>
        </w:rPr>
        <w:t xml:space="preserve"> (see </w:t>
      </w:r>
      <w:r w:rsidR="0011354A" w:rsidRPr="0011354A">
        <w:rPr>
          <w:rFonts w:ascii="Times New Roman" w:hAnsi="Times New Roman" w:cs="Times New Roman"/>
        </w:rPr>
        <w:fldChar w:fldCharType="begin"/>
      </w:r>
      <w:r w:rsidR="0011354A" w:rsidRPr="0011354A">
        <w:rPr>
          <w:rFonts w:ascii="Times New Roman" w:hAnsi="Times New Roman" w:cs="Times New Roman"/>
        </w:rPr>
        <w:instrText xml:space="preserve"> REF _Ref100920437 \h </w:instrText>
      </w:r>
      <w:r w:rsidR="0011354A">
        <w:rPr>
          <w:rFonts w:ascii="Times New Roman" w:hAnsi="Times New Roman" w:cs="Times New Roman"/>
        </w:rPr>
        <w:instrText xml:space="preserve"> \* MERGEFORMAT </w:instrText>
      </w:r>
      <w:r w:rsidR="0011354A" w:rsidRPr="0011354A">
        <w:rPr>
          <w:rFonts w:ascii="Times New Roman" w:hAnsi="Times New Roman" w:cs="Times New Roman"/>
        </w:rPr>
      </w:r>
      <w:r w:rsidR="0011354A" w:rsidRPr="0011354A">
        <w:rPr>
          <w:rFonts w:ascii="Times New Roman" w:hAnsi="Times New Roman" w:cs="Times New Roman"/>
        </w:rPr>
        <w:fldChar w:fldCharType="separate"/>
      </w:r>
      <w:r w:rsidR="0011354A" w:rsidRPr="0011354A">
        <w:rPr>
          <w:rFonts w:ascii="Times New Roman" w:hAnsi="Times New Roman" w:cs="Times New Roman"/>
        </w:rPr>
        <w:t xml:space="preserve">Figure </w:t>
      </w:r>
      <w:r w:rsidR="0011354A" w:rsidRPr="0011354A">
        <w:rPr>
          <w:rFonts w:ascii="Times New Roman" w:hAnsi="Times New Roman" w:cs="Times New Roman"/>
          <w:noProof/>
        </w:rPr>
        <w:t>1</w:t>
      </w:r>
      <w:r w:rsidR="0011354A" w:rsidRPr="0011354A">
        <w:rPr>
          <w:rFonts w:ascii="Times New Roman" w:hAnsi="Times New Roman" w:cs="Times New Roman"/>
        </w:rPr>
        <w:fldChar w:fldCharType="end"/>
      </w:r>
      <w:r w:rsidR="006F1981">
        <w:rPr>
          <w:rFonts w:ascii="Times New Roman" w:hAnsi="Times New Roman" w:cs="Times New Roman"/>
        </w:rPr>
        <w:t>)</w:t>
      </w:r>
      <w:r w:rsidR="006F1981" w:rsidRPr="00B32F8A">
        <w:rPr>
          <w:rFonts w:ascii="Times New Roman" w:hAnsi="Times New Roman" w:cs="Times New Roman"/>
        </w:rPr>
        <w:t xml:space="preserve">.  </w:t>
      </w:r>
      <w:r w:rsidR="006F1981">
        <w:rPr>
          <w:rFonts w:ascii="Times New Roman" w:hAnsi="Times New Roman" w:cs="Times New Roman"/>
        </w:rPr>
        <w:t xml:space="preserve">In material extrusion methods such as FDM, the layer height and bead width influence the resolution of the printed object.  </w:t>
      </w:r>
      <w:r w:rsidR="006F1981">
        <w:rPr>
          <w:rFonts w:ascii="Times New Roman" w:eastAsiaTheme="minorEastAsia" w:hAnsi="Times New Roman" w:cs="Times New Roman"/>
          <w:iCs/>
        </w:rPr>
        <w:t xml:space="preserve">A typical layer height for FDM printers is 0.2 mm, </w:t>
      </w:r>
      <w:r w:rsidR="006F1981">
        <w:rPr>
          <w:rFonts w:ascii="Times New Roman" w:hAnsi="Times New Roman" w:cs="Times New Roman"/>
        </w:rPr>
        <w:t xml:space="preserve">with a typical bead profile aspect ratio of 2:1 for width to height.  </w:t>
      </w:r>
      <w:r w:rsidR="006F1981">
        <w:rPr>
          <w:rFonts w:ascii="Times New Roman" w:eastAsiaTheme="minorEastAsia" w:hAnsi="Times New Roman" w:cs="Times New Roman"/>
          <w:iCs/>
        </w:rPr>
        <w:t>There are practical limits to print speed for a given printer</w:t>
      </w:r>
      <w:r w:rsidR="0041449C">
        <w:rPr>
          <w:rFonts w:ascii="Times New Roman" w:eastAsiaTheme="minorEastAsia" w:hAnsi="Times New Roman" w:cs="Times New Roman"/>
          <w:iCs/>
        </w:rPr>
        <w:t>,</w:t>
      </w:r>
      <w:r w:rsidR="006F1981">
        <w:rPr>
          <w:rFonts w:ascii="Times New Roman" w:eastAsiaTheme="minorEastAsia" w:hAnsi="Times New Roman" w:cs="Times New Roman"/>
          <w:iCs/>
        </w:rPr>
        <w:t xml:space="preserve"> such as mechanical limitations of a gantry and momentum effects that decrease resolution in corners.  For material extrusion printers, the material deposition rate drops with the square of the increase in resolution.  </w:t>
      </w:r>
      <w:r w:rsidR="006F1981">
        <w:rPr>
          <w:rFonts w:ascii="Times New Roman" w:hAnsi="Times New Roman" w:cs="Times New Roman"/>
        </w:rPr>
        <w:t>While filament-based FDM printers are available with part build volumes up to 2 m</w:t>
      </w:r>
      <w:r w:rsidR="006F1981" w:rsidRPr="005265D4">
        <w:rPr>
          <w:rFonts w:ascii="Times New Roman" w:hAnsi="Times New Roman" w:cs="Times New Roman"/>
          <w:vertAlign w:val="superscript"/>
        </w:rPr>
        <w:t>3</w:t>
      </w:r>
      <w:r w:rsidR="006F1981">
        <w:rPr>
          <w:rFonts w:ascii="Times New Roman" w:hAnsi="Times New Roman" w:cs="Times New Roman"/>
        </w:rPr>
        <w:t>, at a 0.2 mm layer height</w:t>
      </w:r>
      <w:r w:rsidR="0041449C">
        <w:rPr>
          <w:rFonts w:ascii="Times New Roman" w:hAnsi="Times New Roman" w:cs="Times New Roman"/>
        </w:rPr>
        <w:t>,</w:t>
      </w:r>
      <w:r w:rsidR="006F1981">
        <w:rPr>
          <w:rFonts w:ascii="Times New Roman" w:hAnsi="Times New Roman" w:cs="Times New Roman"/>
        </w:rPr>
        <w:t xml:space="preserve"> it would take days to print an object of that size </w:t>
      </w:r>
      <w:r w:rsidR="006F1981">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sidR="006F1981">
        <w:rPr>
          <w:rFonts w:ascii="Times New Roman" w:hAnsi="Times New Roman" w:cs="Times New Roman"/>
        </w:rPr>
        <w:fldChar w:fldCharType="separate"/>
      </w:r>
      <w:r w:rsidR="004502D6" w:rsidRPr="004502D6">
        <w:rPr>
          <w:rFonts w:ascii="Times New Roman" w:hAnsi="Times New Roman" w:cs="Times New Roman"/>
          <w:noProof/>
        </w:rPr>
        <w:t>[10]</w:t>
      </w:r>
      <w:r w:rsidR="006F1981">
        <w:rPr>
          <w:rFonts w:ascii="Times New Roman" w:hAnsi="Times New Roman" w:cs="Times New Roman"/>
        </w:rPr>
        <w:fldChar w:fldCharType="end"/>
      </w:r>
      <w:r w:rsidR="006F1981">
        <w:rPr>
          <w:rFonts w:ascii="Times New Roman" w:hAnsi="Times New Roman" w:cs="Times New Roman"/>
        </w:rPr>
        <w:t xml:space="preserve">.  </w:t>
      </w:r>
      <w:r w:rsidR="006F1981">
        <w:rPr>
          <w:rFonts w:ascii="Times New Roman" w:eastAsiaTheme="minorEastAsia" w:hAnsi="Times New Roman" w:cs="Times New Roman"/>
          <w:iCs/>
        </w:rPr>
        <w:t xml:space="preserve">Therefore, </w:t>
      </w:r>
      <w:r w:rsidR="0041449C">
        <w:rPr>
          <w:rFonts w:ascii="Times New Roman" w:eastAsiaTheme="minorEastAsia" w:hAnsi="Times New Roman" w:cs="Times New Roman"/>
          <w:iCs/>
        </w:rPr>
        <w:t>material extrusion printers sacrifice part resolution to achieve higher deposition rates</w:t>
      </w:r>
      <w:r w:rsidR="005933CA">
        <w:rPr>
          <w:rFonts w:ascii="Times New Roman" w:eastAsiaTheme="minorEastAsia" w:hAnsi="Times New Roman" w:cs="Times New Roman"/>
          <w:iCs/>
        </w:rPr>
        <w:t xml:space="preserve"> and shorter print times</w:t>
      </w:r>
      <w:r w:rsidR="006F1981">
        <w:rPr>
          <w:rFonts w:ascii="Times New Roman" w:eastAsiaTheme="minorEastAsia" w:hAnsi="Times New Roman" w:cs="Times New Roman"/>
          <w:iCs/>
        </w:rPr>
        <w:t xml:space="preserve">.  </w:t>
      </w:r>
    </w:p>
    <w:p w14:paraId="13265EA2" w14:textId="77777777" w:rsidR="006F1981" w:rsidRDefault="006F1981" w:rsidP="006F1981">
      <w:pPr>
        <w:spacing w:line="360" w:lineRule="auto"/>
        <w:rPr>
          <w:rFonts w:ascii="Times New Roman" w:eastAsiaTheme="minorEastAsia" w:hAnsi="Times New Roman" w:cs="Times New Roman"/>
          <w:iCs/>
        </w:rPr>
      </w:pPr>
    </w:p>
    <w:p w14:paraId="3C82AE5F" w14:textId="7090598A" w:rsidR="006F1981" w:rsidRPr="006F1981" w:rsidRDefault="006F1981" w:rsidP="006F1981">
      <w:pPr>
        <w:spacing w:line="360" w:lineRule="auto"/>
        <w:rPr>
          <w:rFonts w:ascii="Times New Roman" w:hAnsi="Times New Roman" w:cs="Times New Roman"/>
        </w:rPr>
      </w:pPr>
      <w:r w:rsidRPr="00B32F8A">
        <w:rPr>
          <w:rFonts w:ascii="Times New Roman" w:hAnsi="Times New Roman" w:cs="Times New Roman"/>
        </w:rPr>
        <w:t>Large-scale AM</w:t>
      </w:r>
      <w:r>
        <w:rPr>
          <w:rFonts w:ascii="Times New Roman" w:hAnsi="Times New Roman" w:cs="Times New Roman"/>
        </w:rPr>
        <w:t>, also referred to as Large Format Additive Manufacturing (LFAM),</w:t>
      </w:r>
      <w:r w:rsidRPr="00B32F8A">
        <w:rPr>
          <w:rFonts w:ascii="Times New Roman" w:hAnsi="Times New Roman" w:cs="Times New Roman"/>
        </w:rPr>
        <w:t xml:space="preserve"> fundamentally differs from </w:t>
      </w:r>
      <w:r>
        <w:rPr>
          <w:rFonts w:ascii="Times New Roman" w:hAnsi="Times New Roman" w:cs="Times New Roman"/>
        </w:rPr>
        <w:t xml:space="preserve">desktop-scale </w:t>
      </w:r>
      <w:r w:rsidRPr="00B32F8A">
        <w:rPr>
          <w:rFonts w:ascii="Times New Roman" w:hAnsi="Times New Roman" w:cs="Times New Roman"/>
        </w:rPr>
        <w:t xml:space="preserve">AM because it </w:t>
      </w:r>
      <w:r>
        <w:rPr>
          <w:rFonts w:ascii="Times New Roman" w:hAnsi="Times New Roman" w:cs="Times New Roman"/>
        </w:rPr>
        <w:t>favors increased throughput and print volume over part resolution</w:t>
      </w:r>
      <w:r w:rsidRPr="00B32F8A">
        <w:rPr>
          <w:rFonts w:ascii="Times New Roman" w:hAnsi="Times New Roman" w:cs="Times New Roman"/>
        </w:rPr>
        <w:t>.</w:t>
      </w:r>
      <w:r>
        <w:rPr>
          <w:rFonts w:ascii="Times New Roman" w:hAnsi="Times New Roman" w:cs="Times New Roman"/>
        </w:rPr>
        <w:t xml:space="preserve">  One of the first LFAM printers was</w:t>
      </w:r>
      <w:r w:rsidRPr="00B32F8A">
        <w:rPr>
          <w:rFonts w:ascii="Times New Roman" w:hAnsi="Times New Roman" w:cs="Times New Roman"/>
        </w:rPr>
        <w:t xml:space="preserve"> the Big Area Additive Manufacturing (BAAM) system</w:t>
      </w:r>
      <w:r>
        <w:rPr>
          <w:rFonts w:ascii="Times New Roman" w:hAnsi="Times New Roman" w:cs="Times New Roman"/>
        </w:rPr>
        <w:t>, which used pellet feedstock instead of filament to deposit</w:t>
      </w:r>
      <w:r w:rsidRPr="00B32F8A">
        <w:rPr>
          <w:rFonts w:ascii="Times New Roman" w:hAnsi="Times New Roman" w:cs="Times New Roman"/>
        </w:rPr>
        <w:t xml:space="preserve"> material at </w:t>
      </w:r>
      <w:r>
        <w:rPr>
          <w:rFonts w:ascii="Times New Roman" w:hAnsi="Times New Roman" w:cs="Times New Roman"/>
        </w:rPr>
        <w:t>up to</w:t>
      </w:r>
      <w:r w:rsidRPr="00B32F8A">
        <w:rPr>
          <w:rFonts w:ascii="Times New Roman" w:hAnsi="Times New Roman" w:cs="Times New Roman"/>
        </w:rPr>
        <w:t xml:space="preserve"> </w:t>
      </w:r>
      <w:r w:rsidR="005933CA">
        <w:rPr>
          <w:rFonts w:ascii="Times New Roman" w:hAnsi="Times New Roman" w:cs="Times New Roman"/>
        </w:rPr>
        <w:t>45</w:t>
      </w:r>
      <w:r w:rsidRPr="00B32F8A">
        <w:rPr>
          <w:rFonts w:ascii="Times New Roman" w:hAnsi="Times New Roman" w:cs="Times New Roman"/>
        </w:rPr>
        <w:t xml:space="preserve"> kg/hr</w:t>
      </w:r>
      <w:r>
        <w:rPr>
          <w:rFonts w:ascii="Times New Roman" w:hAnsi="Times New Roman" w:cs="Times New Roman"/>
        </w:rPr>
        <w:t xml:space="preserve"> (as of 201</w:t>
      </w:r>
      <w:r w:rsidR="005933CA">
        <w:rPr>
          <w:rFonts w:ascii="Times New Roman" w:hAnsi="Times New Roman" w:cs="Times New Roman"/>
        </w:rPr>
        <w:t>9</w:t>
      </w:r>
      <w:r>
        <w:rPr>
          <w:rFonts w:ascii="Times New Roman" w:hAnsi="Times New Roman" w:cs="Times New Roman"/>
        </w:rPr>
        <w:t>)</w:t>
      </w:r>
      <w:r w:rsidRPr="00B32F8A">
        <w:rPr>
          <w:rFonts w:ascii="Times New Roman" w:hAnsi="Times New Roman" w:cs="Times New Roman"/>
        </w:rPr>
        <w:t xml:space="preserve"> </w:t>
      </w:r>
      <w:r w:rsidRPr="00B32F8A">
        <w:rPr>
          <w:rFonts w:ascii="Times New Roman" w:hAnsi="Times New Roman" w:cs="Times New Roman"/>
        </w:rPr>
        <w:fldChar w:fldCharType="begin" w:fldLock="1"/>
      </w:r>
      <w:r w:rsidR="001769BF">
        <w:rPr>
          <w:rFonts w:ascii="Times New Roman" w:hAnsi="Times New Roman" w:cs="Times New Roman"/>
        </w:rPr>
        <w:instrText>ADDIN CSL_CITATION {"citationItems":[{"id":"ITEM-1","itemData":{"URL":"http://wwwassets.e-ci.com/PDF/Products/baam-fact-sheet.pdf","accessed":{"date-parts":[["2017","7","15"]]},"id":"ITEM-1","issued":{"date-parts":[["2016"]]},"title":"BAAM: Fact Sheet","type":"webpage"},"uris":["http://www.mendeley.com/documents/?uuid=c4a2010e-0d54-37d0-840a-39bc738c06c6"]},{"id":"ITEM-2","itemData":{"DOI":"10.1016/j.addma.2019.05.020","ISSN":"22148604","abstract":"Big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Manufacturing","id":"ITEM-2","issued":{"date-parts":[["2019","8","1"]]},"page":"445-455","publisher":"Elsevier B.V.","title":"Extrusion control for high quality printing on Big Area Additive Manufacturing (BAAM)systems","type":"article-journal","volume":"28"},"uris":["http://www.mendeley.com/documents/?uuid=69f7b548-5163-332a-85de-71291a072cb2"]}],"mendeley":{"formattedCitation":"[10], [11]","plainTextFormattedCitation":"[10], [11]","previouslyFormattedCitation":"[10], [11]"},"properties":{"noteIndex":0},"schema":"https://github.com/citation-style-language/schema/raw/master/csl-citation.json"}</w:instrText>
      </w:r>
      <w:r w:rsidRPr="00B32F8A">
        <w:rPr>
          <w:rFonts w:ascii="Times New Roman" w:hAnsi="Times New Roman" w:cs="Times New Roman"/>
        </w:rPr>
        <w:fldChar w:fldCharType="separate"/>
      </w:r>
      <w:r w:rsidR="005933CA" w:rsidRPr="005933CA">
        <w:rPr>
          <w:rFonts w:ascii="Times New Roman" w:hAnsi="Times New Roman" w:cs="Times New Roman"/>
          <w:noProof/>
        </w:rPr>
        <w:t>[10], [11]</w:t>
      </w:r>
      <w:r w:rsidRPr="00B32F8A">
        <w:rPr>
          <w:rFonts w:ascii="Times New Roman" w:hAnsi="Times New Roman" w:cs="Times New Roman"/>
        </w:rPr>
        <w:fldChar w:fldCharType="end"/>
      </w:r>
      <w:r w:rsidRPr="00B32F8A">
        <w:rPr>
          <w:rFonts w:ascii="Times New Roman" w:hAnsi="Times New Roman" w:cs="Times New Roman"/>
        </w:rPr>
        <w:t>.</w:t>
      </w:r>
      <w:r w:rsidRPr="00B32F8A">
        <w:rPr>
          <w:rFonts w:ascii="Times New Roman" w:hAnsi="Times New Roman" w:cs="Times New Roman"/>
          <w:b/>
          <w:bCs/>
        </w:rPr>
        <w:t xml:space="preserve">  </w:t>
      </w:r>
      <w:r>
        <w:rPr>
          <w:rFonts w:ascii="Times New Roman" w:hAnsi="Times New Roman" w:cs="Times New Roman"/>
        </w:rPr>
        <w:t xml:space="preserve">A typical layer height for the BAAM is 2-4 mm, with a typical </w:t>
      </w:r>
      <w:r>
        <w:rPr>
          <w:rFonts w:ascii="Times New Roman" w:eastAsiaTheme="minorEastAsia" w:hAnsi="Times New Roman" w:cs="Times New Roman"/>
        </w:rPr>
        <w:t xml:space="preserve">8 mm nozzle diameter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[10]</w:t>
      </w:r>
      <w:r>
        <w:rPr>
          <w:rFonts w:ascii="Times New Roman" w:hAnsi="Times New Roman" w:cs="Times New Roman"/>
        </w:rPr>
        <w:fldChar w:fldCharType="end"/>
      </w:r>
      <w:r>
        <w:rPr>
          <w:rFonts w:ascii="Times New Roman" w:eastAsiaTheme="minorEastAsia" w:hAnsi="Times New Roman" w:cs="Times New Roman"/>
          <w:iCs/>
        </w:rPr>
        <w:t xml:space="preserve">.  </w:t>
      </w:r>
      <w:r>
        <w:rPr>
          <w:rFonts w:ascii="Times New Roman" w:hAnsi="Times New Roman" w:cs="Times New Roman"/>
        </w:rPr>
        <w:t>A common</w:t>
      </w:r>
      <w:r w:rsidRPr="00B32F8A">
        <w:rPr>
          <w:rFonts w:ascii="Times New Roman" w:hAnsi="Times New Roman" w:cs="Times New Roman"/>
        </w:rPr>
        <w:t xml:space="preserve"> feedstock for </w:t>
      </w:r>
      <w:r>
        <w:rPr>
          <w:rFonts w:ascii="Times New Roman" w:hAnsi="Times New Roman" w:cs="Times New Roman"/>
        </w:rPr>
        <w:t>the BAAM printer</w:t>
      </w:r>
      <w:r w:rsidRPr="00B32F8A">
        <w:rPr>
          <w:rFonts w:ascii="Times New Roman" w:hAnsi="Times New Roman" w:cs="Times New Roman"/>
        </w:rPr>
        <w:t xml:space="preserve"> is</w:t>
      </w:r>
      <w:r>
        <w:rPr>
          <w:rFonts w:ascii="Times New Roman" w:hAnsi="Times New Roman" w:cs="Times New Roman"/>
        </w:rPr>
        <w:t xml:space="preserve"> the thermoplastic polymer</w:t>
      </w:r>
      <w:r w:rsidRPr="00B32F8A">
        <w:rPr>
          <w:rFonts w:ascii="Times New Roman" w:hAnsi="Times New Roman" w:cs="Times New Roman"/>
        </w:rPr>
        <w:t xml:space="preserve"> acrylonitrile butadiene styrene (ABS)</w:t>
      </w:r>
      <w:r w:rsidR="0041449C">
        <w:rPr>
          <w:rFonts w:ascii="Times New Roman" w:hAnsi="Times New Roman" w:cs="Times New Roman"/>
        </w:rPr>
        <w:t>.  ABS is</w:t>
      </w:r>
      <w:r>
        <w:rPr>
          <w:rFonts w:ascii="Times New Roman" w:hAnsi="Times New Roman" w:cs="Times New Roman"/>
        </w:rPr>
        <w:t xml:space="preserve"> </w:t>
      </w:r>
      <w:r w:rsidRPr="00B32F8A">
        <w:rPr>
          <w:rFonts w:ascii="Times New Roman" w:hAnsi="Times New Roman" w:cs="Times New Roman"/>
        </w:rPr>
        <w:t xml:space="preserve">often blended with chopped carbon fiber to improve mechanical properties and reduce warping in large printed parts </w:t>
      </w:r>
      <w:r w:rsidRPr="00B32F8A">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{"citationItems":[{"id":"ITEM-1","itemData":{"DOI":"10.1557/jmr.2014.212","ISSN":"20445326","abstract":"Additive manufacturing (AM) holds tremendous promise in terms of revolutionizing manufacturing. However, fundamental hurdles limit the widespread adoption of this technology. First, production rates are extremely low. Second, the physical size of the parts is generally small, less than a cubic foot. Third, the mechanical properties of the polymer parts are generally poor, limiting the potential for direct part replacement and functional use of the polymer components. This article describes various ways in which carbon fibers (CFs) can be used to address these fundamental hurdles. First, CF-reinforced polymers developed for AM have demonstrated specific strengths approaching aerospace-quality aluminum. Second, CF additions can radically reduce the distortion and warping of the material during deposition, which enables large-scale, out-of-the-oven, high deposition rate manufacturing. Finally, the complementary nature of CF technology and AM is discussed, showing how merging the two manufacturing processes enables the construction of complex components that would not be possible with either technology alone.","author":[{"dropping-particle":"","family":"Love","given":"Lonnie J.","non-dropping-particle":"","parse-names":false,"suffix":""},{"dropping-particle":"","family":"Kunc","given":"Vlastamil","non-dropping-particle":"","parse-names":false,"suffix":""},{"dropping-particle":"","family":"Rios","given":"Orlando","non-dropping-particle":"","parse-names":false,"suffix":""},{"dropping-particle":"","family":"Duty","given":"Chad E.","non-dropping-particle":"","parse-names":false,"suffix":""},{"dropping-particle":"","family":"Elliott","given":"Amelia M.","non-dropping-particle":"","parse-names":false,"suffix":""},{"dropping-particle":"","family":"Post","given":"Brian K.","non-dropping-particle":"","parse-names":false,"suffix":""},{"dropping-particle":"","family":"Smith","given":"Rachel J.","non-dropping-particle":"","parse-names":false,"suffix":""},{"dropping-particle":"","family":"Blue","given":"Craig A.","non-dropping-particle":"","parse-names":false,"suffix":""}],"container-title":"Journal of Materials Research","id":"ITEM-1","issue":"17","issued":{"date-parts":[["2014","6","17"]]},"page":"1893-1898","publisher":"Cambridge University Press","title":"The importance of carbon fiber to polymer additive manufacturing","type":"article-journal","volume":"29"},"uris":["http://www.mendeley.com/documents/?uuid=b2a00024-2d24-3c87-92bd-0f1c2f0da9a1"]},{"id":"ITEM-2","itemData":{"DOI":"10.1108/RPJ-12-2015-0183","ISSN":"1355-2546","author":[{"dropping-particle":"","family":"Duty","given":"Chad E.","non-dropping-particle":"","parse-names":false,"suffix":""},{"dropping-particle":"","family":"Kunc","given":"Vlastimil","non-dropping-particle":"","parse-names":false,"suffix":""},{"dropping-particle":"","family":"Compton","given":"Brett","non-dropping-particle":"","parse-names":false,"suffix":""},{"dropping-particle":"","family":"Post","given":"Brian","non-dropping-particle":"","parse-names":false,"suffix":""},{"dropping-particle":"","family":"Erdman","given":"Donald","non-dropping-particle":"","parse-names":false,"suffix":""},{"dropping-particle":"","family":"Smith","given":"Rachel","non-dropping-particle":"","parse-names":false,"suffix":""},{"dropping-particle":"","family":"Lind","given":"Randall","non-dropping-particle":"","parse-names":false,"suffix":""},{"dropping-particle":"","family":"Lloyd","given":"Peter","non-dropping-particle":"","parse-names":false,"suffix":""},{"dropping-particle":"","family":"Love","given":"Lonnie","non-dropping-particle":"","parse-names":false,"suffix":""}],"container-title":"Rapid Prototyping Journal","id":"ITEM-2","issue":"1","issued":{"date-parts":[["2017","1","16"]]},"page":"181-189","title":"Structure and mechanical behavior of Big Area Additive Manufacturing (BAAM) materials","type":"article-journal","volume":"23"},"uris":["http://www.mendeley.com/documents/?uuid=5c5efab5-f69e-33d0-830f-c95bd1c91664"]},{"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mendeley":{"formattedCitation":"[12]–[14]","plainTextFormattedCitation":"[12]–[14]","previouslyFormattedCitation":"[12]–[14]"},"properties":{"noteIndex":0},"schema":"https://github.com/citation-style-language/schema/raw/master/csl-citation.json"}</w:instrText>
      </w:r>
      <w:r w:rsidRPr="00B32F8A">
        <w:rPr>
          <w:rFonts w:ascii="Times New Roman" w:hAnsi="Times New Roman" w:cs="Times New Roman"/>
        </w:rPr>
        <w:fldChar w:fldCharType="separate"/>
      </w:r>
      <w:r w:rsidR="004502D6" w:rsidRPr="004502D6">
        <w:rPr>
          <w:rFonts w:ascii="Times New Roman" w:hAnsi="Times New Roman" w:cs="Times New Roman"/>
          <w:noProof/>
        </w:rPr>
        <w:t>[12]–[14]</w:t>
      </w:r>
      <w:r w:rsidRPr="00B32F8A">
        <w:rPr>
          <w:rFonts w:ascii="Times New Roman" w:hAnsi="Times New Roman" w:cs="Times New Roman"/>
        </w:rPr>
        <w:fldChar w:fldCharType="end"/>
      </w:r>
      <w:r w:rsidRPr="00B32F8A">
        <w:rPr>
          <w:rFonts w:ascii="Times New Roman" w:hAnsi="Times New Roman" w:cs="Times New Roman"/>
        </w:rPr>
        <w:t>.</w:t>
      </w:r>
      <w:r>
        <w:rPr>
          <w:rFonts w:ascii="Times New Roman" w:hAnsi="Times New Roman" w:cs="Times New Roman"/>
        </w:rPr>
        <w:t xml:space="preserve"> </w:t>
      </w:r>
    </w:p>
    <w:p w14:paraId="737D646F" w14:textId="77777777" w:rsidR="006F1981" w:rsidRDefault="006F1981" w:rsidP="00A34ACC">
      <w:pPr>
        <w:keepNext/>
        <w:spacing w:line="360" w:lineRule="auto"/>
        <w:jc w:val="center"/>
      </w:pPr>
      <w:r>
        <w:rPr>
          <w:noProof/>
        </w:rPr>
        <w:lastRenderedPageBreak/>
        <w:drawing>
          <wp:inline distT="0" distB="0" distL="0" distR="0" wp14:anchorId="74D6A236" wp14:editId="5C0A6013">
            <wp:extent cx="4051738" cy="2998114"/>
            <wp:effectExtent l="0" t="0" r="6350" b="0"/>
            <wp:docPr id="40" name="Picture 40" descr="Material extrusion 3D printing. A spool of material (usually ABS or PLA) is fed by drive wheels into a heating block where the material melts. The liquefied material is extruded via a nozzle on to the build plate or underlying layers of the nozzle. Each layer of the model solidifies as it cools post-extrusion, building the solid model layer by later. Image courtesy Victor Chang Cardiac Research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ial extrusion 3D printing. A spool of material (usually ABS or PLA) is fed by drive wheels into a heating block where the material melts. The liquefied material is extruded via a nozzle on to the build plate or underlying layers of the nozzle. Each layer of the model solidifies as it cools post-extrusion, building the solid model layer by later. Image courtesy Victor Chang Cardiac Research Institu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388" cy="3044472"/>
                    </a:xfrm>
                    <a:prstGeom prst="rect">
                      <a:avLst/>
                    </a:prstGeom>
                    <a:noFill/>
                    <a:ln>
                      <a:noFill/>
                    </a:ln>
                  </pic:spPr>
                </pic:pic>
              </a:graphicData>
            </a:graphic>
          </wp:inline>
        </w:drawing>
      </w:r>
    </w:p>
    <w:p w14:paraId="53456987" w14:textId="7166C30C" w:rsidR="006F1981" w:rsidRDefault="006F1981" w:rsidP="00F20503">
      <w:pPr>
        <w:pStyle w:val="Caption"/>
      </w:pPr>
      <w:bookmarkStart w:id="4" w:name="_Ref100920437"/>
      <w:bookmarkStart w:id="5" w:name="_Ref100920426"/>
      <w:bookmarkStart w:id="6" w:name="_Toc101365663"/>
      <w:r>
        <w:t xml:space="preserve">Figure </w:t>
      </w:r>
      <w:r w:rsidR="002F73EC">
        <w:fldChar w:fldCharType="begin"/>
      </w:r>
      <w:r w:rsidR="002F73EC">
        <w:instrText xml:space="preserve"> SEQ Figure \* ARABIC </w:instrText>
      </w:r>
      <w:r w:rsidR="002F73EC">
        <w:fldChar w:fldCharType="separate"/>
      </w:r>
      <w:r w:rsidR="00BF5717">
        <w:rPr>
          <w:noProof/>
        </w:rPr>
        <w:t>1</w:t>
      </w:r>
      <w:r w:rsidR="002F73EC">
        <w:rPr>
          <w:noProof/>
        </w:rPr>
        <w:fldChar w:fldCharType="end"/>
      </w:r>
      <w:bookmarkEnd w:id="4"/>
      <w:r>
        <w:t xml:space="preserve"> Schematic of a typical FDM material extrusion process.  Most small-scale thermoplastic 3D printers utilize a spool of filament </w:t>
      </w:r>
      <w:r w:rsidR="00A34ACC">
        <w:t>feedstock</w:t>
      </w:r>
      <w:r w:rsidR="00DE3748">
        <w:t xml:space="preserve"> </w:t>
      </w:r>
      <w:r w:rsidR="003933D2">
        <w:t xml:space="preserve">(Reproduced from </w:t>
      </w:r>
      <w:r w:rsidR="003933D2">
        <w:fldChar w:fldCharType="begin" w:fldLock="1"/>
      </w:r>
      <w:r w:rsidR="004502D6">
        <w:instrText>ADDIN CSL_CITATION {"citationItems":[{"id":"ITEM-1","itemData":{"DOI":"10.21037/CDT.2017.01.12","ISSN":"22233660","abstract":"Current cardiovascular imaging techniques allow anatomical relationships and pathological conditions to be captured in three dimensions. Three-dimensional (3D) printing, or rapid prototyping, has also become readily available and made it possible to transform virtual reconstructions into physical 3D models. This technology has been utilised to demonstrate cardiovascular anatomy and disease in clinical, research and educational settings. In particular, 3D models have been generated from cardiovascular computed tomography (CT) imaging data for purposes such as surgical planning and teaching. This review summarises applications, limitations and practical steps required to create a 3D printed model from cardiovascular CT.","author":[{"dropping-particle":"","family":"Otton","given":"James M.","non-dropping-particle":"","parse-names":false,"suffix":""},{"dropping-particle":"","family":"Birbara","given":"Nicolette S.","non-dropping-particle":"","parse-names":false,"suffix":""},{"dropping-particle":"","family":"Hussain","given":"Tarique","non-dropping-particle":"","parse-names":false,"suffix":""},{"dropping-particle":"","family":"Greil","given":"Gerald","non-dropping-particle":"","parse-names":false,"suffix":""},{"dropping-particle":"","family":"Foley","given":"Thomas A.","non-dropping-particle":"","parse-names":false,"suffix":""},{"dropping-particle":"","family":"Pather","given":"Nalini","non-dropping-particle":"","parse-names":false,"suffix":""}],"container-title":"Cardiovascular Diagnosis and Therapy","id":"ITEM-1","issue":"5","issued":{"date-parts":[["2017","10","1"]]},"page":"507-526","publisher":"AME Publishing Company","title":"3D printing from cardiovascular CT: A practical guide and review","type":"article-journal","volume":"7"},"uris":["http://www.mendeley.com/documents/?uuid=2a95d96f-0677-3b83-8cd7-bd8ef2ea7cdc"]}],"mendeley":{"formattedCitation":"[15]","plainTextFormattedCitation":"[15]","previouslyFormattedCitation":"[15]"},"properties":{"noteIndex":0},"schema":"https://github.com/citation-style-language/schema/raw/master/csl-citation.json"}</w:instrText>
      </w:r>
      <w:r w:rsidR="003933D2">
        <w:fldChar w:fldCharType="separate"/>
      </w:r>
      <w:r w:rsidR="004502D6" w:rsidRPr="004502D6">
        <w:rPr>
          <w:noProof/>
        </w:rPr>
        <w:t>[15]</w:t>
      </w:r>
      <w:r w:rsidR="003933D2">
        <w:fldChar w:fldCharType="end"/>
      </w:r>
      <w:r w:rsidR="003933D2">
        <w:t>)</w:t>
      </w:r>
      <w:bookmarkEnd w:id="5"/>
      <w:bookmarkEnd w:id="6"/>
      <w:r>
        <w:t xml:space="preserve"> </w:t>
      </w:r>
    </w:p>
    <w:p w14:paraId="3533458C" w14:textId="0AFFD8E4" w:rsidR="00A34ACC" w:rsidRDefault="00A34ACC" w:rsidP="00A34ACC"/>
    <w:p w14:paraId="14304BD1" w14:textId="77777777" w:rsidR="00A34ACC" w:rsidRPr="00A34ACC" w:rsidRDefault="00A34ACC" w:rsidP="00A34ACC"/>
    <w:p w14:paraId="785BF2D8" w14:textId="77777777" w:rsidR="006F1981" w:rsidRPr="006F1981" w:rsidRDefault="006F1981" w:rsidP="006F1981"/>
    <w:p w14:paraId="367D9346" w14:textId="77777777" w:rsidR="006F1981" w:rsidRPr="00B32F8A" w:rsidRDefault="006F1981" w:rsidP="006F1981">
      <w:pPr>
        <w:keepNext/>
        <w:spacing w:line="480" w:lineRule="auto"/>
        <w:jc w:val="center"/>
        <w:rPr>
          <w:rFonts w:ascii="Times New Roman" w:hAnsi="Times New Roman" w:cs="Times New Roman"/>
        </w:rPr>
      </w:pPr>
      <w:r w:rsidRPr="00B32F8A">
        <w:rPr>
          <w:rFonts w:ascii="Times New Roman" w:hAnsi="Times New Roman" w:cs="Times New Roman"/>
          <w:noProof/>
        </w:rPr>
        <w:drawing>
          <wp:inline distT="0" distB="0" distL="0" distR="0" wp14:anchorId="215C4E1D" wp14:editId="65A9D026">
            <wp:extent cx="5124893" cy="2733276"/>
            <wp:effectExtent l="0" t="0" r="0" b="0"/>
            <wp:docPr id="41" name="Picture 41" descr="A picture containing indoor,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ndoor, mill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6560" cy="2755498"/>
                    </a:xfrm>
                    <a:prstGeom prst="rect">
                      <a:avLst/>
                    </a:prstGeom>
                    <a:noFill/>
                    <a:ln>
                      <a:noFill/>
                    </a:ln>
                  </pic:spPr>
                </pic:pic>
              </a:graphicData>
            </a:graphic>
          </wp:inline>
        </w:drawing>
      </w:r>
    </w:p>
    <w:p w14:paraId="67E21352" w14:textId="22848F19" w:rsidR="006F1981" w:rsidRPr="006F1981" w:rsidRDefault="006F1981" w:rsidP="00F20503">
      <w:pPr>
        <w:pStyle w:val="Caption"/>
      </w:pPr>
      <w:bookmarkStart w:id="7" w:name="_Ref100920566"/>
      <w:bookmarkStart w:id="8" w:name="_Toc101365664"/>
      <w:r w:rsidRPr="00B32F8A">
        <w:t xml:space="preserve">Figure </w:t>
      </w:r>
      <w:r w:rsidR="002F73EC">
        <w:fldChar w:fldCharType="begin"/>
      </w:r>
      <w:r w:rsidR="002F73EC">
        <w:instrText xml:space="preserve"> SEQ Figure \* ARABIC </w:instrText>
      </w:r>
      <w:r w:rsidR="002F73EC">
        <w:fldChar w:fldCharType="separate"/>
      </w:r>
      <w:r w:rsidR="00BF5717">
        <w:rPr>
          <w:noProof/>
        </w:rPr>
        <w:t>2</w:t>
      </w:r>
      <w:r w:rsidR="002F73EC">
        <w:rPr>
          <w:noProof/>
        </w:rPr>
        <w:fldChar w:fldCharType="end"/>
      </w:r>
      <w:bookmarkEnd w:id="7"/>
      <w:r w:rsidRPr="00B32F8A">
        <w:t xml:space="preserve"> Large-scale thermoplastic AM is focused primarily on the tooling industry.  Materials such as carbon fiber</w:t>
      </w:r>
      <w:r w:rsidR="0041449C">
        <w:t>-</w:t>
      </w:r>
      <w:r w:rsidRPr="00B32F8A">
        <w:t xml:space="preserve">filled ABS are used </w:t>
      </w:r>
      <w:r w:rsidR="0041449C">
        <w:t xml:space="preserve">in </w:t>
      </w:r>
      <w:r w:rsidRPr="00B32F8A">
        <w:t>marine applications such as this boat hull mold</w:t>
      </w:r>
      <w:r w:rsidR="00BC536F">
        <w:t>, which was printed on a Thermwood Large Scale Additive Manufacturing (LSAM) system with a 10’ x 20’ work table</w:t>
      </w:r>
      <w:r w:rsidRPr="00B32F8A">
        <w:t xml:space="preserve"> (</w:t>
      </w:r>
      <w:r w:rsidR="003F584F">
        <w:t>S</w:t>
      </w:r>
      <w:r w:rsidR="003F584F" w:rsidRPr="00B32F8A">
        <w:t>ource</w:t>
      </w:r>
      <w:r w:rsidRPr="00B32F8A">
        <w:t xml:space="preserve">: Composites </w:t>
      </w:r>
      <w:r w:rsidR="00BF7344">
        <w:t>World</w:t>
      </w:r>
      <w:r w:rsidR="004502D6">
        <w:fldChar w:fldCharType="begin" w:fldLock="1"/>
      </w:r>
      <w:r w:rsidR="00BF7344">
        <w:instrText>ADDIN CSL_CITATION {"citationItems":[{"id":"ITEM-1","itemData":{"URL":"https://www.compositesworld.com/articles/tahoe-boats-t16-uses-3d-printed-tooling-from-thermwood","accessed":{"date-parts":[["2022","3","1"]]},"id":"ITEM-1","issued":{"date-parts":[["0"]]},"title":"TAHOE Boats' T16 uses 3D printed tooling from Thermwood | CompositesWorld","type":"webpage"},"uris":["http://www.mendeley.com/documents/?uuid=a408c1a0-b927-3357-a05d-2f171995f037"]}],"mendeley":{"formattedCitation":"[16]","plainTextFormattedCitation":"[16]","previouslyFormattedCitation":"[16]"},"properties":{"noteIndex":0},"schema":"https://github.com/citation-style-language/schema/raw/master/csl-citation.json"}</w:instrText>
      </w:r>
      <w:r w:rsidR="004502D6">
        <w:fldChar w:fldCharType="separate"/>
      </w:r>
      <w:r w:rsidR="004502D6" w:rsidRPr="004502D6">
        <w:rPr>
          <w:noProof/>
        </w:rPr>
        <w:t>[16]</w:t>
      </w:r>
      <w:r w:rsidR="004502D6">
        <w:fldChar w:fldCharType="end"/>
      </w:r>
      <w:r w:rsidRPr="00B32F8A">
        <w:t>)</w:t>
      </w:r>
      <w:r>
        <w:t>.</w:t>
      </w:r>
      <w:bookmarkEnd w:id="8"/>
    </w:p>
    <w:p w14:paraId="10C6FAD7" w14:textId="628227D6" w:rsidR="006F1981" w:rsidRDefault="006F1981" w:rsidP="00DB3040">
      <w:pPr>
        <w:pStyle w:val="Heading2"/>
      </w:pPr>
      <w:bookmarkStart w:id="9" w:name="_Toc101701719"/>
      <w:r>
        <w:lastRenderedPageBreak/>
        <w:t>Photopolymers in LFAM</w:t>
      </w:r>
      <w:bookmarkEnd w:id="9"/>
    </w:p>
    <w:p w14:paraId="3C91D556" w14:textId="2A5635E0" w:rsidR="006F1981" w:rsidRDefault="006F1981" w:rsidP="006F1981">
      <w:pPr>
        <w:spacing w:line="360" w:lineRule="auto"/>
        <w:rPr>
          <w:rFonts w:ascii="Times New Roman" w:hAnsi="Times New Roman" w:cs="Times New Roman"/>
        </w:rPr>
      </w:pPr>
      <w:r w:rsidRPr="005265D4">
        <w:rPr>
          <w:rFonts w:ascii="Times New Roman" w:hAnsi="Times New Roman" w:cs="Times New Roman"/>
        </w:rPr>
        <w:t>In addition to thermoplastic</w:t>
      </w:r>
      <w:r>
        <w:rPr>
          <w:rFonts w:ascii="Times New Roman" w:hAnsi="Times New Roman" w:cs="Times New Roman"/>
        </w:rPr>
        <w:t xml:space="preserve"> polymers</w:t>
      </w:r>
      <w:r w:rsidRPr="005265D4">
        <w:rPr>
          <w:rFonts w:ascii="Times New Roman" w:hAnsi="Times New Roman" w:cs="Times New Roman"/>
        </w:rPr>
        <w:t xml:space="preserve">, </w:t>
      </w:r>
      <w:r>
        <w:rPr>
          <w:rFonts w:ascii="Times New Roman" w:hAnsi="Times New Roman" w:cs="Times New Roman"/>
        </w:rPr>
        <w:t xml:space="preserve">other material extrusion LFAM methods print with concrete, clay, thermoset polymers, and UV curing photopolymers.  LFAM printers have been used to print tooling for the marine and aerospace industries (see </w:t>
      </w:r>
      <w:r w:rsidR="0011354A" w:rsidRPr="0011354A">
        <w:rPr>
          <w:rFonts w:ascii="Times New Roman" w:hAnsi="Times New Roman" w:cs="Times New Roman"/>
        </w:rPr>
        <w:fldChar w:fldCharType="begin"/>
      </w:r>
      <w:r w:rsidR="0011354A" w:rsidRPr="0011354A">
        <w:rPr>
          <w:rFonts w:ascii="Times New Roman" w:hAnsi="Times New Roman" w:cs="Times New Roman"/>
        </w:rPr>
        <w:instrText xml:space="preserve"> REF _Ref100920566 \h </w:instrText>
      </w:r>
      <w:r w:rsidR="0011354A">
        <w:rPr>
          <w:rFonts w:ascii="Times New Roman" w:hAnsi="Times New Roman" w:cs="Times New Roman"/>
        </w:rPr>
        <w:instrText xml:space="preserve"> \* MERGEFORMAT </w:instrText>
      </w:r>
      <w:r w:rsidR="0011354A" w:rsidRPr="0011354A">
        <w:rPr>
          <w:rFonts w:ascii="Times New Roman" w:hAnsi="Times New Roman" w:cs="Times New Roman"/>
        </w:rPr>
      </w:r>
      <w:r w:rsidR="0011354A" w:rsidRPr="0011354A">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2</w:t>
      </w:r>
      <w:r w:rsidR="0011354A" w:rsidRPr="0011354A">
        <w:rPr>
          <w:rFonts w:ascii="Times New Roman" w:hAnsi="Times New Roman" w:cs="Times New Roman"/>
        </w:rPr>
        <w:fldChar w:fldCharType="end"/>
      </w:r>
      <w:r>
        <w:rPr>
          <w:rFonts w:ascii="Times New Roman" w:hAnsi="Times New Roman" w:cs="Times New Roman"/>
        </w:rPr>
        <w:t>), bridges, and even entire buildings (see</w:t>
      </w:r>
      <w:r w:rsidR="0011354A">
        <w:rPr>
          <w:rFonts w:ascii="Times New Roman" w:hAnsi="Times New Roman" w:cs="Times New Roman"/>
        </w:rPr>
        <w:t xml:space="preserve"> </w:t>
      </w:r>
      <w:r w:rsidR="0011354A" w:rsidRPr="0011354A">
        <w:rPr>
          <w:rFonts w:ascii="Times New Roman" w:hAnsi="Times New Roman" w:cs="Times New Roman"/>
        </w:rPr>
        <w:fldChar w:fldCharType="begin"/>
      </w:r>
      <w:r w:rsidR="0011354A" w:rsidRPr="0011354A">
        <w:rPr>
          <w:rFonts w:ascii="Times New Roman" w:hAnsi="Times New Roman" w:cs="Times New Roman"/>
        </w:rPr>
        <w:instrText xml:space="preserve"> REF _Ref100920591 \h </w:instrText>
      </w:r>
      <w:r w:rsidR="0011354A">
        <w:rPr>
          <w:rFonts w:ascii="Times New Roman" w:hAnsi="Times New Roman" w:cs="Times New Roman"/>
        </w:rPr>
        <w:instrText xml:space="preserve"> \* MERGEFORMAT </w:instrText>
      </w:r>
      <w:r w:rsidR="0011354A" w:rsidRPr="0011354A">
        <w:rPr>
          <w:rFonts w:ascii="Times New Roman" w:hAnsi="Times New Roman" w:cs="Times New Roman"/>
        </w:rPr>
      </w:r>
      <w:r w:rsidR="0011354A" w:rsidRPr="0011354A">
        <w:rPr>
          <w:rFonts w:ascii="Times New Roman" w:hAnsi="Times New Roman" w:cs="Times New Roman"/>
        </w:rPr>
        <w:fldChar w:fldCharType="separate"/>
      </w:r>
      <w:r w:rsidR="0011354A" w:rsidRPr="0011354A">
        <w:rPr>
          <w:rFonts w:ascii="Times New Roman" w:hAnsi="Times New Roman" w:cs="Times New Roman"/>
        </w:rPr>
        <w:t xml:space="preserve">Figure </w:t>
      </w:r>
      <w:r w:rsidR="0011354A" w:rsidRPr="0011354A">
        <w:rPr>
          <w:rFonts w:ascii="Times New Roman" w:hAnsi="Times New Roman" w:cs="Times New Roman"/>
          <w:noProof/>
        </w:rPr>
        <w:t>3</w:t>
      </w:r>
      <w:r w:rsidR="0011354A" w:rsidRPr="0011354A">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{"citationItems":[{"id":"ITEM-1","itemData":{"abstract":"Case studies on the economics of Additive Manufacturing (AM) suggest that processing time is the dominant cost in manufacturing. Most additive processes have similar performance metrics: small part sizes, low production rates and expensive feedstocks. Big Area Additive Manufacturing is based on transitioning polymer extrusion technology from a wire to a pellet feedstock. Utilizing pellets significantly increases deposition speed and lowers material cost by utilizing low cost injection molding feedstock. The use of carbon fiber reinforced polymers eliminates the need for a heated chamber, significantly reducing machine power requirements and size constraints. We hypothesize that the increase in productivity coupled with decrease in feedstock and energy costs will enable AM to become more competitive with conventional manufacturing processes for many applications. As a test case, we compare the cost of using traditional fused deposition modeling (FDM) with BAAM for additively manufacturing composite tooling.","author":[{"dropping-particle":"","family":"Post","given":"B K","non-dropping-particle":"","parse-names":false,"suffix":""},{"dropping-particle":"","family":"Lind","given":"R F","non-dropping-particle":"","parse-names":false,"suffix":""},{"dropping-particle":"","family":"Lloyd","given":"P D","non-dropping-particle":"","parse-names":false,"suffix":""},{"dropping-particle":"","family":"Kunc","given":"V","non-dropping-particle":"","parse-names":false,"suffix":""},{"dropping-particle":"","family":"Linhal","given":"J M","non-dropping-particle":"","parse-names":false,"suffix":""},{"dropping-particle":"","family":"Love","given":"L J","non-dropping-particle":"","parse-names":false,"suffix":""}],"id":"ITEM-1","issued":{"date-parts":[["0"]]},"title":"THE ECONOMICS OF BIG AREA ADDITIVE MANUFACTURING","type":"article-journal"},"uris":["http://www.mendeley.com/documents/?uuid=80dac28b-9fb6-36e6-a55f-f47d9e067afe"]},{"id":"ITEM-2","itemData":{"abstract":"douglas.d.greenwood@navy.mil Distribution Statement A FRC-East is engaged in several research projects with industry under the umbrella of Cooperative Research and Development Agreements (CRADA). Research work includes the following two projects devoted to sheet metal forming and composite tools printed built on two different large format printers; the Big Area Additive Manufacturing (BAAM-CI) machine manufactured by Cincinnati, Inc. (CI) and the Large Scale Additive Manufacturing (LSAM) machine manufactured by Thermwood, Inc. Both AM machines build parts by melting pelletized thermoplastic materials and extruding &amp; compacting the material through an injection molding sprue and deposition nozzle assembly mounted on a gantry system. BOEING/ORNL BAAM COMPOSITE TOOLING PROJECT This is a joint project between FRC-E, Boeing, Oak Ridge National Labs (ORNL), Cincinnati, Inc., BASF, Techmer ES, Ford and TruDesign. The theme of the project is to investigate the use of high temperature, low CTE carbon filled thermoplastic materials that can be processed by the BAAM-CI AM machine to build composite layup tools for use under autoclave conditions of 350°F and 100 psig. Each company and organization funds their own efforts. Tool designs are provided by Boeing. Thermoplastic materials are provided by Techmer ES and BASF. ORNL builds the tools on their BAAM-CI AM machine. ORNL performs finish machining of the tools on a 5-axis CNC router. Boeing and FRC-E test the composite tools. All results are shared collaboratively with all partners. Two materials are being investigated – Polyphenol Sulfide (PPS) and Polyphenolsulfone (PPSU), both with carbon fiber fill. To date, the team has successfully tested a set of small scale tools (~2.5' x 2.5' x 2.5' (XYZ)) at Boeing in April, 2016. The team then tested a set of mid-scale tools (~5' x 5' x 5' (XYZ)) at FRC-E in September, 2016. The Mid-Scale trials revealed differences in thermal expansion between the build plane (XY) and the direction of build (Z) that was not observed during the small scale trials. This anisotropic CTE behavior is currently under further investigation at ORNL prior to building the next set of tools.","author":[{"dropping-particle":"","family":"Greenwood","given":"Douglas D","non-dropping-particle":"","parse-names":false,"suffix":""}],"id":"ITEM-2","issued":{"date-parts":[["2017"]]},"publisher-place":"Marine Corps Air Station Cherry Point","title":"Fleet Readiness Center – East: Large format additive manufacturing research projects","type":"report"},"uris":["http://www.mendeley.com/documents/?uuid=79ea557c-185f-35df-a0d1-46193758dcb9"]},{"id":"ITEM-3","itemData":{"URL":"https://www.dezeen.com/2021/04/23/mario-cucinella-architects-wasp-3d-printed-housing/","accessed":{"date-parts":[["2022","2","19"]]},"id":"ITEM-3","issued":{"date-parts":[["0"]]},"title":"Tecla house 3D-printed from locally sourced clay","type":"webpage"},"uris":["http://www.mendeley.com/documents/?uuid=36a48c87-828a-3e65-b29f-c2143ebaaa5a"]},{"id":"ITEM-4","itemData":{"URL":"https://3dprintingindustry.com/news/interview-mighty-buildings-co-founder-sam-ruben-on-gaining-a-30m-investment-and-3d-printing-houses-174712/","accessed":{"date-parts":[["2020","11","19"]]},"id":"ITEM-4","issued":{"date-parts":[["0"]]},"title":"Interview: Mighty Buildings Co-founder Sam Ruben on gaining a $30m investment and 3D printing houses  - 3D Printing Industry","type":"webpage"},"uris":["http://www.mendeley.com/documents/?uuid=d194a2a7-8ecf-3a13-84a9-c12262737fdb"]}],"mendeley":{"formattedCitation":"[8], [17]–[19]","plainTextFormattedCitation":"[8], [17]–[19]","previouslyFormattedCitation":"[8], [17]–[19]"},"properties":{"noteIndex":0},"schema":"https://github.com/citation-style-language/schema/raw/master/csl-citation.json"}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[8], [17]–[19]</w:t>
      </w:r>
      <w:r>
        <w:rPr>
          <w:rFonts w:ascii="Times New Roman" w:hAnsi="Times New Roman" w:cs="Times New Roman"/>
        </w:rPr>
        <w:fldChar w:fldCharType="end"/>
      </w:r>
      <w:r>
        <w:rPr>
          <w:rFonts w:ascii="Times New Roman" w:hAnsi="Times New Roman" w:cs="Times New Roman"/>
        </w:rPr>
        <w:t xml:space="preserve">.   </w:t>
      </w:r>
      <w:r w:rsidR="00CF773B">
        <w:rPr>
          <w:rFonts w:ascii="Times New Roman" w:hAnsi="Times New Roman" w:cs="Times New Roman"/>
        </w:rPr>
        <w:t>T</w:t>
      </w:r>
      <w:r>
        <w:rPr>
          <w:rFonts w:ascii="Times New Roman" w:hAnsi="Times New Roman" w:cs="Times New Roman"/>
        </w:rPr>
        <w:t>he scope of the present work will limit the discussion to polymeric feedstocks and applications such as tooling.</w:t>
      </w:r>
    </w:p>
    <w:p w14:paraId="41B205CE" w14:textId="77777777" w:rsidR="006F1981" w:rsidRDefault="006F1981" w:rsidP="006F1981">
      <w:pPr>
        <w:spacing w:line="360" w:lineRule="auto"/>
        <w:rPr>
          <w:rFonts w:ascii="Times New Roman" w:hAnsi="Times New Roman" w:cs="Times New Roman"/>
        </w:rPr>
      </w:pPr>
    </w:p>
    <w:p w14:paraId="65958733" w14:textId="436A2EE5" w:rsidR="006F1981" w:rsidRPr="00B32F8A" w:rsidRDefault="006F1981" w:rsidP="006F1981">
      <w:pPr>
        <w:spacing w:line="360" w:lineRule="auto"/>
        <w:rPr>
          <w:rFonts w:ascii="Times New Roman" w:hAnsi="Times New Roman" w:cs="Times New Roman"/>
        </w:rPr>
      </w:pPr>
      <w:r>
        <w:rPr>
          <w:rFonts w:ascii="Times New Roman" w:hAnsi="Times New Roman" w:cs="Times New Roman"/>
        </w:rPr>
        <w:t>In 3D printed tooling, one challenge is thermal stability at the oven/autoclave curing temperatures typical in composites manufacturing, which range from</w:t>
      </w:r>
      <w:r w:rsidRPr="008B3BCF">
        <w:rPr>
          <w:rFonts w:ascii="Times New Roman" w:hAnsi="Times New Roman" w:cs="Times New Roman"/>
        </w:rPr>
        <w:t xml:space="preserve"> 121 – 177 °C</w:t>
      </w:r>
      <w:r>
        <w:rPr>
          <w:rFonts w:ascii="Times New Roman" w:hAnsi="Times New Roman" w:cs="Times New Roman"/>
        </w:rPr>
        <w:t xml:space="preserve">.  </w:t>
      </w:r>
      <w:r w:rsidRPr="008B3BCF">
        <w:rPr>
          <w:rFonts w:ascii="Times New Roman" w:hAnsi="Times New Roman" w:cs="Times New Roman"/>
        </w:rPr>
        <w:t>Autoclavable 3D printed tooling has been produced from high-temperature thermoplastics such as</w:t>
      </w:r>
      <w:r w:rsidR="008F239B">
        <w:rPr>
          <w:rFonts w:ascii="Times New Roman" w:hAnsi="Times New Roman" w:cs="Times New Roman"/>
        </w:rPr>
        <w:t xml:space="preserve"> </w:t>
      </w:r>
      <w:r w:rsidR="008F239B" w:rsidRPr="008B3BCF">
        <w:rPr>
          <w:rFonts w:ascii="Times New Roman" w:hAnsi="Times New Roman" w:cs="Times New Roman"/>
        </w:rPr>
        <w:t>polyetherimide (PEI) and polyphenylene sulfide (PPS)</w:t>
      </w:r>
      <w:r w:rsidRPr="008B3BCF">
        <w:rPr>
          <w:rFonts w:ascii="Times New Roman" w:hAnsi="Times New Roman" w:cs="Times New Roman"/>
        </w:rPr>
        <w:t xml:space="preserve">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{"citationItems":[{"id":"ITEM-1","itemData":{"abstract":"douglas.d.greenwood@navy.mil Distribution Statement A FRC-East is engaged in several research projects with industry under the umbrella of Cooperative Research and Development Agreements (CRADA). Research work includes the following two projects devoted to sheet metal forming and composite tools printed built on two different large format printers; the Big Area Additive Manufacturing (BAAM-CI) machine manufactured by Cincinnati, Inc. (CI) and the Large Scale Additive Manufacturing (LSAM) machine manufactured by Thermwood, Inc. Both AM machines build parts by melting pelletized thermoplastic materials and extruding &amp; compacting the material through an injection molding sprue and deposition nozzle assembly mounted on a gantry system. BOEING/ORNL BAAM COMPOSITE TOOLING PROJECT This is a joint project between FRC-E, Boeing, Oak Ridge National Labs (ORNL), Cincinnati, Inc., BASF, Techmer ES, Ford and TruDesign. The theme of the project is to investigate the use of high temperature, low CTE carbon filled thermoplastic materials that can be processed by the BAAM-CI AM machine to build composite layup tools for use under autoclave conditions of 350°F and 100 psig. Each company and organization funds their own efforts. Tool designs are provided by Boeing. Thermoplastic materials are provided by Techmer ES and BASF. ORNL builds the tools on their BAAM-CI AM machine. ORNL performs finish machining of the tools on a 5-axis CNC router. Boeing and FRC-E test the composite tools. All results are shared collaboratively with all partners. Two materials are being investigated – Polyphenol Sulfide (PPS) and Polyphenolsulfone (PPSU), both with carbon fiber fill. To date, the team has successfully tested a set of small scale tools (~2.5' x 2.5' x 2.5' (XYZ)) at Boeing in April, 2016. The team then tested a set of mid-scale tools (~5' x 5' x 5' (XYZ)) at FRC-E in September, 2016. The Mid-Scale trials revealed differences in thermal expansion between the build plane (XY) and the direction of build (Z) that was not observed during the small scale trials. This anisotropic CTE behavior is currently under further investigation at ORNL prior to building the next set of tools.","author":[{"dropping-particle":"","family":"Greenwood","given":"Douglas D","non-dropping-particle":"","parse-names":false,"suffix":""}],"id":"ITEM-1","issued":{"date-parts":[["2017"]]},"publisher-place":"Marine Corps Air Station Cherry Point","title":"Fleet Readiness Center – East: Large format additive manufacturing research projects","type":"report"},"uris":["http://www.mendeley.com/documents/?uuid=79ea557c-185f-35df-a0d1-46193758dcb9"]}],"mendeley":{"formattedCitation":"[18]","plainTextFormattedCitation":"[18]","previouslyFormattedCitation":"[18]"},"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[18]</w:t>
      </w:r>
      <w:r w:rsidRPr="008B3BCF">
        <w:rPr>
          <w:rFonts w:ascii="Times New Roman" w:hAnsi="Times New Roman" w:cs="Times New Roman"/>
        </w:rPr>
        <w:fldChar w:fldCharType="end"/>
      </w:r>
      <w:r w:rsidRPr="008B3BCF">
        <w:rPr>
          <w:rFonts w:ascii="Times New Roman" w:hAnsi="Times New Roman" w:cs="Times New Roman"/>
        </w:rPr>
        <w:t xml:space="preserve">. Still, these are more costly than ABS and </w:t>
      </w:r>
      <w:r>
        <w:rPr>
          <w:rFonts w:ascii="Times New Roman" w:hAnsi="Times New Roman" w:cs="Times New Roman"/>
        </w:rPr>
        <w:t xml:space="preserve">must be heated to </w:t>
      </w:r>
      <w:r w:rsidRPr="008B3BCF">
        <w:rPr>
          <w:rFonts w:ascii="Times New Roman" w:hAnsi="Times New Roman" w:cs="Times New Roman"/>
        </w:rPr>
        <w:t>300 – 450 °C</w:t>
      </w:r>
      <w:r>
        <w:rPr>
          <w:rFonts w:ascii="Times New Roman" w:hAnsi="Times New Roman" w:cs="Times New Roman"/>
        </w:rPr>
        <w:t xml:space="preserve"> to extrude</w:t>
      </w:r>
      <w:r w:rsidRPr="008B3BCF">
        <w:rPr>
          <w:rFonts w:ascii="Times New Roman" w:hAnsi="Times New Roman" w:cs="Times New Roman"/>
        </w:rPr>
        <w:t>.</w:t>
      </w:r>
      <w:r>
        <w:rPr>
          <w:rFonts w:ascii="Times New Roman" w:hAnsi="Times New Roman" w:cs="Times New Roman"/>
        </w:rPr>
        <w:t xml:space="preserve">  </w:t>
      </w:r>
      <w:r w:rsidR="003163CC">
        <w:rPr>
          <w:rFonts w:ascii="Times New Roman" w:hAnsi="Times New Roman" w:cs="Times New Roman"/>
        </w:rPr>
        <w:t>Unlike thermoplastics, t</w:t>
      </w:r>
      <w:r>
        <w:rPr>
          <w:rFonts w:ascii="Times New Roman" w:hAnsi="Times New Roman" w:cs="Times New Roman"/>
        </w:rPr>
        <w:t>hermoset polymers</w:t>
      </w:r>
      <w:r w:rsidR="003163CC">
        <w:rPr>
          <w:rFonts w:ascii="Times New Roman" w:hAnsi="Times New Roman" w:cs="Times New Roman"/>
        </w:rPr>
        <w:t xml:space="preserve"> undergo an irreversible chemical curing reaction during solidification. </w:t>
      </w:r>
      <w:r w:rsidR="00CA13DC">
        <w:rPr>
          <w:rFonts w:ascii="Times New Roman" w:hAnsi="Times New Roman" w:cs="Times New Roman"/>
        </w:rPr>
        <w:t>Many thermosets can process at</w:t>
      </w:r>
      <w:r w:rsidR="003163CC">
        <w:rPr>
          <w:rFonts w:ascii="Times New Roman" w:hAnsi="Times New Roman" w:cs="Times New Roman"/>
        </w:rPr>
        <w:t xml:space="preserve"> ambient </w:t>
      </w:r>
      <w:r w:rsidR="00CA13DC">
        <w:rPr>
          <w:rFonts w:ascii="Times New Roman" w:hAnsi="Times New Roman" w:cs="Times New Roman"/>
        </w:rPr>
        <w:t>temperatures</w:t>
      </w:r>
      <w:r w:rsidR="003163CC">
        <w:rPr>
          <w:rFonts w:ascii="Times New Roman" w:hAnsi="Times New Roman" w:cs="Times New Roman"/>
        </w:rPr>
        <w:t xml:space="preserve">, and some </w:t>
      </w:r>
      <w:r w:rsidR="00CA13DC">
        <w:rPr>
          <w:rFonts w:ascii="Times New Roman" w:hAnsi="Times New Roman" w:cs="Times New Roman"/>
        </w:rPr>
        <w:t xml:space="preserve">are </w:t>
      </w:r>
      <w:r w:rsidR="003163CC">
        <w:rPr>
          <w:rFonts w:ascii="Times New Roman" w:hAnsi="Times New Roman" w:cs="Times New Roman"/>
        </w:rPr>
        <w:t xml:space="preserve">sufficiently stable for oven/autoclave use.  </w:t>
      </w:r>
      <w:r>
        <w:rPr>
          <w:rFonts w:ascii="Times New Roman" w:hAnsi="Times New Roman" w:cs="Times New Roman"/>
        </w:rPr>
        <w:t xml:space="preserve">Because thermoset </w:t>
      </w:r>
      <w:r w:rsidR="00CF773B">
        <w:rPr>
          <w:rFonts w:ascii="Times New Roman" w:hAnsi="Times New Roman" w:cs="Times New Roman"/>
        </w:rPr>
        <w:t xml:space="preserve">curing </w:t>
      </w:r>
      <w:r>
        <w:rPr>
          <w:rFonts w:ascii="Times New Roman" w:hAnsi="Times New Roman" w:cs="Times New Roman"/>
        </w:rPr>
        <w:t>reactions take place over minutes or hours,</w:t>
      </w:r>
      <w:r w:rsidRPr="00B32F8A">
        <w:rPr>
          <w:rFonts w:ascii="Times New Roman" w:hAnsi="Times New Roman" w:cs="Times New Roman"/>
        </w:rPr>
        <w:t xml:space="preserve"> </w:t>
      </w:r>
      <w:r>
        <w:rPr>
          <w:rFonts w:ascii="Times New Roman" w:hAnsi="Times New Roman" w:cs="Times New Roman"/>
        </w:rPr>
        <w:t>d</w:t>
      </w:r>
      <w:r w:rsidRPr="00977D74">
        <w:rPr>
          <w:rFonts w:ascii="Times New Roman" w:hAnsi="Times New Roman" w:cs="Times New Roman"/>
        </w:rPr>
        <w:t>ynamic viscosity</w:t>
      </w:r>
      <w:r>
        <w:rPr>
          <w:rFonts w:ascii="Times New Roman" w:hAnsi="Times New Roman" w:cs="Times New Roman"/>
        </w:rPr>
        <w:t xml:space="preserve"> in uncured resin</w:t>
      </w:r>
      <w:r w:rsidRPr="00977D74">
        <w:rPr>
          <w:rFonts w:ascii="Times New Roman" w:hAnsi="Times New Roman" w:cs="Times New Roman"/>
        </w:rPr>
        <w:t xml:space="preserve"> is </w:t>
      </w:r>
      <w:r w:rsidR="00CF773B">
        <w:rPr>
          <w:rFonts w:ascii="Times New Roman" w:hAnsi="Times New Roman" w:cs="Times New Roman"/>
        </w:rPr>
        <w:t>key to object stability during printing</w:t>
      </w:r>
      <w:r w:rsidR="007856D9">
        <w:rPr>
          <w:rFonts w:ascii="Times New Roman" w:hAnsi="Times New Roman" w:cs="Times New Roman"/>
        </w:rPr>
        <w:t>.</w:t>
      </w:r>
      <w:r>
        <w:rPr>
          <w:rFonts w:ascii="Times New Roman" w:hAnsi="Times New Roman" w:cs="Times New Roman"/>
        </w:rPr>
        <w:t xml:space="preserve">  C</w:t>
      </w:r>
      <w:r w:rsidRPr="00B32F8A">
        <w:rPr>
          <w:rFonts w:ascii="Times New Roman" w:hAnsi="Times New Roman" w:cs="Times New Roman"/>
        </w:rPr>
        <w:t xml:space="preserve">ure time </w:t>
      </w:r>
      <w:r>
        <w:rPr>
          <w:rFonts w:ascii="Times New Roman" w:hAnsi="Times New Roman" w:cs="Times New Roman"/>
        </w:rPr>
        <w:t>must be</w:t>
      </w:r>
      <w:r w:rsidR="00EE488F">
        <w:rPr>
          <w:rFonts w:ascii="Times New Roman" w:hAnsi="Times New Roman" w:cs="Times New Roman"/>
        </w:rPr>
        <w:t xml:space="preserve"> also be</w:t>
      </w:r>
      <w:r>
        <w:rPr>
          <w:rFonts w:ascii="Times New Roman" w:hAnsi="Times New Roman" w:cs="Times New Roman"/>
        </w:rPr>
        <w:t xml:space="preserve"> balanced with</w:t>
      </w:r>
      <w:r w:rsidRPr="00B32F8A">
        <w:rPr>
          <w:rFonts w:ascii="Times New Roman" w:hAnsi="Times New Roman" w:cs="Times New Roman"/>
        </w:rPr>
        <w:t xml:space="preserve"> exotherm</w:t>
      </w:r>
      <w:r>
        <w:rPr>
          <w:rFonts w:ascii="Times New Roman" w:hAnsi="Times New Roman" w:cs="Times New Roman"/>
        </w:rPr>
        <w:t>ic reaction</w:t>
      </w:r>
      <w:r w:rsidRPr="00B32F8A">
        <w:rPr>
          <w:rFonts w:ascii="Times New Roman" w:hAnsi="Times New Roman" w:cs="Times New Roman"/>
        </w:rPr>
        <w:t xml:space="preserve"> temperatures to </w:t>
      </w:r>
      <w:r>
        <w:rPr>
          <w:rFonts w:ascii="Times New Roman" w:hAnsi="Times New Roman" w:cs="Times New Roman"/>
        </w:rPr>
        <w:t xml:space="preserve">prevent viscosity drop and wall collapse </w:t>
      </w:r>
      <w:r w:rsidRPr="00B32F8A">
        <w:rPr>
          <w:rFonts w:ascii="Times New Roman" w:hAnsi="Times New Roman" w:cs="Times New Roman"/>
        </w:rPr>
        <w:fldChar w:fldCharType="begin" w:fldLock="1"/>
      </w:r>
      <w:r w:rsidR="00BF7344">
        <w:rPr>
          <w:rFonts w:ascii="Times New Roman" w:hAnsi="Times New Roman" w:cs="Times New Roman"/>
        </w:rPr>
        <w:instrText>ADDIN CSL_CITATION {"citationItems":[{"id":"ITEM-1","itemData":{"URL":"https://www.nationalacademies.org/news/2014/07/styrene-reasonably-anticipated-to-be-a-human-carcinogen-new-report-confirms","accessed":{"date-parts":[["2020","10","1"]]},"id":"ITEM-1","issued":{"date-parts":[["0"]]},"title":"Styrene Reasonably Anticipated to Be a Human Carcinogen, New Report Confirms | National Academies","type":"webpage"},"uris":["http://www.mendeley.com/documents/?uuid=2ac19f1d-4690-3328-acaa-9b297f1d4b3c"]},{"id":"ITEM-2","itemData":{"author":[{"dropping-particle":"","family":"Sloan","given":"Jeff","non-dropping-particle":"","parse-names":false,"suffix":""}],"container-title":"CompositesWorld","id":"ITEM-2","issued":{"date-parts":[["2014","4","1"]]},"title":"Styrene &amp; cobalt: Headed for the exit?","type":"article-magazine"},"uris":["http://www.mendeley.com/documents/?uuid=714344de-8d1c-3e28-a3ad-e7c4785fe44d"]}],"mendeley":{"formattedCitation":"[20], [21]","plainTextFormattedCitation":"[20], [21]","previouslyFormattedCitation":"[20], [21]"},"properties":{"noteIndex":0},"schema":"https://github.com/citation-style-language/schema/raw/master/csl-citation.json"}</w:instrText>
      </w:r>
      <w:r w:rsidRPr="00B32F8A">
        <w:rPr>
          <w:rFonts w:ascii="Times New Roman" w:hAnsi="Times New Roman" w:cs="Times New Roman"/>
        </w:rPr>
        <w:fldChar w:fldCharType="separate"/>
      </w:r>
      <w:r w:rsidR="00BF7344" w:rsidRPr="00BF7344">
        <w:rPr>
          <w:rFonts w:ascii="Times New Roman" w:hAnsi="Times New Roman" w:cs="Times New Roman"/>
          <w:noProof/>
        </w:rPr>
        <w:t>[20], [21]</w:t>
      </w:r>
      <w:r w:rsidRPr="00B32F8A">
        <w:rPr>
          <w:rFonts w:ascii="Times New Roman" w:hAnsi="Times New Roman" w:cs="Times New Roman"/>
        </w:rPr>
        <w:fldChar w:fldCharType="end"/>
      </w:r>
      <w:r w:rsidRPr="00B32F8A">
        <w:rPr>
          <w:rFonts w:ascii="Times New Roman" w:hAnsi="Times New Roman" w:cs="Times New Roman"/>
        </w:rPr>
        <w:t xml:space="preserve">.     </w:t>
      </w:r>
    </w:p>
    <w:p w14:paraId="3470A7CA" w14:textId="77777777" w:rsidR="006F1981" w:rsidRDefault="006F1981" w:rsidP="006F1981">
      <w:pPr>
        <w:spacing w:line="360" w:lineRule="auto"/>
        <w:rPr>
          <w:rFonts w:ascii="Times New Roman" w:hAnsi="Times New Roman" w:cs="Times New Roman"/>
        </w:rPr>
      </w:pPr>
    </w:p>
    <w:p w14:paraId="60E1B850" w14:textId="1FA6D9F7" w:rsidR="006F1981" w:rsidRDefault="006F1981" w:rsidP="006F1981">
      <w:pPr>
        <w:spacing w:line="360" w:lineRule="auto"/>
        <w:rPr>
          <w:rFonts w:ascii="Times New Roman" w:hAnsi="Times New Roman" w:cs="Times New Roman"/>
        </w:rPr>
      </w:pPr>
      <w:r w:rsidRPr="001A5DC9">
        <w:rPr>
          <w:rFonts w:ascii="Times New Roman" w:hAnsi="Times New Roman" w:cs="Times New Roman"/>
        </w:rPr>
        <w:t xml:space="preserve">Photopolymers </w:t>
      </w:r>
      <w:r>
        <w:rPr>
          <w:rFonts w:ascii="Times New Roman" w:hAnsi="Times New Roman" w:cs="Times New Roman"/>
        </w:rPr>
        <w:t xml:space="preserve">have recently emerged as a potential material for LFAM printers, as demonstrated by Massivit and Mighty Buildings within the past decade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s://3dprintingindustry.com/news/interview-mighty-buildings-co-founder-sam-ruben-on-gaining-a-30m-investment-and-3d-printing-houses-174712/","accessed":{"date-parts":[["2020","11","19"]]},"id":"ITEM-1","issued":{"date-parts":[["0"]]},"title":"Interview: Mighty Buildings Co-founder Sam Ruben on gaining a $30m investment and 3D printing houses  - 3D Printing Industry","type":"webpage"},"uris":["http://www.mendeley.com/documents/?uuid=d194a2a7-8ecf-3a13-84a9-c12262737fdb"]}],"mendeley":{"formattedCitation":"[8]","plainTextFormattedCitation":"[8]","previouslyFormattedCitation":"[8]"},"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 xml:space="preserve"> (see </w:t>
      </w:r>
      <w:r w:rsidR="0011354A" w:rsidRPr="0011354A">
        <w:rPr>
          <w:rFonts w:ascii="Times New Roman" w:hAnsi="Times New Roman" w:cs="Times New Roman"/>
        </w:rPr>
        <w:fldChar w:fldCharType="begin"/>
      </w:r>
      <w:r w:rsidR="0011354A" w:rsidRPr="0011354A">
        <w:rPr>
          <w:rFonts w:ascii="Times New Roman" w:hAnsi="Times New Roman" w:cs="Times New Roman"/>
        </w:rPr>
        <w:instrText xml:space="preserve"> REF _Ref100920591 \h </w:instrText>
      </w:r>
      <w:r w:rsidR="0011354A">
        <w:rPr>
          <w:rFonts w:ascii="Times New Roman" w:hAnsi="Times New Roman" w:cs="Times New Roman"/>
        </w:rPr>
        <w:instrText xml:space="preserve"> \* MERGEFORMAT </w:instrText>
      </w:r>
      <w:r w:rsidR="0011354A" w:rsidRPr="0011354A">
        <w:rPr>
          <w:rFonts w:ascii="Times New Roman" w:hAnsi="Times New Roman" w:cs="Times New Roman"/>
        </w:rPr>
      </w:r>
      <w:r w:rsidR="0011354A" w:rsidRPr="0011354A">
        <w:rPr>
          <w:rFonts w:ascii="Times New Roman" w:hAnsi="Times New Roman" w:cs="Times New Roman"/>
        </w:rPr>
        <w:fldChar w:fldCharType="separate"/>
      </w:r>
      <w:r w:rsidR="0011354A" w:rsidRPr="0011354A">
        <w:rPr>
          <w:rFonts w:ascii="Times New Roman" w:hAnsi="Times New Roman" w:cs="Times New Roman"/>
        </w:rPr>
        <w:t xml:space="preserve">Figure </w:t>
      </w:r>
      <w:r w:rsidR="0011354A" w:rsidRPr="0011354A">
        <w:rPr>
          <w:rFonts w:ascii="Times New Roman" w:hAnsi="Times New Roman" w:cs="Times New Roman"/>
          <w:noProof/>
        </w:rPr>
        <w:t>3</w:t>
      </w:r>
      <w:r w:rsidR="0011354A" w:rsidRPr="0011354A">
        <w:rPr>
          <w:rFonts w:ascii="Times New Roman" w:hAnsi="Times New Roman" w:cs="Times New Roman"/>
        </w:rPr>
        <w:fldChar w:fldCharType="end"/>
      </w:r>
      <w:r>
        <w:rPr>
          <w:rFonts w:ascii="Times New Roman" w:hAnsi="Times New Roman" w:cs="Times New Roman"/>
        </w:rPr>
        <w:t xml:space="preserve">).  The main advantage of photopolymers over thermoset polymers is rapid </w:t>
      </w:r>
      <w:r w:rsidR="00CA13DC">
        <w:rPr>
          <w:rFonts w:ascii="Times New Roman" w:hAnsi="Times New Roman" w:cs="Times New Roman"/>
        </w:rPr>
        <w:t xml:space="preserve">ambient </w:t>
      </w:r>
      <w:r>
        <w:rPr>
          <w:rFonts w:ascii="Times New Roman" w:hAnsi="Times New Roman" w:cs="Times New Roman"/>
        </w:rPr>
        <w:t>curing.  While most thermoset polymers cure in minutes, hours or days, photopolymers can</w:t>
      </w:r>
      <w:r w:rsidRPr="001A5DC9">
        <w:rPr>
          <w:rFonts w:ascii="Times New Roman" w:hAnsi="Times New Roman" w:cs="Times New Roman"/>
        </w:rPr>
        <w:t xml:space="preserve"> cure in seconds or even milliseconds </w:t>
      </w:r>
      <w:r w:rsidRPr="001A5DC9">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mendeley":{"formattedCitation":"[22]","plainTextFormattedCitation":"[22]","previouslyFormattedCitation":"[22]"},"properties":{"noteIndex":0},"schema":"https://github.com/citation-style-language/schema/raw/master/csl-citation.json"}</w:instrText>
      </w:r>
      <w:r w:rsidRPr="001A5DC9">
        <w:rPr>
          <w:rFonts w:ascii="Times New Roman" w:hAnsi="Times New Roman" w:cs="Times New Roman"/>
        </w:rPr>
        <w:fldChar w:fldCharType="separate"/>
      </w:r>
      <w:r w:rsidR="00BF7344" w:rsidRPr="00BF7344">
        <w:rPr>
          <w:rFonts w:ascii="Times New Roman" w:hAnsi="Times New Roman" w:cs="Times New Roman"/>
          <w:noProof/>
        </w:rPr>
        <w:t>[22]</w:t>
      </w:r>
      <w:r w:rsidRPr="001A5DC9">
        <w:rPr>
          <w:rFonts w:ascii="Times New Roman" w:hAnsi="Times New Roman" w:cs="Times New Roman"/>
        </w:rPr>
        <w:fldChar w:fldCharType="end"/>
      </w:r>
      <w:r w:rsidRPr="001A5DC9">
        <w:rPr>
          <w:rFonts w:ascii="Times New Roman" w:hAnsi="Times New Roman" w:cs="Times New Roman"/>
        </w:rPr>
        <w:t xml:space="preserve">.  </w:t>
      </w:r>
      <w:r>
        <w:rPr>
          <w:rFonts w:ascii="Times New Roman" w:hAnsi="Times New Roman" w:cs="Times New Roman"/>
        </w:rPr>
        <w:t>P</w:t>
      </w:r>
      <w:r w:rsidRPr="001A5DC9">
        <w:rPr>
          <w:rFonts w:ascii="Times New Roman" w:hAnsi="Times New Roman" w:cs="Times New Roman"/>
        </w:rPr>
        <w:t>hotopolymers are</w:t>
      </w:r>
      <w:r>
        <w:rPr>
          <w:rFonts w:ascii="Times New Roman" w:hAnsi="Times New Roman" w:cs="Times New Roman"/>
        </w:rPr>
        <w:t xml:space="preserve"> used </w:t>
      </w:r>
      <w:r w:rsidRPr="001A5DC9">
        <w:rPr>
          <w:rFonts w:ascii="Times New Roman" w:hAnsi="Times New Roman" w:cs="Times New Roman"/>
        </w:rPr>
        <w:t>in applications requiring rapid curing of thin polymer layers such as graphic arts, coating and finishing lines, dentistry</w:t>
      </w:r>
      <w:r>
        <w:rPr>
          <w:rFonts w:ascii="Times New Roman" w:hAnsi="Times New Roman" w:cs="Times New Roman"/>
        </w:rPr>
        <w:t>,</w:t>
      </w:r>
      <w:r w:rsidRPr="001A5DC9">
        <w:rPr>
          <w:rFonts w:ascii="Times New Roman" w:hAnsi="Times New Roman" w:cs="Times New Roman"/>
        </w:rPr>
        <w:t xml:space="preserve"> and </w:t>
      </w:r>
      <w:r>
        <w:rPr>
          <w:rFonts w:ascii="Times New Roman" w:hAnsi="Times New Roman" w:cs="Times New Roman"/>
        </w:rPr>
        <w:t>vat polymerization AM.  Photopolymers react when exposed to UV light</w:t>
      </w:r>
      <w:r w:rsidR="0041449C">
        <w:rPr>
          <w:rFonts w:ascii="Times New Roman" w:hAnsi="Times New Roman" w:cs="Times New Roman"/>
        </w:rPr>
        <w:t xml:space="preserve"> and are stable as one-component systems. M</w:t>
      </w:r>
      <w:r>
        <w:rPr>
          <w:rFonts w:ascii="Times New Roman" w:hAnsi="Times New Roman" w:cs="Times New Roman"/>
        </w:rPr>
        <w:t xml:space="preserve">aterial extrusion systems such as Direct Ink Writing (DIW) </w:t>
      </w:r>
      <w:r w:rsidR="0041449C">
        <w:rPr>
          <w:rFonts w:ascii="Times New Roman" w:hAnsi="Times New Roman" w:cs="Times New Roman"/>
        </w:rPr>
        <w:t>can</w:t>
      </w:r>
      <w:r>
        <w:rPr>
          <w:rFonts w:ascii="Times New Roman" w:hAnsi="Times New Roman" w:cs="Times New Roman"/>
        </w:rPr>
        <w:t xml:space="preserve"> deposit photopolymer inks, irradiating and curing printed layers immediately after deposition (see</w:t>
      </w:r>
      <w:r w:rsidR="0011354A">
        <w:rPr>
          <w:rFonts w:ascii="Times New Roman" w:hAnsi="Times New Roman" w:cs="Times New Roman"/>
        </w:rPr>
        <w:t xml:space="preserve"> </w:t>
      </w:r>
      <w:r w:rsidR="0011354A" w:rsidRPr="00C76A5F">
        <w:rPr>
          <w:rFonts w:ascii="Times New Roman" w:hAnsi="Times New Roman" w:cs="Times New Roman"/>
        </w:rPr>
        <w:fldChar w:fldCharType="begin"/>
      </w:r>
      <w:r w:rsidR="0011354A" w:rsidRPr="00C76A5F">
        <w:rPr>
          <w:rFonts w:ascii="Times New Roman" w:hAnsi="Times New Roman" w:cs="Times New Roman"/>
        </w:rPr>
        <w:instrText xml:space="preserve"> REF _Ref100920694 \h </w:instrText>
      </w:r>
      <w:r w:rsidR="00C76A5F">
        <w:rPr>
          <w:rFonts w:ascii="Times New Roman" w:hAnsi="Times New Roman" w:cs="Times New Roman"/>
        </w:rPr>
        <w:instrText xml:space="preserve"> \* MERGEFORMAT </w:instrText>
      </w:r>
      <w:r w:rsidR="0011354A" w:rsidRPr="00C76A5F">
        <w:rPr>
          <w:rFonts w:ascii="Times New Roman" w:hAnsi="Times New Roman" w:cs="Times New Roman"/>
        </w:rPr>
      </w:r>
      <w:r w:rsidR="0011354A" w:rsidRPr="00C76A5F">
        <w:rPr>
          <w:rFonts w:ascii="Times New Roman" w:hAnsi="Times New Roman" w:cs="Times New Roman"/>
        </w:rPr>
        <w:fldChar w:fldCharType="separate"/>
      </w:r>
      <w:r w:rsidR="0011354A" w:rsidRPr="00C76A5F">
        <w:rPr>
          <w:rFonts w:ascii="Times New Roman" w:hAnsi="Times New Roman" w:cs="Times New Roman"/>
        </w:rPr>
        <w:t xml:space="preserve">Figure </w:t>
      </w:r>
      <w:r w:rsidR="0011354A" w:rsidRPr="00C76A5F">
        <w:rPr>
          <w:rFonts w:ascii="Times New Roman" w:hAnsi="Times New Roman" w:cs="Times New Roman"/>
          <w:noProof/>
        </w:rPr>
        <w:t>4</w:t>
      </w:r>
      <w:r w:rsidR="0011354A" w:rsidRPr="00C76A5F">
        <w:rPr>
          <w:rFonts w:ascii="Times New Roman" w:hAnsi="Times New Roman" w:cs="Times New Roman"/>
        </w:rPr>
        <w:fldChar w:fldCharType="end"/>
      </w:r>
      <w:r>
        <w:rPr>
          <w:rFonts w:ascii="Times New Roman" w:hAnsi="Times New Roman" w:cs="Times New Roman"/>
        </w:rPr>
        <w:t>).</w:t>
      </w:r>
    </w:p>
    <w:p w14:paraId="4E68BD4A" w14:textId="77777777" w:rsidR="006F1981" w:rsidRPr="00B32F8A" w:rsidRDefault="006F1981" w:rsidP="006F1981">
      <w:pPr>
        <w:keepNext/>
        <w:spacing w:line="480" w:lineRule="auto"/>
        <w:jc w:val="center"/>
        <w:rPr>
          <w:rFonts w:ascii="Times New Roman" w:hAnsi="Times New Roman" w:cs="Times New Roman"/>
        </w:rPr>
      </w:pPr>
      <w:r w:rsidRPr="00B32F8A">
        <w:rPr>
          <w:rFonts w:ascii="Times New Roman" w:hAnsi="Times New Roman" w:cs="Times New Roman"/>
          <w:noProof/>
        </w:rPr>
        <w:lastRenderedPageBreak/>
        <w:drawing>
          <wp:inline distT="0" distB="0" distL="0" distR="0" wp14:anchorId="0254F069" wp14:editId="7503E83A">
            <wp:extent cx="5124450" cy="2928256"/>
            <wp:effectExtent l="0" t="0" r="0" b="5715"/>
            <wp:docPr id="42" name="Picture 12" descr="A picture containing outdoor&#10;&#10;Description automatically generated">
              <a:extLst xmlns:a="http://schemas.openxmlformats.org/drawingml/2006/main">
                <a:ext uri="{FF2B5EF4-FFF2-40B4-BE49-F238E27FC236}">
                  <a16:creationId xmlns:a16="http://schemas.microsoft.com/office/drawing/2014/main" id="{CEF9B040-E103-42D2-B5AD-77F58E9F6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outdoor&#10;&#10;Description automatically generated">
                      <a:extLst>
                        <a:ext uri="{FF2B5EF4-FFF2-40B4-BE49-F238E27FC236}">
                          <a16:creationId xmlns:a16="http://schemas.microsoft.com/office/drawing/2014/main" id="{CEF9B040-E103-42D2-B5AD-77F58E9F6BB5}"/>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5144418" cy="2939666"/>
                    </a:xfrm>
                    <a:prstGeom prst="rect">
                      <a:avLst/>
                    </a:prstGeom>
                  </pic:spPr>
                </pic:pic>
              </a:graphicData>
            </a:graphic>
          </wp:inline>
        </w:drawing>
      </w:r>
    </w:p>
    <w:p w14:paraId="0AB8C418" w14:textId="51D0DA19" w:rsidR="00CF773B" w:rsidRDefault="006F1981" w:rsidP="00F20503">
      <w:pPr>
        <w:pStyle w:val="Caption"/>
      </w:pPr>
      <w:bookmarkStart w:id="10" w:name="_Ref100920591"/>
      <w:bookmarkStart w:id="11" w:name="_Toc101365665"/>
      <w:r w:rsidRPr="00B32F8A">
        <w:t xml:space="preserve">Figure </w:t>
      </w:r>
      <w:r w:rsidR="002F73EC">
        <w:fldChar w:fldCharType="begin"/>
      </w:r>
      <w:r w:rsidR="002F73EC">
        <w:instrText xml:space="preserve"> SEQ Figure \* ARABIC </w:instrText>
      </w:r>
      <w:r w:rsidR="002F73EC">
        <w:fldChar w:fldCharType="separate"/>
      </w:r>
      <w:r w:rsidR="00BF5717">
        <w:rPr>
          <w:noProof/>
        </w:rPr>
        <w:t>3</w:t>
      </w:r>
      <w:r w:rsidR="002F73EC">
        <w:rPr>
          <w:noProof/>
        </w:rPr>
        <w:fldChar w:fldCharType="end"/>
      </w:r>
      <w:bookmarkEnd w:id="10"/>
      <w:r w:rsidRPr="00B32F8A">
        <w:t xml:space="preserve"> Photopolymers are emerging as a polymer feedstock for </w:t>
      </w:r>
      <w:r w:rsidR="00AF7F48">
        <w:t>LFAM</w:t>
      </w:r>
      <w:r w:rsidRPr="00B32F8A">
        <w:t>,</w:t>
      </w:r>
      <w:r w:rsidR="00AF7F48">
        <w:t xml:space="preserve"> with applications</w:t>
      </w:r>
      <w:r w:rsidRPr="00B32F8A">
        <w:t xml:space="preserve"> such as this 3D printed </w:t>
      </w:r>
      <w:r w:rsidR="00AF7F48">
        <w:t>350 sq. ft. building</w:t>
      </w:r>
      <w:r w:rsidRPr="00B32F8A">
        <w:t xml:space="preserve">.  Note the use of limited infill and thick beads, as in other </w:t>
      </w:r>
      <w:r w:rsidR="00AF7F48">
        <w:t>LFAM</w:t>
      </w:r>
      <w:r w:rsidRPr="00B32F8A">
        <w:t xml:space="preserve"> methods (</w:t>
      </w:r>
      <w:r w:rsidR="00BF7344">
        <w:t>S</w:t>
      </w:r>
      <w:r w:rsidRPr="00B32F8A">
        <w:t>ource</w:t>
      </w:r>
      <w:r w:rsidR="00BF7344">
        <w:t>: Mighty Buildings</w:t>
      </w:r>
      <w:r w:rsidR="009A733E">
        <w:t xml:space="preserve"> </w:t>
      </w:r>
      <w:r w:rsidR="00BF7344">
        <w:fldChar w:fldCharType="begin" w:fldLock="1"/>
      </w:r>
      <w:r w:rsidR="00BF7344">
        <w:instrText>ADDIN CSL_CITATION {"citationItems":[{"id":"ITEM-1","itemData":{"URL":"https://3dprintingindustry.com/news/interview-mighty-buildings-co-founder-sam-ruben-on-gaining-a-30m-investment-and-3d-printing-houses-174712/","accessed":{"date-parts":[["2020","11","19"]]},"id":"ITEM-1","issued":{"date-parts":[["0"]]},"title":"Interview: Mighty Buildings Co-founder Sam Ruben on gaining a $30m investment and 3D printing houses  - 3D Printing Industry","type":"webpage"},"uris":["http://www.mendeley.com/documents/?uuid=d194a2a7-8ecf-3a13-84a9-c12262737fdb"]}],"mendeley":{"formattedCitation":"[8]","plainTextFormattedCitation":"[8]","previouslyFormattedCitation":"[8]"},"properties":{"noteIndex":0},"schema":"https://github.com/citation-style-language/schema/raw/master/csl-citation.json"}</w:instrText>
      </w:r>
      <w:r w:rsidR="00BF7344">
        <w:fldChar w:fldCharType="separate"/>
      </w:r>
      <w:r w:rsidR="00BF7344" w:rsidRPr="00BF7344">
        <w:rPr>
          <w:noProof/>
        </w:rPr>
        <w:t>[8]</w:t>
      </w:r>
      <w:r w:rsidR="00BF7344">
        <w:fldChar w:fldCharType="end"/>
      </w:r>
      <w:r w:rsidRPr="00B32F8A">
        <w:t>)</w:t>
      </w:r>
      <w:r>
        <w:t>.</w:t>
      </w:r>
      <w:bookmarkEnd w:id="11"/>
      <w:r w:rsidR="003F584F">
        <w:t xml:space="preserve"> </w:t>
      </w:r>
    </w:p>
    <w:p w14:paraId="1453A3ED" w14:textId="67C488DF" w:rsidR="00A34ACC" w:rsidRDefault="00A34ACC" w:rsidP="00A34ACC"/>
    <w:p w14:paraId="79C3C1AD" w14:textId="65EA14EA" w:rsidR="00A34ACC" w:rsidRDefault="00A34ACC" w:rsidP="00A34ACC"/>
    <w:p w14:paraId="6FBF29A4" w14:textId="77777777" w:rsidR="00CF773B" w:rsidRPr="00CF773B" w:rsidRDefault="00CF773B" w:rsidP="00CF773B"/>
    <w:p w14:paraId="654ED640" w14:textId="77777777" w:rsidR="006F1981" w:rsidRDefault="006F1981" w:rsidP="006F1981">
      <w:pPr>
        <w:keepNext/>
        <w:spacing w:line="360" w:lineRule="auto"/>
        <w:jc w:val="center"/>
      </w:pPr>
      <w:r>
        <w:rPr>
          <w:rFonts w:ascii="Times New Roman" w:hAnsi="Times New Roman" w:cs="Times New Roman"/>
          <w:noProof/>
        </w:rPr>
        <w:drawing>
          <wp:inline distT="0" distB="0" distL="0" distR="0" wp14:anchorId="4735240A" wp14:editId="3A697805">
            <wp:extent cx="4244682" cy="2922905"/>
            <wp:effectExtent l="0" t="0" r="3810" b="0"/>
            <wp:docPr id="43" name="Picture 4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5193" cy="2950801"/>
                    </a:xfrm>
                    <a:prstGeom prst="rect">
                      <a:avLst/>
                    </a:prstGeom>
                    <a:noFill/>
                    <a:ln>
                      <a:noFill/>
                    </a:ln>
                  </pic:spPr>
                </pic:pic>
              </a:graphicData>
            </a:graphic>
          </wp:inline>
        </w:drawing>
      </w:r>
    </w:p>
    <w:p w14:paraId="5479E41E" w14:textId="2A93DA7A" w:rsidR="00CF773B" w:rsidRPr="00CF773B" w:rsidRDefault="006F1981" w:rsidP="00F20503">
      <w:pPr>
        <w:pStyle w:val="Caption"/>
      </w:pPr>
      <w:bookmarkStart w:id="12" w:name="_Ref100920694"/>
      <w:bookmarkStart w:id="13" w:name="_Toc101365666"/>
      <w:r>
        <w:t xml:space="preserve">Figure </w:t>
      </w:r>
      <w:r w:rsidR="002F73EC">
        <w:fldChar w:fldCharType="begin"/>
      </w:r>
      <w:r w:rsidR="002F73EC">
        <w:instrText xml:space="preserve"> SEQ Figure \* ARABIC </w:instrText>
      </w:r>
      <w:r w:rsidR="002F73EC">
        <w:fldChar w:fldCharType="separate"/>
      </w:r>
      <w:r w:rsidR="00BF5717">
        <w:rPr>
          <w:noProof/>
        </w:rPr>
        <w:t>4</w:t>
      </w:r>
      <w:r w:rsidR="002F73EC">
        <w:rPr>
          <w:noProof/>
        </w:rPr>
        <w:fldChar w:fldCharType="end"/>
      </w:r>
      <w:bookmarkEnd w:id="12"/>
      <w:r>
        <w:t xml:space="preserve"> Material extrusion AM method with photopolymers, in which liquid resin ink is deposited in layers and immediately cured in-situ using UV light.</w:t>
      </w:r>
      <w:bookmarkEnd w:id="13"/>
      <w:r w:rsidR="00EE488F">
        <w:t xml:space="preserve">  </w:t>
      </w:r>
    </w:p>
    <w:p w14:paraId="1FE6023E" w14:textId="3BEB4384" w:rsidR="001C66D6" w:rsidRPr="001A5DC9" w:rsidRDefault="001C66D6" w:rsidP="00DB3040">
      <w:pPr>
        <w:pStyle w:val="Heading2"/>
      </w:pPr>
      <w:bookmarkStart w:id="14" w:name="_Toc101701720"/>
      <w:r>
        <w:lastRenderedPageBreak/>
        <w:t>Photopolymer Formulation</w:t>
      </w:r>
      <w:bookmarkEnd w:id="14"/>
    </w:p>
    <w:p w14:paraId="55F0BAFF" w14:textId="08CD6449" w:rsidR="001C66D6" w:rsidRDefault="001C66D6" w:rsidP="001C66D6">
      <w:pPr>
        <w:spacing w:line="360" w:lineRule="auto"/>
        <w:rPr>
          <w:rFonts w:ascii="Times New Roman" w:hAnsi="Times New Roman" w:cs="Times New Roman"/>
        </w:rPr>
      </w:pPr>
      <w:r w:rsidRPr="00C80B46">
        <w:rPr>
          <w:rFonts w:ascii="Times New Roman" w:hAnsi="Times New Roman" w:cs="Times New Roman"/>
        </w:rPr>
        <w:t>The primary constituents of most photopolymer formulations are oligomers, monomers, additives</w:t>
      </w:r>
      <w:r>
        <w:rPr>
          <w:rFonts w:ascii="Times New Roman" w:hAnsi="Times New Roman" w:cs="Times New Roman"/>
        </w:rPr>
        <w:t>,</w:t>
      </w:r>
      <w:r w:rsidRPr="00C80B46">
        <w:rPr>
          <w:rFonts w:ascii="Times New Roman" w:hAnsi="Times New Roman" w:cs="Times New Roman"/>
        </w:rPr>
        <w:t xml:space="preserve"> and </w:t>
      </w:r>
      <w:r>
        <w:rPr>
          <w:rFonts w:ascii="Times New Roman" w:hAnsi="Times New Roman" w:cs="Times New Roman"/>
        </w:rPr>
        <w:t>PI,</w:t>
      </w:r>
      <w:r w:rsidRPr="00C80B46">
        <w:rPr>
          <w:rFonts w:ascii="Times New Roman" w:hAnsi="Times New Roman" w:cs="Times New Roman"/>
        </w:rPr>
        <w:t xml:space="preserve"> as shown in</w:t>
      </w:r>
      <w:r w:rsidR="00C76A5F">
        <w:rPr>
          <w:rFonts w:ascii="Times New Roman" w:hAnsi="Times New Roman" w:cs="Times New Roman"/>
        </w:rPr>
        <w:t xml:space="preserve"> </w:t>
      </w:r>
      <w:r w:rsidR="00C76A5F" w:rsidRPr="00C76A5F">
        <w:rPr>
          <w:rFonts w:ascii="Times New Roman" w:hAnsi="Times New Roman" w:cs="Times New Roman"/>
        </w:rPr>
        <w:fldChar w:fldCharType="begin"/>
      </w:r>
      <w:r w:rsidR="00C76A5F" w:rsidRPr="00C76A5F">
        <w:rPr>
          <w:rFonts w:ascii="Times New Roman" w:hAnsi="Times New Roman" w:cs="Times New Roman"/>
        </w:rPr>
        <w:instrText xml:space="preserve"> REF _Ref100920750 \h </w:instrText>
      </w:r>
      <w:r w:rsidR="00C76A5F">
        <w:rPr>
          <w:rFonts w:ascii="Times New Roman" w:hAnsi="Times New Roman" w:cs="Times New Roman"/>
        </w:rPr>
        <w:instrText xml:space="preserve"> \* MERGEFORMAT </w:instrText>
      </w:r>
      <w:r w:rsidR="00C76A5F" w:rsidRPr="00C76A5F">
        <w:rPr>
          <w:rFonts w:ascii="Times New Roman" w:hAnsi="Times New Roman" w:cs="Times New Roman"/>
        </w:rPr>
      </w:r>
      <w:r w:rsidR="00C76A5F" w:rsidRPr="00C76A5F">
        <w:rPr>
          <w:rFonts w:ascii="Times New Roman" w:hAnsi="Times New Roman" w:cs="Times New Roman"/>
        </w:rPr>
        <w:fldChar w:fldCharType="separate"/>
      </w:r>
      <w:r w:rsidR="00C76A5F" w:rsidRPr="00C76A5F">
        <w:rPr>
          <w:rFonts w:ascii="Times New Roman" w:hAnsi="Times New Roman" w:cs="Times New Roman"/>
        </w:rPr>
        <w:t xml:space="preserve">Figure </w:t>
      </w:r>
      <w:r w:rsidR="00C76A5F" w:rsidRPr="00C76A5F">
        <w:rPr>
          <w:rFonts w:ascii="Times New Roman" w:hAnsi="Times New Roman" w:cs="Times New Roman"/>
          <w:noProof/>
        </w:rPr>
        <w:t>5</w:t>
      </w:r>
      <w:r w:rsidR="00C76A5F" w:rsidRPr="00C76A5F">
        <w:rPr>
          <w:rFonts w:ascii="Times New Roman" w:hAnsi="Times New Roman" w:cs="Times New Roman"/>
        </w:rPr>
        <w:fldChar w:fldCharType="end"/>
      </w:r>
      <w:r w:rsidRPr="00C80B46">
        <w:rPr>
          <w:rFonts w:ascii="Times New Roman" w:hAnsi="Times New Roman" w:cs="Times New Roman"/>
        </w:rPr>
        <w:t xml:space="preserve">.  Oligomers are a polymer chain consisting of several identical repeating units and generally the primary ingredient in the formula, often with the highest molecular weight and the largest contribution to the overall properties of the polymer.  Monomers are molecules that can react with each other to form polymer chains or networks, and in this context generally refer to low molecular weight ingredients that act as reactive diluents, serving both to reduce the viscosity of the resin and improve reaction speed.  Additives serve to adjust the behavior of the formula in some way and include viscosity modifiers, flame retardants, UV inhibitors, fillers, pigments, surface agents, plasticizers, etc.  </w:t>
      </w:r>
      <w:r>
        <w:rPr>
          <w:rFonts w:ascii="Times New Roman" w:hAnsi="Times New Roman" w:cs="Times New Roman"/>
        </w:rPr>
        <w:t xml:space="preserve">While PIs are critical in initiating a free-radical curing reaction, they constitute 1-5 wt% of the formulation or less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rPr>
        <w:t xml:space="preserve">.  </w:t>
      </w:r>
    </w:p>
    <w:p w14:paraId="0F42A481" w14:textId="77777777" w:rsidR="001C66D6" w:rsidRDefault="001C66D6" w:rsidP="001C66D6">
      <w:pPr>
        <w:spacing w:line="360" w:lineRule="auto"/>
        <w:rPr>
          <w:rFonts w:ascii="Times New Roman" w:hAnsi="Times New Roman" w:cs="Times New Roman"/>
        </w:rPr>
      </w:pPr>
    </w:p>
    <w:p w14:paraId="0AAD9081" w14:textId="17E453C9" w:rsidR="001C66D6" w:rsidRPr="001A5DC9" w:rsidRDefault="001C66D6" w:rsidP="001C66D6">
      <w:pPr>
        <w:spacing w:line="360" w:lineRule="auto"/>
        <w:rPr>
          <w:rFonts w:ascii="Times New Roman" w:hAnsi="Times New Roman" w:cs="Times New Roman"/>
        </w:rPr>
      </w:pPr>
      <w:r w:rsidRPr="001A5DC9">
        <w:rPr>
          <w:rFonts w:ascii="Times New Roman" w:hAnsi="Times New Roman" w:cs="Times New Roman"/>
        </w:rPr>
        <w:t>In thermosetting resins, three of the most common oligomers or base resins are epoxies, vinyl esters</w:t>
      </w:r>
      <w:r w:rsidR="0041449C">
        <w:rPr>
          <w:rFonts w:ascii="Times New Roman" w:hAnsi="Times New Roman" w:cs="Times New Roman"/>
        </w:rPr>
        <w:t>,</w:t>
      </w:r>
      <w:r w:rsidRPr="001A5DC9">
        <w:rPr>
          <w:rFonts w:ascii="Times New Roman" w:hAnsi="Times New Roman" w:cs="Times New Roman"/>
        </w:rPr>
        <w:t xml:space="preserve"> and polyesters, with the latter as the lowest cost system</w:t>
      </w:r>
      <w:r>
        <w:rPr>
          <w:rFonts w:ascii="Times New Roman" w:hAnsi="Times New Roman" w:cs="Times New Roman"/>
        </w:rPr>
        <w:t xml:space="preserve">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{"citationItems":[{"id":"ITEM-1","itemData":{"ISBN":"9781455731077","abstract":"3rd ed. Includes index. Thermosetting plastics are a distinct category of plastics whose high performance, durability and reliability at high temperatures makes them suitable for specialty applications ranging from automotive and aerospace through to electronic packaging and consumer products (your melamine kitchen worktop is a thermoset resin!). Recent developments in thermoset plastics technology and processes has broadened their use exponentially over recent years, and these developments continue: in November 2011, French scientists created a new lightweight thermoset that is as strong and stable as previous materials yet can be easily reworked and reshaped when heated which makes it unique amongst thermosets and allows for repair and recycling. The Handbook of Thermoset Plastics, now in its 3rd edition, provides a comprehensive survey of the chemical processes, manufacturing techniques and design properties of each polymer, along with their applications. Written by a team of highly experienced practitioners, the practical implications of using thermoset plastics are presented - both their strengths and weaknesses. The data and descriptions presented here enable engineers, scientists and technicians to form judgments and take action on the basis of informed analysis. The aim of the book is to help the reader to make the right decision and take the correct action - avoiding the pitfalls the authors' experience has uncovered. The new edition has been updated throughout to reflect current practice in manufacturing and processing, featuring: Case Studies to demonstrate how particular properties make different polymers suitable for different applications, as well as covering end-use and safety considerations. A new chapter on using nanoparticles to enhance thermal and mechanical properties. A new chapter describing new materials based on renewable resources (such as soy-based thermoset plastics). A new chapter covering recent developments and potential future technologies such as new catalysts for Controlled Radical Polymerization. Goodman and Dodiuk-Kenig provide a comprehensive reference guide to the chemistry, manufacturing and applications of thermosets. Updated to include recent developments in manufacturing - from biopolymers to nanocomposites. Case Studies illustrate applications of key thermoset plastics. 1. Introduction / Hanna Dodiuk and Sidney H. Goodman -- 2. Phenol-formaldehydes / A. Pizzi and C.C. Ibeh -- 3 Polybenzoxazine -- new generation …","author":[{"dropping-particle":"","family":"Goodman","given":"Sidney H.","non-dropping-particle":"","parse-names":false,"suffix":""},{"dropping-particle":"","family":"Hanna","given":"Dodiuk.","non-dropping-particle":"","parse-names":false,"suffix":""}],"id":"ITEM-1","issued":{"date-parts":[["2014"]]},"publisher":"William Andrew","title":"Handbook of thermoset plastics","type":"book"},"uris":["http://www.mendeley.com/documents/?uuid=f71dbeeb-01b1-343c-98ca-3a89ac320f44"]},{"id":"ITEM-2","itemData":{"ISBN":"0872638545","abstract":"2nd ed. Introduction to composites -- Matrices and their properties -- Unsaturated polyesters -- Epoxies -- Specialty and high-performance thermosets -- Thermoplastic composites -- Ceramic and metal matrix composites -- Reinforcements -- Reinforcement forms -- Quality and testing -- Composite design -- Sandwich structures, joints, and post-processing operations -- Open molding of engineering composites -- Open modeling of advanced composites -- Compression molding -- Resin infusion technologies -- Filament winding and fiber placement -- Pultrusion -- Thermoplastic composites processing -- Damage prevention and repair -- Factory issues -- The business of composites -- Composites applications.","author":[{"dropping-particle":"","family":"Strong","given":"A. Brent.","non-dropping-particle":"","parse-names":false,"suffix":""}],"id":"ITEM-2","issued":{"date-parts":[["2008"]]},"number-of-pages":"620","publisher":"Society of Manufacturing Engineers","title":"Fundamentals of composites manufacturing : materials, methods and applications","type":"book"},"uris":["http://www.mendeley.com/documents/?uuid=ea66bb0f-84e3-38f1-82c1-0c57ee40e82b"]}],"mendeley":{"formattedCitation":"[24], [25]","plainTextFormattedCitation":"[24], [25]","previouslyFormattedCitation":"[24], [25]"},"properties":{"noteIndex":0},"schema":"https://github.com/citation-style-language/schema/raw/master/csl-citation.json"}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[24], [25]</w:t>
      </w:r>
      <w:r>
        <w:rPr>
          <w:rFonts w:ascii="Times New Roman" w:hAnsi="Times New Roman" w:cs="Times New Roman"/>
        </w:rPr>
        <w:fldChar w:fldCharType="end"/>
      </w:r>
      <w:r w:rsidRPr="001A5DC9">
        <w:rPr>
          <w:rFonts w:ascii="Times New Roman" w:hAnsi="Times New Roman" w:cs="Times New Roman"/>
        </w:rPr>
        <w:t xml:space="preserve">.  </w:t>
      </w:r>
      <w:r>
        <w:rPr>
          <w:rFonts w:ascii="Times New Roman" w:hAnsi="Times New Roman" w:cs="Times New Roman"/>
        </w:rPr>
        <w:t>Polyester</w:t>
      </w:r>
      <w:r w:rsidR="009228B2">
        <w:rPr>
          <w:rFonts w:ascii="Times New Roman" w:hAnsi="Times New Roman" w:cs="Times New Roman"/>
        </w:rPr>
        <w:t>s</w:t>
      </w:r>
      <w:r>
        <w:rPr>
          <w:rFonts w:ascii="Times New Roman" w:hAnsi="Times New Roman" w:cs="Times New Roman"/>
        </w:rPr>
        <w:t xml:space="preserve"> and vinyl esters cure via free-radical reactions and are used in photopolymer formulations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id":"ITEM-2","itemData":{"DOI":"10.1016/j.compstruct.2008.03.012","ISSN":"02638223","author":[{"dropping-particle":"","family":"Compston","given":"P.","non-dropping-particle":"","parse-names":false,"suffix":""},{"dropping-particle":"","family":"Schiemer","given":"J.","non-dropping-particle":"","parse-names":false,"suffix":""},{"dropping-particle":"","family":"Cvetanovska","given":"A.","non-dropping-particle":"","parse-names":false,"suffix":""}],"container-title":"Composite Structures","id":"ITEM-2","issue":"1-3","issued":{"date-parts":[["2008","11"]]},"page":"22-26","title":"Mechanical properties and styrene emission levels of a UV-cured glass-fibre/vinylester composite","type":"article-journal","volume":"86"},"uris":["http://www.mendeley.com/documents/?uuid=96500a75-672a-3cba-9426-f207c8bbbee2"]}],"mendeley":{"formattedCitation":"[22], [26]","plainTextFormattedCitation":"[22], [26]","previouslyFormattedCitation":"[22], [26]"},"properties":{"noteIndex":0},"schema":"https://github.com/citation-style-language/schema/raw/master/csl-citation.json"}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[22], [26]</w:t>
      </w:r>
      <w:r>
        <w:rPr>
          <w:rFonts w:ascii="Times New Roman" w:hAnsi="Times New Roman" w:cs="Times New Roman"/>
        </w:rPr>
        <w:fldChar w:fldCharType="end"/>
      </w:r>
      <w:r>
        <w:rPr>
          <w:rFonts w:ascii="Times New Roman" w:hAnsi="Times New Roman" w:cs="Times New Roman"/>
        </w:rPr>
        <w:t xml:space="preserve">.  Polyester resins are often formulated with styrene monomers to reduce viscosity and improve reaction rates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0071579834","author":[{"dropping-particle":"","family":"Spurr","given":"Daniel","non-dropping-particle":"","parse-names":false,"suffix":""}],"edition":"1","id":"ITEM-1","issued":{"date-parts":[["1999","12","17"]]},"publisher":"International Marine/Ragged Mountain Press","title":"Heart of Glass: Fiberglass Boats and the Men Who Built Them","type":"book"},"uris":["http://www.mendeley.com/documents/?uuid=1315b29c-c21f-3517-8c84-63be37b227ed"]},{"id":"ITEM-2","itemData":{"ISBN":"0872638545","abstract":"2nd ed. Introduction to composites -- Matrices and their properties -- Unsaturated polyesters -- Epoxies -- Specialty and high-performance thermosets -- Thermoplastic composites -- Ceramic and metal matrix composites -- Reinforcements -- Reinforcement forms -- Quality and testing -- Composite design -- Sandwich structures, joints, and post-processing operations -- Open molding of engineering composites -- Open modeling of advanced composites -- Compression molding -- Resin infusion technologies -- Filament winding and fiber placement -- Pultrusion -- Thermoplastic composites processing -- Damage prevention and repair -- Factory issues -- The business of composites -- Composites applications.","author":[{"dropping-particle":"","family":"Strong","given":"A. Brent.","non-dropping-particle":"","parse-names":false,"suffix":""}],"id":"ITEM-2","issued":{"date-parts":[["2008"]]},"number-of-pages":"620","publisher":"Society of Manufacturing Engineers","title":"Fundamentals of composites manufacturing : materials, methods and applications","type":"book"},"uris":["http://www.mendeley.com/documents/?uuid=ea66bb0f-84e3-38f1-82c1-0c57ee40e82b"]}],"mendeley":{"formattedCitation":"[25], [27]","plainTextFormattedCitation":"[25], [27]","previouslyFormattedCitation":"[25], [27]"},"properties":{"noteIndex":0},"schema":"https://github.com/citation-style-language/schema/raw/master/csl-citation.json"}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[25], [27]</w:t>
      </w:r>
      <w:r>
        <w:rPr>
          <w:rFonts w:ascii="Times New Roman" w:hAnsi="Times New Roman" w:cs="Times New Roman"/>
        </w:rPr>
        <w:fldChar w:fldCharType="end"/>
      </w:r>
      <w:r>
        <w:rPr>
          <w:rFonts w:ascii="Times New Roman" w:hAnsi="Times New Roman" w:cs="Times New Roman"/>
        </w:rPr>
        <w:t xml:space="preserve">, but styrene can inhibit curing with some PI systems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rPr>
        <w:t xml:space="preserve"> and presents a hazard to workers</w:t>
      </w:r>
      <w:r w:rsidR="009228B2">
        <w:rPr>
          <w:rFonts w:ascii="Times New Roman" w:hAnsi="Times New Roman" w:cs="Times New Roman"/>
        </w:rPr>
        <w:t xml:space="preserve"> </w:t>
      </w:r>
      <w:r w:rsidR="009228B2">
        <w:rPr>
          <w:rFonts w:ascii="Times New Roman" w:hAnsi="Times New Roman" w:cs="Times New Roman"/>
        </w:rPr>
        <w:fldChar w:fldCharType="begin" w:fldLock="1"/>
      </w:r>
      <w:r w:rsidR="00BF7344">
        <w:rPr>
          <w:rFonts w:ascii="Times New Roman" w:hAnsi="Times New Roman" w:cs="Times New Roman"/>
        </w:rPr>
        <w:instrText>ADDIN CSL_CITATION {"citationItems":[{"id":"ITEM-1","itemData":{"URL":"https://www.nationalacademies.org/news/2014/07/styrene-reasonably-anticipated-to-be-a-human-carcinogen-new-report-confirms","accessed":{"date-parts":[["2020","10","1"]]},"id":"ITEM-1","issued":{"date-parts":[["0"]]},"title":"Styrene Reasonably Anticipated to Be a Human Carcinogen, New Report Confirms | National Academies","type":"webpage"},"uris":["http://www.mendeley.com/documents/?uuid=2ac19f1d-4690-3328-acaa-9b297f1d4b3c"]},{"id":"ITEM-2","itemData":{"author":[{"dropping-particle":"","family":"Sloan","given":"Jeff","non-dropping-particle":"","parse-names":false,"suffix":""}],"container-title":"CompositesWorld","id":"ITEM-2","issued":{"date-parts":[["2014","4","1"]]},"title":"Styrene &amp; cobalt: Headed for the exit?","type":"article-magazine"},"uris":["http://www.mendeley.com/documents/?uuid=714344de-8d1c-3e28-a3ad-e7c4785fe44d"]}],"mendeley":{"formattedCitation":"[20], [21]","plainTextFormattedCitation":"[20], [21]","previouslyFormattedCitation":"[20], [21]"},"properties":{"noteIndex":0},"schema":"https://github.com/citation-style-language/schema/raw/master/csl-citation.json"}</w:instrText>
      </w:r>
      <w:r w:rsidR="009228B2">
        <w:rPr>
          <w:rFonts w:ascii="Times New Roman" w:hAnsi="Times New Roman" w:cs="Times New Roman"/>
        </w:rPr>
        <w:fldChar w:fldCharType="separate"/>
      </w:r>
      <w:r w:rsidR="00BF7344" w:rsidRPr="00BF7344">
        <w:rPr>
          <w:rFonts w:ascii="Times New Roman" w:hAnsi="Times New Roman" w:cs="Times New Roman"/>
          <w:noProof/>
        </w:rPr>
        <w:t>[20], [21]</w:t>
      </w:r>
      <w:r w:rsidR="009228B2">
        <w:rPr>
          <w:rFonts w:ascii="Times New Roman" w:hAnsi="Times New Roman" w:cs="Times New Roman"/>
        </w:rPr>
        <w:fldChar w:fldCharType="end"/>
      </w:r>
      <w:r>
        <w:rPr>
          <w:rFonts w:ascii="Times New Roman" w:hAnsi="Times New Roman" w:cs="Times New Roman"/>
        </w:rPr>
        <w:t xml:space="preserve">. </w:t>
      </w:r>
      <w:r w:rsidRPr="001A5DC9">
        <w:rPr>
          <w:rFonts w:ascii="Times New Roman" w:hAnsi="Times New Roman" w:cs="Times New Roman"/>
        </w:rPr>
        <w:t>Unlike polyesters, vinyl esters have reactive groups (</w:t>
      </w:r>
      <w:r>
        <w:rPr>
          <w:rFonts w:ascii="Times New Roman" w:hAnsi="Times New Roman" w:cs="Times New Roman"/>
        </w:rPr>
        <w:t>C=C</w:t>
      </w:r>
      <w:r w:rsidRPr="001A5DC9">
        <w:rPr>
          <w:rFonts w:ascii="Times New Roman" w:hAnsi="Times New Roman" w:cs="Times New Roman"/>
        </w:rPr>
        <w:t xml:space="preserve"> bonds) on the chain ends</w:t>
      </w:r>
      <w:r w:rsidR="0041449C">
        <w:rPr>
          <w:rFonts w:ascii="Times New Roman" w:hAnsi="Times New Roman" w:cs="Times New Roman"/>
        </w:rPr>
        <w:t>.  This difference in structure makes vinyl esters</w:t>
      </w:r>
      <w:r w:rsidRPr="001A5DC9">
        <w:rPr>
          <w:rFonts w:ascii="Times New Roman" w:hAnsi="Times New Roman" w:cs="Times New Roman"/>
        </w:rPr>
        <w:t xml:space="preserve"> more reactive and reduces or even eliminates the need for additional monomer</w:t>
      </w:r>
      <w:r w:rsidR="0041449C">
        <w:rPr>
          <w:rFonts w:ascii="Times New Roman" w:hAnsi="Times New Roman" w:cs="Times New Roman"/>
        </w:rPr>
        <w:t>s</w:t>
      </w:r>
      <w:r w:rsidRPr="001A5DC9">
        <w:rPr>
          <w:rFonts w:ascii="Times New Roman" w:hAnsi="Times New Roman" w:cs="Times New Roman"/>
        </w:rPr>
        <w:t xml:space="preserve"> </w:t>
      </w:r>
      <w:r w:rsidRPr="001A5DC9">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{"citationItems":[{"id":"ITEM-1","itemData":{"ISBN":"0872638545","abstract":"2nd ed. Introduction to composites -- Matrices and their properties -- Unsaturated polyesters -- Epoxies -- Specialty and high-performance thermosets -- Thermoplastic composites -- Ceramic and metal matrix composites -- Reinforcements -- Reinforcement forms -- Quality and testing -- Composite design -- Sandwich structures, joints, and post-processing operations -- Open molding of engineering composites -- Open modeling of advanced composites -- Compression molding -- Resin infusion technologies -- Filament winding and fiber placement -- Pultrusion -- Thermoplastic composites processing -- Damage prevention and repair -- Factory issues -- The business of composites -- Composites applications.","author":[{"dropping-particle":"","family":"Strong","given":"A. Brent.","non-dropping-particle":"","parse-names":false,"suffix":""}],"id":"ITEM-1","issued":{"date-parts":[["2008"]]},"number-of-pages":"620","publisher":"Society of Manufacturing Engineers","title":"Fundamentals of composites manufacturing : materials, methods and applications","type":"book"},"uris":["http://www.mendeley.com/documents/?uuid=ea66bb0f-84e3-38f1-82c1-0c57ee40e82b"]}],"mendeley":{"formattedCitation":"[25]","plainTextFormattedCitation":"[25]","previouslyFormattedCitation":"[25]"},"properties":{"noteIndex":0},"schema":"https://github.com/citation-style-language/schema/raw/master/csl-citation.json"}</w:instrText>
      </w:r>
      <w:r w:rsidRPr="001A5DC9">
        <w:rPr>
          <w:rFonts w:ascii="Times New Roman" w:hAnsi="Times New Roman" w:cs="Times New Roman"/>
        </w:rPr>
        <w:fldChar w:fldCharType="separate"/>
      </w:r>
      <w:r w:rsidR="00BF7344" w:rsidRPr="00BF7344">
        <w:rPr>
          <w:rFonts w:ascii="Times New Roman" w:hAnsi="Times New Roman" w:cs="Times New Roman"/>
          <w:noProof/>
        </w:rPr>
        <w:t>[25]</w:t>
      </w:r>
      <w:r w:rsidRPr="001A5DC9">
        <w:rPr>
          <w:rFonts w:ascii="Times New Roman" w:hAnsi="Times New Roman" w:cs="Times New Roman"/>
        </w:rPr>
        <w:fldChar w:fldCharType="end"/>
      </w:r>
      <w:r w:rsidRPr="001A5DC9">
        <w:rPr>
          <w:rFonts w:ascii="Times New Roman" w:hAnsi="Times New Roman" w:cs="Times New Roman"/>
        </w:rPr>
        <w:t>.</w:t>
      </w:r>
      <w:r>
        <w:rPr>
          <w:rFonts w:ascii="Times New Roman" w:hAnsi="Times New Roman" w:cs="Times New Roman"/>
        </w:rPr>
        <w:t xml:space="preserve">  Most free-radical curing photopolymer oligomers </w:t>
      </w:r>
      <w:r w:rsidR="0041449C">
        <w:rPr>
          <w:rFonts w:ascii="Times New Roman" w:hAnsi="Times New Roman" w:cs="Times New Roman"/>
        </w:rPr>
        <w:t>are vinyl esters and are</w:t>
      </w:r>
      <w:r>
        <w:rPr>
          <w:rFonts w:ascii="Times New Roman" w:hAnsi="Times New Roman" w:cs="Times New Roman"/>
        </w:rPr>
        <w:t xml:space="preserve"> usually distinguished as acrylate or methacrylate chemistries</w:t>
      </w:r>
      <w:r w:rsidR="0041449C">
        <w:rPr>
          <w:rFonts w:ascii="Times New Roman" w:hAnsi="Times New Roman" w:cs="Times New Roman"/>
        </w:rPr>
        <w:t>,</w:t>
      </w:r>
      <w:r>
        <w:rPr>
          <w:rFonts w:ascii="Times New Roman" w:hAnsi="Times New Roman" w:cs="Times New Roman"/>
        </w:rPr>
        <w:t xml:space="preserve"> depending on the pendant groups.  </w:t>
      </w:r>
      <w:r w:rsidRPr="001A5DC9">
        <w:rPr>
          <w:rFonts w:ascii="Times New Roman" w:hAnsi="Times New Roman" w:cs="Times New Roman"/>
        </w:rPr>
        <w:t xml:space="preserve">  </w:t>
      </w:r>
    </w:p>
    <w:p w14:paraId="3F8D5BB6" w14:textId="77777777" w:rsidR="001C66D6" w:rsidRDefault="001C66D6" w:rsidP="001C66D6">
      <w:pPr>
        <w:spacing w:line="360" w:lineRule="auto"/>
        <w:rPr>
          <w:rFonts w:ascii="Times New Roman" w:hAnsi="Times New Roman" w:cs="Times New Roman"/>
        </w:rPr>
      </w:pPr>
    </w:p>
    <w:p w14:paraId="2D042D76" w14:textId="33C76FBD" w:rsidR="001C66D6" w:rsidRPr="003044FD" w:rsidRDefault="001C66D6" w:rsidP="001C66D6">
      <w:pPr>
        <w:spacing w:line="360" w:lineRule="auto"/>
        <w:rPr>
          <w:rFonts w:ascii="Times New Roman" w:eastAsiaTheme="minorEastAsia" w:hAnsi="Times New Roman" w:cs="Times New Roman"/>
          <w:iCs/>
        </w:rPr>
      </w:pPr>
      <w:r>
        <w:rPr>
          <w:rFonts w:ascii="Times New Roman" w:hAnsi="Times New Roman" w:cs="Times New Roman"/>
        </w:rPr>
        <w:t>For the present work, the primary oligomer selected was Bisphenol A ethoxylate dimethacrylate (</w:t>
      </w:r>
      <w:r w:rsidRPr="008B3BCF">
        <w:rPr>
          <w:rFonts w:ascii="Times New Roman" w:hAnsi="Times New Roman" w:cs="Times New Roman"/>
        </w:rPr>
        <w:t>Bis-EMA</w:t>
      </w:r>
      <w:r>
        <w:rPr>
          <w:rFonts w:ascii="Times New Roman" w:hAnsi="Times New Roman" w:cs="Times New Roman"/>
        </w:rPr>
        <w:t>), shown in</w:t>
      </w:r>
      <w:r w:rsidR="00C76A5F">
        <w:rPr>
          <w:rFonts w:ascii="Times New Roman" w:hAnsi="Times New Roman" w:cs="Times New Roman"/>
        </w:rPr>
        <w:t xml:space="preserve"> </w:t>
      </w:r>
      <w:r w:rsidR="00C76A5F" w:rsidRPr="00C76A5F">
        <w:rPr>
          <w:rFonts w:ascii="Times New Roman" w:hAnsi="Times New Roman" w:cs="Times New Roman"/>
        </w:rPr>
        <w:fldChar w:fldCharType="begin"/>
      </w:r>
      <w:r w:rsidR="00C76A5F" w:rsidRPr="00C76A5F">
        <w:rPr>
          <w:rFonts w:ascii="Times New Roman" w:hAnsi="Times New Roman" w:cs="Times New Roman"/>
        </w:rPr>
        <w:instrText xml:space="preserve"> REF _Ref100920770 \h </w:instrText>
      </w:r>
      <w:r w:rsidR="00C76A5F">
        <w:rPr>
          <w:rFonts w:ascii="Times New Roman" w:hAnsi="Times New Roman" w:cs="Times New Roman"/>
        </w:rPr>
        <w:instrText xml:space="preserve"> \* MERGEFORMAT </w:instrText>
      </w:r>
      <w:r w:rsidR="00C76A5F" w:rsidRPr="00C76A5F">
        <w:rPr>
          <w:rFonts w:ascii="Times New Roman" w:hAnsi="Times New Roman" w:cs="Times New Roman"/>
        </w:rPr>
      </w:r>
      <w:r w:rsidR="00C76A5F" w:rsidRPr="00C76A5F">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6</w:t>
      </w:r>
      <w:r w:rsidR="00C76A5F" w:rsidRPr="00C76A5F">
        <w:rPr>
          <w:rFonts w:ascii="Times New Roman" w:hAnsi="Times New Roman" w:cs="Times New Roman"/>
        </w:rPr>
        <w:fldChar w:fldCharType="end"/>
      </w:r>
      <w:r>
        <w:rPr>
          <w:rFonts w:ascii="Times New Roman" w:hAnsi="Times New Roman" w:cs="Times New Roman"/>
        </w:rPr>
        <w:t xml:space="preserve">.  This oligomer was selected </w:t>
      </w:r>
      <w:r w:rsidR="005D0F94">
        <w:rPr>
          <w:rFonts w:ascii="Times New Roman" w:hAnsi="Times New Roman" w:cs="Times New Roman"/>
        </w:rPr>
        <w:t>because of its thermal stability when cured, with a reported</w:t>
      </w:r>
      <w:r w:rsidR="005D0F94" w:rsidRPr="008B3BCF">
        <w:rPr>
          <w:rFonts w:ascii="Times New Roman" w:hAnsi="Times New Roman" w:cs="Times New Roman"/>
        </w:rPr>
        <w:t xml:space="preserve"> glass transition temperature (T</w:t>
      </w:r>
      <w:r w:rsidR="005D0F94" w:rsidRPr="008B3BCF">
        <w:rPr>
          <w:rFonts w:ascii="Times New Roman" w:hAnsi="Times New Roman" w:cs="Times New Roman"/>
          <w:vertAlign w:val="subscript"/>
        </w:rPr>
        <w:t>g</w:t>
      </w:r>
      <w:r w:rsidR="005D0F94" w:rsidRPr="008B3BCF">
        <w:rPr>
          <w:rFonts w:ascii="Times New Roman" w:hAnsi="Times New Roman" w:cs="Times New Roman"/>
        </w:rPr>
        <w:t xml:space="preserve">) as high as 170 °C (338 </w:t>
      </w:r>
      <w:r w:rsidR="005D0F94" w:rsidRPr="008B3BCF">
        <w:rPr>
          <w:rFonts w:ascii="Times New Roman" w:hAnsi="Times New Roman" w:cs="Times New Roman"/>
        </w:rPr>
        <w:sym w:font="Symbol" w:char="F0B0"/>
      </w:r>
      <w:r w:rsidR="005D0F94" w:rsidRPr="008B3BCF">
        <w:rPr>
          <w:rFonts w:ascii="Times New Roman" w:hAnsi="Times New Roman" w:cs="Times New Roman"/>
        </w:rPr>
        <w:t>F)</w:t>
      </w:r>
      <w:r w:rsidR="005D0F94">
        <w:rPr>
          <w:rFonts w:ascii="Times New Roman" w:hAnsi="Times New Roman" w:cs="Times New Roman"/>
        </w:rPr>
        <w:t>.</w:t>
      </w:r>
      <w:r w:rsidR="005D0F94" w:rsidRPr="008B3BCF">
        <w:rPr>
          <w:rFonts w:ascii="Times New Roman" w:hAnsi="Times New Roman" w:cs="Times New Roman"/>
        </w:rPr>
        <w:t xml:space="preserve"> </w:t>
      </w:r>
      <w:r w:rsidR="005D0F94">
        <w:rPr>
          <w:rFonts w:ascii="Times New Roman" w:hAnsi="Times New Roman" w:cs="Times New Roman"/>
        </w:rPr>
        <w:t xml:space="preserve"> The resin supplier, Polynt USA, also</w:t>
      </w:r>
      <w:r w:rsidR="0027163B">
        <w:rPr>
          <w:rFonts w:ascii="Times New Roman" w:hAnsi="Times New Roman" w:cs="Times New Roman"/>
        </w:rPr>
        <w:t xml:space="preserve"> markets their Bis-EMA as suitable</w:t>
      </w:r>
    </w:p>
    <w:p w14:paraId="1450C144" w14:textId="77777777" w:rsidR="001C66D6" w:rsidRDefault="001C66D6" w:rsidP="001C66D6">
      <w:pPr>
        <w:keepNext/>
        <w:jc w:val="center"/>
      </w:pPr>
      <w:r>
        <w:rPr>
          <w:noProof/>
        </w:rPr>
        <w:lastRenderedPageBreak/>
        <w:drawing>
          <wp:inline distT="0" distB="0" distL="0" distR="0" wp14:anchorId="1C269AE3" wp14:editId="28373A54">
            <wp:extent cx="3857625" cy="2476500"/>
            <wp:effectExtent l="0" t="0" r="9525"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rotWithShape="1">
                    <a:blip r:embed="rId15"/>
                    <a:srcRect r="24095"/>
                    <a:stretch/>
                  </pic:blipFill>
                  <pic:spPr bwMode="auto">
                    <a:xfrm>
                      <a:off x="0" y="0"/>
                      <a:ext cx="3873856" cy="2486920"/>
                    </a:xfrm>
                    <a:prstGeom prst="rect">
                      <a:avLst/>
                    </a:prstGeom>
                    <a:ln>
                      <a:noFill/>
                    </a:ln>
                    <a:extLst>
                      <a:ext uri="{53640926-AAD7-44D8-BBD7-CCE9431645EC}">
                        <a14:shadowObscured xmlns:a14="http://schemas.microsoft.com/office/drawing/2010/main"/>
                      </a:ext>
                    </a:extLst>
                  </pic:spPr>
                </pic:pic>
              </a:graphicData>
            </a:graphic>
          </wp:inline>
        </w:drawing>
      </w:r>
    </w:p>
    <w:p w14:paraId="7913066C" w14:textId="3AED41B9" w:rsidR="001C66D6" w:rsidRDefault="001C66D6" w:rsidP="00F20503">
      <w:pPr>
        <w:pStyle w:val="Caption"/>
      </w:pPr>
      <w:bookmarkStart w:id="15" w:name="_Ref100920750"/>
      <w:bookmarkStart w:id="16" w:name="_Toc101365667"/>
      <w:r>
        <w:t xml:space="preserve">Figure </w:t>
      </w:r>
      <w:r w:rsidR="002F73EC">
        <w:fldChar w:fldCharType="begin"/>
      </w:r>
      <w:r w:rsidR="002F73EC">
        <w:instrText xml:space="preserve"> SEQ Figure \* ARABIC </w:instrText>
      </w:r>
      <w:r w:rsidR="002F73EC">
        <w:fldChar w:fldCharType="separate"/>
      </w:r>
      <w:r w:rsidR="00BF5717">
        <w:rPr>
          <w:noProof/>
        </w:rPr>
        <w:t>5</w:t>
      </w:r>
      <w:r w:rsidR="002F73EC">
        <w:rPr>
          <w:noProof/>
        </w:rPr>
        <w:fldChar w:fldCharType="end"/>
      </w:r>
      <w:bookmarkEnd w:id="15"/>
      <w:r>
        <w:t xml:space="preserve"> Typical photopolymer formulation components.</w:t>
      </w:r>
      <w:bookmarkEnd w:id="16"/>
    </w:p>
    <w:p w14:paraId="57E4BD37" w14:textId="77777777" w:rsidR="0047094F" w:rsidRPr="0047094F" w:rsidRDefault="0047094F" w:rsidP="0047094F"/>
    <w:p w14:paraId="69EA4A54" w14:textId="77777777" w:rsidR="001C66D6" w:rsidRDefault="001C66D6" w:rsidP="001C66D6"/>
    <w:p w14:paraId="5C326456" w14:textId="77777777" w:rsidR="001C66D6" w:rsidRDefault="001C66D6" w:rsidP="001C66D6">
      <w:pPr>
        <w:keepNext/>
        <w:jc w:val="center"/>
      </w:pPr>
      <w:r w:rsidRPr="00913500">
        <w:rPr>
          <w:rFonts w:ascii="Times New Roman" w:hAnsi="Times New Roman" w:cs="Times New Roman"/>
          <w:b/>
          <w:bCs/>
          <w:noProof/>
        </w:rPr>
        <w:drawing>
          <wp:inline distT="0" distB="0" distL="0" distR="0" wp14:anchorId="6EB561C8" wp14:editId="3F753975">
            <wp:extent cx="5627914" cy="1759476"/>
            <wp:effectExtent l="0" t="0" r="0"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47" r="46486" b="71796"/>
                    <a:stretch/>
                  </pic:blipFill>
                  <pic:spPr bwMode="auto">
                    <a:xfrm>
                      <a:off x="0" y="0"/>
                      <a:ext cx="5700877" cy="1782287"/>
                    </a:xfrm>
                    <a:prstGeom prst="rect">
                      <a:avLst/>
                    </a:prstGeom>
                    <a:noFill/>
                    <a:ln>
                      <a:noFill/>
                    </a:ln>
                    <a:extLst>
                      <a:ext uri="{53640926-AAD7-44D8-BBD7-CCE9431645EC}">
                        <a14:shadowObscured xmlns:a14="http://schemas.microsoft.com/office/drawing/2010/main"/>
                      </a:ext>
                    </a:extLst>
                  </pic:spPr>
                </pic:pic>
              </a:graphicData>
            </a:graphic>
          </wp:inline>
        </w:drawing>
      </w:r>
    </w:p>
    <w:p w14:paraId="14401FB2" w14:textId="61FEE6A8" w:rsidR="001C66D6" w:rsidRDefault="001C66D6" w:rsidP="00F20503">
      <w:pPr>
        <w:pStyle w:val="Caption"/>
      </w:pPr>
      <w:bookmarkStart w:id="17" w:name="_Ref100920770"/>
      <w:bookmarkStart w:id="18" w:name="_Toc101365668"/>
      <w:r>
        <w:t xml:space="preserve">Figure </w:t>
      </w:r>
      <w:r w:rsidR="002F73EC">
        <w:fldChar w:fldCharType="begin"/>
      </w:r>
      <w:r w:rsidR="002F73EC">
        <w:instrText xml:space="preserve"> SEQ Figure \* ARABIC </w:instrText>
      </w:r>
      <w:r w:rsidR="002F73EC">
        <w:fldChar w:fldCharType="separate"/>
      </w:r>
      <w:r w:rsidR="00BF5717">
        <w:rPr>
          <w:noProof/>
        </w:rPr>
        <w:t>6</w:t>
      </w:r>
      <w:r w:rsidR="002F73EC">
        <w:rPr>
          <w:noProof/>
        </w:rPr>
        <w:fldChar w:fldCharType="end"/>
      </w:r>
      <w:bookmarkEnd w:id="17"/>
      <w:r>
        <w:t xml:space="preserve"> Chemical structure for Bis-EMA, a di-functional vinyl ester oligomer with methacrylate pendant groups.</w:t>
      </w:r>
      <w:bookmarkEnd w:id="18"/>
      <w:r>
        <w:t xml:space="preserve"> </w:t>
      </w:r>
    </w:p>
    <w:p w14:paraId="7B0CAB14" w14:textId="7D3BC191" w:rsidR="001C66D6" w:rsidRDefault="001C66D6" w:rsidP="00DB3040">
      <w:pPr>
        <w:pStyle w:val="Heading2"/>
      </w:pPr>
    </w:p>
    <w:p w14:paraId="787DC8AA" w14:textId="77777777" w:rsidR="0047094F" w:rsidRPr="0047094F" w:rsidRDefault="0047094F" w:rsidP="0047094F"/>
    <w:p w14:paraId="300C200B" w14:textId="3DE737AE" w:rsidR="001C66D6" w:rsidRDefault="001C66D6" w:rsidP="00F20503">
      <w:pPr>
        <w:pStyle w:val="Caption"/>
      </w:pPr>
      <w:bookmarkStart w:id="19" w:name="_Ref100920849"/>
      <w:bookmarkStart w:id="20" w:name="_Toc101382362"/>
      <w:r>
        <w:t xml:space="preserve">Table </w:t>
      </w:r>
      <w:r w:rsidR="002F73EC">
        <w:fldChar w:fldCharType="begin"/>
      </w:r>
      <w:r w:rsidR="002F73EC">
        <w:instrText xml:space="preserve"> SEQ Table \* ARABIC </w:instrText>
      </w:r>
      <w:r w:rsidR="002F73EC">
        <w:fldChar w:fldCharType="separate"/>
      </w:r>
      <w:r w:rsidR="00B30A2A">
        <w:rPr>
          <w:noProof/>
        </w:rPr>
        <w:t>1</w:t>
      </w:r>
      <w:r w:rsidR="002F73EC">
        <w:rPr>
          <w:noProof/>
        </w:rPr>
        <w:fldChar w:fldCharType="end"/>
      </w:r>
      <w:bookmarkEnd w:id="19"/>
      <w:r>
        <w:t xml:space="preserve"> Mechanical properties reported for “</w:t>
      </w:r>
      <w:r w:rsidR="00196880">
        <w:t>commodity</w:t>
      </w:r>
      <w:r>
        <w:t xml:space="preserve"> grade” Bis-EMA and unreinforced ABS as used in the BAAM printer.</w:t>
      </w:r>
      <w:bookmarkEnd w:id="20"/>
    </w:p>
    <w:tbl>
      <w:tblPr>
        <w:tblW w:w="8460" w:type="dxa"/>
        <w:tblLook w:val="04A0" w:firstRow="1" w:lastRow="0" w:firstColumn="1" w:lastColumn="0" w:noHBand="0" w:noVBand="1"/>
      </w:tblPr>
      <w:tblGrid>
        <w:gridCol w:w="2520"/>
        <w:gridCol w:w="1350"/>
        <w:gridCol w:w="1620"/>
        <w:gridCol w:w="1260"/>
        <w:gridCol w:w="1710"/>
      </w:tblGrid>
      <w:tr w:rsidR="001C66D6" w:rsidRPr="00BA43F7" w14:paraId="42CF4535" w14:textId="77777777" w:rsidTr="00301BC8">
        <w:trPr>
          <w:trHeight w:val="960"/>
        </w:trPr>
        <w:tc>
          <w:tcPr>
            <w:tcW w:w="2520" w:type="dxa"/>
            <w:tcBorders>
              <w:top w:val="nil"/>
              <w:left w:val="nil"/>
              <w:bottom w:val="single" w:sz="8" w:space="0" w:color="auto"/>
              <w:right w:val="nil"/>
            </w:tcBorders>
            <w:shd w:val="clear" w:color="000000" w:fill="FFFFFF"/>
            <w:noWrap/>
            <w:vAlign w:val="bottom"/>
            <w:hideMark/>
          </w:tcPr>
          <w:p w14:paraId="5C36108C" w14:textId="77777777" w:rsidR="001C66D6" w:rsidRPr="00BA43F7" w:rsidRDefault="001C66D6" w:rsidP="00301BC8">
            <w:pPr>
              <w:jc w:val="center"/>
              <w:rPr>
                <w:rFonts w:ascii="Times New Roman" w:hAnsi="Times New Roman" w:cs="Times New Roman"/>
                <w:b/>
                <w:bCs/>
                <w:color w:val="000000"/>
              </w:rPr>
            </w:pPr>
            <w:r w:rsidRPr="003927C4">
              <w:rPr>
                <w:rFonts w:ascii="Times New Roman" w:hAnsi="Times New Roman" w:cs="Times New Roman"/>
                <w:b/>
                <w:bCs/>
                <w:color w:val="000000"/>
              </w:rPr>
              <w:t>Polymer</w:t>
            </w:r>
          </w:p>
        </w:tc>
        <w:tc>
          <w:tcPr>
            <w:tcW w:w="1350" w:type="dxa"/>
            <w:tcBorders>
              <w:top w:val="nil"/>
              <w:left w:val="nil"/>
              <w:bottom w:val="single" w:sz="8" w:space="0" w:color="auto"/>
              <w:right w:val="nil"/>
            </w:tcBorders>
            <w:shd w:val="clear" w:color="000000" w:fill="FFFFFF"/>
            <w:vAlign w:val="bottom"/>
            <w:hideMark/>
          </w:tcPr>
          <w:p w14:paraId="2125C0CC" w14:textId="77777777" w:rsidR="001C66D6" w:rsidRPr="00BA43F7" w:rsidRDefault="001C66D6" w:rsidP="00301BC8">
            <w:pPr>
              <w:jc w:val="center"/>
              <w:rPr>
                <w:rFonts w:ascii="Times New Roman" w:hAnsi="Times New Roman" w:cs="Times New Roman"/>
                <w:b/>
                <w:bCs/>
                <w:color w:val="000000"/>
              </w:rPr>
            </w:pPr>
            <w:r w:rsidRPr="00BA43F7">
              <w:rPr>
                <w:rFonts w:ascii="Times New Roman" w:hAnsi="Times New Roman" w:cs="Times New Roman"/>
                <w:b/>
                <w:bCs/>
                <w:color w:val="000000"/>
              </w:rPr>
              <w:t>Tensile Modulus (GPa)</w:t>
            </w:r>
          </w:p>
        </w:tc>
        <w:tc>
          <w:tcPr>
            <w:tcW w:w="1620" w:type="dxa"/>
            <w:tcBorders>
              <w:top w:val="nil"/>
              <w:left w:val="nil"/>
              <w:bottom w:val="single" w:sz="8" w:space="0" w:color="auto"/>
              <w:right w:val="nil"/>
            </w:tcBorders>
            <w:shd w:val="clear" w:color="000000" w:fill="FFFFFF"/>
            <w:vAlign w:val="bottom"/>
            <w:hideMark/>
          </w:tcPr>
          <w:p w14:paraId="40622834" w14:textId="77777777" w:rsidR="001C66D6" w:rsidRPr="00BA43F7" w:rsidRDefault="001C66D6" w:rsidP="00301BC8">
            <w:pPr>
              <w:jc w:val="center"/>
              <w:rPr>
                <w:rFonts w:ascii="Times New Roman" w:hAnsi="Times New Roman" w:cs="Times New Roman"/>
                <w:b/>
                <w:bCs/>
                <w:color w:val="000000"/>
              </w:rPr>
            </w:pPr>
            <w:r w:rsidRPr="00BA43F7">
              <w:rPr>
                <w:rFonts w:ascii="Times New Roman" w:hAnsi="Times New Roman" w:cs="Times New Roman"/>
                <w:b/>
                <w:bCs/>
                <w:color w:val="000000"/>
              </w:rPr>
              <w:t>Tensile Strength (MPa)</w:t>
            </w:r>
          </w:p>
        </w:tc>
        <w:tc>
          <w:tcPr>
            <w:tcW w:w="1260" w:type="dxa"/>
            <w:tcBorders>
              <w:top w:val="nil"/>
              <w:left w:val="nil"/>
              <w:bottom w:val="single" w:sz="8" w:space="0" w:color="auto"/>
              <w:right w:val="nil"/>
            </w:tcBorders>
            <w:shd w:val="clear" w:color="000000" w:fill="FFFFFF"/>
            <w:vAlign w:val="bottom"/>
            <w:hideMark/>
          </w:tcPr>
          <w:p w14:paraId="10AD216B" w14:textId="77777777" w:rsidR="001C66D6" w:rsidRPr="00BA43F7" w:rsidRDefault="001C66D6" w:rsidP="00301BC8">
            <w:pPr>
              <w:jc w:val="center"/>
              <w:rPr>
                <w:rFonts w:ascii="Times New Roman" w:hAnsi="Times New Roman" w:cs="Times New Roman"/>
                <w:b/>
                <w:bCs/>
                <w:color w:val="000000"/>
              </w:rPr>
            </w:pPr>
            <w:r w:rsidRPr="00BA43F7">
              <w:rPr>
                <w:rFonts w:ascii="Times New Roman" w:hAnsi="Times New Roman" w:cs="Times New Roman"/>
                <w:b/>
                <w:bCs/>
                <w:color w:val="000000"/>
              </w:rPr>
              <w:t>Flexural Modulus (GPa)</w:t>
            </w:r>
          </w:p>
        </w:tc>
        <w:tc>
          <w:tcPr>
            <w:tcW w:w="1710" w:type="dxa"/>
            <w:tcBorders>
              <w:top w:val="nil"/>
              <w:left w:val="nil"/>
              <w:bottom w:val="single" w:sz="8" w:space="0" w:color="auto"/>
              <w:right w:val="nil"/>
            </w:tcBorders>
            <w:shd w:val="clear" w:color="000000" w:fill="FFFFFF"/>
            <w:vAlign w:val="bottom"/>
            <w:hideMark/>
          </w:tcPr>
          <w:p w14:paraId="5CE7C722" w14:textId="77777777" w:rsidR="001C66D6" w:rsidRPr="00BA43F7" w:rsidRDefault="001C66D6" w:rsidP="00301BC8">
            <w:pPr>
              <w:jc w:val="center"/>
              <w:rPr>
                <w:rFonts w:ascii="Times New Roman" w:hAnsi="Times New Roman" w:cs="Times New Roman"/>
                <w:b/>
                <w:bCs/>
                <w:color w:val="000000"/>
              </w:rPr>
            </w:pPr>
            <w:r w:rsidRPr="00BA43F7">
              <w:rPr>
                <w:rFonts w:ascii="Times New Roman" w:hAnsi="Times New Roman" w:cs="Times New Roman"/>
                <w:b/>
                <w:bCs/>
                <w:color w:val="000000"/>
              </w:rPr>
              <w:t>Flexural Strength (MPa)</w:t>
            </w:r>
          </w:p>
        </w:tc>
      </w:tr>
      <w:tr w:rsidR="001C66D6" w:rsidRPr="00BA43F7" w14:paraId="4A2F8C73" w14:textId="77777777" w:rsidTr="00301BC8">
        <w:trPr>
          <w:trHeight w:val="315"/>
        </w:trPr>
        <w:tc>
          <w:tcPr>
            <w:tcW w:w="2520" w:type="dxa"/>
            <w:tcBorders>
              <w:top w:val="nil"/>
              <w:left w:val="nil"/>
              <w:bottom w:val="nil"/>
              <w:right w:val="nil"/>
            </w:tcBorders>
            <w:shd w:val="clear" w:color="000000" w:fill="FFFFFF"/>
            <w:noWrap/>
            <w:vAlign w:val="bottom"/>
            <w:hideMark/>
          </w:tcPr>
          <w:p w14:paraId="249EE4A3"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Bis-EMA</w:t>
            </w:r>
            <w:r>
              <w:rPr>
                <w:rFonts w:ascii="Times New Roman" w:hAnsi="Times New Roman" w:cs="Times New Roman"/>
                <w:color w:val="000000"/>
              </w:rPr>
              <w:t xml:space="preserve"> (Polynt) </w:t>
            </w:r>
          </w:p>
        </w:tc>
        <w:tc>
          <w:tcPr>
            <w:tcW w:w="1350" w:type="dxa"/>
            <w:tcBorders>
              <w:top w:val="nil"/>
              <w:left w:val="nil"/>
              <w:bottom w:val="nil"/>
              <w:right w:val="nil"/>
            </w:tcBorders>
            <w:shd w:val="clear" w:color="000000" w:fill="FFFFFF"/>
            <w:noWrap/>
            <w:vAlign w:val="bottom"/>
            <w:hideMark/>
          </w:tcPr>
          <w:p w14:paraId="7EB607A5"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3.5</w:t>
            </w:r>
          </w:p>
        </w:tc>
        <w:tc>
          <w:tcPr>
            <w:tcW w:w="1620" w:type="dxa"/>
            <w:tcBorders>
              <w:top w:val="nil"/>
              <w:left w:val="nil"/>
              <w:bottom w:val="nil"/>
              <w:right w:val="nil"/>
            </w:tcBorders>
            <w:shd w:val="clear" w:color="000000" w:fill="FFFFFF"/>
            <w:noWrap/>
            <w:vAlign w:val="bottom"/>
            <w:hideMark/>
          </w:tcPr>
          <w:p w14:paraId="28503B41"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46.9</w:t>
            </w:r>
          </w:p>
        </w:tc>
        <w:tc>
          <w:tcPr>
            <w:tcW w:w="1260" w:type="dxa"/>
            <w:tcBorders>
              <w:top w:val="nil"/>
              <w:left w:val="nil"/>
              <w:bottom w:val="nil"/>
              <w:right w:val="nil"/>
            </w:tcBorders>
            <w:shd w:val="clear" w:color="000000" w:fill="FFFFFF"/>
            <w:noWrap/>
            <w:vAlign w:val="bottom"/>
            <w:hideMark/>
          </w:tcPr>
          <w:p w14:paraId="28FDFF43"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3.7</w:t>
            </w:r>
          </w:p>
        </w:tc>
        <w:tc>
          <w:tcPr>
            <w:tcW w:w="1710" w:type="dxa"/>
            <w:tcBorders>
              <w:top w:val="nil"/>
              <w:left w:val="nil"/>
              <w:bottom w:val="nil"/>
              <w:right w:val="nil"/>
            </w:tcBorders>
            <w:shd w:val="clear" w:color="000000" w:fill="FFFFFF"/>
            <w:noWrap/>
            <w:vAlign w:val="bottom"/>
            <w:hideMark/>
          </w:tcPr>
          <w:p w14:paraId="33366E3B"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96.5</w:t>
            </w:r>
          </w:p>
        </w:tc>
      </w:tr>
      <w:tr w:rsidR="001C66D6" w:rsidRPr="00BA43F7" w14:paraId="32BC86C9" w14:textId="77777777" w:rsidTr="00301BC8">
        <w:trPr>
          <w:trHeight w:val="315"/>
        </w:trPr>
        <w:tc>
          <w:tcPr>
            <w:tcW w:w="2520" w:type="dxa"/>
            <w:tcBorders>
              <w:top w:val="nil"/>
              <w:left w:val="nil"/>
              <w:bottom w:val="nil"/>
              <w:right w:val="nil"/>
            </w:tcBorders>
            <w:shd w:val="clear" w:color="000000" w:fill="FFFFFF"/>
            <w:noWrap/>
            <w:vAlign w:val="bottom"/>
            <w:hideMark/>
          </w:tcPr>
          <w:p w14:paraId="1D2BE867" w14:textId="5910B7AD"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ABS (BAAM)</w:t>
            </w:r>
            <w:r>
              <w:rPr>
                <w:rFonts w:ascii="Times New Roman" w:hAnsi="Times New Roman" w:cs="Times New Roman"/>
                <w:color w:val="000000"/>
              </w:rPr>
              <w:t xml:space="preserve"> </w:t>
            </w:r>
            <w:r>
              <w:rPr>
                <w:rFonts w:ascii="Times New Roman" w:hAnsi="Times New Roman" w:cs="Times New Roman"/>
                <w:color w:val="000000"/>
              </w:rPr>
              <w:fldChar w:fldCharType="begin" w:fldLock="1"/>
            </w:r>
            <w:r w:rsidR="004502D6">
              <w:rPr>
                <w:rFonts w:ascii="Times New Roman" w:hAnsi="Times New Roman" w:cs="Times New Roman"/>
                <w:color w:val="000000"/>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id":"ITEM-2","itemData":{"DOI":"10.1108/RPJ-12-2015-0183","ISSN":"1355-2546","author":[{"dropping-particle":"","family":"Duty","given":"Chad E.","non-dropping-particle":"","parse-names":false,"suffix":""},{"dropping-particle":"","family":"Kunc","given":"Vlastimil","non-dropping-particle":"","parse-names":false,"suffix":""},{"dropping-particle":"","family":"Compton","given":"Brett","non-dropping-particle":"","parse-names":false,"suffix":""},{"dropping-particle":"","family":"Post","given":"Brian","non-dropping-particle":"","parse-names":false,"suffix":""},{"dropping-particle":"","family":"Erdman","given":"Donald","non-dropping-particle":"","parse-names":false,"suffix":""},{"dropping-particle":"","family":"Smith","given":"Rachel","non-dropping-particle":"","parse-names":false,"suffix":""},{"dropping-particle":"","family":"Lind","given":"Randall","non-dropping-particle":"","parse-names":false,"suffix":""},{"dropping-particle":"","family":"Lloyd","given":"Peter","non-dropping-particle":"","parse-names":false,"suffix":""},{"dropping-particle":"","family":"Love","given":"Lonnie","non-dropping-particle":"","parse-names":false,"suffix":""}],"container-title":"Rapid Prototyping Journal","id":"ITEM-2","issue":"1","issued":{"date-parts":[["2017","1","16"]]},"page":"181-189","title":"Structure and mechanical behavior of Big Area Additive Manufacturing (BAAM) materials","type":"article-journal","volume":"23"},"uris":["http://www.mendeley.com/documents/?uuid=5c5efab5-f69e-33d0-830f-c95bd1c91664"]}],"mendeley":{"formattedCitation":"[10], [13]","plainTextFormattedCitation":"[10], [13]","previouslyFormattedCitation":"[10], [13]"},"properties":{"noteIndex":0},"schema":"https://github.com/citation-style-language/schema/raw/master/csl-citation.json"}</w:instrText>
            </w:r>
            <w:r>
              <w:rPr>
                <w:rFonts w:ascii="Times New Roman" w:hAnsi="Times New Roman" w:cs="Times New Roman"/>
                <w:color w:val="000000"/>
              </w:rPr>
              <w:fldChar w:fldCharType="separate"/>
            </w:r>
            <w:r w:rsidR="004502D6" w:rsidRPr="004502D6">
              <w:rPr>
                <w:rFonts w:ascii="Times New Roman" w:hAnsi="Times New Roman" w:cs="Times New Roman"/>
                <w:noProof/>
                <w:color w:val="000000"/>
              </w:rPr>
              <w:t>[10], [13]</w:t>
            </w:r>
            <w:r>
              <w:rPr>
                <w:rFonts w:ascii="Times New Roman" w:hAnsi="Times New Roman" w:cs="Times New Roman"/>
                <w:color w:val="000000"/>
              </w:rPr>
              <w:fldChar w:fldCharType="end"/>
            </w:r>
          </w:p>
        </w:tc>
        <w:tc>
          <w:tcPr>
            <w:tcW w:w="1350" w:type="dxa"/>
            <w:tcBorders>
              <w:top w:val="nil"/>
              <w:left w:val="nil"/>
              <w:bottom w:val="nil"/>
              <w:right w:val="nil"/>
            </w:tcBorders>
            <w:shd w:val="clear" w:color="000000" w:fill="FFFFFF"/>
            <w:noWrap/>
            <w:vAlign w:val="bottom"/>
            <w:hideMark/>
          </w:tcPr>
          <w:p w14:paraId="387F7BFA"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2.1 - 2.3</w:t>
            </w:r>
          </w:p>
        </w:tc>
        <w:tc>
          <w:tcPr>
            <w:tcW w:w="1620" w:type="dxa"/>
            <w:tcBorders>
              <w:top w:val="nil"/>
              <w:left w:val="nil"/>
              <w:bottom w:val="nil"/>
              <w:right w:val="nil"/>
            </w:tcBorders>
            <w:shd w:val="clear" w:color="000000" w:fill="FFFFFF"/>
            <w:noWrap/>
            <w:vAlign w:val="bottom"/>
            <w:hideMark/>
          </w:tcPr>
          <w:p w14:paraId="0DC40761"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27.2 - 40.2</w:t>
            </w:r>
          </w:p>
        </w:tc>
        <w:tc>
          <w:tcPr>
            <w:tcW w:w="1260" w:type="dxa"/>
            <w:tcBorders>
              <w:top w:val="nil"/>
              <w:left w:val="nil"/>
              <w:bottom w:val="nil"/>
              <w:right w:val="nil"/>
            </w:tcBorders>
            <w:shd w:val="clear" w:color="000000" w:fill="FFFFFF"/>
            <w:noWrap/>
            <w:vAlign w:val="bottom"/>
            <w:hideMark/>
          </w:tcPr>
          <w:p w14:paraId="345BDABF"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1.87 - 2.45</w:t>
            </w:r>
          </w:p>
        </w:tc>
        <w:tc>
          <w:tcPr>
            <w:tcW w:w="1710" w:type="dxa"/>
            <w:tcBorders>
              <w:top w:val="nil"/>
              <w:left w:val="nil"/>
              <w:bottom w:val="nil"/>
              <w:right w:val="nil"/>
            </w:tcBorders>
            <w:shd w:val="clear" w:color="000000" w:fill="FFFFFF"/>
            <w:noWrap/>
            <w:vAlign w:val="bottom"/>
            <w:hideMark/>
          </w:tcPr>
          <w:p w14:paraId="42E3A84E" w14:textId="77777777" w:rsidR="001C66D6" w:rsidRPr="00BA43F7" w:rsidRDefault="001C66D6" w:rsidP="00301BC8">
            <w:pPr>
              <w:jc w:val="center"/>
              <w:rPr>
                <w:rFonts w:ascii="Times New Roman" w:hAnsi="Times New Roman" w:cs="Times New Roman"/>
                <w:color w:val="000000"/>
              </w:rPr>
            </w:pPr>
            <w:r w:rsidRPr="00BA43F7">
              <w:rPr>
                <w:rFonts w:ascii="Times New Roman" w:hAnsi="Times New Roman" w:cs="Times New Roman"/>
                <w:color w:val="000000"/>
              </w:rPr>
              <w:t>58.6 - 68.3</w:t>
            </w:r>
          </w:p>
        </w:tc>
      </w:tr>
    </w:tbl>
    <w:p w14:paraId="47D69FA9" w14:textId="77777777" w:rsidR="001C66D6" w:rsidRDefault="001C66D6" w:rsidP="001C66D6">
      <w:pPr>
        <w:spacing w:line="360" w:lineRule="auto"/>
        <w:rPr>
          <w:rFonts w:ascii="Times New Roman" w:hAnsi="Times New Roman" w:cs="Times New Roman"/>
        </w:rPr>
      </w:pPr>
    </w:p>
    <w:p w14:paraId="0FB7E05A" w14:textId="040BF84F" w:rsidR="001C66D6" w:rsidRDefault="001C66D6" w:rsidP="001C66D6">
      <w:pPr>
        <w:spacing w:line="360" w:lineRule="auto"/>
        <w:rPr>
          <w:rFonts w:ascii="Times New Roman" w:hAnsi="Times New Roman" w:cs="Times New Roman"/>
        </w:rPr>
      </w:pPr>
      <w:r>
        <w:rPr>
          <w:rFonts w:ascii="Times New Roman" w:hAnsi="Times New Roman" w:cs="Times New Roman"/>
        </w:rPr>
        <w:lastRenderedPageBreak/>
        <w:t xml:space="preserve">for tooling applications when formulated as a thermoset </w:t>
      </w:r>
      <w:proofErr w:type="gramStart"/>
      <w:r>
        <w:rPr>
          <w:rFonts w:ascii="Times New Roman" w:hAnsi="Times New Roman" w:cs="Times New Roman"/>
        </w:rPr>
        <w:t>polymer</w:t>
      </w:r>
      <w:r w:rsidR="00196880">
        <w:rPr>
          <w:rFonts w:ascii="Times New Roman" w:hAnsi="Times New Roman" w:cs="Times New Roman"/>
        </w:rPr>
        <w:t>, and</w:t>
      </w:r>
      <w:proofErr w:type="gramEnd"/>
      <w:r w:rsidR="00196880">
        <w:rPr>
          <w:rFonts w:ascii="Times New Roman" w:hAnsi="Times New Roman" w:cs="Times New Roman"/>
        </w:rPr>
        <w:t xml:space="preserve"> can be considered  a “Commodity Grade” Bis-EMA</w:t>
      </w:r>
      <w:r>
        <w:rPr>
          <w:rFonts w:ascii="Times New Roman" w:hAnsi="Times New Roman" w:cs="Times New Roman"/>
        </w:rPr>
        <w:t xml:space="preserve"> (see</w:t>
      </w:r>
      <w:r w:rsidR="00C76A5F">
        <w:rPr>
          <w:rFonts w:ascii="Times New Roman" w:hAnsi="Times New Roman" w:cs="Times New Roman"/>
        </w:rPr>
        <w:t xml:space="preserve"> </w:t>
      </w:r>
      <w:r w:rsidR="00C76A5F" w:rsidRPr="00C76A5F">
        <w:rPr>
          <w:rFonts w:ascii="Times New Roman" w:hAnsi="Times New Roman" w:cs="Times New Roman"/>
        </w:rPr>
        <w:fldChar w:fldCharType="begin"/>
      </w:r>
      <w:r w:rsidR="00C76A5F" w:rsidRPr="00C76A5F">
        <w:rPr>
          <w:rFonts w:ascii="Times New Roman" w:hAnsi="Times New Roman" w:cs="Times New Roman"/>
        </w:rPr>
        <w:instrText xml:space="preserve"> REF _Ref100920849 \h </w:instrText>
      </w:r>
      <w:r w:rsidR="00C76A5F">
        <w:rPr>
          <w:rFonts w:ascii="Times New Roman" w:hAnsi="Times New Roman" w:cs="Times New Roman"/>
        </w:rPr>
        <w:instrText xml:space="preserve"> \* MERGEFORMAT </w:instrText>
      </w:r>
      <w:r w:rsidR="00C76A5F" w:rsidRPr="00C76A5F">
        <w:rPr>
          <w:rFonts w:ascii="Times New Roman" w:hAnsi="Times New Roman" w:cs="Times New Roman"/>
        </w:rPr>
      </w:r>
      <w:r w:rsidR="00C76A5F" w:rsidRPr="00C76A5F">
        <w:rPr>
          <w:rFonts w:ascii="Times New Roman" w:hAnsi="Times New Roman" w:cs="Times New Roman"/>
        </w:rPr>
        <w:fldChar w:fldCharType="separate"/>
      </w:r>
      <w:r w:rsidR="00C76A5F" w:rsidRPr="00C76A5F">
        <w:rPr>
          <w:rFonts w:ascii="Times New Roman" w:hAnsi="Times New Roman" w:cs="Times New Roman"/>
        </w:rPr>
        <w:t xml:space="preserve">Table </w:t>
      </w:r>
      <w:r w:rsidR="00C76A5F" w:rsidRPr="00C76A5F">
        <w:rPr>
          <w:rFonts w:ascii="Times New Roman" w:hAnsi="Times New Roman" w:cs="Times New Roman"/>
          <w:noProof/>
        </w:rPr>
        <w:t>1</w:t>
      </w:r>
      <w:r w:rsidR="00C76A5F" w:rsidRPr="00C76A5F">
        <w:rPr>
          <w:rFonts w:ascii="Times New Roman" w:hAnsi="Times New Roman" w:cs="Times New Roman"/>
        </w:rPr>
        <w:fldChar w:fldCharType="end"/>
      </w:r>
      <w:r w:rsidR="00196880">
        <w:rPr>
          <w:rFonts w:ascii="Times New Roman" w:hAnsi="Times New Roman" w:cs="Times New Roman"/>
        </w:rPr>
        <w:t xml:space="preserve"> and Appendices</w:t>
      </w:r>
      <w:r>
        <w:rPr>
          <w:rFonts w:ascii="Times New Roman" w:hAnsi="Times New Roman" w:cs="Times New Roman"/>
        </w:rPr>
        <w:t xml:space="preserve">). </w:t>
      </w:r>
      <w:r w:rsidR="00196880">
        <w:rPr>
          <w:rFonts w:ascii="Times New Roman" w:hAnsi="Times New Roman" w:cs="Times New Roman"/>
        </w:rPr>
        <w:t xml:space="preserve">“Dental Grade” </w:t>
      </w:r>
      <w:r w:rsidRPr="008B3BCF">
        <w:rPr>
          <w:rFonts w:ascii="Times New Roman" w:hAnsi="Times New Roman" w:cs="Times New Roman"/>
        </w:rPr>
        <w:t>Bis-EMA</w:t>
      </w:r>
      <w:r>
        <w:rPr>
          <w:rFonts w:ascii="Times New Roman" w:hAnsi="Times New Roman" w:cs="Times New Roman"/>
        </w:rPr>
        <w:t xml:space="preserve"> is a common component in dental photopolymers, most often </w:t>
      </w:r>
      <w:r w:rsidR="0041449C">
        <w:rPr>
          <w:rFonts w:ascii="Times New Roman" w:hAnsi="Times New Roman" w:cs="Times New Roman"/>
        </w:rPr>
        <w:t>combined</w:t>
      </w:r>
      <w:r w:rsidRPr="008B3BCF">
        <w:rPr>
          <w:rFonts w:ascii="Times New Roman" w:hAnsi="Times New Roman" w:cs="Times New Roman"/>
        </w:rPr>
        <w:t xml:space="preserve"> with other oligomers and reactive diluents </w:t>
      </w:r>
      <w:r w:rsidRPr="008B3BCF">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{"citationItems":[{"id":"ITEM-1","itemData":{"DOI":"10.1016/j.ijadhadh.2020.102796","ISSN":"01437496","abstract":"Objectives: The aim of this study was to evaluate the effects of a hydrophobic layer of Bis-EMA 4 (B4, 4 ethoxilations), Bis-EMA 10 (B10, 10 ethoxilations) or Bis-EMA 30 (B30, 30 ethoxilations) on dentin adhesion and mechanical properties of a universal adhesive. Materials and methods: Extracted human molars were cut and restored using self-etching mode of Ambar Universal (AU, FGM) adhesive and divided according to the hydrophobic layer employed (n = 8): only AU (Control), SBMP (Scotchbond Multi-Purpose adhesive, 3 M, Commercial Control), B4, B10 and B30. Microtensile bond strength (μTBS) and nanoleakage tests were performed after 24h and 6 months water storage. Interface micro-permeability was surveyed by confocal microscopy. Dynamic-mechanical analysis (DMA) of each adhesive combination (50 wt% Ambar + 50 wt% BisEMA or 100% Ambar) were assessed. The data were statistically analyzed using two-way ANOVA and Tukey's test (p &lt; 0.05). Results: SBMP achieved the highest μTBS, followed by B4, B10 and Control, whilst B30 presented significantly lowest μTBS when compared with further groups (p &lt; 0.001). After ageing, the only group depicting significant μTBS reduction was Control (p = 0,009). B4 and SBMP were almost devoid of silver deposits and did not show any signs of gaps, even after ageing. B4 presented the lowest micropermeability and the best mechanical behavior on DMA, showing the highest rubbery zone and increased glass transition temperature. Conclusions: Bis-EMA-4 might be a suitable monomer for a hydrophobic layer in adhesive strategy, reducing hydrolytic degradation and increasing the durability and mechanical properties of adhesive interfaces.","author":[{"dropping-particle":"","family":"Silva","given":"Julianne Coelho","non-dropping-particle":"","parse-names":false,"suffix":""},{"dropping-particle":"","family":"Moreira","given":"Madiana Magalhães","non-dropping-particle":"","parse-names":false,"suffix":""},{"dropping-particle":"","family":"Nobre","given":"Caio Felipe de Almeida","non-dropping-particle":"","parse-names":false,"suffix":""},{"dropping-particle":"","family":"Araújo Neto","given":"Vitaliano Gomes","non-dropping-particle":"","parse-names":false,"suffix":""},{"dropping-particle":"","family":"Lomonaco","given":"Diego","non-dropping-particle":"","parse-names":false,"suffix":""},{"dropping-particle":"","family":"Feitosa","given":"Victor Pinheiro","non-dropping-particle":"","parse-names":false,"suffix":""}],"container-title":"International Journal of Adhesion and Adhesives","id":"ITEM-1","issued":{"date-parts":[["2021","3","1"]]},"page":"102796","publisher":"Elsevier Ltd","title":"Influence of hydrophobic layer of Bis-EMA with different ethoxilations on adhesive's bonding efficacy and mechanical properties","type":"article-journal","volume":"105"},"uris":["http://www.mendeley.com/documents/?uuid=cd7c67bd-1ee7-33e0-bf7d-f7dcd1e00ae5"]},{"id":"ITEM-2","itemData":{"DOI":"10.1038/s41598-019-54035-y","ISSN":"20452322","PMID":"31754180","abstract":"Resin composites containing reinforcing inert glass fillers combined with bioactive glass (BG) can aid in the prevention of secondary caries, which is a major cause of failure of contemporary composite restorations. A series of previous studies on experimental resin composites filled with BG 45S5 has demonstrated that methacrylate resin polymerization can be impaired by the addition of unsilanized BG, leading to lower degrees of conversion (DC). In order to distinguish whether the polymerization inhibition is caused by a direct (temperature-independent) effect of BG or an indirect (temperature-dependent) effect of restricted mobility of reactive species, this study used Raman spectroscopy to evaluate the DC values of experimental composites post-cured at 37 °C and 150 °C. The potential of BG to adversely affect DC was highly dependent on the resin system. The highest DC reduction was observed in the resin system based on ethoxylated bisphenol A dimethacrylate (Bis-EMA), followed by bisphenol A glycidyl methacrylate (Bis-GMA). In contrast, the DC for urethane dimethacrylate (UDMA) was not compromised by BG. Increasing the mobility of reactive species by heating at 150 °C showed limited potential for increasing the DC in the Bis-EMA and Bis-GMA resin systems, indicating a direct inhibitory effect of BG on polymerization.","author":[{"dropping-particle":"","family":"Par","given":"Matej","non-dropping-particle":"","parse-names":false,"suffix":""},{"dropping-particle":"","family":"Spanovic","given":"Nika","non-dropping-particle":"","parse-names":false,"suffix":""},{"dropping-particle":"","family":"Tauböck","given":"Tobias T.","non-dropping-particle":"","parse-names":false,"suffix":""},{"dropping-particle":"","family":"Attin","given":"Thomas","non-dropping-particle":"","parse-names":false,"suffix":""},{"dropping-particle":"","family":"Tarle","given":"Zrinka","non-dropping-particle":"","parse-names":false,"suffix":""}],"container-title":"Scientific Reports","id":"ITEM-2","issue":"1","issued":{"date-parts":[["2019","12","1"]]},"page":"1-9","publisher":"Nature Research","title":"Degree of conversion of experimental resin composites containing bioactive glass 45S5: the effect of post-cure heating","type":"article-journal","volume":"9"},"uris":["http://www.mendeley.com/documents/?uuid=58c49c87-b3d2-3b75-ba6a-5519e3293fc2"]},{"id":"ITEM-3","itemData":{"DOI":"10.1016/S0142-9612(01)00308-8","ISSN":"01429612","PMID":"11950052","abstract":"In this work the room-temperature photopolymerization of Bis-GMA, Bis-EMA, urethane dimethacrylate (UDMA) and triethylene glycol dimethacrylate (TEGDMA) induced by camphoroquinone/N,N-dimethylaminoethyl methacrylate, as photoinitiator system, was followed by FT-IR. The results obtained were then fitted by a non-linear least square method to a rational function, which permitted the accurate calculation of the limiting degree of conversion. The latter was found to increase in the order Bis-GMA&lt;Bis-EMA&lt;UDMA&lt;TEGDMA. This trend is discussed in connection with the chemical structure of dimethacrylates. The photopolymerization of mixtures of Bis-GMA/TEGDMA, Bis-GMA/UDMA and Bis-GMA/Bis-EMA showed a good linear relationship of degree of conversion with the mole fraction of Bis-GMA and in the case of the first pair also with the Tg of the initial monomer mixture. © 2002 Elsevier Science Ltd. All rights reserved.","author":[{"dropping-particle":"","family":"Sideridou","given":"I.","non-dropping-particle":"","parse-names":false,"suffix":""},{"dropping-particle":"","family":"Tserki","given":"V.","non-dropping-particle":"","parse-names":false,"suffix":""},{"dropping-particle":"","family":"Papanastasiou","given":"G.","non-dropping-particle":"","parse-names":false,"suffix":""}],"container-title":"Biomaterials","id":"ITEM-3","issue":"8","issued":{"date-parts":[["2002","4","15"]]},"page":"1819-1829","title":"Effect of chemical structure on degree of conversion in light-cured dimethacrylate-based dental resins","type":"article-journal","volume":"23"},"uris":["http://www.mendeley.com/documents/?uuid=58bb76ec-aadd-3c61-ad0b-714045b193ba"]},{"id":"ITEM-4","itemData":{"DOI":"10.1590/S1806-83242013000600002","ISSN":"18073107","PMID":"24402058","abstract":"The purpose of this study was to evaluate the influence of the internal standard peak on the measured degree of conversion (DC) for methacrylate-based resins analyzed by Fourier-transform infrared spectroscopy (FTIR). The influence of different baseline measurement methods was also determined. Different blends were prepared, mixing BisGMA/BisEMA and BisGMA/TEGDMA at proportions of 0% to 100%, in weight. Camphoroquinone and ethyl-4-dimethylaminobenzoate were used to permit the light activation of blends. Degree of conversion was evaluated using FTIR equipped with an attenuated total reflectance (ATR) device. Samples were dispensed onto ATR crystal and light activated for 40 s. The DC was calculated by relating the height of the peak 1637 cm-1 to the intensity of different internal standard peaks (1715, 1608, or 1582 cm-1), measured using two different baseline methods, before and after polymerization. Data were compared by ANOVA at 5% significance. The relationship between DC and monomer ratio was obtained by regression analysis. Double-bond conversion ranged from 32.75% to 78.50% for BisGMA/BisEMA blends, and from 32.75% to 76.22% for BisGMA/TEGDMA blends. For the BisGMA/BisEMA blends, the DC showed a linear association with the composition of the comonomer blends, independent of the internal standard peak and baseline method used. In contrast, the trends in DC for BisGMA/TEGDMA blends were different for each method of measurement. The internal standard peaks and measurement baseline should be taken into account when using FTIR to calculate the DC of methacrylate-based resins, especially comonomer blends containing a high degree of monomers that lack aromatic rings.","author":[{"dropping-particle":"","family":"Collares","given":"Fabrício Mezzomo","non-dropping-particle":"","parse-names":false,"suffix":""},{"dropping-particle":"","family":"Portella","given":"Fernando Freitas","non-dropping-particle":"","parse-names":false,"suffix":""},{"dropping-particle":"","family":"Leitune","given":"Vicente Castelo Branco","non-dropping-particle":"","parse-names":false,"suffix":""},{"dropping-particle":"","family":"Samuel","given":"Susana Maria Werner","non-dropping-particle":"","parse-names":false,"suffix":""}],"container-title":"Brazilian Oral Research","id":"ITEM-4","issue":"1","issued":{"date-parts":[["2014","1","1"]]},"page":"9-15","publisher":"Sociedade Brasileira de Hematologia e Hemoterapia","title":"Discrepancies in degree of conversion measurements by FTIR","type":"article-journal","volume":"28"},"uris":["http://www.mendeley.com/documents/?uuid=65d2fc25-0cbf-3165-8578-c367d2fca7d8"]}],"mendeley":{"formattedCitation":"[28]–[31]","plainTextFormattedCitation":"[28]–[31]","previouslyFormattedCitation":"[28]–[31]"},"properties":{"noteIndex":0},"schema":"https://github.com/citation-style-language/schema/raw/master/csl-citation.json"}</w:instrText>
      </w:r>
      <w:r w:rsidRPr="008B3BCF">
        <w:rPr>
          <w:rFonts w:ascii="Times New Roman" w:hAnsi="Times New Roman" w:cs="Times New Roman"/>
        </w:rPr>
        <w:fldChar w:fldCharType="separate"/>
      </w:r>
      <w:r w:rsidR="00BF7344" w:rsidRPr="00BF7344">
        <w:rPr>
          <w:rFonts w:ascii="Times New Roman" w:hAnsi="Times New Roman" w:cs="Times New Roman"/>
          <w:noProof/>
        </w:rPr>
        <w:t>[28]–[31]</w:t>
      </w:r>
      <w:r w:rsidRPr="008B3BCF">
        <w:rPr>
          <w:rFonts w:ascii="Times New Roman" w:hAnsi="Times New Roman" w:cs="Times New Roman"/>
        </w:rPr>
        <w:fldChar w:fldCharType="end"/>
      </w:r>
      <w:r>
        <w:rPr>
          <w:rFonts w:ascii="Times New Roman" w:hAnsi="Times New Roman" w:cs="Times New Roman"/>
        </w:rPr>
        <w:t>.  To the author’s knowledge, no research beyond the studies presented in this work has investigated the potential for Bis-EMA as a primary oligomer system in LFAM applications.</w:t>
      </w:r>
    </w:p>
    <w:p w14:paraId="332B9123" w14:textId="77777777" w:rsidR="006F1981" w:rsidRDefault="006F1981" w:rsidP="00DB3040">
      <w:pPr>
        <w:pStyle w:val="Heading2"/>
      </w:pPr>
      <w:bookmarkStart w:id="21" w:name="_Toc101701721"/>
      <w:r>
        <w:t>Photopolymer Cure Kinetics</w:t>
      </w:r>
      <w:bookmarkEnd w:id="21"/>
    </w:p>
    <w:p w14:paraId="23BAEA76" w14:textId="55B4CBA8" w:rsidR="006F1981" w:rsidRPr="00CF773B" w:rsidRDefault="006F1981" w:rsidP="006F1981">
      <w:pPr>
        <w:spacing w:line="360" w:lineRule="auto"/>
      </w:pPr>
      <w:r w:rsidRPr="001A5DC9">
        <w:rPr>
          <w:rFonts w:ascii="Times New Roman" w:hAnsi="Times New Roman" w:cs="Times New Roman"/>
        </w:rPr>
        <w:t>Unlike thermosets, which experience a self-sustaining reaction throughout the bulk of the polymer above a given temperature, photopolymer reactions progress from the</w:t>
      </w:r>
      <w:r w:rsidR="00CA13DC">
        <w:rPr>
          <w:rFonts w:ascii="Times New Roman" w:hAnsi="Times New Roman" w:cs="Times New Roman"/>
        </w:rPr>
        <w:t xml:space="preserve"> irradiated</w:t>
      </w:r>
      <w:r w:rsidRPr="001A5DC9">
        <w:rPr>
          <w:rFonts w:ascii="Times New Roman" w:hAnsi="Times New Roman" w:cs="Times New Roman"/>
        </w:rPr>
        <w:t xml:space="preserve"> surface down (see</w:t>
      </w:r>
      <w:r w:rsidR="00C76A5F">
        <w:rPr>
          <w:rFonts w:ascii="Times New Roman" w:hAnsi="Times New Roman" w:cs="Times New Roman"/>
        </w:rPr>
        <w:t xml:space="preserve"> </w:t>
      </w:r>
      <w:r w:rsidR="00C76A5F" w:rsidRPr="00C76A5F">
        <w:rPr>
          <w:rFonts w:ascii="Times New Roman" w:hAnsi="Times New Roman" w:cs="Times New Roman"/>
        </w:rPr>
        <w:fldChar w:fldCharType="begin"/>
      </w:r>
      <w:r w:rsidR="00C76A5F" w:rsidRPr="00C76A5F">
        <w:rPr>
          <w:rFonts w:ascii="Times New Roman" w:hAnsi="Times New Roman" w:cs="Times New Roman"/>
        </w:rPr>
        <w:instrText xml:space="preserve"> REF _Ref100920889 \h </w:instrText>
      </w:r>
      <w:r w:rsidR="00C76A5F">
        <w:rPr>
          <w:rFonts w:ascii="Times New Roman" w:hAnsi="Times New Roman" w:cs="Times New Roman"/>
        </w:rPr>
        <w:instrText xml:space="preserve"> \* MERGEFORMAT </w:instrText>
      </w:r>
      <w:r w:rsidR="00C76A5F" w:rsidRPr="00C76A5F">
        <w:rPr>
          <w:rFonts w:ascii="Times New Roman" w:hAnsi="Times New Roman" w:cs="Times New Roman"/>
        </w:rPr>
      </w:r>
      <w:r w:rsidR="00C76A5F" w:rsidRPr="00C76A5F">
        <w:rPr>
          <w:rFonts w:ascii="Times New Roman" w:hAnsi="Times New Roman" w:cs="Times New Roman"/>
        </w:rPr>
        <w:fldChar w:fldCharType="separate"/>
      </w:r>
      <w:r w:rsidR="00C76A5F" w:rsidRPr="00C76A5F">
        <w:rPr>
          <w:rFonts w:ascii="Times New Roman" w:hAnsi="Times New Roman" w:cs="Times New Roman"/>
        </w:rPr>
        <w:t xml:space="preserve">Figure </w:t>
      </w:r>
      <w:r w:rsidR="00C76A5F" w:rsidRPr="00C76A5F">
        <w:rPr>
          <w:rFonts w:ascii="Times New Roman" w:hAnsi="Times New Roman" w:cs="Times New Roman"/>
          <w:noProof/>
        </w:rPr>
        <w:t>7</w:t>
      </w:r>
      <w:r w:rsidR="00C76A5F" w:rsidRPr="00C76A5F">
        <w:rPr>
          <w:rFonts w:ascii="Times New Roman" w:hAnsi="Times New Roman" w:cs="Times New Roman"/>
        </w:rPr>
        <w:fldChar w:fldCharType="end"/>
      </w:r>
      <w:r w:rsidRPr="001A5DC9">
        <w:rPr>
          <w:rFonts w:ascii="Times New Roman" w:hAnsi="Times New Roman" w:cs="Times New Roman"/>
        </w:rPr>
        <w:t>)</w:t>
      </w:r>
      <w:r>
        <w:rPr>
          <w:rFonts w:ascii="Times New Roman" w:hAnsi="Times New Roman" w:cs="Times New Roman"/>
        </w:rPr>
        <w:t>.  The most common photopolymers have acrylate or methacrylate functional groups</w:t>
      </w:r>
      <w:r w:rsidR="0041449C">
        <w:rPr>
          <w:rFonts w:ascii="Times New Roman" w:hAnsi="Times New Roman" w:cs="Times New Roman"/>
        </w:rPr>
        <w:t xml:space="preserve"> and</w:t>
      </w:r>
      <w:r>
        <w:rPr>
          <w:rFonts w:ascii="Times New Roman" w:hAnsi="Times New Roman" w:cs="Times New Roman"/>
        </w:rPr>
        <w:t xml:space="preserve"> </w:t>
      </w:r>
      <w:r w:rsidRPr="00B32F8A">
        <w:rPr>
          <w:rFonts w:ascii="Times New Roman" w:hAnsi="Times New Roman" w:cs="Times New Roman"/>
        </w:rPr>
        <w:t>cure via free-radical reactions</w:t>
      </w:r>
      <w:r>
        <w:rPr>
          <w:rFonts w:ascii="Times New Roman" w:hAnsi="Times New Roman" w:cs="Times New Roman"/>
        </w:rPr>
        <w:t xml:space="preserve">.  A free-radical curing reaction follows three steps: photoinitiation, propagation, and termination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{"citationItems":[{"id":"ITEM-1","itemData":{"DOI":"10.1002/(SICI)1097-0126(199802)45:2&lt;133::AID-PI969&gt;3.0.CO;2-F","ISSN":"09598103","abstract":"Photoinitiation is one of the most efficient methods for achieving quasi-instantaneous polymerization, transforming a liquid molecule into a solid polymer material within less than 1 s. The kinetics of such ultrafast reaction can be advantageously followed by real-time infrared spectroscopy a technique which records directly conversion versus time curves and allows evaluation of the important kinetic parameters of cross-linking polymerization. Photoinitiation has proved to be well suited to inducing frontal polymerization and achieving a deep-through cure of thick specimens. UV technology is also capable of causing fast polymerization in solid media, despite severe mobility restrictions, because of the high initiation rate provided by intense illumination. This review presents some recent advances in the UV-curing technology, special emphasis being given to the kinetic aspect of ultrafast polymerization reactions induced by light. © 1998 SCI.","author":[{"dropping-particle":"","family":"Decker","given":"Christian","non-dropping-particle":"","parse-names":false,"suffix":""}],"container-title":"Polymer International","id":"ITEM-1","issue":"2","issued":{"date-parts":[["1998","2","1"]]},"page":"133-141","publisher":"John Wiley and Sons Ltd","title":"The use of UV irradiation in polymerization","type":"article-journal","volume":"45"},"uris":["http://www.mendeley.com/documents/?uuid=5e98c55e-ac30-3bee-84a1-53012a81bcb5"]},{"id":"ITEM-2","itemData":{"DOI":"10.1016/J.POLYMER.2018.11.057","ISSN":"0032-3861","abstract":"In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-2","issued":{"date-parts":[["2019","1","3"]]},"page":"254-264","publisher":"Elsevier","title":"Experimental and theoretical investigations of free radical photopolymerization: Inhibition and termination reactions","type":"article-journal","volume":"160"},"uris":["http://www.mendeley.com/documents/?uuid=2de111e7-9b3a-3cbd-9a03-aff65e35323f"]},{"id":"ITEM-3","itemData":{"author":[{"dropping-particle":"","family":"Greene","given":"W. Arthur","non-dropping-particle":"","parse-names":false,"suffix":""}],"edition":"1","id":"ITEM-3","issued":{"date-parts":[["2010"]]},"number-of-pages":"288","publisher":"Taylor &amp; Francis","publisher-place":"Boca Raton","title":"Industrial Photoinitiators","type":"book"},"uris":["http://www.mendeley.com/documents/?uuid=65ca02a4-58fe-44a4-9fc5-70da5083d62a"]}],"mendeley":{"formattedCitation":"[23], [32], [33]","plainTextFormattedCitation":"[23], [32], [33]","previouslyFormattedCitation":"[23], [32], [33]"},"properties":{"noteIndex":0},"schema":"https://github.com/citation-style-language/schema/raw/master/csl-citation.json"}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[23], [32], [33]</w:t>
      </w:r>
      <w:r>
        <w:rPr>
          <w:rFonts w:ascii="Times New Roman" w:hAnsi="Times New Roman" w:cs="Times New Roman"/>
        </w:rPr>
        <w:fldChar w:fldCharType="end"/>
      </w:r>
      <w:r>
        <w:rPr>
          <w:rFonts w:ascii="Times New Roman" w:hAnsi="Times New Roman" w:cs="Times New Roman"/>
        </w:rPr>
        <w:t xml:space="preserve">.  Photoinitiation commences when a photoinitiator (PI) molecule absorbs light and forms free radicals.  For scission-type PIs, the PI separates into two or more free radicals (see Figure </w:t>
      </w:r>
      <w:r w:rsidR="0092037B">
        <w:rPr>
          <w:rFonts w:ascii="Times New Roman" w:hAnsi="Times New Roman" w:cs="Times New Roman"/>
        </w:rPr>
        <w:t>8</w:t>
      </w:r>
      <w:r>
        <w:rPr>
          <w:rFonts w:ascii="Times New Roman" w:hAnsi="Times New Roman" w:cs="Times New Roman"/>
        </w:rPr>
        <w:t>)</w:t>
      </w:r>
      <w:r w:rsidR="0041449C">
        <w:rPr>
          <w:rFonts w:ascii="Times New Roman" w:hAnsi="Times New Roman" w:cs="Times New Roman"/>
        </w:rPr>
        <w:t>. T</w:t>
      </w:r>
      <w:r>
        <w:rPr>
          <w:rFonts w:ascii="Times New Roman" w:hAnsi="Times New Roman" w:cs="Times New Roman"/>
        </w:rPr>
        <w:t>hese react with C=C bonds in the monomer</w:t>
      </w:r>
      <w:r w:rsidR="001C66D6">
        <w:rPr>
          <w:rFonts w:ascii="Times New Roman" w:hAnsi="Times New Roman" w:cs="Times New Roman"/>
        </w:rPr>
        <w:t>/oligomer</w:t>
      </w:r>
      <w:r>
        <w:rPr>
          <w:rFonts w:ascii="Times New Roman" w:hAnsi="Times New Roman" w:cs="Times New Roman"/>
        </w:rPr>
        <w:t xml:space="preserve"> to form a reactive monomer</w:t>
      </w:r>
      <w:r w:rsidR="001C66D6">
        <w:rPr>
          <w:rFonts w:ascii="Times New Roman" w:hAnsi="Times New Roman" w:cs="Times New Roman"/>
        </w:rPr>
        <w:t>/oligomer</w:t>
      </w:r>
      <w:r>
        <w:rPr>
          <w:rFonts w:ascii="Times New Roman" w:hAnsi="Times New Roman" w:cs="Times New Roman"/>
        </w:rPr>
        <w:t xml:space="preserve"> radical.  During propagation, the</w:t>
      </w:r>
      <w:r w:rsidR="001C66D6">
        <w:rPr>
          <w:rFonts w:ascii="Times New Roman" w:hAnsi="Times New Roman" w:cs="Times New Roman"/>
        </w:rPr>
        <w:t xml:space="preserve"> monomer/oligomer </w:t>
      </w:r>
      <w:r>
        <w:rPr>
          <w:rFonts w:ascii="Times New Roman" w:hAnsi="Times New Roman" w:cs="Times New Roman"/>
        </w:rPr>
        <w:t xml:space="preserve">radical starts a chain reaction with </w:t>
      </w:r>
      <w:r w:rsidR="001C66D6">
        <w:rPr>
          <w:rFonts w:ascii="Times New Roman" w:hAnsi="Times New Roman" w:cs="Times New Roman"/>
        </w:rPr>
        <w:t>other monomer/oligomer molecules</w:t>
      </w:r>
      <w:r>
        <w:rPr>
          <w:rFonts w:ascii="Times New Roman" w:hAnsi="Times New Roman" w:cs="Times New Roman"/>
        </w:rPr>
        <w:t xml:space="preserve"> until a termination reaction causes a polymer chain to stop growing.  Chain propagation can also lead to crosslinking when multifunctional monomers</w:t>
      </w:r>
      <w:r w:rsidR="001C66D6">
        <w:rPr>
          <w:rFonts w:ascii="Times New Roman" w:hAnsi="Times New Roman" w:cs="Times New Roman"/>
        </w:rPr>
        <w:t xml:space="preserve"> or oligomers</w:t>
      </w:r>
      <w:r>
        <w:rPr>
          <w:rFonts w:ascii="Times New Roman" w:hAnsi="Times New Roman" w:cs="Times New Roman"/>
        </w:rPr>
        <w:t xml:space="preserve"> are used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rPr>
        <w:t xml:space="preserve">.  </w:t>
      </w:r>
    </w:p>
    <w:p w14:paraId="54C18097" w14:textId="77777777" w:rsidR="006F1981" w:rsidRDefault="006F1981" w:rsidP="009D06D1">
      <w:pPr>
        <w:pStyle w:val="Heading3"/>
      </w:pPr>
      <w:bookmarkStart w:id="22" w:name="_Toc101701722"/>
      <w:r w:rsidRPr="006B2A71">
        <w:t>Laws of Photochemistry</w:t>
      </w:r>
      <w:bookmarkEnd w:id="22"/>
    </w:p>
    <w:p w14:paraId="1E6F04E3" w14:textId="77777777" w:rsidR="006F1981" w:rsidRPr="00282092" w:rsidRDefault="006F1981" w:rsidP="006F1981"/>
    <w:p w14:paraId="39857D18" w14:textId="3E33CEA4" w:rsidR="006E557D" w:rsidRDefault="006F1981" w:rsidP="006F1981">
      <w:pPr>
        <w:spacing w:line="360" w:lineRule="auto"/>
        <w:rPr>
          <w:rFonts w:ascii="Times New Roman" w:eastAsiaTheme="minorEastAsia" w:hAnsi="Times New Roman" w:cs="Times New Roman"/>
        </w:rPr>
      </w:pPr>
      <w:r>
        <w:rPr>
          <w:rFonts w:ascii="Times New Roman" w:hAnsi="Times New Roman" w:cs="Times New Roman"/>
        </w:rPr>
        <w:t xml:space="preserve">The reaction of a PI follows the </w:t>
      </w:r>
      <w:r w:rsidRPr="00D90D0E">
        <w:rPr>
          <w:rFonts w:ascii="Times New Roman" w:hAnsi="Times New Roman" w:cs="Times New Roman"/>
        </w:rPr>
        <w:t>Grotthus-Draper Law</w:t>
      </w:r>
      <w:r w:rsidR="003F584F">
        <w:rPr>
          <w:rFonts w:ascii="Times New Roman" w:hAnsi="Times New Roman" w:cs="Times New Roman"/>
        </w:rPr>
        <w:t xml:space="preserve"> </w:t>
      </w:r>
      <w:r w:rsidR="00BF7344">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0-471-94177-8","author":[{"dropping-particle":"","family":"Roffey","given":"C.G.","non-dropping-particle":"","parse-names":false,"suffix":""}],"edition":"1","id":"ITEM-1","issued":{"date-parts":[["1997"]]},"number-of-pages":"866","publisher":"John Wiley &amp; Sons, Ltd","publisher-place":"Chichester","title":"Photogeneration of Reactive Species for UV Curing","type":"book"},"uris":["http://www.mendeley.com/documents/?uuid=9e7204ab-acd0-4b88-833c-e3401a2c8673"]}],"mendeley":{"formattedCitation":"[34]","plainTextFormattedCitation":"[34]","previouslyFormattedCitation":"[34]"},"properties":{"noteIndex":0},"schema":"https://github.com/citation-style-language/schema/raw/master/csl-citation.json"}</w:instrText>
      </w:r>
      <w:r w:rsidR="00BF7344">
        <w:rPr>
          <w:rFonts w:ascii="Times New Roman" w:hAnsi="Times New Roman" w:cs="Times New Roman"/>
        </w:rPr>
        <w:fldChar w:fldCharType="separate"/>
      </w:r>
      <w:r w:rsidR="00BF7344" w:rsidRPr="00BF7344">
        <w:rPr>
          <w:rFonts w:ascii="Times New Roman" w:hAnsi="Times New Roman" w:cs="Times New Roman"/>
          <w:noProof/>
        </w:rPr>
        <w:t>[34]</w:t>
      </w:r>
      <w:r w:rsidR="00BF7344">
        <w:rPr>
          <w:rFonts w:ascii="Times New Roman" w:hAnsi="Times New Roman" w:cs="Times New Roman"/>
        </w:rPr>
        <w:fldChar w:fldCharType="end"/>
      </w:r>
      <w:r>
        <w:rPr>
          <w:rFonts w:ascii="Times New Roman" w:hAnsi="Times New Roman" w:cs="Times New Roman"/>
        </w:rPr>
        <w:t>, which states that</w:t>
      </w:r>
      <w:r w:rsidRPr="00D90D0E">
        <w:rPr>
          <w:rFonts w:ascii="Times New Roman" w:hAnsi="Times New Roman" w:cs="Times New Roman"/>
        </w:rPr>
        <w:t xml:space="preserve"> </w:t>
      </w:r>
      <w:r>
        <w:rPr>
          <w:rFonts w:ascii="Times New Roman" w:hAnsi="Times New Roman" w:cs="Times New Roman"/>
        </w:rPr>
        <w:t>o</w:t>
      </w:r>
      <w:r w:rsidRPr="00D90D0E">
        <w:rPr>
          <w:rFonts w:ascii="Times New Roman" w:hAnsi="Times New Roman" w:cs="Times New Roman"/>
        </w:rPr>
        <w:t>nly the light absorbed by a molecule can be effective in producing photochemical changes in the molecule</w:t>
      </w:r>
      <w:r>
        <w:rPr>
          <w:rFonts w:ascii="Times New Roman" w:hAnsi="Times New Roman" w:cs="Times New Roman"/>
        </w:rPr>
        <w:t>.</w:t>
      </w:r>
      <w:r w:rsidR="006E557D">
        <w:rPr>
          <w:rFonts w:ascii="Times New Roman" w:hAnsi="Times New Roman" w:cs="Times New Roman"/>
        </w:rPr>
        <w:t xml:space="preserve">  </w:t>
      </w:r>
      <w:r w:rsidR="006E557D">
        <w:rPr>
          <w:rFonts w:ascii="Times New Roman" w:eastAsiaTheme="minorEastAsia" w:hAnsi="Times New Roman" w:cs="Times New Roman"/>
        </w:rPr>
        <w:t xml:space="preserve">The polymer and PI both absorb light to varying extents depending on the material and wavelength of light.  The energy absorbed by one mole of </w:t>
      </w:r>
      <w:r w:rsidR="0092037B">
        <w:rPr>
          <w:rFonts w:ascii="Times New Roman" w:eastAsiaTheme="minorEastAsia" w:hAnsi="Times New Roman" w:cs="Times New Roman"/>
        </w:rPr>
        <w:t>the PI is given by the Bohr Frequency condition (Equation 1):</w:t>
      </w:r>
    </w:p>
    <w:p w14:paraId="20D3F1B4" w14:textId="77777777" w:rsidR="00321C79" w:rsidRDefault="00321C79" w:rsidP="006F1981">
      <w:pPr>
        <w:spacing w:line="360" w:lineRule="auto"/>
        <w:rPr>
          <w:rFonts w:ascii="Times New Roman" w:eastAsiaTheme="minorEastAsia" w:hAnsi="Times New Roman" w:cs="Times New Roman"/>
        </w:rPr>
      </w:pPr>
    </w:p>
    <w:p w14:paraId="26F7891B" w14:textId="325BD68F" w:rsidR="0092037B" w:rsidRPr="00F90798" w:rsidRDefault="0092037B" w:rsidP="006F1981">
      <w:pPr>
        <w:spacing w:line="360" w:lineRule="auto"/>
        <w:rPr>
          <w:rFonts w:ascii="Times New Roman" w:hAnsi="Times New Roman" w:cs="Times New Roman"/>
        </w:rPr>
      </w:pPr>
      <m:oMathPara>
        <m:oMath>
          <m:r>
            <w:rPr>
              <w:rFonts w:ascii="Cambria Math" w:hAnsi="Cambria Math" w:cs="Times New Roman"/>
            </w:rPr>
            <m:t>E=hv   (1)</m:t>
          </m:r>
        </m:oMath>
      </m:oMathPara>
    </w:p>
    <w:p w14:paraId="0842FDED" w14:textId="77777777" w:rsidR="00F90798" w:rsidRPr="00321C79" w:rsidRDefault="00F90798" w:rsidP="006F1981">
      <w:pPr>
        <w:spacing w:line="360" w:lineRule="auto"/>
        <w:rPr>
          <w:rFonts w:ascii="Times New Roman" w:hAnsi="Times New Roman" w:cs="Times New Roman"/>
        </w:rPr>
      </w:pPr>
    </w:p>
    <w:p w14:paraId="6DB945AF" w14:textId="512277D4" w:rsidR="00321C79" w:rsidRDefault="00F90798" w:rsidP="006F1981">
      <w:pPr>
        <w:spacing w:line="360" w:lineRule="auto"/>
        <w:rPr>
          <w:rFonts w:ascii="Times New Roman" w:hAnsi="Times New Roman" w:cs="Times New Roman"/>
        </w:rPr>
      </w:pPr>
      <w:r>
        <w:rPr>
          <w:rFonts w:ascii="Times New Roman" w:hAnsi="Times New Roman" w:cs="Times New Roman"/>
        </w:rPr>
        <w:lastRenderedPageBreak/>
        <w:t xml:space="preserve">where </w:t>
      </w:r>
      <w:r w:rsidRPr="0092037B">
        <w:rPr>
          <w:rFonts w:ascii="Times New Roman" w:hAnsi="Times New Roman" w:cs="Times New Roman"/>
          <w:i/>
          <w:iCs/>
        </w:rPr>
        <w:t>E</w:t>
      </w:r>
      <w:r>
        <w:rPr>
          <w:rFonts w:ascii="Times New Roman" w:hAnsi="Times New Roman" w:cs="Times New Roman"/>
        </w:rPr>
        <w:t xml:space="preserve"> is the energy difference needed to induce free radical generation, </w:t>
      </w:r>
      <m:oMath>
        <m:r>
          <w:rPr>
            <w:rFonts w:ascii="Cambria Math" w:hAnsi="Cambria Math" w:cs="Times New Roman"/>
          </w:rPr>
          <m:t>v</m:t>
        </m:r>
      </m:oMath>
      <w:r>
        <w:rPr>
          <w:rFonts w:ascii="Times New Roman" w:hAnsi="Times New Roman" w:cs="Times New Roman"/>
        </w:rPr>
        <w:t xml:space="preserve"> is the</w:t>
      </w:r>
    </w:p>
    <w:p w14:paraId="6F3FBE1A" w14:textId="049BC24E" w:rsidR="009F0D40" w:rsidRDefault="0092037B" w:rsidP="006F1981">
      <w:pPr>
        <w:spacing w:line="360" w:lineRule="auto"/>
        <w:rPr>
          <w:rFonts w:ascii="Times New Roman" w:hAnsi="Times New Roman" w:cs="Times New Roman"/>
        </w:rPr>
      </w:pPr>
      <w:r>
        <w:rPr>
          <w:rFonts w:ascii="Times New Roman" w:hAnsi="Times New Roman" w:cs="Times New Roman"/>
        </w:rPr>
        <w:t>frequency of incident light</w:t>
      </w:r>
      <w:r w:rsidR="0041449C">
        <w:rPr>
          <w:rFonts w:ascii="Times New Roman" w:hAnsi="Times New Roman" w:cs="Times New Roman"/>
        </w:rPr>
        <w:t>,</w:t>
      </w:r>
      <w:r>
        <w:rPr>
          <w:rFonts w:ascii="Times New Roman" w:hAnsi="Times New Roman" w:cs="Times New Roman"/>
        </w:rPr>
        <w:t xml:space="preserve"> and </w:t>
      </w:r>
      <m:oMath>
        <m:r>
          <w:rPr>
            <w:rFonts w:ascii="Cambria Math" w:hAnsi="Cambria Math" w:cs="Times New Roman"/>
          </w:rPr>
          <m:t>h</m:t>
        </m:r>
      </m:oMath>
      <w:r>
        <w:rPr>
          <w:rFonts w:ascii="Times New Roman" w:hAnsi="Times New Roman" w:cs="Times New Roman"/>
        </w:rPr>
        <w:t xml:space="preserve"> is Plank’s constant (see</w:t>
      </w:r>
      <w:r w:rsidR="00C76A5F">
        <w:rPr>
          <w:rFonts w:ascii="Times New Roman" w:hAnsi="Times New Roman" w:cs="Times New Roman"/>
        </w:rPr>
        <w:t xml:space="preserve"> </w:t>
      </w:r>
      <w:r w:rsidR="00C76A5F" w:rsidRPr="00C76A5F">
        <w:rPr>
          <w:rFonts w:ascii="Times New Roman" w:hAnsi="Times New Roman" w:cs="Times New Roman"/>
        </w:rPr>
        <w:fldChar w:fldCharType="begin"/>
      </w:r>
      <w:r w:rsidR="00C76A5F" w:rsidRPr="00C76A5F">
        <w:rPr>
          <w:rFonts w:ascii="Times New Roman" w:hAnsi="Times New Roman" w:cs="Times New Roman"/>
        </w:rPr>
        <w:instrText xml:space="preserve"> REF _Ref100920931 \h </w:instrText>
      </w:r>
      <w:r w:rsidR="00C76A5F">
        <w:rPr>
          <w:rFonts w:ascii="Times New Roman" w:hAnsi="Times New Roman" w:cs="Times New Roman"/>
        </w:rPr>
        <w:instrText xml:space="preserve"> \* MERGEFORMAT </w:instrText>
      </w:r>
      <w:r w:rsidR="00C76A5F" w:rsidRPr="00C76A5F">
        <w:rPr>
          <w:rFonts w:ascii="Times New Roman" w:hAnsi="Times New Roman" w:cs="Times New Roman"/>
        </w:rPr>
      </w:r>
      <w:r w:rsidR="00C76A5F" w:rsidRPr="00C76A5F">
        <w:rPr>
          <w:rFonts w:ascii="Times New Roman" w:hAnsi="Times New Roman" w:cs="Times New Roman"/>
        </w:rPr>
        <w:fldChar w:fldCharType="separate"/>
      </w:r>
      <w:r w:rsidR="00C76A5F" w:rsidRPr="00C76A5F">
        <w:rPr>
          <w:rFonts w:ascii="Times New Roman" w:hAnsi="Times New Roman" w:cs="Times New Roman"/>
        </w:rPr>
        <w:t xml:space="preserve">Figure </w:t>
      </w:r>
      <w:r w:rsidR="00C76A5F" w:rsidRPr="00C76A5F">
        <w:rPr>
          <w:rFonts w:ascii="Times New Roman" w:hAnsi="Times New Roman" w:cs="Times New Roman"/>
          <w:noProof/>
        </w:rPr>
        <w:t>8</w:t>
      </w:r>
      <w:r w:rsidR="00C76A5F" w:rsidRPr="00C76A5F">
        <w:rPr>
          <w:rFonts w:ascii="Times New Roman" w:hAnsi="Times New Roman" w:cs="Times New Roman"/>
        </w:rPr>
        <w:fldChar w:fldCharType="end"/>
      </w:r>
      <w:r>
        <w:rPr>
          <w:rFonts w:ascii="Times New Roman" w:hAnsi="Times New Roman" w:cs="Times New Roman"/>
        </w:rPr>
        <w:t>).</w:t>
      </w:r>
      <w:r w:rsidR="009F0D40">
        <w:rPr>
          <w:rFonts w:ascii="Times New Roman" w:hAnsi="Times New Roman" w:cs="Times New Roman"/>
        </w:rPr>
        <w:t xml:space="preserve">  The generation of free radicals per quantum of incident light is described by the term quantum yield (</w:t>
      </w:r>
      <m:oMath>
        <m:r>
          <w:rPr>
            <w:rFonts w:ascii="Cambria Math" w:hAnsi="Cambria Math" w:cs="Times New Roman"/>
          </w:rPr>
          <m:t>ϕ</m:t>
        </m:r>
      </m:oMath>
      <w:r w:rsidR="009F0D40">
        <w:rPr>
          <w:rFonts w:ascii="Times New Roman" w:hAnsi="Times New Roman" w:cs="Times New Roman"/>
        </w:rPr>
        <w:t xml:space="preserve">), shown in Equation 2 </w:t>
      </w:r>
      <w:r w:rsidR="009F0D40">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0-471-94177-8","author":[{"dropping-particle":"","family":"Roffey","given":"C.G.","non-dropping-particle":"","parse-names":false,"suffix":""}],"edition":"1","id":"ITEM-1","issued":{"date-parts":[["1997"]]},"number-of-pages":"866","publisher":"John Wiley &amp; Sons, Ltd","publisher-place":"Chichester","title":"Photogeneration of Reactive Species for UV Curing","type":"book"},"uris":["http://www.mendeley.com/documents/?uuid=9e7204ab-acd0-4b88-833c-e3401a2c8673"]}],"mendeley":{"formattedCitation":"[34]","plainTextFormattedCitation":"[34]","previouslyFormattedCitation":"[34]"},"properties":{"noteIndex":0},"schema":"https://github.com/citation-style-language/schema/raw/master/csl-citation.json"}</w:instrText>
      </w:r>
      <w:r w:rsidR="009F0D40">
        <w:rPr>
          <w:rFonts w:ascii="Times New Roman" w:hAnsi="Times New Roman" w:cs="Times New Roman"/>
        </w:rPr>
        <w:fldChar w:fldCharType="separate"/>
      </w:r>
      <w:r w:rsidR="00BF7344" w:rsidRPr="00BF7344">
        <w:rPr>
          <w:rFonts w:ascii="Times New Roman" w:hAnsi="Times New Roman" w:cs="Times New Roman"/>
          <w:noProof/>
        </w:rPr>
        <w:t>[34]</w:t>
      </w:r>
      <w:r w:rsidR="009F0D40">
        <w:rPr>
          <w:rFonts w:ascii="Times New Roman" w:hAnsi="Times New Roman" w:cs="Times New Roman"/>
        </w:rPr>
        <w:fldChar w:fldCharType="end"/>
      </w:r>
      <w:r w:rsidR="009F0D40">
        <w:rPr>
          <w:rFonts w:ascii="Times New Roman" w:hAnsi="Times New Roman" w:cs="Times New Roman"/>
        </w:rPr>
        <w:t>:</w:t>
      </w:r>
    </w:p>
    <w:p w14:paraId="4F8C3CC2" w14:textId="77777777" w:rsidR="009F0D40" w:rsidRDefault="009F0D40" w:rsidP="006F1981">
      <w:pPr>
        <w:spacing w:line="360" w:lineRule="auto"/>
        <w:rPr>
          <w:rFonts w:ascii="Times New Roman" w:hAnsi="Times New Roman" w:cs="Times New Roman"/>
        </w:rPr>
      </w:pPr>
    </w:p>
    <w:p w14:paraId="49AB1C23" w14:textId="22F2487C" w:rsidR="009F0D40" w:rsidRDefault="009F0D40" w:rsidP="006F1981">
      <w:pPr>
        <w:spacing w:line="360" w:lineRule="auto"/>
        <w:rPr>
          <w:rFonts w:ascii="Times New Roman" w:hAnsi="Times New Roman" w:cs="Times New Roman"/>
        </w:rPr>
      </w:pPr>
      <m:oMathPara>
        <m:oMath>
          <m:r>
            <w:rPr>
              <w:rFonts w:ascii="Cambria Math" w:hAnsi="Cambria Math" w:cs="Times New Roman"/>
            </w:rPr>
            <m:t>ϕ=</m:t>
          </m:r>
          <m:f>
            <m:fPr>
              <m:ctrlPr>
                <w:rPr>
                  <w:rFonts w:ascii="Cambria Math" w:hAnsi="Cambria Math" w:cs="Times New Roman"/>
                  <w:i/>
                </w:rPr>
              </m:ctrlPr>
            </m:fPr>
            <m:num>
              <m:r>
                <w:rPr>
                  <w:rFonts w:ascii="Cambria Math" w:hAnsi="Cambria Math" w:cs="Times New Roman"/>
                </w:rPr>
                <m:t>number of molecules partificpating in a process</m:t>
              </m:r>
            </m:num>
            <m:den>
              <m:r>
                <w:rPr>
                  <w:rFonts w:ascii="Cambria Math" w:hAnsi="Cambria Math" w:cs="Times New Roman"/>
                </w:rPr>
                <m:t>number of light quanta absorbed</m:t>
              </m:r>
            </m:den>
          </m:f>
          <m:r>
            <w:rPr>
              <w:rFonts w:ascii="Cambria Math" w:hAnsi="Cambria Math" w:cs="Times New Roman"/>
            </w:rPr>
            <m:t xml:space="preserve">    (2)</m:t>
          </m:r>
        </m:oMath>
      </m:oMathPara>
    </w:p>
    <w:p w14:paraId="1AFF7385" w14:textId="5203BC23" w:rsidR="009F0D40" w:rsidRDefault="009F0D40" w:rsidP="006F1981">
      <w:pPr>
        <w:spacing w:line="360" w:lineRule="auto"/>
        <w:rPr>
          <w:rFonts w:ascii="Times New Roman" w:hAnsi="Times New Roman" w:cs="Times New Roman"/>
        </w:rPr>
      </w:pPr>
    </w:p>
    <w:p w14:paraId="211C705F" w14:textId="7D01768A" w:rsidR="00321C79" w:rsidRDefault="00321C79" w:rsidP="006F1981">
      <w:pPr>
        <w:spacing w:line="360" w:lineRule="auto"/>
        <w:rPr>
          <w:rFonts w:ascii="Times New Roman" w:hAnsi="Times New Roman" w:cs="Times New Roman"/>
        </w:rPr>
      </w:pPr>
      <w:r>
        <w:rPr>
          <w:rFonts w:ascii="Times New Roman" w:hAnsi="Times New Roman" w:cs="Times New Roman"/>
        </w:rPr>
        <w:t>The Stark-Einstein law</w:t>
      </w:r>
      <w:r w:rsidR="003F584F">
        <w:rPr>
          <w:rFonts w:ascii="Times New Roman" w:hAnsi="Times New Roman" w:cs="Times New Roman"/>
        </w:rPr>
        <w:t xml:space="preserve"> </w:t>
      </w:r>
      <w:r w:rsidR="00BF7344">
        <w:rPr>
          <w:rFonts w:ascii="Times New Roman" w:hAnsi="Times New Roman" w:cs="Times New Roman"/>
        </w:rPr>
        <w:fldChar w:fldCharType="begin" w:fldLock="1"/>
      </w:r>
      <w:r w:rsidR="00BF7344">
        <w:rPr>
          <w:rFonts w:ascii="Times New Roman" w:hAnsi="Times New Roman" w:cs="Times New Roman"/>
        </w:rPr>
        <w:instrText>ADDIN CSL_CITATION {"citationItems":[{"id":"ITEM-1","itemData":{"ISBN":"0-471-94177-8","author":[{"dropping-particle":"","family":"Roffey","given":"C.G.","non-dropping-particle":"","parse-names":false,"suffix":""}],"edition":"1","id":"ITEM-1","issued":{"date-parts":[["1997"]]},"number-of-pages":"866","publisher":"John Wiley &amp; Sons, Ltd","publisher-place":"Chichester","title":"Photogeneration of Reactive Species for UV Curing","type":"book"},"uris":["http://www.mendeley.com/documents/?uuid=9e7204ab-acd0-4b88-833c-e3401a2c8673"]}],"mendeley":{"formattedCitation":"[34]","plainTextFormattedCitation":"[34]","previouslyFormattedCitation":"[34]"},"properties":{"noteIndex":0},"schema":"https://github.com/citation-style-language/schema/raw/master/csl-citation.json"}</w:instrText>
      </w:r>
      <w:r w:rsidR="00BF7344">
        <w:rPr>
          <w:rFonts w:ascii="Times New Roman" w:hAnsi="Times New Roman" w:cs="Times New Roman"/>
        </w:rPr>
        <w:fldChar w:fldCharType="separate"/>
      </w:r>
      <w:r w:rsidR="00BF7344" w:rsidRPr="00BF7344">
        <w:rPr>
          <w:rFonts w:ascii="Times New Roman" w:hAnsi="Times New Roman" w:cs="Times New Roman"/>
          <w:noProof/>
        </w:rPr>
        <w:t>[34]</w:t>
      </w:r>
      <w:r w:rsidR="00BF7344">
        <w:rPr>
          <w:rFonts w:ascii="Times New Roman" w:hAnsi="Times New Roman" w:cs="Times New Roman"/>
        </w:rPr>
        <w:fldChar w:fldCharType="end"/>
      </w:r>
      <w:r>
        <w:rPr>
          <w:rFonts w:ascii="Times New Roman" w:hAnsi="Times New Roman" w:cs="Times New Roman"/>
        </w:rPr>
        <w:t xml:space="preserve"> states that every absorbed quantum of light produces one photochemical reaction, or </w:t>
      </w:r>
      <m:oMath>
        <m:r>
          <w:rPr>
            <w:rFonts w:ascii="Cambria Math" w:hAnsi="Cambria Math" w:cs="Times New Roman"/>
          </w:rPr>
          <m:t>ϕ</m:t>
        </m:r>
      </m:oMath>
      <w:r>
        <w:rPr>
          <w:rFonts w:ascii="Times New Roman" w:hAnsi="Times New Roman" w:cs="Times New Roman"/>
        </w:rPr>
        <w:t xml:space="preserve"> = 1.  In practice, t</w:t>
      </w:r>
      <w:r w:rsidR="009F0D40">
        <w:rPr>
          <w:rFonts w:ascii="Times New Roman" w:hAnsi="Times New Roman" w:cs="Times New Roman"/>
        </w:rPr>
        <w:t xml:space="preserve">he quantum yield magnitude can vary during the reaction, with </w:t>
      </w:r>
      <m:oMath>
        <m:r>
          <w:rPr>
            <w:rFonts w:ascii="Cambria Math" w:hAnsi="Cambria Math" w:cs="Times New Roman"/>
          </w:rPr>
          <m:t>ϕ</m:t>
        </m:r>
      </m:oMath>
      <w:r w:rsidR="009F0D40">
        <w:rPr>
          <w:rFonts w:ascii="Times New Roman" w:hAnsi="Times New Roman" w:cs="Times New Roman"/>
        </w:rPr>
        <w:t xml:space="preserve"> &gt; 1 indicating a chain reaction while </w:t>
      </w:r>
      <m:oMath>
        <m:r>
          <w:rPr>
            <w:rFonts w:ascii="Cambria Math" w:hAnsi="Cambria Math" w:cs="Times New Roman"/>
          </w:rPr>
          <m:t>ϕ</m:t>
        </m:r>
      </m:oMath>
      <w:r w:rsidR="009F0D40">
        <w:rPr>
          <w:rFonts w:ascii="Times New Roman" w:hAnsi="Times New Roman" w:cs="Times New Roman"/>
        </w:rPr>
        <w:t xml:space="preserve"> &lt; 1 indicates </w:t>
      </w:r>
      <w:r>
        <w:rPr>
          <w:rFonts w:ascii="Times New Roman" w:hAnsi="Times New Roman" w:cs="Times New Roman"/>
        </w:rPr>
        <w:t xml:space="preserve">competing chemical reactions or effects such as cage recombination that reduce reaction efficiency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{"citationItems":[{"id":"ITEM-1","itemData":{"DOI":"10.1021/JACS.7B04499/SUPPL_FILE/JA7B04499_SI_001.PDF","ISSN":"15205126","PMID":"28931277","abstract":"This study reports a method for correlating the radical recombination efficiencies (FcP) of geminate radical cage pairs to the properties of the solvent. Although bulk viscosity (macroviscosity) is typically used to predict or interpret radical recombination efficiencies, the work reported here shows that microviscosity is a much better parameter. The use of microviscosity is valid over a range of different solvent system types, including nonpolar, aromatic, polar, and hydrogen bonding solvents. In addition, the relationship of FcP to microviscosity holds for solvent systems containing mixtures of these solvent types. The microviscosities of the solvent systems were straightforwardly determined by measuring the diffusion coefficient of an appropriate probe by NMR DOSY spectroscopy. By using solvent mixtures, selective solvation was shown to not affect the correlation between FcP and microviscosity. In addition, neither solvent polarity nor radical rotation affects the correlation between FcP and the microviscosity.","author":[{"dropping-particle":"","family":"Barry","given":"Justin T.","non-dropping-particle":"","parse-names":false,"suffix":""},{"dropping-particle":"","family":"Berg","given":"Daniel J.","non-dropping-particle":"","parse-names":false,"suffix":""},{"dropping-particle":"","family":"Tyler","given":"David R.","non-dropping-particle":"","parse-names":false,"suffix":""}],"container-title":"Journal of the American Chemical Society","id":"ITEM-1","issue":"41","issued":{"date-parts":[["2017","10","18"]]},"page":"14399-14405","publisher":"American Chemical Society","title":"Radical Cage Effects: The Prediction of Radical Cage Pair Recombination Efficiencies Using Microviscosity Across a Range of Solvent Types","type":"article-journal","volume":"139"},"uris":["http://www.mendeley.com/documents/?uuid=6dd50e63-8119-3098-9788-9a103f368693"]},{"id":"ITEM-2","itemData":{"ISBN":"0-471-94177-8","author":[{"dropping-particle":"","family":"Roffey","given":"C.G.","non-dropping-particle":"","parse-names":false,"suffix":""}],"edition":"1","id":"ITEM-2","issued":{"date-parts":[["1997"]]},"number-of-pages":"866","publisher":"John Wiley &amp; Sons, Ltd","publisher-place":"Chichester","title":"Photogeneration of Reactive Species for UV Curing","type":"book"},"uris":["http://www.mendeley.com/documents/?uuid=9e7204ab-acd0-4b88-833c-e3401a2c8673"]},{"id":"ITEM-3","itemData":{"DOI":"10.1002/pola","abstract":"We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Chem","id":"ITEM-3","issued":{"date-parts":[["2002"]]},"page":"793-808","title":"Modeling of Photobleaching for the Photoinitiation of Thick Polymerization Systems","type":"article-journal","volume":"40"},"uris":["http://www.mendeley.com/documents/?uuid=1be3ef49-2c86-3605-abc9-a29c2fff38fe"]},{"id":"ITEM-4","itemData":{"DOI":"10.1021/MA0003351","ISSN":"00249297","abstract":"An improved kinetic model is presented which accounts for radical trapping during the photopolymerization of multifunctional monomers such as diacrylates and dimethacrylates. Following earlier sugg...","author":[{"dropping-particle":"","family":"Wen","given":"Mei","non-dropping-particle":"","parse-names":false,"suffix":""},{"dropping-particle":"V.","family":"McCormick","given":"Alon","non-dropping-particle":"","parse-names":false,"suffix":""}],"container-title":"Macromolecules","id":"ITEM-4","issue":"25","issued":{"date-parts":[["2000","12","12"]]},"page":"9247-9254","publisher":" American Chemical Society ","title":"A Kinetic Model for Radical Trapping in Photopolymerization of Multifunctional Monomers","type":"article-journal","volume":"33"},"uris":["http://www.mendeley.com/documents/?uuid=1c45f241-4b8a-30ff-a590-9aae2f636072"]}],"mendeley":{"formattedCitation":"[34]–[37]","plainTextFormattedCitation":"[34]–[37]","previouslyFormattedCitation":"[34]–[37]"},"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[34]–[37]</w:t>
      </w:r>
      <w:r>
        <w:rPr>
          <w:rFonts w:ascii="Times New Roman" w:hAnsi="Times New Roman" w:cs="Times New Roman"/>
        </w:rPr>
        <w:fldChar w:fldCharType="end"/>
      </w:r>
      <w:r>
        <w:rPr>
          <w:rFonts w:ascii="Times New Roman" w:hAnsi="Times New Roman" w:cs="Times New Roman"/>
        </w:rPr>
        <w:t>.</w:t>
      </w:r>
    </w:p>
    <w:p w14:paraId="74556680" w14:textId="1EE70E4D" w:rsidR="009F0D40" w:rsidRDefault="00321C79" w:rsidP="006F1981">
      <w:pPr>
        <w:spacing w:line="360" w:lineRule="auto"/>
        <w:rPr>
          <w:rFonts w:ascii="Times New Roman" w:hAnsi="Times New Roman" w:cs="Times New Roman"/>
        </w:rPr>
      </w:pPr>
      <w:r>
        <w:rPr>
          <w:rFonts w:ascii="Times New Roman" w:hAnsi="Times New Roman" w:cs="Times New Roman"/>
        </w:rPr>
        <w:t xml:space="preserve"> </w:t>
      </w:r>
    </w:p>
    <w:p w14:paraId="44430DC3" w14:textId="1994192B" w:rsidR="006F1981" w:rsidRDefault="00321C79" w:rsidP="006F1981">
      <w:pPr>
        <w:spacing w:line="360" w:lineRule="auto"/>
        <w:rPr>
          <w:rFonts w:ascii="Times New Roman" w:hAnsi="Times New Roman" w:cs="Times New Roman"/>
        </w:rPr>
      </w:pPr>
      <w:r>
        <w:rPr>
          <w:rFonts w:ascii="Times New Roman" w:eastAsiaTheme="minorEastAsia" w:hAnsi="Times New Roman" w:cs="Times New Roman"/>
          <w:iCs/>
        </w:rPr>
        <w:t xml:space="preserve">As a PI or other absorbing material in a photopolymer formulation absorb light, the depth of light penetration is </w:t>
      </w:r>
      <w:r w:rsidR="006C5BBE">
        <w:rPr>
          <w:rFonts w:ascii="Times New Roman" w:eastAsiaTheme="minorEastAsia" w:hAnsi="Times New Roman" w:cs="Times New Roman"/>
          <w:iCs/>
        </w:rPr>
        <w:t>related to</w:t>
      </w:r>
      <w:r w:rsidR="006F1981" w:rsidRPr="00235AF5">
        <w:rPr>
          <w:rFonts w:ascii="Times New Roman" w:eastAsiaTheme="minorEastAsia" w:hAnsi="Times New Roman" w:cs="Times New Roman"/>
          <w:iCs/>
        </w:rPr>
        <w:t xml:space="preserve"> the </w:t>
      </w:r>
      <w:r w:rsidR="006F1981" w:rsidRPr="00235AF5">
        <w:rPr>
          <w:rFonts w:ascii="Times New Roman" w:hAnsi="Times New Roman" w:cs="Times New Roman"/>
        </w:rPr>
        <w:t>Beer-Lambert Law</w:t>
      </w:r>
      <w:r w:rsidR="003F584F">
        <w:rPr>
          <w:rFonts w:ascii="Times New Roman" w:hAnsi="Times New Roman" w:cs="Times New Roman"/>
        </w:rPr>
        <w:t xml:space="preserve"> </w:t>
      </w:r>
      <w:r w:rsidR="00BF7344">
        <w:rPr>
          <w:rFonts w:ascii="Times New Roman" w:hAnsi="Times New Roman" w:cs="Times New Roman"/>
        </w:rPr>
        <w:fldChar w:fldCharType="begin" w:fldLock="1"/>
      </w:r>
      <w:r w:rsidR="006F3AB3">
        <w:rPr>
          <w:rFonts w:ascii="Times New Roman" w:hAnsi="Times New Roman" w:cs="Times New Roman"/>
        </w:rPr>
        <w:instrText>ADDIN CSL_CITATION {"citationItems":[{"id":"ITEM-1","itemData":{"ISBN":"0-471-94177-8","author":[{"dropping-particle":"","family":"Roffey","given":"C.G.","non-dropping-particle":"","parse-names":false,"suffix":""}],"edition":"1","id":"ITEM-1","issued":{"date-parts":[["1997"]]},"number-of-pages":"866","publisher":"John Wiley &amp; Sons, Ltd","publisher-place":"Chichester","title":"Photogeneration of Reactive Species for UV Curing","type":"book"},"uris":["http://www.mendeley.com/documents/?uuid=9e7204ab-acd0-4b88-833c-e3401a2c8673"]},{"id":"ITEM-2","itemData":{"DOI":"10.1016/j.compositesb.2020.107963","ISSN":"13598368","abstract":"In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Engineering","id":"ITEM-2","issued":{"date-parts":[["2020","6","15"]]},"publisher":"Elsevier Ltd","title":"An analytical model of through-thickness photopolymerisation of composites: Ultraviolet light transmission and curing kinetics","type":"article-journal","volume":"191"},"uris":["http://www.mendeley.com/documents/?uuid=5126f3a3-780b-3d9a-822f-3cadb9967a9a"]}],"mendeley":{"formattedCitation":"[34], [38]","plainTextFormattedCitation":"[34], [38]","previouslyFormattedCitation":"[34], [38]"},"properties":{"noteIndex":0},"schema":"https://github.com/citation-style-language/schema/raw/master/csl-citation.json"}</w:instrText>
      </w:r>
      <w:r w:rsidR="00BF7344">
        <w:rPr>
          <w:rFonts w:ascii="Times New Roman" w:hAnsi="Times New Roman" w:cs="Times New Roman"/>
        </w:rPr>
        <w:fldChar w:fldCharType="separate"/>
      </w:r>
      <w:r w:rsidR="00BF7344" w:rsidRPr="00BF7344">
        <w:rPr>
          <w:rFonts w:ascii="Times New Roman" w:hAnsi="Times New Roman" w:cs="Times New Roman"/>
          <w:noProof/>
        </w:rPr>
        <w:t>[34], [38]</w:t>
      </w:r>
      <w:r w:rsidR="00BF7344">
        <w:rPr>
          <w:rFonts w:ascii="Times New Roman" w:hAnsi="Times New Roman" w:cs="Times New Roman"/>
        </w:rPr>
        <w:fldChar w:fldCharType="end"/>
      </w:r>
      <w:r w:rsidR="006F1981" w:rsidRPr="00235AF5">
        <w:rPr>
          <w:rFonts w:ascii="Times New Roman" w:hAnsi="Times New Roman" w:cs="Times New Roman"/>
        </w:rPr>
        <w:t xml:space="preserve"> (Equation </w:t>
      </w:r>
      <w:r>
        <w:rPr>
          <w:rFonts w:ascii="Times New Roman" w:hAnsi="Times New Roman" w:cs="Times New Roman"/>
        </w:rPr>
        <w:t>3</w:t>
      </w:r>
      <w:r w:rsidR="006F1981" w:rsidRPr="00235AF5">
        <w:rPr>
          <w:rFonts w:ascii="Times New Roman" w:hAnsi="Times New Roman" w:cs="Times New Roman"/>
        </w:rPr>
        <w:t>):</w:t>
      </w:r>
    </w:p>
    <w:p w14:paraId="3D089441" w14:textId="77777777" w:rsidR="00CF773B" w:rsidRPr="00235AF5" w:rsidRDefault="00CF773B" w:rsidP="006F1981">
      <w:pPr>
        <w:spacing w:line="360" w:lineRule="auto"/>
        <w:rPr>
          <w:rFonts w:ascii="Times New Roman" w:hAnsi="Times New Roman" w:cs="Times New Roman"/>
        </w:rPr>
      </w:pPr>
    </w:p>
    <w:p w14:paraId="5B73CCA7" w14:textId="7F87AEF7" w:rsidR="006F1981" w:rsidRPr="00872230" w:rsidRDefault="006F1981" w:rsidP="006F1981">
      <w:pPr>
        <w:spacing w:line="360" w:lineRule="auto"/>
        <w:jc w:val="center"/>
        <w:rPr>
          <w:rFonts w:ascii="Times New Roman" w:eastAsiaTheme="minorEastAsia" w:hAnsi="Times New Roman" w:cs="Times New Roman"/>
        </w:rPr>
      </w:pPr>
      <m:oMathPara>
        <m:oMath>
          <m:r>
            <w:rPr>
              <w:rFonts w:ascii="Cambria Math" w:hAnsi="Cambria Math" w:cs="Times New Roman"/>
            </w:rPr>
            <m:t>A=εbC (3)</m:t>
          </m:r>
        </m:oMath>
      </m:oMathPara>
    </w:p>
    <w:p w14:paraId="047F0235" w14:textId="77777777" w:rsidR="006F1981" w:rsidRPr="00235AF5" w:rsidRDefault="006F1981" w:rsidP="006F1981">
      <w:pPr>
        <w:spacing w:line="360" w:lineRule="auto"/>
        <w:jc w:val="center"/>
        <w:rPr>
          <w:rFonts w:ascii="Times New Roman" w:eastAsiaTheme="minorEastAsia" w:hAnsi="Times New Roman" w:cs="Times New Roman"/>
        </w:rPr>
      </w:pPr>
    </w:p>
    <w:p w14:paraId="17844F13" w14:textId="6D98718A" w:rsidR="006F1981" w:rsidRPr="00115FB0" w:rsidRDefault="006F1981" w:rsidP="00321C79">
      <w:pPr>
        <w:spacing w:line="360" w:lineRule="auto"/>
      </w:pPr>
      <w:r w:rsidRPr="00235AF5">
        <w:rPr>
          <w:rFonts w:ascii="Times New Roman" w:eastAsiaTheme="minorEastAsia" w:hAnsi="Times New Roman" w:cs="Times New Roman"/>
        </w:rPr>
        <w:t xml:space="preserve">where absorbance </w:t>
      </w:r>
      <m:oMath>
        <m:r>
          <w:rPr>
            <w:rFonts w:ascii="Cambria Math" w:hAnsi="Cambria Math" w:cs="Times New Roman"/>
          </w:rPr>
          <m:t>A</m:t>
        </m:r>
      </m:oMath>
      <w:r w:rsidRPr="00235AF5">
        <w:rPr>
          <w:rFonts w:ascii="Times New Roman" w:eastAsiaTheme="minorEastAsia" w:hAnsi="Times New Roman" w:cs="Times New Roman"/>
        </w:rPr>
        <w:t xml:space="preserve"> is the product of molar absorptivity </w:t>
      </w:r>
      <m:oMath>
        <m:r>
          <w:rPr>
            <w:rFonts w:ascii="Cambria Math" w:hAnsi="Cambria Math" w:cs="Times New Roman"/>
          </w:rPr>
          <m:t>ε</m:t>
        </m:r>
      </m:oMath>
      <w:r w:rsidRPr="00235AF5">
        <w:rPr>
          <w:rFonts w:ascii="Times New Roman" w:eastAsiaTheme="minorEastAsia" w:hAnsi="Times New Roman" w:cs="Times New Roman"/>
        </w:rPr>
        <w:t xml:space="preserve">, the length of the light path </w:t>
      </w:r>
      <m:oMath>
        <m:r>
          <w:rPr>
            <w:rFonts w:ascii="Cambria Math" w:hAnsi="Cambria Math" w:cs="Times New Roman"/>
          </w:rPr>
          <m:t>b</m:t>
        </m:r>
      </m:oMath>
      <w:r w:rsidRPr="00235AF5">
        <w:rPr>
          <w:rFonts w:ascii="Times New Roman" w:eastAsiaTheme="minorEastAsia" w:hAnsi="Times New Roman" w:cs="Times New Roman"/>
        </w:rPr>
        <w:t xml:space="preserve"> and the concentration </w:t>
      </w:r>
      <m:oMath>
        <m:r>
          <w:rPr>
            <w:rFonts w:ascii="Cambria Math" w:hAnsi="Cambria Math" w:cs="Times New Roman"/>
          </w:rPr>
          <m:t>C</m:t>
        </m:r>
      </m:oMath>
      <w:r w:rsidRPr="00235AF5">
        <w:rPr>
          <w:rFonts w:ascii="Times New Roman" w:eastAsiaTheme="minorEastAsia" w:hAnsi="Times New Roman" w:cs="Times New Roman"/>
        </w:rPr>
        <w:t xml:space="preserve"> of the absorbing material</w:t>
      </w:r>
      <w:r w:rsidR="006C5BBE">
        <w:rPr>
          <w:rFonts w:ascii="Times New Roman" w:eastAsiaTheme="minorEastAsia" w:hAnsi="Times New Roman" w:cs="Times New Roman"/>
        </w:rPr>
        <w:t xml:space="preserve"> at a specific wavelength of light</w:t>
      </w:r>
      <w:r>
        <w:rPr>
          <w:rFonts w:ascii="Times New Roman" w:eastAsiaTheme="minorEastAsia" w:hAnsi="Times New Roman" w:cs="Times New Roman"/>
        </w:rPr>
        <w:t xml:space="preserve">. </w:t>
      </w:r>
      <w:r w:rsidR="006C5BBE">
        <w:rPr>
          <w:rFonts w:ascii="Times New Roman" w:eastAsiaTheme="minorEastAsia" w:hAnsi="Times New Roman" w:cs="Times New Roman"/>
        </w:rPr>
        <w:t xml:space="preserve">As </w:t>
      </w:r>
      <m:oMath>
        <m:r>
          <w:rPr>
            <w:rFonts w:ascii="Cambria Math" w:hAnsi="Cambria Math" w:cs="Times New Roman"/>
          </w:rPr>
          <m:t>ε</m:t>
        </m:r>
      </m:oMath>
      <w:r w:rsidR="006C5BBE">
        <w:rPr>
          <w:rFonts w:ascii="Times New Roman" w:eastAsiaTheme="minorEastAsia" w:hAnsi="Times New Roman" w:cs="Times New Roman"/>
        </w:rPr>
        <w:t xml:space="preserve"> increases,</w:t>
      </w:r>
      <w:r>
        <w:rPr>
          <w:rFonts w:ascii="Times New Roman" w:eastAsiaTheme="minorEastAsia" w:hAnsi="Times New Roman" w:cs="Times New Roman"/>
        </w:rPr>
        <w:t xml:space="preserve"> </w:t>
      </w:r>
      <w:r w:rsidRPr="00235AF5">
        <w:rPr>
          <w:rFonts w:ascii="Times New Roman" w:eastAsiaTheme="minorEastAsia" w:hAnsi="Times New Roman" w:cs="Times New Roman"/>
        </w:rPr>
        <w:t xml:space="preserve">light penetration </w:t>
      </w:r>
      <w:r>
        <w:rPr>
          <w:rFonts w:ascii="Times New Roman" w:eastAsiaTheme="minorEastAsia" w:hAnsi="Times New Roman" w:cs="Times New Roman"/>
        </w:rPr>
        <w:t>is restricted,</w:t>
      </w:r>
      <w:r w:rsidRPr="00235AF5">
        <w:rPr>
          <w:rFonts w:ascii="Times New Roman" w:eastAsiaTheme="minorEastAsia" w:hAnsi="Times New Roman" w:cs="Times New Roman"/>
        </w:rPr>
        <w:t xml:space="preserve"> and </w:t>
      </w:r>
      <w:r>
        <w:rPr>
          <w:rFonts w:ascii="Times New Roman" w:eastAsiaTheme="minorEastAsia" w:hAnsi="Times New Roman" w:cs="Times New Roman"/>
        </w:rPr>
        <w:t xml:space="preserve">the </w:t>
      </w:r>
      <w:r w:rsidRPr="00235AF5">
        <w:rPr>
          <w:rFonts w:ascii="Times New Roman" w:eastAsiaTheme="minorEastAsia" w:hAnsi="Times New Roman" w:cs="Times New Roman"/>
        </w:rPr>
        <w:t>depth of cure</w:t>
      </w:r>
      <w:r>
        <w:rPr>
          <w:rFonts w:ascii="Times New Roman" w:eastAsiaTheme="minorEastAsia" w:hAnsi="Times New Roman" w:cs="Times New Roman"/>
        </w:rPr>
        <w:t xml:space="preserve"> can be inhibited</w:t>
      </w:r>
      <w:r w:rsidRPr="00235AF5">
        <w:rPr>
          <w:rFonts w:ascii="Times New Roman" w:eastAsiaTheme="minorEastAsia" w:hAnsi="Times New Roman" w:cs="Times New Roman"/>
        </w:rPr>
        <w:t xml:space="preserve"> </w:t>
      </w:r>
      <w:r w:rsidRPr="00235AF5">
        <w:rPr>
          <w:rFonts w:ascii="Times New Roman" w:eastAsiaTheme="minorEastAsia" w:hAnsi="Times New Roman" w:cs="Times New Roman"/>
        </w:rPr>
        <w:fldChar w:fldCharType="begin" w:fldLock="1"/>
      </w:r>
      <w:r w:rsidR="006F3AB3">
        <w:rPr>
          <w:rFonts w:ascii="Times New Roman" w:eastAsiaTheme="minorEastAsia" w:hAnsi="Times New Roman" w:cs="Times New Roman"/>
        </w:rPr>
        <w:instrText>ADDIN CSL_CITATION {"citationItems":[{"id":"ITEM-1","itemData":{"DOI":"10.1002/pc.20483","ISSN":"02728397","abstract":"The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Composites","id":"ITEM-1","issue":"7","issued":{"date-parts":[["2008","7","1"]]},"page":"818-829","publisher":"John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mendeley":{"formattedCitation":"[39]","plainTextFormattedCitation":"[39]","previouslyFormattedCitation":"[39]"},"properties":{"noteIndex":0},"schema":"https://github.com/citation-style-language/schema/raw/master/csl-citation.json"}</w:instrText>
      </w:r>
      <w:r w:rsidRPr="00235AF5">
        <w:rPr>
          <w:rFonts w:ascii="Times New Roman" w:eastAsiaTheme="minorEastAsia" w:hAnsi="Times New Roman" w:cs="Times New Roman"/>
        </w:rPr>
        <w:fldChar w:fldCharType="separate"/>
      </w:r>
      <w:r w:rsidR="00BF7344" w:rsidRPr="00BF7344">
        <w:rPr>
          <w:rFonts w:ascii="Times New Roman" w:eastAsiaTheme="minorEastAsia" w:hAnsi="Times New Roman" w:cs="Times New Roman"/>
          <w:noProof/>
        </w:rPr>
        <w:t>[39]</w:t>
      </w:r>
      <w:r w:rsidRPr="00235AF5">
        <w:rPr>
          <w:rFonts w:ascii="Times New Roman" w:eastAsiaTheme="minorEastAsia" w:hAnsi="Times New Roman" w:cs="Times New Roman"/>
        </w:rPr>
        <w:fldChar w:fldCharType="end"/>
      </w:r>
      <w:r w:rsidRPr="00235AF5">
        <w:rPr>
          <w:rFonts w:ascii="Times New Roman" w:eastAsiaTheme="minorEastAsia" w:hAnsi="Times New Roman" w:cs="Times New Roman"/>
        </w:rPr>
        <w:t>.</w:t>
      </w:r>
      <w:r>
        <w:rPr>
          <w:rFonts w:ascii="Times New Roman" w:eastAsiaTheme="minorEastAsia" w:hAnsi="Times New Roman" w:cs="Times New Roman"/>
        </w:rPr>
        <w:t xml:space="preserve">  As shown in </w:t>
      </w:r>
      <w:r w:rsidR="008659A8" w:rsidRPr="008659A8">
        <w:rPr>
          <w:rFonts w:ascii="Times New Roman" w:eastAsiaTheme="minorEastAsia" w:hAnsi="Times New Roman" w:cs="Times New Roman"/>
        </w:rPr>
        <w:fldChar w:fldCharType="begin"/>
      </w:r>
      <w:r w:rsidR="008659A8" w:rsidRPr="008659A8">
        <w:rPr>
          <w:rFonts w:ascii="Times New Roman" w:eastAsiaTheme="minorEastAsia" w:hAnsi="Times New Roman" w:cs="Times New Roman"/>
        </w:rPr>
        <w:instrText xml:space="preserve"> REF _Ref100921013 \h </w:instrText>
      </w:r>
      <w:r w:rsidR="008659A8">
        <w:rPr>
          <w:rFonts w:ascii="Times New Roman" w:eastAsiaTheme="minorEastAsia" w:hAnsi="Times New Roman" w:cs="Times New Roman"/>
        </w:rPr>
        <w:instrText xml:space="preserve"> \* MERGEFORMAT </w:instrText>
      </w:r>
      <w:r w:rsidR="008659A8" w:rsidRPr="008659A8">
        <w:rPr>
          <w:rFonts w:ascii="Times New Roman" w:eastAsiaTheme="minorEastAsia" w:hAnsi="Times New Roman" w:cs="Times New Roman"/>
        </w:rPr>
      </w:r>
      <w:r w:rsidR="008659A8" w:rsidRPr="008659A8">
        <w:rPr>
          <w:rFonts w:ascii="Times New Roman" w:eastAsiaTheme="minorEastAsia" w:hAnsi="Times New Roman" w:cs="Times New Roman"/>
        </w:rPr>
        <w:fldChar w:fldCharType="separate"/>
      </w:r>
      <w:r w:rsidR="008659A8" w:rsidRPr="008659A8">
        <w:rPr>
          <w:rFonts w:ascii="Times New Roman" w:hAnsi="Times New Roman" w:cs="Times New Roman"/>
        </w:rPr>
        <w:t xml:space="preserve">Figure </w:t>
      </w:r>
      <w:r w:rsidR="008659A8" w:rsidRPr="008659A8">
        <w:rPr>
          <w:rFonts w:ascii="Times New Roman" w:hAnsi="Times New Roman" w:cs="Times New Roman"/>
          <w:noProof/>
        </w:rPr>
        <w:t>9</w:t>
      </w:r>
      <w:r w:rsidR="008659A8" w:rsidRPr="008659A8">
        <w:rPr>
          <w:rFonts w:ascii="Times New Roman" w:eastAsiaTheme="minorEastAsia" w:hAnsi="Times New Roman" w:cs="Times New Roman"/>
        </w:rPr>
        <w:fldChar w:fldCharType="end"/>
      </w:r>
      <w:r>
        <w:rPr>
          <w:rFonts w:ascii="Times New Roman" w:eastAsiaTheme="minorEastAsia" w:hAnsi="Times New Roman" w:cs="Times New Roman"/>
        </w:rPr>
        <w:t xml:space="preserve">, each PI will have a unique light absorbance spectrum.  </w:t>
      </w:r>
      <w:r w:rsidR="006C5BBE">
        <w:rPr>
          <w:rFonts w:ascii="Times New Roman" w:eastAsiaTheme="minorEastAsia" w:hAnsi="Times New Roman" w:cs="Times New Roman"/>
        </w:rPr>
        <w:t>R</w:t>
      </w:r>
      <w:r>
        <w:rPr>
          <w:rFonts w:ascii="Times New Roman" w:eastAsiaTheme="minorEastAsia" w:hAnsi="Times New Roman" w:cs="Times New Roman"/>
        </w:rPr>
        <w:t>eaction efficiency can be improved by matching lamp output peaks with PI absorbance peaks,</w:t>
      </w:r>
      <w:r w:rsidR="006C5BBE">
        <w:rPr>
          <w:rFonts w:ascii="Times New Roman" w:eastAsiaTheme="minorEastAsia" w:hAnsi="Times New Roman" w:cs="Times New Roman"/>
        </w:rPr>
        <w:t xml:space="preserve"> but </w:t>
      </w:r>
      <w:r>
        <w:rPr>
          <w:rFonts w:ascii="Times New Roman" w:eastAsiaTheme="minorEastAsia" w:hAnsi="Times New Roman" w:cs="Times New Roman"/>
        </w:rPr>
        <w:t xml:space="preserve">a </w:t>
      </w:r>
      <w:r w:rsidR="00321C79">
        <w:rPr>
          <w:rFonts w:ascii="Times New Roman" w:eastAsiaTheme="minorEastAsia" w:hAnsi="Times New Roman" w:cs="Times New Roman"/>
        </w:rPr>
        <w:t xml:space="preserve">PI can still react as long as it has some absorbance within the output spectrum of the light source </w:t>
      </w:r>
      <w:r w:rsidR="00321C79">
        <w:rPr>
          <w:rFonts w:ascii="Times New Roman" w:eastAsiaTheme="minorEastAsia" w:hAnsi="Times New Roman" w:cs="Times New Roman"/>
        </w:rPr>
        <w:fldChar w:fldCharType="begin" w:fldLock="1"/>
      </w:r>
      <w:r w:rsidR="006F3AB3">
        <w:rPr>
          <w:rFonts w:ascii="Times New Roman" w:eastAsiaTheme="minorEastAsia"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Composites","id":"ITEM-2","issue":"2","issued":{"date-parts":[["2006","4","1"]]},"page":"119-128","publisher":"Wiley Subscription Services, Inc., A Wiley Company","title":"Curing of composite components by ultraviolet radiation: A review","type":"article-journal","volume":"27"},"uris":["http://www.mendeley.com/documents/?uuid=a2abd0e2-3c93-32d8-97d9-bdd80fb4c950"]},{"id":"ITEM-3","itemData":{"DOI":"10.1002/marc.200290014","ISSN":"10221336","abstract":"Highly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Communications","id":"ITEM-3","issue":"18","issued":{"date-parts":[["2002","12","20"]]},"page":"1067-1093","publisher":"John Wiley &amp; Sons, Ltd","title":"Kinetic study and new applications of UV radiation curing","type":"article-journal","volume":"23"},"uris":["http://www.mendeley.com/documents/?uuid=c60ec8b8-eb0a-3a6c-bb8f-715b6e36c30e"]}],"mendeley":{"formattedCitation":"[22], [23], [40]","plainTextFormattedCitation":"[22], [23], [40]","previouslyFormattedCitation":"[22], [23], [40]"},"properties":{"noteIndex":0},"schema":"https://github.com/citation-style-language/schema/raw/master/csl-citation.json"}</w:instrText>
      </w:r>
      <w:r w:rsidR="00321C79">
        <w:rPr>
          <w:rFonts w:ascii="Times New Roman" w:eastAsiaTheme="minorEastAsia" w:hAnsi="Times New Roman" w:cs="Times New Roman"/>
        </w:rPr>
        <w:fldChar w:fldCharType="separate"/>
      </w:r>
      <w:r w:rsidR="00BF7344" w:rsidRPr="00BF7344">
        <w:rPr>
          <w:rFonts w:ascii="Times New Roman" w:eastAsiaTheme="minorEastAsia" w:hAnsi="Times New Roman" w:cs="Times New Roman"/>
          <w:noProof/>
        </w:rPr>
        <w:t>[22], [23], [40]</w:t>
      </w:r>
      <w:r w:rsidR="00321C79">
        <w:rPr>
          <w:rFonts w:ascii="Times New Roman" w:eastAsiaTheme="minorEastAsia" w:hAnsi="Times New Roman" w:cs="Times New Roman"/>
        </w:rPr>
        <w:fldChar w:fldCharType="end"/>
      </w:r>
      <w:r w:rsidR="00321C79">
        <w:rPr>
          <w:rFonts w:ascii="Times New Roman" w:eastAsiaTheme="minorEastAsia" w:hAnsi="Times New Roman" w:cs="Times New Roman"/>
        </w:rPr>
        <w:t>.</w:t>
      </w:r>
    </w:p>
    <w:p w14:paraId="5E521A42" w14:textId="77777777" w:rsidR="00F90798" w:rsidRPr="00115FB0" w:rsidRDefault="00F90798" w:rsidP="009D06D1">
      <w:pPr>
        <w:pStyle w:val="Heading3"/>
      </w:pPr>
      <w:bookmarkStart w:id="23" w:name="_Toc101701723"/>
      <w:r w:rsidRPr="00115FB0">
        <w:t>Measuring Cure in Photopolymers</w:t>
      </w:r>
      <w:bookmarkEnd w:id="23"/>
    </w:p>
    <w:p w14:paraId="283397C5" w14:textId="497B8B33" w:rsidR="00F90798" w:rsidRPr="00115FB0" w:rsidRDefault="00115FB0" w:rsidP="00115FB0">
      <w:pPr>
        <w:widowControl w:val="0"/>
        <w:spacing w:line="360" w:lineRule="auto"/>
        <w:rPr>
          <w:rFonts w:ascii="Times New Roman" w:hAnsi="Times New Roman" w:cs="Times New Roman"/>
        </w:rPr>
      </w:pPr>
      <w:r w:rsidRPr="004C183E">
        <w:rPr>
          <w:rFonts w:ascii="Times New Roman" w:hAnsi="Times New Roman" w:cs="Times New Roman"/>
        </w:rPr>
        <w:t xml:space="preserve">Photopolymer cure is often described in terms of the degree of conversion (DC) of </w:t>
      </w:r>
      <w:r>
        <w:rPr>
          <w:rFonts w:ascii="Times New Roman" w:hAnsi="Times New Roman" w:cs="Times New Roman"/>
        </w:rPr>
        <w:t xml:space="preserve">C=C bonds in the monomer/oligomer.  </w:t>
      </w:r>
      <w:r w:rsidRPr="00115FB0">
        <w:rPr>
          <w:rFonts w:ascii="Times New Roman" w:hAnsi="Times New Roman" w:cs="Times New Roman"/>
        </w:rPr>
        <w:t>For a given photopolymer, higher DC</w:t>
      </w:r>
      <w:r>
        <w:rPr>
          <w:rFonts w:ascii="Times New Roman" w:hAnsi="Times New Roman" w:cs="Times New Roman"/>
        </w:rPr>
        <w:t xml:space="preserve"> generally </w:t>
      </w:r>
    </w:p>
    <w:p w14:paraId="49DA38A2" w14:textId="77777777" w:rsidR="006F1981" w:rsidRPr="001A5DC9" w:rsidRDefault="006F1981" w:rsidP="0047094F">
      <w:pPr>
        <w:keepNext/>
        <w:spacing w:line="360" w:lineRule="auto"/>
        <w:jc w:val="center"/>
        <w:rPr>
          <w:rFonts w:ascii="Times New Roman" w:hAnsi="Times New Roman" w:cs="Times New Roman"/>
        </w:rPr>
      </w:pPr>
      <w:r w:rsidRPr="001A5DC9">
        <w:rPr>
          <w:rFonts w:ascii="Times New Roman" w:hAnsi="Times New Roman" w:cs="Times New Roman"/>
          <w:noProof/>
        </w:rPr>
        <w:lastRenderedPageBreak/>
        <w:drawing>
          <wp:inline distT="0" distB="0" distL="0" distR="0" wp14:anchorId="1079B0E6" wp14:editId="26E47E1C">
            <wp:extent cx="4244453" cy="1792991"/>
            <wp:effectExtent l="0" t="0" r="3810" b="0"/>
            <wp:docPr id="44"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A picture containing icon&#10;&#10;Description automatically generated"/>
                    <pic:cNvPicPr>
                      <a:picLocks noChangeAspect="1"/>
                    </pic:cNvPicPr>
                  </pic:nvPicPr>
                  <pic:blipFill>
                    <a:blip r:embed="rId17"/>
                    <a:stretch>
                      <a:fillRect/>
                    </a:stretch>
                  </pic:blipFill>
                  <pic:spPr>
                    <a:xfrm>
                      <a:off x="0" y="0"/>
                      <a:ext cx="4335803" cy="1831580"/>
                    </a:xfrm>
                    <a:prstGeom prst="rect">
                      <a:avLst/>
                    </a:prstGeom>
                  </pic:spPr>
                </pic:pic>
              </a:graphicData>
            </a:graphic>
          </wp:inline>
        </w:drawing>
      </w:r>
    </w:p>
    <w:p w14:paraId="5D0D31CE" w14:textId="08D711F3" w:rsidR="0047094F" w:rsidRDefault="006F1981" w:rsidP="00F20503">
      <w:pPr>
        <w:pStyle w:val="Caption"/>
        <w:rPr>
          <w:noProof/>
        </w:rPr>
      </w:pPr>
      <w:bookmarkStart w:id="24" w:name="_Ref100920889"/>
      <w:bookmarkStart w:id="25" w:name="_Toc101365669"/>
      <w:r w:rsidRPr="001A5DC9">
        <w:t xml:space="preserve">Figure </w:t>
      </w:r>
      <w:r w:rsidR="002F73EC">
        <w:fldChar w:fldCharType="begin"/>
      </w:r>
      <w:r w:rsidR="002F73EC">
        <w:instrText xml:space="preserve"> SEQ F</w:instrText>
      </w:r>
      <w:r w:rsidR="002F73EC">
        <w:instrText xml:space="preserve">igure \* ARABIC </w:instrText>
      </w:r>
      <w:r w:rsidR="002F73EC">
        <w:fldChar w:fldCharType="separate"/>
      </w:r>
      <w:r w:rsidR="00BF5717">
        <w:rPr>
          <w:noProof/>
        </w:rPr>
        <w:t>7</w:t>
      </w:r>
      <w:r w:rsidR="002F73EC">
        <w:rPr>
          <w:noProof/>
        </w:rPr>
        <w:fldChar w:fldCharType="end"/>
      </w:r>
      <w:bookmarkEnd w:id="24"/>
      <w:r w:rsidRPr="001A5DC9">
        <w:rPr>
          <w:noProof/>
        </w:rPr>
        <w:t xml:space="preserve"> Unlike thermoset curing reactions, a photopolymer reaction progresses from the UV incident surface down into the bulk</w:t>
      </w:r>
      <w:r>
        <w:rPr>
          <w:noProof/>
        </w:rPr>
        <w:t>.</w:t>
      </w:r>
      <w:bookmarkEnd w:id="25"/>
      <w:r w:rsidRPr="001A5DC9">
        <w:rPr>
          <w:noProof/>
        </w:rPr>
        <w:t xml:space="preserve"> </w:t>
      </w:r>
    </w:p>
    <w:p w14:paraId="3C6562AD" w14:textId="77777777" w:rsidR="0047094F" w:rsidRDefault="0047094F" w:rsidP="0047094F"/>
    <w:p w14:paraId="5248B65F" w14:textId="77777777" w:rsidR="0047094F" w:rsidRPr="0047094F" w:rsidRDefault="0047094F" w:rsidP="0047094F"/>
    <w:p w14:paraId="5C98B2DF" w14:textId="77777777" w:rsidR="006F1981" w:rsidRDefault="006F1981" w:rsidP="0047094F">
      <w:pPr>
        <w:keepNext/>
        <w:spacing w:line="360" w:lineRule="auto"/>
        <w:jc w:val="center"/>
      </w:pPr>
      <w:r>
        <w:rPr>
          <w:rFonts w:ascii="Times New Roman" w:hAnsi="Times New Roman" w:cs="Times New Roman"/>
          <w:noProof/>
        </w:rPr>
        <w:drawing>
          <wp:inline distT="0" distB="0" distL="0" distR="0" wp14:anchorId="151E9046" wp14:editId="02EF1ABB">
            <wp:extent cx="5534025" cy="1294820"/>
            <wp:effectExtent l="0" t="0" r="0" b="635"/>
            <wp:docPr id="45" name="Picture 4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rotWithShape="1">
                    <a:blip r:embed="rId18">
                      <a:extLst>
                        <a:ext uri="{28A0092B-C50C-407E-A947-70E740481C1C}">
                          <a14:useLocalDpi xmlns:a14="http://schemas.microsoft.com/office/drawing/2010/main" val="0"/>
                        </a:ext>
                      </a:extLst>
                    </a:blip>
                    <a:srcRect t="11681" b="46724"/>
                    <a:stretch/>
                  </pic:blipFill>
                  <pic:spPr bwMode="auto">
                    <a:xfrm>
                      <a:off x="0" y="0"/>
                      <a:ext cx="5552814" cy="1299216"/>
                    </a:xfrm>
                    <a:prstGeom prst="rect">
                      <a:avLst/>
                    </a:prstGeom>
                    <a:ln>
                      <a:noFill/>
                    </a:ln>
                    <a:extLst>
                      <a:ext uri="{53640926-AAD7-44D8-BBD7-CCE9431645EC}">
                        <a14:shadowObscured xmlns:a14="http://schemas.microsoft.com/office/drawing/2010/main"/>
                      </a:ext>
                    </a:extLst>
                  </pic:spPr>
                </pic:pic>
              </a:graphicData>
            </a:graphic>
          </wp:inline>
        </w:drawing>
      </w:r>
    </w:p>
    <w:p w14:paraId="69130E3E" w14:textId="06AC7F08" w:rsidR="006F1981" w:rsidRDefault="006F1981" w:rsidP="00F20503">
      <w:pPr>
        <w:pStyle w:val="Caption"/>
      </w:pPr>
      <w:bookmarkStart w:id="26" w:name="_Ref100920931"/>
      <w:bookmarkStart w:id="27" w:name="_Toc101365670"/>
      <w:r>
        <w:t xml:space="preserve">Figure </w:t>
      </w:r>
      <w:r w:rsidR="002F73EC">
        <w:fldChar w:fldCharType="begin"/>
      </w:r>
      <w:r w:rsidR="002F73EC">
        <w:instrText xml:space="preserve"> SEQ Figure \* ARABIC </w:instrText>
      </w:r>
      <w:r w:rsidR="002F73EC">
        <w:fldChar w:fldCharType="separate"/>
      </w:r>
      <w:r w:rsidR="00BF5717">
        <w:rPr>
          <w:noProof/>
        </w:rPr>
        <w:t>8</w:t>
      </w:r>
      <w:r w:rsidR="002F73EC">
        <w:rPr>
          <w:noProof/>
        </w:rPr>
        <w:fldChar w:fldCharType="end"/>
      </w:r>
      <w:bookmarkEnd w:id="26"/>
      <w:r>
        <w:t xml:space="preserve"> Scission reaction of BAPO, a common phosphine oxide photoinitiator, which cleaves into two free radicals after absorbing light </w:t>
      </w:r>
      <w:r>
        <w:fldChar w:fldCharType="begin" w:fldLock="1"/>
      </w:r>
      <w:r w:rsidR="00BF7344">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fldChar w:fldCharType="separate"/>
      </w:r>
      <w:r w:rsidR="00BF7344" w:rsidRPr="00BF7344">
        <w:rPr>
          <w:noProof/>
        </w:rPr>
        <w:t>[23]</w:t>
      </w:r>
      <w:r>
        <w:fldChar w:fldCharType="end"/>
      </w:r>
      <w:r>
        <w:t>.</w:t>
      </w:r>
      <w:bookmarkEnd w:id="27"/>
    </w:p>
    <w:p w14:paraId="009F8B78" w14:textId="34DEEB3F" w:rsidR="0047094F" w:rsidRDefault="0047094F" w:rsidP="0047094F"/>
    <w:p w14:paraId="66F3AD05" w14:textId="77777777" w:rsidR="00115FB0" w:rsidRDefault="00115FB0" w:rsidP="0047094F"/>
    <w:p w14:paraId="0BCBAF47" w14:textId="77777777" w:rsidR="00115FB0" w:rsidRDefault="00115FB0" w:rsidP="00115FB0">
      <w:pPr>
        <w:jc w:val="center"/>
        <w:rPr>
          <w:rFonts w:ascii="Times New Roman" w:hAnsi="Times New Roman" w:cs="Times New Roman"/>
        </w:rPr>
      </w:pPr>
      <w:r w:rsidRPr="0094164C">
        <w:rPr>
          <w:rFonts w:ascii="Times New Roman" w:hAnsi="Times New Roman" w:cs="Times New Roman"/>
          <w:noProof/>
        </w:rPr>
        <w:drawing>
          <wp:inline distT="0" distB="0" distL="0" distR="0" wp14:anchorId="20BD26A9" wp14:editId="031F94B4">
            <wp:extent cx="4148920" cy="2648778"/>
            <wp:effectExtent l="0" t="0" r="4445"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19"/>
                    <a:stretch>
                      <a:fillRect/>
                    </a:stretch>
                  </pic:blipFill>
                  <pic:spPr>
                    <a:xfrm>
                      <a:off x="0" y="0"/>
                      <a:ext cx="4162732" cy="2657596"/>
                    </a:xfrm>
                    <a:prstGeom prst="rect">
                      <a:avLst/>
                    </a:prstGeom>
                  </pic:spPr>
                </pic:pic>
              </a:graphicData>
            </a:graphic>
          </wp:inline>
        </w:drawing>
      </w:r>
    </w:p>
    <w:p w14:paraId="200FFF2D" w14:textId="01206B2A" w:rsidR="00115FB0" w:rsidRDefault="00115FB0" w:rsidP="00F20503">
      <w:pPr>
        <w:pStyle w:val="Caption"/>
      </w:pPr>
      <w:bookmarkStart w:id="28" w:name="_Toc101365671"/>
      <w:r w:rsidRPr="00C36A35">
        <w:t xml:space="preserve">Figure </w:t>
      </w:r>
      <w:r w:rsidR="002F73EC">
        <w:fldChar w:fldCharType="begin"/>
      </w:r>
      <w:r w:rsidR="002F73EC">
        <w:instrText xml:space="preserve"> SEQ Figure \* ARABIC </w:instrText>
      </w:r>
      <w:r w:rsidR="002F73EC">
        <w:fldChar w:fldCharType="separate"/>
      </w:r>
      <w:r w:rsidR="00BF5717">
        <w:rPr>
          <w:noProof/>
        </w:rPr>
        <w:t>9</w:t>
      </w:r>
      <w:r w:rsidR="002F73EC">
        <w:rPr>
          <w:noProof/>
        </w:rPr>
        <w:fldChar w:fldCharType="end"/>
      </w:r>
      <w:r w:rsidRPr="00C36A35">
        <w:t xml:space="preserve"> Absorption spectra </w:t>
      </w:r>
      <w:r>
        <w:t xml:space="preserve">of TPO (Reproduced </w:t>
      </w:r>
      <w:r w:rsidRPr="00C36A35">
        <w:t xml:space="preserve">from </w:t>
      </w:r>
      <w:r>
        <w:fldChar w:fldCharType="begin" w:fldLock="1"/>
      </w:r>
      <w:r>
        <w:instrText>ADDIN CSL_CITATION {"citationItems":[{"id":"ITEM-1","itemData":{"DOI":"10.1002/pi.2047","abstract":"A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Int","id":"ITEM-1","issued":{"date-parts":[["2006"]]},"page":"994-1006","title":"Spatial and temporal evolution of the photoinitiation rate for thick polymer systems illuminated with polychromatic light","type":"article-journal","volume":"55"},"uris":["http://www.mendeley.com/documents/?uuid=74060935-a9be-39b6-9a7d-fbe6cce6878e"]}],"mendeley":{"formattedCitation":"[41]","plainTextFormattedCitation":"[41]","previouslyFormattedCitation":"[41]"},"properties":{"noteIndex":0},"schema":"https://github.com/citation-style-language/schema/raw/master/csl-citation.json"}</w:instrText>
      </w:r>
      <w:r>
        <w:fldChar w:fldCharType="separate"/>
      </w:r>
      <w:r w:rsidRPr="00115FB0">
        <w:rPr>
          <w:noProof/>
        </w:rPr>
        <w:t>[41]</w:t>
      </w:r>
      <w:r>
        <w:fldChar w:fldCharType="end"/>
      </w:r>
      <w:r>
        <w:t xml:space="preserve"> with structure added</w:t>
      </w:r>
      <w:r w:rsidRPr="00C36A35">
        <w:t>).</w:t>
      </w:r>
      <w:bookmarkEnd w:id="28"/>
    </w:p>
    <w:p w14:paraId="5C6BF1A2" w14:textId="43E419B0" w:rsidR="00115FB0" w:rsidRPr="00115FB0" w:rsidRDefault="00115FB0" w:rsidP="00115FB0">
      <w:pPr>
        <w:spacing w:line="360" w:lineRule="auto"/>
        <w:rPr>
          <w:rFonts w:ascii="Times New Roman" w:hAnsi="Times New Roman" w:cs="Times New Roman"/>
        </w:rPr>
      </w:pPr>
      <w:r w:rsidRPr="00115FB0">
        <w:rPr>
          <w:rFonts w:ascii="Times New Roman" w:hAnsi="Times New Roman" w:cs="Times New Roman"/>
        </w:rPr>
        <w:lastRenderedPageBreak/>
        <w:t xml:space="preserve">yields an increase in hardness, modulus of elasticity, and strength due to more extensive crosslinking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{"citationItems":[{"id":"ITEM-1","itemData":{"DOI":"10.1080/01694243.2014.995910","ISSN":"0169-4243","abstract":"Vinyl ester (VE) resins are widely used as thermoset adhesives in structural joints and composites, but complete curing under environmental conditions is not produced. The existing literature dealing with the effect of post-curing on the structure, viscoelastic, mechanical, and adhesion properties of VE resin is scarce. Therefore, in this study, VE resin was subjected to different post-curing temperatures (50-140 °C) for one hour, and the changes in structure and properties were assessed. The degree of cross-linking of the VE resin depended on the post-curing temperature and cure started to be completed above 100 °C, a temperature close to the glass transition temperature (115 °C) of the completely cross-linked polymer. Furthermore, gel formation in VE resin was evidenced for post-curing temperature below 100 °C. In order to fully cross-link the VE resin, post-curing at 140 °C for one hour was necessary, and it was evidenced by an increase in the glass transition temperature and in the mechanical properties; an increase in adhesion to cold rolled steel was obtained although the shear strength was lower than in the joint produced with the non-post-cured VE resin.","author":[{"dropping-particle":"","family":"Alía","given":"Cristina","non-dropping-particle":"","parse-names":false,"suffix":""},{"dropping-particle":"","family":"Jofre-Reche","given":"José A.","non-dropping-particle":"","parse-names":false,"suffix":""},{"dropping-particle":"","family":"Suárez","given":"Juan C.","non-dropping-particle":"","parse-names":false,"suffix":""},{"dropping-particle":"","family":"Arenas","given":"José M.","non-dropping-particle":"","parse-names":false,"suffix":""},{"dropping-particle":"","family":"Martín-Martínez","given":"José Miguel","non-dropping-particle":"","parse-names":false,"suffix":""}],"container-title":"Journal of Adhesion Science and Technology","id":"ITEM-1","issue":"6","issued":{"date-parts":[["2015","3","19"]]},"page":"518-531","publisher":"Taylor and Francis Ltd.","title":"Influence of post-curing temperature on the structure, properties, and adhesion of vinyl ester adhesive","type":"article-journal","volume":"29"},"uris":["http://www.mendeley.com/documents/?uuid=3541ec73-40f2-3d9b-84c5-0417abf51a26"]}],"mendeley":{"formattedCitation":"[42]","plainTextFormattedCitation":"[42]","previouslyFormattedCitation":"[42]"},"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[42]</w:t>
      </w:r>
      <w:r w:rsidRPr="00115FB0">
        <w:rPr>
          <w:rFonts w:ascii="Times New Roman" w:hAnsi="Times New Roman" w:cs="Times New Roman"/>
        </w:rPr>
        <w:fldChar w:fldCharType="end"/>
      </w:r>
      <w:r w:rsidRPr="00115FB0">
        <w:rPr>
          <w:rFonts w:ascii="Times New Roman" w:hAnsi="Times New Roman" w:cs="Times New Roman"/>
        </w:rPr>
        <w:t>,</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{"citationItems":[{"id":"ITEM-1","itemData":{"DOI":"10.1002/pat.115","ISSN":"10427147","abstract":"Dimethacrylate monomers are commonly used as the organic phase of dental restorative materials but many questions remain about the underlying kinetics and network formation in these highly crosslinked photopolymer systems. Several novel experimental and modeling techniques that have been developed for other multifunctional (meth)acrylates were utilized to gain further insight into these resin systems. Specifically, this work investigates the copolymerization behavior of bis-GMA (2,2-bis[p-(2-hydroxy-3-methacryloxyprop-1-oxy)-phenyl]propane) and TEGDMA (triethylene glycol dimethacrylate), two monomers typically used for dental resin formulations. Near-infrared spectroscopy, electron paramagnetic resonance spectroscopy, as well as dynamic mechanical and dielectric analysis were used to characterize the kinetics, radical populations, and structural properties of this copolymer system. In addition, a kinetic model is described that provides valuable information about the network evolution during the formation of this crosslinked polymer. The results of these numerous studies illustrate that all of the aforementioned techniques can be readily applied to dental resin systems and consequently can be used to obtain a wealth of information about these systems. The application of these techniques provides insight into the complex polymerization kinetics and corresponding network formation, and as a result, a more complete understanding of the anomolous behaviors exhibited by these systems, such as diffusion controlled kinetics and conversion dependent network formation, is attained. Copyright © 2001 John Wiley and Sons, Ltd.","author":[{"dropping-particle":"","family":"Lovell","given":"Lale G.","non-dropping-particle":"","parse-names":false,"suffix":""},{"dropping-particle":"","family":"Berchtold","given":"Kathryn A.","non-dropping-particle":"","parse-names":false,"suffix":""},{"dropping-particle":"","family":"Elliott","given":"Jeannine E.","non-dropping-particle":"","parse-names":false,"suffix":""},{"dropping-particle":"","family":"Lu","given":"Hui","non-dropping-particle":"","parse-names":false,"suffix":""},{"dropping-particle":"","family":"Bowman","given":"Christopher N.","non-dropping-particle":"","parse-names":false,"suffix":""}],"container-title":"Polymers for Advanced Technologies","id":"ITEM-1","issue":"6","issued":{"date-parts":[["2001","6","1"]]},"page":"335-345","publisher":"John Wiley &amp; Sons, Ltd","title":"Understanding the kinetics and network formation of dimethacrylate dental resins","type":"article-journal","volume":"12"},"uris":["http://www.mendeley.com/documents/?uuid=2cb2f9fd-915d-3f41-ad9a-b1ff53d16786"]}],"mendeley":{"formattedCitation":"[43]","plainTextFormattedCitation":"[43]","previouslyFormattedCitation":"[43]"},"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[43]</w:t>
      </w:r>
      <w:r w:rsidRPr="00115FB0">
        <w:rPr>
          <w:rFonts w:ascii="Times New Roman" w:hAnsi="Times New Roman" w:cs="Times New Roman"/>
        </w:rPr>
        <w:fldChar w:fldCharType="end"/>
      </w:r>
      <w:r w:rsidRPr="00115FB0">
        <w:rPr>
          <w:rFonts w:ascii="Times New Roman" w:hAnsi="Times New Roman" w:cs="Times New Roman"/>
        </w:rPr>
        <w:t xml:space="preserve">.  </w:t>
      </w:r>
      <w:r>
        <w:rPr>
          <w:rFonts w:ascii="Times New Roman" w:hAnsi="Times New Roman" w:cs="Times New Roman"/>
        </w:rPr>
        <w:t xml:space="preserve">Increased </w:t>
      </w:r>
      <w:r w:rsidRPr="004C183E">
        <w:rPr>
          <w:rFonts w:ascii="Times New Roman" w:hAnsi="Times New Roman" w:cs="Times New Roman"/>
        </w:rPr>
        <w:t xml:space="preserve">DC </w:t>
      </w:r>
      <w:r>
        <w:rPr>
          <w:rFonts w:ascii="Times New Roman" w:hAnsi="Times New Roman" w:cs="Times New Roman"/>
        </w:rPr>
        <w:t>has been linked to an increase in</w:t>
      </w:r>
      <w:r w:rsidRPr="004C183E">
        <w:rPr>
          <w:rFonts w:ascii="Times New Roman" w:hAnsi="Times New Roman" w:cs="Times New Roman"/>
        </w:rPr>
        <w:t xml:space="preserve"> T</w:t>
      </w:r>
      <w:r w:rsidRPr="004C183E">
        <w:rPr>
          <w:rFonts w:ascii="Times New Roman" w:hAnsi="Times New Roman" w:cs="Times New Roman"/>
          <w:vertAlign w:val="subscript"/>
        </w:rPr>
        <w:t>g</w:t>
      </w:r>
      <w:r w:rsidRPr="004C183E">
        <w:rPr>
          <w:rFonts w:ascii="Times New Roman" w:hAnsi="Times New Roman" w:cs="Times New Roman"/>
        </w:rPr>
        <w:t xml:space="preserve"> for</w:t>
      </w:r>
      <w:r>
        <w:rPr>
          <w:rFonts w:ascii="Times New Roman" w:hAnsi="Times New Roman" w:cs="Times New Roman"/>
        </w:rPr>
        <w:t xml:space="preserve"> </w:t>
      </w:r>
      <w:r w:rsidRPr="00115FB0">
        <w:rPr>
          <w:rFonts w:ascii="Times New Roman" w:hAnsi="Times New Roman" w:cs="Times New Roman"/>
        </w:rPr>
        <w:t xml:space="preserve">Bis-GMA/TEGDMA dental resins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{"citationItems":[{"id":"ITEM-1","itemData":{"DOI":"10.1016/S0109-5641(01)00010-0","ISSN":"01095641","PMID":"11567688","abstract":"Objective: This study investigates the effect of cure rate on the mechanical properties of a common dimethacrylate dental resin formulation (75/25 wt% bis-GMA/TEGDMA). Methods: The polymerization rate and final conversion of the exact specimens subsequently used for mechanical testing were monitored by near-infrared (near-IR) spectroscopy. The glass transition temperature (Tg) and modulus, as a function of temperature, were determined by dynamic mechanical analysis (DMA). Iniferter initiating systems were used to create partially cured networks that did not contain any trapped radicals. By the elimination of trapped radicals from the system, the formed networks can be characterized as a function of both temperature and double bond conversion without inducing additional thermal cure during testing. Results: Copolymer specimens were cured with UV and visible light initiating systems, UV light intensities that varied by over four orders of magnitude, and cure temperatures that differed by 60°C. Even though the polymerization rates for these resins were vastly different, similar Tg and modulus were measured for specimens cured to the same final double bond conversion. Significance: This study shows that highly cross-linked dimethacrylate systems, such as bis-GMA/TEGDMA, exhibit similar network structure and properties as a function of double bond conversion, regardless of the method or rate of cure. © 2001 Academy of Dental Materials. Published by Elsevier Science Ltd. All rights reserved.","author":[{"dropping-particle":"","family":"Lovell","given":"Lale G.","non-dropping-particle":"","parse-names":false,"suffix":""},{"dropping-particle":"","family":"Lu","given":"Hui","non-dropping-particle":"","parse-names":false,"suffix":""},{"dropping-particle":"","family":"Elliott","given":"Jeannine E.","non-dropping-particle":"","parse-names":false,"suffix":""},{"dropping-particle":"","family":"Stansbury","given":"Jeffrey W.","non-dropping-particle":"","parse-names":false,"suffix":""},{"dropping-particle":"","family":"Bowman","given":"Christopher N.","non-dropping-particle":"","parse-names":false,"suffix":""}],"container-title":"Dental Materials","id":"ITEM-1","issue":"6","issued":{"date-parts":[["2001","11","1"]]},"page":"504-511","publisher":"Elsevier","title":"The effect of cure rate on the mechanical properties of dental resins","type":"article-journal","volume":"17"},"uris":["http://www.mendeley.com/documents/?uuid=c76f158d-1f26-380c-846e-4a79a45ec6a2"]}],"mendeley":{"formattedCitation":"[44]","plainTextFormattedCitation":"[44]","previouslyFormattedCitation":"[44]"},"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[44]</w:t>
      </w:r>
      <w:r w:rsidRPr="00115FB0">
        <w:rPr>
          <w:rFonts w:ascii="Times New Roman" w:hAnsi="Times New Roman" w:cs="Times New Roman"/>
        </w:rPr>
        <w:fldChar w:fldCharType="end"/>
      </w:r>
      <w:r w:rsidRPr="00115FB0">
        <w:rPr>
          <w:rFonts w:ascii="Times New Roman" w:hAnsi="Times New Roman" w:cs="Times New Roman"/>
        </w:rPr>
        <w:t>.</w:t>
      </w:r>
    </w:p>
    <w:p w14:paraId="3421C3F2" w14:textId="77777777" w:rsidR="00115FB0" w:rsidRPr="00115FB0" w:rsidRDefault="00115FB0" w:rsidP="00115FB0">
      <w:pPr>
        <w:spacing w:line="360" w:lineRule="auto"/>
        <w:ind w:left="360"/>
        <w:rPr>
          <w:rFonts w:ascii="Times New Roman" w:hAnsi="Times New Roman" w:cs="Times New Roman"/>
        </w:rPr>
      </w:pPr>
    </w:p>
    <w:p w14:paraId="62F4A527" w14:textId="3F9E56BF" w:rsidR="00115FB0" w:rsidRDefault="00115FB0" w:rsidP="00115FB0">
      <w:pPr>
        <w:spacing w:line="360" w:lineRule="auto"/>
        <w:rPr>
          <w:rFonts w:ascii="Times New Roman" w:hAnsi="Times New Roman" w:cs="Times New Roman"/>
        </w:rPr>
      </w:pPr>
      <w:r w:rsidRPr="00115FB0">
        <w:rPr>
          <w:rFonts w:ascii="Times New Roman" w:hAnsi="Times New Roman" w:cs="Times New Roman"/>
        </w:rPr>
        <w:t xml:space="preserve">Photopolymer DC is typically measured using methods such as UV differential scanning calorimetry (Photo-DSC), Fourier-transform infrared spectroscopy (FTIR), and hardness testing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-1","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Profiles","type":"article-journal","volume":"43"},"uris":["http://www.mendeley.com/documents/?uuid=4141b808-f33a-31ea-86a3-8be202718b9c"]},{"id":"ITEM-2","itemData":{"DOI":"10.1016/S0032-3861(98)00380-2","ISSN":"0032-3861","abstract":"The kinetic of photoinitiated polymerization of a dimethacrylate oligomer was studied by using isothermal photocalorimetry. The reaction was realized with 2,2-dimethyl-2-hydroxyacetophenone (Darocur 1173) as radical photoinitiator. Two kinetic models were applied. First, it was shown that an autocatalytic model can describe this reaction in a satisfying way. The reaction temperature does not influence the m and n orders of the reaction which were found to be constant and respectively equal to 0.8 and 2. The phenomenological rate constant k varies with temperature according to the Arrhenius law up to 80°C. Above this temperature, this law can again be checked if the initial variation of double bond concentration due to thermal polymerization is taken into account. In addition, by means of a mechanistic model, the k(p) and k(t) rate constants were calculated. Their evolution with conversion was studied at 50°C and well illustrates the importance of the reactive diffusion mechanism.","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-2","issue":"6","issued":{"date-parts":[["1999","3","1"]]},"page":"1403-1409","publisher":"Elsevier","title":"Photoinitiated polymerization of a dimethacrylate oligomer: 2. Kinetic studies","type":"article-journal","volume":"40"},"uris":["http://www.mendeley.com/documents/?uuid=6ac68280-bd35-3290-a8f2-12b5dfbef13e"]},{"id":"ITEM-3","itemData":{"DOI":"10.1016/j.compositesb.2020.107963","ISSN":"13598368","abstract":"In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Engineering","id":"ITEM-3","issued":{"date-parts":[["2020","6","15"]]},"publisher":"Elsevier Ltd","title":"An analytical model of through-thickness photopolymerisation of composites: Ultraviolet light transmission and curing kinetics","type":"article-journal","volume":"191"},"uris":["http://www.mendeley.com/documents/?uuid=5126f3a3-780b-3d9a-822f-3cadb9967a9a"]},{"id":"ITEM-4","itemData":{"DOI":"10.1016/0032-3861(94)90129-5","ISSN":"0032-3861","abstract":"The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N.","non-dropping-particle":"","parse-names":false,"suffix":""}],"container-title":"Polymer","id":"ITEM-4","issue":"15","issued":{"date-parts":[["1994","7","1"]]},"page":"3243-3250","publisher":"Elsevier","title":"Reaction behaviour and kinetic constants for photopolymerizations of multi(meth)acrylate monomers","type":"article-journal","volume":"35"},"uris":["http://www.mendeley.com/documents/?uuid=adf33ef0-b2aa-3fad-8127-8015fea71433"]},{"id":"ITEM-5","itemData":{"DOI":"10.1016/j.dental.2013.10.011","abstract":"d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Materials","id":"ITEM-5","issued":{"date-parts":[["2014"]]},"page":"149-154","title":"ScienceDirect Post-cure depth of cure of bulk fill dental resin-composites","type":"article-journal","volume":"30"},"uris":["http://www.mendeley.com/documents/?uuid=278738b9-3e52-3005-b13a-01c7bec0ca56"]}],"mendeley":{"formattedCitation":"[38], [45]–[48]","plainTextFormattedCitation":"[38], [45]–[48]","previouslyFormattedCitation":"[38], [45]–[48]"},"properties":{"noteIndex":0},"schema":"https://github.com/citation-style-language/schema/raw/master/csl-citation.json"}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[38], [45]–[48]</w:t>
      </w:r>
      <w:r w:rsidRPr="00115FB0">
        <w:rPr>
          <w:rFonts w:ascii="Times New Roman" w:hAnsi="Times New Roman" w:cs="Times New Roman"/>
        </w:rPr>
        <w:fldChar w:fldCharType="end"/>
      </w:r>
      <w:r w:rsidRPr="00115FB0">
        <w:rPr>
          <w:rFonts w:ascii="Times New Roman" w:hAnsi="Times New Roman" w:cs="Times New Roman"/>
        </w:rPr>
        <w:t xml:space="preserve">.  In Photo-DSC, specimens are irradiated under inert atmosphere and the heat of reaction is used to calculate DC with reference to either a theoretical heat of reaction for the monomer (i.e. “absolute conversion”) or with reference to the maximum observed heat of reaction (i.e. “relative conversion”)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{"citationItems":[{"id":"ITEM-1","itemData":{"DOI":"10.1016/S0032-3861(97)00184-5","ISSN":"00323861","abstract":"The photoinitiated polymerization of dimethacrylate oligomer with 2,2-dimethyl-2-hydroxy acetophenone (Darocur 1173) as radical photoinitiator was studied by using isothermal photocalorimetry. The effect of temperature, light intensity and photoinitiator concentration on reaction was investigated. The maximum conversion was obtained at temperature near 90°C. This temperature is above the glass transition temperature of the resulting material and below the thermal polymerization temperature of the reacting system. Above 90°C, thermal polymerization interferes on photocalorimetric measures. Assuming that glass transition temperature of the final polymer and conversion are connected, we have estimated thermal conversion. A maximum conversion was obtained for a photoinitiator concentration of 1 % (w/w) and for the highest light intensity studied (2.7 mW cm-2). © 1997 Elsevier Science Ltd.","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-1","issue":"25","issued":{"date-parts":[["1997","1","1"]]},"page":"6089-6096","publisher":"Elsevier BV","title":"Photoinitiated polymerization of a dimethacrylate oligomer: 1. Influence of photoinitiator concentration, temperature and light intensity","type":"article-journal","volume":"38"},"uris":["http://www.mendeley.com/documents/?uuid=b6a3e6c5-9113-392e-9916-b54352b8c0b3"]}],"mendeley":{"formattedCitation":"[49]","plainTextFormattedCitation":"[49]","previouslyFormattedCitation":"[49]"},"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[49]</w:t>
      </w:r>
      <w:r w:rsidRPr="00115FB0">
        <w:rPr>
          <w:rFonts w:ascii="Times New Roman" w:hAnsi="Times New Roman" w:cs="Times New Roman"/>
        </w:rPr>
        <w:fldChar w:fldCharType="end"/>
      </w:r>
      <w:r w:rsidRPr="00115FB0">
        <w:rPr>
          <w:rFonts w:ascii="Times New Roman" w:hAnsi="Times New Roman" w:cs="Times New Roman"/>
        </w:rPr>
        <w:t xml:space="preserve">.  FTIR is considered more accurate and more responsive in capturing real-time changes in conversion than DSC methods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{"citationItems":[{"id":"ITEM-1","itemData":{"DOI":"10.1007/S10853-005-5689-Y","abstract":"Curing kinetics of UV photocurable acrylate monomer-based ceramic resins were studied using a Fourier Transform Infrared (FTIR) spectroscopy instrument with an internally-mounted UV-curing source, providing real-time quantification of the acrylate double bond conversion with respect to increasing UV dose. The results show that this Real Time FTIR experiment (RTFTIR) provides a simple but valuable means of investigating average photopolymerization kinetics and final conversion in a thin layer of highly loaded ceramic suspension. This RTFTIR technique showed complete agreement with differential photo-calorimetry (photoDSC) experiments performed on the same thickness and amount highly loaded ceramic suspension. FTIR was also used to investigate the curing behavior inside sublayers of the same ceramic suspension. Curing kinetics and final conversion were monitored in these layers, with higher conversion and faster kinetics being observed near the exposed surface. Due to the scattering and absorption effects within the uppermost layers, photopolymerization rate and percent conversion declined as a function of depth from the surface. © 2005 Springer Science + Business Media, Inc.","author":[{"dropping-particle":"","family":"Wu","given":"K. C.","non-dropping-particle":"","parse-names":false,"suffix":""},{"dropping-particle":"","family":"Halloran","given":"J. W.","non-dropping-particle":"","parse-names":false,"suffix":""}],"container-title":"Journal of Materials Science","id":"ITEM-1","issue":"1","issued":{"date-parts":[["2005","1"]]},"page":"71-76","title":"Photopolymerization monitoring of ceramic stereolithography resins by FTIR methods","type":"article-journal","volume":"40"},"uris":["http://www.mendeley.com/documents/?uuid=e4d1b2f7-b6e8-30ef-833a-bb0dfc4c3a4f"]},{"id":"ITEM-2","itemData":{"DOI":"10.1016/S0142-9418(02)00052-1","ISSN":"01429418","abstract":"Polymer composites have been used in dental applications for more than 25 years. Although their properties and behavior have been systematically improved, they still are not able to produce dental restorations chemically, dimensionally and mechanically stable for long periods of time. Low degrees of monomer conversion and poor processing control are some of the main features responsible for the materials instability. In this work, the monomer conversion of dental composites during visible light irradiation was in situ monitored by infrared spectroscopy. The relationship between degree of conversion and mechanical properties was obtained by evaluating the microhardness of composites with different degrees of conversion. The relationship obtained was then used to identify the evolution of the mechanical properties during photopolymerization. © 2002 Elsevier Science Ltd. All rights reserved.","author":[{"dropping-particle":"","family":"Oréfice","given":"R.L","non-dropping-particle":"","parse-names":false,"suffix":""},{"dropping-particle":"","family":"Discacciati","given":"J.A.C","non-dropping-particle":"","parse-names":false,"suffix":""},{"dropping-particle":"","family":"Neves","given":"A.D","non-dropping-particle":"","parse-names":false,"suffix":""},{"dropping-particle":"","family":"Mansur","given":"H.S","non-dropping-particle":"","parse-names":false,"suffix":""},{"dropping-particle":"","family":"Jansen","given":"W.C","non-dropping-particle":"","parse-names":false,"suffix":""}],"container-title":"Polymer Testing","id":"ITEM-2","issue":"1","issued":{"date-parts":[["2003","2","1"]]},"page":"77-81","publisher":"Elsevier","title":"In situ evaluation of the polymerization kinetics and corresponding evolution of the mechanical properties of dental composites","type":"article-journal","volume":"22"},"uris":["http://www.mendeley.com/documents/?uuid=b275594c-8f60-31cf-afa8-9d6fff4e096d"]},{"id":"ITEM-3","itemData":{"DOI":"10.1016/S0109-5641(00)00020-8","ISSN":"0109-5641","abstract":"Objective: The aim of this study was to investigate the relationship between the degree of conversion (DC) and shrinkage strain values of two representative resin-composites when irradiated by two light intensity levels, for different time periods. Methods: The DC of Z100 and Tetric Ceram was measured by FTIR spectroscopy immediately post-cure and shrinkage strain values were obtained continuously for 30min from photoinitiation with the bonded-disk technique. All samples were photopolymerized at an initial temperature of 23°C with the Elipar Highlight unit under the following modes of variable light intensity (I) 40s at 750mW/cm2; (II) a two-step ‘soft-start’ irradiation mode of 10s at 200mW/cm2 plus 30s at 750mW/cm2; (III) 40s at 200mW/cm2; and (IV) 10s at 200mW/cm2. Temperature effects of the light and curing exotherm were not eliminated. Results: Mode II of irradiation did not reduce the DC for each material, relative to the values obtained with mode I (p&gt;0.05). The corresponding shrinkage strain values after 30min were also not significantly different (p&gt;0.05). However, the effects of reduced light intensity levels for 10s and 40s (modes III and IV), were in agreement with previous findings implying reduced shrinkage strain levels. For both resin composites, data from all curing times and light-intensities gave a linear regression relationship (with r2&gt;0.99) between the bonded-disk shrinkage strain versus DC values. Significance: For the materials and light-intensities studied, the correlation between DC and shrinkage strain values means that some reductions in the problems of shrinkage may be achieved by an acceptable reduction in DC. However, this must also be consistent with generating adequate curing performance in the resin-network. Nevertheless, DC is not the exclusive parameter describing network character and a fuller understanding of the latter is an important research goal.","author":[{"dropping-particle":"","family":"Silikas","given":"N","non-dropping-particle":"","parse-names":false,"suffix":""},{"dropping-particle":"","family":"Eliades","given":"G","non-dropping-particle":"","parse-names":false,"suffix":""},{"dropping-particle":"","family":"Watts","given":"D.C","non-dropping-particle":"","parse-names":false,"suffix":""}],"container-title":"Dental Materials","id":"ITEM-3","issue":"4","issued":{"date-parts":[["2000","7","1"]]},"page":"292-296","publisher":"Elsevier","title":"Light intensity effects on resin-composite degree of conversion and shrinkage strain","type":"article-journal","volume":"16"},"uris":["http://www.mendeley.com/documents/?uuid=1f43557b-cf0e-3587-b90d-27dcc10b56d8"]},{"id":"ITEM-4","itemData":{"DOI":"10.1016/S0032-3861(03)00213-1","ISSN":"00323861","abstract":"The photopolymerization of vinyl acrylate has been investigated using real-time FTIR. The acrylate and vinyl groups exhibit different polymerization kinetics with the acrylate functionality polymerizing at a much faster rate. Vinyl acrylate not only self-initiates its own free-radical polymerization, but also photoinitiates the polymerization of mono- and difunctional acrylates. Kinetic studies using a model monomer system indicate that it is essential for the acrylate and vinyl group to be part of the same molecule in order to function as an effective initiator for acrylate polymerization. © 2003 Elsevier Science Ltd. All rights reserved.","author":[{"dropping-particle":"","family":"Lee","given":"Tai Yeon","non-dropping-particle":"","parse-names":false,"suffix":""},{"dropping-particle":"","family":"Roper","given":"Todd M.","non-dropping-particle":"","parse-names":false,"suffix":""},{"dropping-particle":"","family":"Jonsson","given":"E. Sönny","non-dropping-particle":"","parse-names":false,"suffix":""},{"dropping-particle":"","family":"Kudyakov","given":"Igor","non-dropping-particle":"","parse-names":false,"suffix":""},{"dropping-particle":"","family":"Viswanathan","given":"K.","non-dropping-particle":"","parse-names":false,"suffix":""},{"dropping-particle":"","family":"Nason","given":"C.","non-dropping-particle":"","parse-names":false,"suffix":""},{"dropping-particle":"","family":"Guymon","given":"C. A.","non-dropping-particle":"","parse-names":false,"suffix":""},{"dropping-particle":"","family":"Hoyle","given":"C. E.","non-dropping-particle":"","parse-names":false,"suffix":""}],"container-title":"Polymer","id":"ITEM-4","issue":"10","issued":{"date-parts":[["2003","4","11"]]},"page":"2859-2865","publisher":"Elsevier BV","title":"The kinetics of vinyl acrylate photopolymerization","type":"article-journal","volume":"44"},"uris":["http://www.mendeley.com/documents/?uuid=10517e27-ee2b-3a5e-804c-a3fb7964fbaa"]},{"id":"ITEM-5","itemData":{"DOI":"10.1016/S0924-2031(98)00070-8","ISSN":"0924-2031","abstract":"Real-Time FTIR–ATR spectroscopy was used to study the kinetics of photopolymerization reactions induced by monochromatic UV light. Various photoinitiator systems were tested for their efficiency to start the curing reaction of acrylates on irradiation at 313 or 222 nm. The effect of physical and chemical factors such as photoinitiator concentration, light intensity, temperature, monomer functionality and inertization on kinetic parameters like polymerization rate, induction period and final conversion was studied. The contribution of the postcuring to the final conversion was determined by following the decay of the double bonds during and after irradiation with single or multiple short UV flashes with a duration of 50–200 ms. Finally, some investigations of samples from practical applications such as UV-curable powder coatings, printing inks, and release coatings of silicone acrylates will be reported.","author":[{"dropping-particle":"","family":"Scherzer","given":"Tom","non-dropping-particle":"","parse-names":false,"suffix":""},{"dropping-particle":"","family":"Decker","given":"Ulrich","non-dropping-particle":"","parse-names":false,"suffix":""}],"container-title":"Vibrational Spectroscopy","id":"ITEM-5","issue":"2","issued":{"date-parts":[["1999","4","1"]]},"page":"385-398","publisher":"Elsevier","title":"Real-time FTIR–ATR spectroscopy to study the kinetics of ultrafast photopolymerization reactions induced by monochromatic UV light","type":"article-journal","volume":"19"},"uris":["http://www.mendeley.com/documents/?uuid=2932aa1e-8145-30b5-9ba8-f0c309ad99cd"]}],"mendeley":{"formattedCitation":"[50]–[54]","plainTextFormattedCitation":"[50]–[54]","previouslyFormattedCitation":"[50]–[54]"},"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[50]–[54]</w:t>
      </w:r>
      <w:r w:rsidRPr="00115FB0">
        <w:rPr>
          <w:rFonts w:ascii="Times New Roman" w:hAnsi="Times New Roman" w:cs="Times New Roman"/>
        </w:rPr>
        <w:fldChar w:fldCharType="end"/>
      </w:r>
      <w:r w:rsidRPr="00115FB0">
        <w:rPr>
          <w:rFonts w:ascii="Times New Roman" w:hAnsi="Times New Roman" w:cs="Times New Roman"/>
        </w:rPr>
        <w:t>,</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{"citationItems":[{"id":"ITEM-1","itemData":{"DOI":"10.1016/S0032-3861(03)00213-1","ISSN":"00323861","abstract":"The photopolymerization of vinyl acrylate has been investigated using real-time FTIR. The acrylate and vinyl groups exhibit different polymerization kinetics with the acrylate functionality polymerizing at a much faster rate. Vinyl acrylate not only self-initiates its own free-radical polymerization, but also photoinitiates the polymerization of mono- and difunctional acrylates. Kinetic studies using a model monomer system indicate that it is essential for the acrylate and vinyl group to be part of the same molecule in order to function as an effective initiator for acrylate polymerization. © 2003 Elsevier Science Ltd. All rights reserved.","author":[{"dropping-particle":"","family":"Lee","given":"Tai Yeon","non-dropping-particle":"","parse-names":false,"suffix":""},{"dropping-particle":"","family":"Roper","given":"Todd M.","non-dropping-particle":"","parse-names":false,"suffix":""},{"dropping-particle":"","family":"Jonsson","given":"E. Sönny","non-dropping-particle":"","parse-names":false,"suffix":""},{"dropping-particle":"","family":"Kudyakov","given":"Igor","non-dropping-particle":"","parse-names":false,"suffix":""},{"dropping-particle":"","family":"Viswanathan","given":"K.","non-dropping-particle":"","parse-names":false,"suffix":""},{"dropping-particle":"","family":"Nason","given":"C.","non-dropping-particle":"","parse-names":false,"suffix":""},{"dropping-particle":"","family":"Guymon","given":"C. A.","non-dropping-particle":"","parse-names":false,"suffix":""},{"dropping-particle":"","family":"Hoyle","given":"C. E.","non-dropping-particle":"","parse-names":false,"suffix":""}],"container-title":"Polymer","id":"ITEM-1","issue":"10","issued":{"date-parts":[["2003","4","11"]]},"page":"2859-2865","publisher":"Elsevier BV","title":"The kinetics of vinyl acrylate photopolymerization","type":"article-journal","volume":"44"},"uris":["http://www.mendeley.com/documents/?uuid=10517e27-ee2b-3a5e-804c-a3fb7964fbaa"]},{"id":"ITEM-2","itemData":{"DOI":"10.1016/j.polymer.2004.06.060","ISSN":"00323861","abstract":"Oxygen inhibition during the free-radical photopolymerization of various monomers containing ether groups was investigated using photo-DSC and real-time FTIR (RTIR). Methacrylates and acrylates containing different number and types of ether groups were selected to determine the effects of ether group concentration and structure on oxygen inhibition. Also, the oxygen sensitivity of the free-radical polymerization of methacrylate and acrylate was compared. Compared to acrylates, methacrylates are much less sensitive to oxygen. Model poly(tetramethylene oxide) and poly(propylene glycol) system were evaluated to determine the effect of ether groups on polymerization kinetics in air. The polymerizations of the (meth)acrylates containing ether groups were found to be relatively insensitive to oxygen inhibition. The reduction of oxygen inhibition occurs by a series of chain transfer/oxygen scavenging reactions. © 2004 Published by Elsevier Ltd.","author":[{"dropping-particle":"","family":"Lee","given":"T. Y.","non-dropping-particle":"","parse-names":false,"suffix":""},{"dropping-particle":"","family":"Guymon","given":"C. A.","non-dropping-particle":"","parse-names":false,"suffix":""},{"dropping-particle":"","family":"Jönsson","given":"E. Sonny","non-dropping-particle":"","parse-names":false,"suffix":""},{"dropping-particle":"","family":"Hoyle","given":"C. E.","non-dropping-particle":"","parse-names":false,"suffix":""}],"container-title":"Polymer","id":"ITEM-2","issue":"18","issued":{"date-parts":[["2004","8","19"]]},"page":"6155-6162","publisher":"Elsevier Ltd","title":"The effect of monomer structure on oxygen inhibition of (meth)acrylates photopolymerization","type":"article-journal","volume":"45"},"uris":["http://www.mendeley.com/documents/?uuid=be1a1d5d-a568-3634-a593-261bd942e99a"]},{"id":"ITEM-3","itemData":{"DOI":"10.1002/marc.200290014","ISSN":"10221336","abstract":"Highly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Communications","id":"ITEM-3","issue":"18","issued":{"date-parts":[["2002","12","20"]]},"page":"1067-1093","publisher":"John Wiley &amp; Sons, Ltd","title":"Kinetic study and new applications of UV radiation curing","type":"article-journal","volume":"23"},"uris":["http://www.mendeley.com/documents/?uuid=c60ec8b8-eb0a-3a6c-bb8f-715b6e36c30e"]},{"id":"ITEM-4","itemData":{"DOI":"10.1016/S0924-2031(98)00070-8","ISSN":"0924-2031","abstract":"Real-Time FTIR–ATR spectroscopy was used to study the kinetics of photopolymerization reactions induced by monochromatic UV light. Various photoinitiator systems were tested for their efficiency to start the curing reaction of acrylates on irradiation at 313 or 222 nm. The effect of physical and chemical factors such as photoinitiator concentration, light intensity, temperature, monomer functionality and inertization on kinetic parameters like polymerization rate, induction period and final conversion was studied. The contribution of the postcuring to the final conversion was determined by following the decay of the double bonds during and after irradiation with single or multiple short UV flashes with a duration of 50–200 ms. Finally, some investigations of samples from practical applications such as UV-curable powder coatings, printing inks, and release coatings of silicone acrylates will be reported.","author":[{"dropping-particle":"","family":"Scherzer","given":"Tom","non-dropping-particle":"","parse-names":false,"suffix":""},{"dropping-particle":"","family":"Decker","given":"Ulrich","non-dropping-particle":"","parse-names":false,"suffix":""}],"container-title":"Vibrational Spectroscopy","id":"ITEM-4","issue":"2","issued":{"date-parts":[["1999","4","1"]]},"page":"385-398","publisher":"Elsevier","title":"Real-time FTIR–ATR spectroscopy to study the kinetics of ultrafast photopolymerization reactions induced by monochromatic UV light","type":"article-journal","volume":"19"},"uris":["http://www.mendeley.com/documents/?uuid=2932aa1e-8145-30b5-9ba8-f0c309ad99cd"]},{"id":"ITEM-5","itemData":{"DOI":"10.1016/S0109-5641(00)00020-8","ISSN":"0109-5641","abstract":"Objective: The aim of this study was to investigate the relationship between the degree of conversion (DC) and shrinkage strain values of two representative resin-composites when irradiated by two light intensity levels, for different time periods. Methods: The DC of Z100 and Tetric Ceram was measured by FTIR spectroscopy immediately post-cure and shrinkage strain values were obtained continuously for 30min from photoinitiation with the bonded-disk technique. All samples were photopolymerized at an initial temperature of 23°C with the Elipar Highlight unit under the following modes of variable light intensity (I) 40s at 750mW/cm2; (II) a two-step ‘soft-start’ irradiation mode of 10s at 200mW/cm2 plus 30s at 750mW/cm2; (III) 40s at 200mW/cm2; and (IV) 10s at 200mW/cm2. Temperature effects of the light and curing exotherm were not eliminated. Results: Mode II of irradiation did not reduce the DC for each material, relative to the values obtained with mode I (p&gt;0.05). The corresponding shrinkage strain values after 30min were also not significantly different (p&gt;0.05). However, the effects of reduced light intensity levels for 10s and 40s (modes III and IV), were in agreement with previous findings implying reduced shrinkage strain levels. For both resin composites, data from all curing times and light-intensities gave a linear regression relationship (with r2&gt;0.99) between the bonded-disk shrinkage strain versus DC values. Significance: For the materials and light-intensities studied, the correlation between DC and shrinkage strain values means that some reductions in the problems of shrinkage may be achieved by an acceptable reduction in DC. However, this must also be consistent with generating adequate curing performance in the resin-network. Nevertheless, DC is not the exclusive parameter describing network character and a fuller understanding of the latter is an important research goal.","author":[{"dropping-particle":"","family":"Silikas","given":"N","non-dropping-particle":"","parse-names":false,"suffix":""},{"dropping-particle":"","family":"Eliades","given":"G","non-dropping-particle":"","parse-names":false,"suffix":""},{"dropping-particle":"","family":"Watts","given":"D.C","non-dropping-particle":"","parse-names":false,"suffix":""}],"container-title":"Dental Materials","id":"ITEM-5","issue":"4","issued":{"date-parts":[["2000","7","1"]]},"page":"292-296","publisher":"Elsevier","title":"Light intensity effects on resin-composite degree of conversion and shrinkage strain","type":"article-journal","volume":"16"},"uris":["http://www.mendeley.com/documents/?uuid=1f43557b-cf0e-3587-b90d-27dcc10b56d8"]},{"id":"ITEM-6","itemData":{"DOI":"10.1002/macp.1988.021891016","ISSN":"0025-116X","abstract":"An original method based on IR spectroscopy has been developed in order to follow real-tirr.e photopolymerizations that take place in less than one second. Conversion versus time curv(:s were directly recorded for various multiacrylic monomers irradiated in condensed phase, thtls allowing an immediate evaluation of both the rate of polymerization and the amount of residu i l unsaturation in the UV-cured polymer. This method proved well suited to study the effect c n the polymerization rate of the photoinitiator efficiency, the monomer reactivity, the light intensity , the film thickness, and the 0, inhibition. The dark polymerization that develops just aftcr the UV exposure was investigated as a function of the degree of conversion and was shown 10 represent up to 60% of the total process. A comparison with other methods of kinetic analysis shows the unique advantages of real-time infra-red (RTIR) spectroscopy which permits I o follow quantitatively and in situ ultra-fast polymerizations.","author":[{"dropping-particle":"","family":"Decker","given":"Christian","non-dropping-particle":"","parse-names":false,"suffix":""},{"dropping-particle":"","family":"Moussa","given":"Khalil","non-dropping-particle":"","parse-names":false,"suffix":""}],"container-title":"Die Makromolekulare Chemie","id":"ITEM-6","issue":"10","issued":{"date-parts":[["1988","10","1"]]},"page":"2381-2394","publisher":"John Wiley &amp; Sons, Ltd","title":"A new method for monitoring ultra‐fast photopolymerizations by real‐time infra‐red (RTIR) spectroscopy","type":"article-journal","volume":"189"},"uris":["http://www.mendeley.com/documents/?uuid=50e24e96-e4ff-376e-877a-985d3cd1a512"]},{"id":"ITEM-7","itemData":{"DOI":"10.7860/JCDR/2017/28004.10444","ISSN":"0973709X","abstract":"Introduction: Since the development of resin based composites, several improvements have been made to improve their physical and chemical properties. In an attempt to fasten and simplify the restoration process, a new class of resin based composite materials, called the bulk fill resin based composites have been introduced, which has been claimed to achieve a depth of cure of 4 mm without affecting the properties of the material. Aim: To comparatively evaluate the depth of cure of two different bulk fill flowable composite resins by ISO 4049 method and to evaluate the degree of conversion of the same composite resins with Fourier Transform Infrared (FTIR) spectroscopy method. Materials and Methods: Composite resin specimens (n=10) per group were prepared with bulk fill flowable composites, Surefil SDR flow (Dentsply Caulk, Milford, DE, USA) designated as Group A and Filtek bulk fill (3M ESPE, St.Paul, MN, USA) designated as Group B. Depth of cure was determined according to “ISO 4049; Depth of Cure” method, and FTIR spectroscopy method was used to estimate the degree of conversion of both the bulk fill flowable composites. The degree of conversion of monomer to polymer was estimated individually in coronal half (Group A1 and B1) and pulpal half (Group A2 and Group B2) by dividing each specimens into two halves. The data were analysed using Student’s unpaired t-test at 5% level of significance. Results: The mean depth of cure of Group A was 3.89 mm (±0.103) and for Group B was 3.54 mm (±0.129). The degree of conversion percentage for Group A1=78.51 (±47.8), Group A2= 31.9 (±22.4), Group B1=39.8 (±5.2), Group B2=37.4 (±6.4). Statistical analysis revealed significant difference in the depth of cure between the two bulk fill flowable composites with Group A higher than Group B. The degree of conversion of the coronal half of Group A1 was significantly higher when compared to Group B1. Conclusion: Surefil SDR bulk fill resin has better depth of cure and degree of conversion compared to Filtek bulk fill composites.","author":[{"dropping-particle":"","family":"Anand Yokesh","given":"C. A.","non-dropping-particle":"","parse-names":false,"suffix":""},{"dropping-particle":"","family":"Hemalatha","given":"P.","non-dropping-particle":"","parse-names":false,"suffix":""},{"dropping-particle":"","family":"Muthalagu","given":"M.","non-dropping-particle":"","parse-names":false,"suffix":""},{"dropping-particle":"","family":"Robert Justin","given":"M.","non-dropping-particle":"","parse-names":false,"suffix":""}],"container-title":"Journal of Clinical and Diagnostic Research","id":"ITEM-7","issue":"8","issued":{"date-parts":[["2017","8","1"]]},"page":"ZC86-ZC89","publisher":"Journal of Clinical and Diagnostic Research","title":"Comparative evaluation of the depth of cure and degree of conversion of two bulk fill flowable composites","type":"article-journal","volume":"11"},"uris":["http://www.mendeley.com/documents/?uuid=0dd5a359-1e2c-365f-ab22-ad9938e758a9"]}],"mendeley":{"formattedCitation":"[40], [52]–[57]","plainTextFormattedCitation":"[40], [52]–[57]","previouslyFormattedCitation":"[40], [52]–[57]"},"properties":{"noteIndex":0},"schema":"https://github.com/citation-style-language/schema/raw/master/csl-citation.json"}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[40], [52]–[57]</w:t>
      </w:r>
      <w:r w:rsidRPr="00115FB0">
        <w:rPr>
          <w:rFonts w:ascii="Times New Roman" w:hAnsi="Times New Roman" w:cs="Times New Roman"/>
        </w:rPr>
        <w:fldChar w:fldCharType="end"/>
      </w:r>
      <w:r w:rsidRPr="00115FB0">
        <w:rPr>
          <w:rFonts w:ascii="Times New Roman" w:hAnsi="Times New Roman" w:cs="Times New Roman"/>
        </w:rPr>
        <w:t xml:space="preserve">.   As shown in </w:t>
      </w:r>
      <w:r w:rsidRPr="00115FB0">
        <w:rPr>
          <w:rFonts w:ascii="Times New Roman" w:hAnsi="Times New Roman" w:cs="Times New Roman"/>
        </w:rPr>
        <w:fldChar w:fldCharType="begin"/>
      </w:r>
      <w:r w:rsidRPr="00115FB0">
        <w:rPr>
          <w:rFonts w:ascii="Times New Roman" w:hAnsi="Times New Roman" w:cs="Times New Roman"/>
        </w:rPr>
        <w:instrText xml:space="preserve"> REF _Ref101180689 \h  \* MERGEFORMAT </w:instrText>
      </w:r>
      <w:r w:rsidRPr="00115FB0">
        <w:rPr>
          <w:rFonts w:ascii="Times New Roman" w:hAnsi="Times New Roman" w:cs="Times New Roman"/>
        </w:rPr>
      </w:r>
      <w:r w:rsidRPr="00115FB0">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10</w:t>
      </w:r>
      <w:r w:rsidRPr="00115FB0">
        <w:rPr>
          <w:rFonts w:ascii="Times New Roman" w:hAnsi="Times New Roman" w:cs="Times New Roman"/>
        </w:rPr>
        <w:fldChar w:fldCharType="end"/>
      </w:r>
      <w:r w:rsidRPr="00115FB0">
        <w:rPr>
          <w:rFonts w:ascii="Times New Roman" w:hAnsi="Times New Roman" w:cs="Times New Roman"/>
        </w:rPr>
        <w:t>, FTIR measures the relative C=C bond conversion by monitoring the change in the ratio of a reactive peak (</w:t>
      </w:r>
      <w:proofErr w:type="gramStart"/>
      <w:r w:rsidRPr="00115FB0">
        <w:rPr>
          <w:rFonts w:ascii="Times New Roman" w:hAnsi="Times New Roman" w:cs="Times New Roman"/>
        </w:rPr>
        <w:t>e.g.</w:t>
      </w:r>
      <w:proofErr w:type="gramEnd"/>
      <w:r w:rsidRPr="00115FB0">
        <w:rPr>
          <w:rFonts w:ascii="Times New Roman" w:hAnsi="Times New Roman" w:cs="Times New Roman"/>
        </w:rPr>
        <w:t xml:space="preserve"> methacrylate) to a reference peak (e.g. aromatic).   Hardness testing is an indirect but common method for measuring cure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resin-composites","type":"article-journal","volume":"30"},"uris":["http://www.mendeley.com/documents/?uuid=278738b9-3e52-3005-b13a-01c7bec0ca56"]},{"id":"ITEM-2","itemData":{"DOI":"10.1016/j.jdent.2012.03.007","ISSN":"03005712","PMID":"22465876","abstract":"Objectives: To determine the degree of conversion (DC) and Knoop microhardness (KHN) of resin-based composites (RBCs) containing trimethylbenzoyl-diphenylphosphine oxide (TPO) cured by polywave or monowave LED light-curing units (LCUs). Methods: Three groups (each n = 5) of Tetric EvoCeram (Ivoclar Vivadent), Vit-l-escence (Ultradent) and Herculite XRV Ultra (Kerr) were prepared in Teflon moulds (5 mm in diameter and 2 mm thick) and cured with polywave Bluephase® G2 (Ivoclar Vivadent), polywave Valo (Ultradent) or monowave Bluephase® (Ivoclar Vivadent; control) resulting in 9 groups. DC and KHN were determined using micro-Raman spectroscopy and Knoop microhardness, respectively. High-performance liquid chromatography and nuclear magnetic resonance spectroscopy were used to confirm the presence or absence of TPO in the three uncured materials. Data were statistically analysed using two-way and one-way ANOVA and DC and KHN were correlated using Pearson's correlation (α = 0.05). Results: TPO was confirmed in Tetric EvoCeram and Vit-l-escence but not in Herculite XRV Ultra. All three LCUs produced comparable KHN for Tetric EvoCeram and Herculite XRV Ultra (p &gt; 0.05). Both polywave LCUs resulted in significantly higher KHN for Vit-l-escence and higher DC in Tetric EvoCeram and Vit-l-escence than the monowave Bluephase® (p &lt; 0.05). Conversely, Bluephase ® showed higher DC than the two polywave LCUs in Herculite XRV Ultra (p &lt; 0.05). Pearson's correlation coefficient was r = 0.818. Conclusions: Polywave LED LCUs improved monomer to polymer conversion and KHN in the two TPO-containing RBCs, but not in Herculite XRV Ultra. DC and KHN were linearly correlated in all three RBCs. Vit-l-escence showed the highest DC and KHN of the three materials tested. Clinical significance: The use of polywave LEDs significantly improves both the DC and KHN of materials which contain TPO. This should be taken into account when curing bleached shades of RBCs even if the manufacturers do not indicate the presence of TPO in their materials. © 2012 Elsevier Ltd. All rights reserved.","author":[{"dropping-particle":"","family":"Santini","given":"Ario","non-dropping-particle":"","parse-names":false,"suffix":""},{"dropping-particle":"","family":"Miletic","given":"Vesna","non-dropping-particle":"","parse-names":false,"suffix":""},{"dropping-particle":"","family":"Swift","given":"Michael D.","non-dropping-particle":"","parse-names":false,"suffix":""},{"dropping-particle":"","family":"Bradley","given":"Mark","non-dropping-particle":"","parse-names":false,"suffix":""}],"container-title":"Journal of Dentistry","id":"ITEM-2","issue":"7","issued":{"date-parts":[["2012","7","1"]]},"page":"577-584","publisher":"Elsevier","title":"Degree of conversion and microhardness of TPO-containing resin-based composites cured by polywave and monowave LED units","type":"article-journal","volume":"40"},"uris":["http://www.mendeley.com/documents/?uuid=5a5c54a0-0cc3-30fe-9455-ae86f0b44519"]},{"id":"ITEM-3","itemData":{"DOI":"10.1016/j.dental.2012.09.007","ISSN":"01095641","PMID":"23031485","abstract":"Objective: To determine by nanoindentation the hardness and elastic modulus of resin-composites, including a series with systematically varied filler loading, plus other representative materials that fall into the categories of flowable, bulk-fill and conventional nano-hybrid types. Methods: Ten dental resin-composites: three flowable, three bulk-fill and four conventional were investigated using nanoindentation. Disc specimens (15 mm × 2 mm) were prepared from each material using a metallic mold. Specimens were irradiated in the mold at top and bottom surfaces in multiple overlapping points (40 s each) with light curing unit at 650 mW/cm 2. Specimens were then mounted in 3 cm diameter phenolic ring forms and embedded in a self-curing polystyrene resin. After grinding and polishing, specimens were stored in distilled water at 37 C for 7 days. Specimens were investigated using an Agilent Technologies XP nanoindenter equipped with a Berkovich diamond tip (100 nm radius). Each specimen was loaded at one loading rate and three different unloading rates (at room temperature) with thirty indentations, per unloading rate. The maximum load applied by the nanoindenter to examine the specimens was 10 mN. Results: Dependent on the type of the resin-composite material, the mean values ranged from 0.73 GPa to 1.60 GPa for nanohardness and from 14.44 GPa to 24.07 GPa for elastic modulus. There was a significant positive non-linear correlation between elastic modulus and nanohardness (r 2 = 0.88). Nonlinear regression revealed a significant positive correlation (r 2 = 0.62) between elastic moduli and filler loading and a non-significant correlation (r 2 = 0.50) between nanohardness and filler loading of the studied materials. Varying the unloading rates showed no consistent effect on the elastic modulus and nanohardness of the studied materials. Significance: For a specific resin matrix, both elastic moduli and nanohardness correlated positively with filler loading. For the resin-composites investigated, the group-average elastic moduli and nanohardnesses for bulk-fill and flowable materials were lower than those for conventional nano-hybrid composites. © 2012 Academy of Dental Materials. Published by Elsevier Ltd. All rights reserved.","author":[{"dropping-particle":"","family":"El-Safty","given":"S.","non-dropping-particle":"","parse-names":false,"suffix":""},{"dropping-particle":"","family":"Akhtar","given":"R.","non-dropping-particle":"","parse-names":false,"suffix":""},{"dropping-particle":"","family":"Silikas","given":"N.","non-dropping-particle":"","parse-names":false,"suffix":""},{"dropping-particle":"","family":"Watts","given":"D. C.","non-dropping-particle":"","parse-names":false,"suffix":""}],"container-title":"Dental Materials","id":"ITEM-3","issue":"12","issued":{"date-parts":[["2012","12","1"]]},"page":"1292-1300","publisher":"Elsevier","title":"Nanomechanical properties of dental resin-composites","type":"article-journal","volume":"28"},"uris":["http://www.mendeley.com/documents/?uuid=56cb75b2-302b-38f0-8535-c09a1c784c1c"]},{"id":"ITEM-4","itemData":{"DOI":"10.1016/J.DENTAL.2006.06.019","ISSN":"0109-5641","abstract":"OBJECTIVES\nThe aim of the study was to determine the influence of different light curing units (LCU) and regimes on the polymerization shrinkage stress (PSS) and the mechanical properties of a nano-hybrid composite. \n\nMATERIAL AND METHODS\nThe polymerization shrinkage force (PSF) was measured continuously with compliance compensation for 300s after photo-initiating the composite, Tetric EvoCeram (Ivoclar Vivadent, Schaan, FL, Shade A3) in a Stress–Strain Analyser. Astralis 10, Bluephase and MiniL.E.D LCU with exposure times 10, 20 and 40s were used (C-factor=0.33, n=8 per group). Immediately after the PSF measurements, mechanical properties of the samples were measured at the top and the bottom using a Fischerscope H100C (Helmut Fischer GmbH, Sindelfingen, Germany). Statistical analyses were done using one-way ANOVA (p&lt;0.05) and Tukey post hoc test. \n\nRESULTS\nSignificant differences in the PSS for 10, 20 and 40s polymerization using Astralis 10 were found. The MiniL.E.D recorded low stress values. Modulus of elasticity is high after curing the composite with Astralis 10 at 10, 20 and 40s and for Bluephase 40s. Low moduli of elasticity were recorded for the MiniL.E.D and for the Bluephase 20 and 10s. The hardness values (HV) followed the same pattern as the modulus of elasticity. The Ramping mode of the MiniL.E.D had prolonged gel point. \n\nCONCLUSIONS\nHigh intensity LCU produce not just high HV but also high shrinkage, making it important to balance both the effects by choosing the appropriate curing time. Soft-start regimes have no paramount benefit in a LED regarding stresses in the clinical situation.","author":[{"dropping-particle":"","family":"Visvanathan","given":"Anuradha","non-dropping-particle":"","parse-names":false,"suffix":""},{"dropping-particle":"","family":"Ilie","given":"Nicoleta","non-dropping-particle":"","parse-names":false,"suffix":""},{"dropping-particle":"","family":"Hickel","given":"Reinhard","non-dropping-particle":"","parse-names":false,"suffix":""},{"dropping-particle":"","family":"Kunzelmann","given":"Karl-Heinz","non-dropping-particle":"","parse-names":false,"suffix":""}],"container-title":"Dental Materials","id":"ITEM-4","issue":"7","issued":{"date-parts":[["2007","7","1"]]},"page":"777-784","publisher":"Elsevier","title":"The influence of curing times and light curing methods on the polymerization shrinkage stress of a shrinkage-optimized composite with hybrid-type prepolymer fillers","type":"article-journal","volume":"23"},"uris":["http://www.mendeley.com/documents/?uuid=e745a1ac-2ce1-3bee-a34d-bbb1b3a7751f"]},{"id":"ITEM-5","itemData":{"DOI":"10.1016/j.dental.2014.12.010","ISSN":"01095641","PMID":"25582061","abstract":"Objectives The aim was to evaluate the polymerization properties of bulk-fill resin composites using two different light-curing protocols, in terms of degree of conversion (%DC), Vickers hardness (HV), polymerization volume shrinkage (PVS) and polymerization shrinkage stress (PSS) and compare them to conventional condensable and flowable resin composites. Materials and methods Filtek BulkFill (FBF, 3MESPE, Germany), SDR (Dentsply, Germany), TetricEvoCeram BulkFill (TBF, Ivoclar-Vivadent, Liechtenstein), Venus BulkFill (VBF, Heraeus, Germany), X-traBase (XTB, Voco, Germany), FiltekZ250 (3MESPE) and Filtek Supreme XTE Flowable (FSF, 3MESPE) were investigated. Light-curing was performed for 30 s or according to manufacturers' instructions (1200 mW/cm2, Bluephase20i, Ivoclar-Vivadent). For %DC and HV, discs (n = 5) of 2 or 4 mm in thickness were prepared and stored for 24 h in distilled water at 37 °C. %DC was determined by FTIR-ATR-spectroscopy. %DC and HV were measured at the top and bottom of the specimens. PVS was measured using Archimedes method (n = 6). PSS measurements (n = 10) were carried out using 5 mm diameter PMMA rods as bonding substrates with a specimen height of 1 mm in a universal testing machine. Data were analyzed using one- and two-way ANOVA (α = 0.05). Results Except Z250 in the manufacturers' light-curing mode, all materials showed no significant inferior %DC at 4 mm thickness. When light cured for 30 s Z250 had no significant differences in %DC at 2 or 4 mm when compared to top. FBF, TBF, FSF and Z250 displayed significant reduced HV at 4 mm in both curing modes. Z250 and TBF showed the lowest PVS and FSF the highest PSS in both curing modes. Significance All investigated bulk-fill composites obtained sufficient polymerization properties at 4 mm depth. Enhanced curing time improved the investigated polymerization properties of bulk-fills and Z250.","author":[{"dropping-particle":"","family":"Zorzin","given":"José","non-dropping-particle":"","parse-names":false,"suffix":""},{"dropping-particle":"","family":"Maier","given":"Eva","non-dropping-particle":"","parse-names":false,"suffix":""},{"dropping-particle":"","family":"Harre","given":"Sarah","non-dropping-particle":"","parse-names":false,"suffix":""},{"dropping-particle":"","family":"Fey","given":"Tobias","non-dropping-particle":"","parse-names":false,"suffix":""},{"dropping-particle":"","family":"Belli","given":"Renan","non-dropping-particle":"","parse-names":false,"suffix":""},{"dropping-particle":"","family":"Lohbauer","given":"Ulrich","non-dropping-particle":"","parse-names":false,"suffix":""},{"dropping-particle":"","family":"Petschelt","given":"Anselm","non-dropping-particle":"","parse-names":false,"suffix":""},{"dropping-particle":"","family":"Taschner","given":"Michael","non-dropping-particle":"","parse-names":false,"suffix":""}],"container-title":"Dental Materials","id":"ITEM-5","issue":"3","issued":{"date-parts":[["2015","3","1"]]},"page":"293-301","publisher":"Elsevier Inc.","title":"Bulk-fill resin composites: Polymerization properties and extended light curing","type":"article-journal","volume":"31"},"uris":["http://www.mendeley.com/documents/?uuid=0dfbddcd-8cb0-3bf3-87dd-b0d3b8c1d2a0"]},{"id":"ITEM-6","itemData":{"DOI":"10.1016/S0142-9418(02)00052-1","ISSN":"01429418","abstract":"Polymer composites have been used in dental applications for more than 25 years. Although their properties and behavior have been systematically improved, they still are not able to produce dental restorations chemically, dimensionally and mechanically stable for long periods of time. Low degrees of monomer conversion and poor processing control are some of the main features responsible for the materials instability. In this work, the monomer conversion of dental composites during visible light irradiation was in situ monitored by infrared spectroscopy. The relationship between degree of conversion and mechanical properties was obtained by evaluating the microhardness of composites with different degrees of conversion. The relationship obtained was then used to identify the evolution of the mechanical properties during photopolymerization. © 2002 Elsevier Science Ltd. All rights reserved.","author":[{"dropping-particle":"","family":"Oréfice","given":"R.L","non-dropping-particle":"","parse-names":false,"suffix":""},{"dropping-particle":"","family":"Discacciati","given":"J.A.C","non-dropping-particle":"","parse-names":false,"suffix":""},{"dropping-particle":"","family":"Neves","given":"A.D","non-dropping-particle":"","parse-names":false,"suffix":""},{"dropping-particle":"","family":"Mansur","given":"H.S","non-dropping-particle":"","parse-names":false,"suffix":""},{"dropping-particle":"","family":"Jansen","given":"W.C","non-dropping-particle":"","parse-names":false,"suffix":""}],"container-title":"Polymer Testing","id":"ITEM-6","issue":"1","issued":{"date-parts":[["2003","2","1"]]},"page":"77-81","publisher":"Elsevier","title":"In situ evaluation of the polymerization kinetics and corresponding evolution of the mechanical properties of dental composites","type":"article-journal","volume":"22"},"uris":["http://www.mendeley.com/documents/?uuid=b275594c-8f60-31cf-afa8-9d6fff4e096d"]}],"mendeley":{"formattedCitation":"[48], [51], [58]–[61]","plainTextFormattedCitation":"[48], [51], [58]–[61]","previouslyFormattedCitation":"[48], [51], [58]–[61]"},"properties":{"noteIndex":0},"schema":"https://github.com/citation-style-language/schema/raw/master/csl-citation.json"}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[48], [51], [58]–[61]</w:t>
      </w:r>
      <w:r w:rsidRPr="00115FB0">
        <w:rPr>
          <w:rFonts w:ascii="Times New Roman" w:hAnsi="Times New Roman" w:cs="Times New Roman"/>
        </w:rPr>
        <w:fldChar w:fldCharType="end"/>
      </w:r>
      <w:r w:rsidRPr="00115FB0">
        <w:rPr>
          <w:rFonts w:ascii="Times New Roman" w:hAnsi="Times New Roman" w:cs="Times New Roman"/>
        </w:rPr>
        <w:t xml:space="preserve">, and Vickers microhardness has been shown to have a linear relationship with FTIR DC in some resins </w:t>
      </w:r>
      <w:r w:rsidRPr="00115FB0">
        <w:rPr>
          <w:rFonts w:ascii="Times New Roman" w:hAnsi="Times New Roman" w:cs="Times New Roman"/>
        </w:rPr>
        <w:fldChar w:fldCharType="begin" w:fldLock="1"/>
      </w:r>
      <w:r>
        <w:rPr>
          <w:rFonts w:ascii="Times New Roman" w:hAnsi="Times New Roman" w:cs="Times New Roman"/>
        </w:rPr>
        <w:instrText>ADDIN CSL_CITATION {"citationItems":[{"id":"ITEM-1","itemData":{"DOI":"10.1016/S0142-9418(02)00052-1","ISSN":"01429418","abstract":"Polymer composites have been used in dental applications for more than 25 years. Although their properties and behavior have been systematically improved, they still are not able to produce dental restorations chemically, dimensionally and mechanically stable for long periods of time. Low degrees of monomer conversion and poor processing control are some of the main features responsible for the materials instability. In this work, the monomer conversion of dental composites during visible light irradiation was in situ monitored by infrared spectroscopy. The relationship between degree of conversion and mechanical properties was obtained by evaluating the microhardness of composites with different degrees of conversion. The relationship obtained was then used to identify the evolution of the mechanical properties during photopolymerization. © 2002 Elsevier Science Ltd. All rights reserved.","author":[{"dropping-particle":"","family":"Oréfice","given":"R.L","non-dropping-particle":"","parse-names":false,"suffix":""},{"dropping-particle":"","family":"Discacciati","given":"J.A.C","non-dropping-particle":"","parse-names":false,"suffix":""},{"dropping-particle":"","family":"Neves","given":"A.D","non-dropping-particle":"","parse-names":false,"suffix":""},{"dropping-particle":"","family":"Mansur","given":"H.S","non-dropping-particle":"","parse-names":false,"suffix":""},{"dropping-particle":"","family":"Jansen","given":"W.C","non-dropping-particle":"","parse-names":false,"suffix":""}],"container-title":"Polymer Testing","id":"ITEM-1","issue":"1","issued":{"date-parts":[["2003","2","1"]]},"page":"77-81","publisher":"Elsevier","title":"In situ evaluation of the polymerization kinetics and corresponding evolution of the mechanical properties of dental composites","type":"article-journal","volume":"22"},"uris":["http://www.mendeley.com/documents/?uuid=b275594c-8f60-31cf-afa8-9d6fff4e096d"]}],"mendeley":{"formattedCitation":"[51]","plainTextFormattedCitation":"[51]","previouslyFormattedCitation":"[51]"},"properties":{"noteIndex":0},"schema":"https://github.com/citation-style-language/schema/raw/master/csl-citation.json"}</w:instrText>
      </w:r>
      <w:r w:rsidRPr="00115FB0">
        <w:rPr>
          <w:rFonts w:ascii="Times New Roman" w:hAnsi="Times New Roman" w:cs="Times New Roman"/>
        </w:rPr>
        <w:fldChar w:fldCharType="separate"/>
      </w:r>
      <w:r w:rsidRPr="00115FB0">
        <w:rPr>
          <w:rFonts w:ascii="Times New Roman" w:hAnsi="Times New Roman" w:cs="Times New Roman"/>
          <w:noProof/>
        </w:rPr>
        <w:t>[51]</w:t>
      </w:r>
      <w:r w:rsidRPr="00115FB0">
        <w:rPr>
          <w:rFonts w:ascii="Times New Roman" w:hAnsi="Times New Roman" w:cs="Times New Roman"/>
        </w:rPr>
        <w:fldChar w:fldCharType="end"/>
      </w:r>
      <w:r w:rsidRPr="00115FB0">
        <w:rPr>
          <w:rFonts w:ascii="Times New Roman" w:hAnsi="Times New Roman" w:cs="Times New Roman"/>
        </w:rPr>
        <w:t xml:space="preserve">.  </w:t>
      </w:r>
    </w:p>
    <w:p w14:paraId="1CD81436" w14:textId="3F5204D8" w:rsidR="00115FB0" w:rsidRPr="00115FB0" w:rsidRDefault="00115FB0" w:rsidP="009D06D1">
      <w:pPr>
        <w:pStyle w:val="Heading3"/>
      </w:pPr>
      <w:bookmarkStart w:id="29" w:name="_Toc101701724"/>
      <w:r>
        <w:t>Bis-EMA cure in Photopolymers</w:t>
      </w:r>
      <w:bookmarkEnd w:id="29"/>
    </w:p>
    <w:p w14:paraId="4AB8D54D" w14:textId="77777777" w:rsidR="00115FB0" w:rsidRPr="00115FB0" w:rsidRDefault="00115FB0" w:rsidP="00115FB0">
      <w:pPr>
        <w:spacing w:line="360" w:lineRule="auto"/>
        <w:rPr>
          <w:rFonts w:ascii="Times New Roman" w:hAnsi="Times New Roman" w:cs="Times New Roman"/>
        </w:rPr>
      </w:pPr>
    </w:p>
    <w:p w14:paraId="5507C5A6" w14:textId="25B7E90D" w:rsidR="000F4D4E" w:rsidRDefault="00115FB0" w:rsidP="00115FB0">
      <w:pPr>
        <w:spacing w:line="360" w:lineRule="auto"/>
        <w:rPr>
          <w:rFonts w:ascii="Times New Roman" w:hAnsi="Times New Roman" w:cs="Times New Roman"/>
        </w:rPr>
      </w:pPr>
      <w:r>
        <w:rPr>
          <w:rFonts w:ascii="Times New Roman" w:hAnsi="Times New Roman" w:cs="Times New Roman"/>
        </w:rPr>
        <w:t xml:space="preserve">Bis-EMA is often used as one component in dental photopolymers, and ultimate DC can vary for a given formula composition, light intensity and spectral output, UV dose, ambient conditions, etc.  </w:t>
      </w:r>
      <w:proofErr w:type="spellStart"/>
      <w:r>
        <w:rPr>
          <w:rFonts w:ascii="Times New Roman" w:hAnsi="Times New Roman" w:cs="Times New Roman"/>
        </w:rPr>
        <w:t>LeCamp</w:t>
      </w:r>
      <w:proofErr w:type="spellEnd"/>
      <w:r>
        <w:rPr>
          <w:rFonts w:ascii="Times New Roman" w:hAnsi="Times New Roman" w:cs="Times New Roman"/>
        </w:rPr>
        <w:t xml:space="preserve"> et al. measured a maximum absolute DC of ~62% using Photo-DSC for Bis-EMA irradiated at ambient temperature.  However, at a curing temperature of 90 ºC, the DC increased to ~85%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{"citationItems":[{"id":"ITEM-1","itemData":{"DOI":"10.1016/S0032-3861(97)00184-5","ISSN":"00323861","abstract":"The photoinitiated polymerization of dimethacrylate oligomer with 2,2-dimethyl-2-hydroxy acetophenone (Darocur 1173) as radical photoinitiator was studied by using isothermal photocalorimetry. The effect of temperature, light intensity and photoinitiator concentration on reaction was investigated. The maximum conversion was obtained at temperature near 90°C. This temperature is above the glass transition temperature of the resulting material and below the thermal polymerization temperature of the reacting system. Above 90°C, thermal polymerization interferes on photocalorimetric measures. Assuming that glass transition temperature of the final polymer and conversion are connected, we have estimated thermal conversion. A maximum conversion was obtained for a photoinitiator concentration of 1 % (w/w) and for the highest light intensity studied (2.7 mW cm-2). © 1997 Elsevier Science Ltd.","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-1","issue":"25","issued":{"date-parts":[["1997","1","1"]]},"page":"6089-6096","publisher":"Elsevier BV","title":"Photoinitiated polymerization of a dimethacrylate oligomer: 1. Influence of photoinitiator concentration, temperature and light intensity","type":"article-journal","volume":"38"},"uris":["http://www.mendeley.com/documents/?uuid=b6a3e6c5-9113-392e-9916-b54352b8c0b3"]}],"mendeley":{"formattedCitation":"[49]","plainTextFormattedCitation":"[49]","previouslyFormattedCitation":"[49]"},"properties":{"noteIndex":0},"schema":"https://github.com/citation-style-language/schema/raw/master/csl-citation.json"}</w:instrText>
      </w:r>
      <w:r>
        <w:rPr>
          <w:rFonts w:ascii="Times New Roman" w:hAnsi="Times New Roman" w:cs="Times New Roman"/>
        </w:rPr>
        <w:fldChar w:fldCharType="separate"/>
      </w:r>
      <w:r w:rsidRPr="00115FB0">
        <w:rPr>
          <w:rFonts w:ascii="Times New Roman" w:hAnsi="Times New Roman" w:cs="Times New Roman"/>
          <w:noProof/>
        </w:rPr>
        <w:t>[49]</w:t>
      </w:r>
      <w:r>
        <w:rPr>
          <w:rFonts w:ascii="Times New Roman" w:hAnsi="Times New Roman" w:cs="Times New Roman"/>
        </w:rPr>
        <w:fldChar w:fldCharType="end"/>
      </w:r>
      <w:r>
        <w:rPr>
          <w:rFonts w:ascii="Times New Roman" w:hAnsi="Times New Roman" w:cs="Times New Roman"/>
        </w:rPr>
        <w:t xml:space="preserve">.  </w:t>
      </w:r>
      <w:proofErr w:type="spellStart"/>
      <w:r>
        <w:rPr>
          <w:rFonts w:ascii="Times New Roman" w:hAnsi="Times New Roman" w:cs="Times New Roman"/>
        </w:rPr>
        <w:t>Collares</w:t>
      </w:r>
      <w:proofErr w:type="spellEnd"/>
      <w:r>
        <w:rPr>
          <w:rFonts w:ascii="Times New Roman" w:hAnsi="Times New Roman" w:cs="Times New Roman"/>
        </w:rPr>
        <w:t xml:space="preserve"> et al. irradiated &gt;1 mm thickness specimens for 40 s under a 1.2 W/cm</w:t>
      </w:r>
      <w:r w:rsidRPr="00115FB0">
        <w:rPr>
          <w:rFonts w:ascii="Times New Roman" w:hAnsi="Times New Roman" w:cs="Times New Roman"/>
          <w:vertAlign w:val="superscript"/>
        </w:rPr>
        <w:t>2</w:t>
      </w:r>
      <w:r>
        <w:rPr>
          <w:rFonts w:ascii="Times New Roman" w:hAnsi="Times New Roman" w:cs="Times New Roman"/>
        </w:rPr>
        <w:t xml:space="preserve"> LED, reporting a maximum ambient cure DC of 78% via FTIR.  They discussed various baselines and peaks for measuring Bis-EMA DC via FTIR, and concluded that the 1608 cm</w:t>
      </w:r>
      <w:r w:rsidRPr="00115FB0">
        <w:rPr>
          <w:rFonts w:ascii="Times New Roman" w:hAnsi="Times New Roman" w:cs="Times New Roman"/>
          <w:vertAlign w:val="superscript"/>
        </w:rPr>
        <w:t>-1</w:t>
      </w:r>
      <w:r>
        <w:rPr>
          <w:rFonts w:ascii="Times New Roman" w:hAnsi="Times New Roman" w:cs="Times New Roman"/>
        </w:rPr>
        <w:t xml:space="preserve"> reference peak and 1637 cm</w:t>
      </w:r>
      <w:r w:rsidRPr="00115FB0">
        <w:rPr>
          <w:rFonts w:ascii="Times New Roman" w:hAnsi="Times New Roman" w:cs="Times New Roman"/>
          <w:vertAlign w:val="superscript"/>
        </w:rPr>
        <w:t>-1</w:t>
      </w:r>
      <w:r>
        <w:rPr>
          <w:rFonts w:ascii="Times New Roman" w:hAnsi="Times New Roman" w:cs="Times New Roman"/>
        </w:rPr>
        <w:t xml:space="preserve"> methacrylate peak as shown in Equation 4 provided results most consistent with other published literature </w:t>
      </w:r>
      <w:r>
        <w:rPr>
          <w:rFonts w:ascii="Times New Roman" w:hAnsi="Times New Roman" w:cs="Times New Roman"/>
        </w:rPr>
        <w:fldChar w:fldCharType="begin" w:fldLock="1"/>
      </w:r>
      <w:r>
        <w:rPr>
          <w:rFonts w:ascii="Times New Roman" w:hAnsi="Times New Roman" w:cs="Times New Roman"/>
        </w:rPr>
        <w:instrText>ADDIN CSL_CITATION {"citationItems":[{"id":"ITEM-1","itemData":{"DOI":"10.1590/S1806-83242013000600002","ISSN":"18073107","PMID":"24402058","abstract":"The purpose of this study was to evaluate the influence of the internal standard peak on the measured degree of conversion (DC) for methacrylate-based resins analyzed by Fourier-transform infrared spectroscopy (FTIR). The influence of different baseline measurement methods was also determined. Different blends were prepared, mixing BisGMA/BisEMA and BisGMA/TEGDMA at proportions of 0% to 100%, in weight. Camphoroquinone and ethyl-4-dimethylaminobenzoate were used to permit the light activation of blends. Degree of conversion was evaluated using FTIR equipped with an attenuated total reflectance (ATR) device. Samples were dispensed onto ATR crystal and light activated for 40 s. The DC was calculated by relating the height of the peak 1637 cm-1 to the intensity of different internal standard peaks (1715, 1608, or 1582 cm-1), measured using two different baseline methods, before and after polymerization. Data were compared by ANOVA at 5% significance. The relationship between DC and monomer ratio was obtained by regression analysis. Double-bond conversion ranged from 32.75% to 78.50% for BisGMA/BisEMA blends, and from 32.75% to 76.22% for BisGMA/TEGDMA blends. For the BisGMA/BisEMA blends, the DC showed a linear association with the composition of the comonomer blends, independent of the internal standard peak and baseline method used. In contrast, the trends in DC for BisGMA/TEGDMA blends were different for each method of measurement. The internal standard peaks and measurement baseline should be taken into account when using FTIR to calculate the DC of methacrylate-based resins, especially comonomer blends containing a high degree of monomers that lack aromatic rings.","author":[{"dropping-particle":"","family":"Collares","given":"Fabrício Mezzomo","non-dropping-particle":"","parse-names":false,"suffix":""},{"dropping-particle":"","family":"Portella","given":"Fernando Freitas","non-dropping-particle":"","parse-names":false,"suffix":""},{"dropping-particle":"","family":"Leitune","given":"Vicente Castelo Branco","non-dropping-particle":"","parse-names":false,"suffix":""},{"dropping-particle":"","family":"Samuel","given":"Susana Maria Werner","non-dropping-particle":"","parse-names":false,"suffix":""}],"container-title":"Brazilian Oral Research","id":"ITEM-1","issue":"1","issued":{"date-parts":[["2014","1","1"]]},"page":"9-15","publisher":"Sociedade Brasileira de Hematologia e Hemoterapia","title":"Discrepancies in degree of conversion measurements by FTIR","type":"article-journal","volume":"28"},"uris":["http://www.mendeley.com/documents/?uuid=65d2fc25-0cbf-3165-8578-c367d2fca7d8"]}],"mendeley":{"formattedCitation":"[31]","plainTextFormattedCitation":"[31]","previouslyFormattedCitation":"[31]"},"properties":{"noteIndex":0},"schema":"https://github.com/citation-style-language/schema/raw/master/csl-citation.json"}</w:instrText>
      </w:r>
      <w:r>
        <w:rPr>
          <w:rFonts w:ascii="Times New Roman" w:hAnsi="Times New Roman" w:cs="Times New Roman"/>
        </w:rPr>
        <w:fldChar w:fldCharType="separate"/>
      </w:r>
      <w:r w:rsidRPr="00115FB0">
        <w:rPr>
          <w:rFonts w:ascii="Times New Roman" w:hAnsi="Times New Roman" w:cs="Times New Roman"/>
          <w:noProof/>
        </w:rPr>
        <w:t>[31]</w:t>
      </w:r>
      <w:r>
        <w:rPr>
          <w:rFonts w:ascii="Times New Roman" w:hAnsi="Times New Roman" w:cs="Times New Roman"/>
        </w:rPr>
        <w:fldChar w:fldCharType="end"/>
      </w:r>
      <w:r>
        <w:rPr>
          <w:rFonts w:ascii="Times New Roman" w:hAnsi="Times New Roman" w:cs="Times New Roman"/>
        </w:rPr>
        <w:t xml:space="preserve">.  </w:t>
      </w:r>
    </w:p>
    <w:p w14:paraId="541AF16D" w14:textId="77777777" w:rsidR="00115FB0" w:rsidRDefault="00115FB0" w:rsidP="00115FB0">
      <w:pPr>
        <w:spacing w:line="360" w:lineRule="auto"/>
        <w:rPr>
          <w:rFonts w:ascii="Times New Roman" w:hAnsi="Times New Roman" w:cs="Times New Roman"/>
        </w:rPr>
      </w:pPr>
    </w:p>
    <w:p w14:paraId="314B20B6" w14:textId="75624109" w:rsidR="00115FB0" w:rsidRPr="00115FB0" w:rsidRDefault="00115FB0" w:rsidP="00115FB0">
      <w:pPr>
        <w:spacing w:line="360" w:lineRule="auto"/>
        <w:rPr>
          <w:rFonts w:ascii="Times New Roman" w:hAnsi="Times New Roman" w:cs="Times New Roman"/>
        </w:rPr>
      </w:pPr>
      <m:oMathPara>
        <m:oMath>
          <m:r>
            <m:rPr>
              <m:sty m:val="p"/>
            </m:rPr>
            <w:rPr>
              <w:rFonts w:ascii="Cambria Math" w:hAnsi="Cambria Math" w:cs="Times New Roman"/>
            </w:rPr>
            <w:lastRenderedPageBreak/>
            <m:t>%</m:t>
          </m:r>
          <m:r>
            <w:rPr>
              <w:rFonts w:ascii="Cambria Math" w:hAnsi="Cambria Math" w:cs="Times New Roman"/>
            </w:rPr>
            <m:t>DC</m:t>
          </m:r>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 xml:space="preserve">1637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num>
                        <m:den>
                          <m:r>
                            <m:rPr>
                              <m:sty m:val="p"/>
                            </m:rPr>
                            <w:rPr>
                              <w:rFonts w:ascii="Cambria Math" w:hAnsi="Cambria Math" w:cs="Times New Roman"/>
                            </w:rPr>
                            <m:t xml:space="preserve">1608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den>
                      </m:f>
                    </m:e>
                  </m:d>
                  <m:r>
                    <m:rPr>
                      <m:sty m:val="p"/>
                    </m:rPr>
                    <w:rPr>
                      <w:rFonts w:ascii="Cambria Math" w:hAnsi="Cambria Math" w:cs="Times New Roman"/>
                    </w:rPr>
                    <m:t xml:space="preserve">  </m:t>
                  </m:r>
                  <m:r>
                    <w:rPr>
                      <w:rFonts w:ascii="Cambria Math" w:hAnsi="Cambria Math" w:cs="Times New Roman"/>
                    </w:rPr>
                    <m:t>Peak</m:t>
                  </m:r>
                  <m:r>
                    <m:rPr>
                      <m:sty m:val="p"/>
                    </m:rPr>
                    <w:rPr>
                      <w:rFonts w:ascii="Cambria Math" w:hAnsi="Cambria Math" w:cs="Times New Roman"/>
                    </w:rPr>
                    <m:t xml:space="preserve"> </m:t>
                  </m:r>
                  <m:r>
                    <w:rPr>
                      <w:rFonts w:ascii="Cambria Math" w:hAnsi="Cambria Math" w:cs="Times New Roman"/>
                    </w:rPr>
                    <m:t>height</m:t>
                  </m:r>
                  <m:r>
                    <m:rPr>
                      <m:sty m:val="p"/>
                    </m:rPr>
                    <w:rPr>
                      <w:rFonts w:ascii="Cambria Math" w:hAnsi="Cambria Math" w:cs="Times New Roman"/>
                    </w:rPr>
                    <m:t xml:space="preserve"> </m:t>
                  </m:r>
                  <m:r>
                    <w:rPr>
                      <w:rFonts w:ascii="Cambria Math" w:hAnsi="Cambria Math" w:cs="Times New Roman"/>
                    </w:rPr>
                    <m:t>cured</m:t>
                  </m:r>
                </m:num>
                <m:den>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 xml:space="preserve">1637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num>
                        <m:den>
                          <m:r>
                            <m:rPr>
                              <m:sty m:val="p"/>
                            </m:rPr>
                            <w:rPr>
                              <w:rFonts w:ascii="Cambria Math" w:hAnsi="Cambria Math" w:cs="Times New Roman"/>
                            </w:rPr>
                            <m:t xml:space="preserve">1608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den>
                      </m:f>
                    </m:e>
                  </m:d>
                  <m:r>
                    <m:rPr>
                      <m:sty m:val="p"/>
                    </m:rPr>
                    <w:rPr>
                      <w:rFonts w:ascii="Cambria Math" w:hAnsi="Cambria Math" w:cs="Times New Roman"/>
                    </w:rPr>
                    <m:t xml:space="preserve">  </m:t>
                  </m:r>
                  <m:r>
                    <w:rPr>
                      <w:rFonts w:ascii="Cambria Math" w:hAnsi="Cambria Math" w:cs="Times New Roman"/>
                    </w:rPr>
                    <m:t>Peak</m:t>
                  </m:r>
                  <m:r>
                    <m:rPr>
                      <m:sty m:val="p"/>
                    </m:rPr>
                    <w:rPr>
                      <w:rFonts w:ascii="Cambria Math" w:hAnsi="Cambria Math" w:cs="Times New Roman"/>
                    </w:rPr>
                    <m:t xml:space="preserve"> </m:t>
                  </m:r>
                  <m:r>
                    <w:rPr>
                      <w:rFonts w:ascii="Cambria Math" w:hAnsi="Cambria Math" w:cs="Times New Roman"/>
                    </w:rPr>
                    <m:t>height</m:t>
                  </m:r>
                  <m:r>
                    <m:rPr>
                      <m:sty m:val="p"/>
                    </m:rPr>
                    <w:rPr>
                      <w:rFonts w:ascii="Cambria Math" w:hAnsi="Cambria Math" w:cs="Times New Roman"/>
                    </w:rPr>
                    <m:t xml:space="preserve"> </m:t>
                  </m:r>
                  <m:r>
                    <w:rPr>
                      <w:rFonts w:ascii="Cambria Math" w:hAnsi="Cambria Math" w:cs="Times New Roman"/>
                    </w:rPr>
                    <m:t>uncured</m:t>
                  </m:r>
                </m:den>
              </m:f>
            </m:e>
          </m:d>
          <m:r>
            <m:rPr>
              <m:sty m:val="p"/>
            </m:rPr>
            <w:rPr>
              <w:rFonts w:ascii="Cambria Math" w:hAnsi="Cambria Math" w:cs="Times New Roman"/>
            </w:rPr>
            <m:t xml:space="preserve"> </m:t>
          </m:r>
          <m:r>
            <w:rPr>
              <w:rFonts w:ascii="Cambria Math" w:hAnsi="Cambria Math" w:cs="Times New Roman"/>
            </w:rPr>
            <m:t>x</m:t>
          </m:r>
          <m:r>
            <m:rPr>
              <m:sty m:val="p"/>
            </m:rPr>
            <w:rPr>
              <w:rFonts w:ascii="Cambria Math" w:hAnsi="Cambria Math" w:cs="Times New Roman"/>
            </w:rPr>
            <m:t xml:space="preserve"> 100  (4)</m:t>
          </m:r>
        </m:oMath>
      </m:oMathPara>
    </w:p>
    <w:p w14:paraId="5565FFB0" w14:textId="450EE1DF" w:rsidR="00115FB0" w:rsidRDefault="00115FB0" w:rsidP="00115FB0">
      <w:pPr>
        <w:spacing w:line="360" w:lineRule="auto"/>
        <w:rPr>
          <w:rFonts w:ascii="Times New Roman" w:hAnsi="Times New Roman" w:cs="Times New Roman"/>
        </w:rPr>
      </w:pPr>
    </w:p>
    <w:p w14:paraId="66FC072B" w14:textId="002183CB" w:rsidR="00115FB0" w:rsidRDefault="00115FB0" w:rsidP="00115FB0">
      <w:pPr>
        <w:spacing w:line="360" w:lineRule="auto"/>
        <w:rPr>
          <w:rFonts w:ascii="Times New Roman" w:hAnsi="Times New Roman" w:cs="Times New Roman"/>
        </w:rPr>
      </w:pPr>
      <w:r>
        <w:rPr>
          <w:rFonts w:ascii="Times New Roman" w:hAnsi="Times New Roman" w:cs="Times New Roman"/>
        </w:rPr>
        <w:t>The highest maximum DC found for a Bis-EMA system was 93.7%, reported by Par et. al. and measured using Raman Spectroscopy with peaks of 1640 cm</w:t>
      </w:r>
      <w:r w:rsidRPr="00115FB0">
        <w:rPr>
          <w:rFonts w:ascii="Times New Roman" w:hAnsi="Times New Roman" w:cs="Times New Roman"/>
          <w:vertAlign w:val="superscript"/>
        </w:rPr>
        <w:t xml:space="preserve">-1 </w:t>
      </w:r>
      <w:r>
        <w:rPr>
          <w:rFonts w:ascii="Times New Roman" w:hAnsi="Times New Roman" w:cs="Times New Roman"/>
        </w:rPr>
        <w:t>and 1610 cm</w:t>
      </w:r>
      <w:r w:rsidRPr="00115FB0">
        <w:rPr>
          <w:rFonts w:ascii="Times New Roman" w:hAnsi="Times New Roman" w:cs="Times New Roman"/>
          <w:vertAlign w:val="superscript"/>
        </w:rPr>
        <w:t>-1</w:t>
      </w:r>
      <w:r>
        <w:rPr>
          <w:rFonts w:ascii="Times New Roman" w:hAnsi="Times New Roman" w:cs="Times New Roman"/>
        </w:rPr>
        <w:t>.  This high DC was obtained with a 60:40 blend of Bis-EMA and TEGDMA, and measured after a UV dose of 23.7 J/cm</w:t>
      </w:r>
      <w:r w:rsidRPr="00115FB0">
        <w:rPr>
          <w:rFonts w:ascii="Times New Roman" w:hAnsi="Times New Roman" w:cs="Times New Roman"/>
          <w:vertAlign w:val="superscript"/>
        </w:rPr>
        <w:t>2</w:t>
      </w:r>
      <w:r>
        <w:rPr>
          <w:rFonts w:ascii="Times New Roman" w:hAnsi="Times New Roman" w:cs="Times New Roman"/>
        </w:rPr>
        <w:t xml:space="preserve"> and a 1 hr post cure at 150 ºC </w:t>
      </w:r>
      <w:r>
        <w:rPr>
          <w:rFonts w:ascii="Times New Roman" w:hAnsi="Times New Roman" w:cs="Times New Roman"/>
        </w:rPr>
        <w:fldChar w:fldCharType="begin" w:fldLock="1"/>
      </w:r>
      <w:r>
        <w:rPr>
          <w:rFonts w:ascii="Times New Roman" w:hAnsi="Times New Roman" w:cs="Times New Roman"/>
        </w:rPr>
        <w:instrText>ADDIN CSL_CITATION {"citationItems":[{"id":"ITEM-1","itemData":{"DOI":"10.1038/s41598-019-54035-y","ISSN":"20452322","PMID":"31754180","abstract":"Resin composites containing reinforcing inert glass fillers combined with bioactive glass (BG) can aid in the prevention of secondary caries, which is a major cause of failure of contemporary composite restorations. A series of previous studies on experimental resin composites filled with BG 45S5 has demonstrated that methacrylate resin polymerization can be impaired by the addition of unsilanized BG, leading to lower degrees of conversion (DC). In order to distinguish whether the polymerization inhibition is caused by a direct (temperature-independent) effect of BG or an indirect (temperature-dependent) effect of restricted mobility of reactive species, this study used Raman spectroscopy to evaluate the DC values of experimental composites post-cured at 37 °C and 150 °C. The potential of BG to adversely affect DC was highly dependent on the resin system. The highest DC reduction was observed in the resin system based on ethoxylated bisphenol A dimethacrylate (Bis-EMA), followed by bisphenol A glycidyl methacrylate (Bis-GMA). In contrast, the DC for urethane dimethacrylate (UDMA) was not compromised by BG. Increasing the mobility of reactive species by heating at 150 °C showed limited potential for increasing the DC in the Bis-EMA and Bis-GMA resin systems, indicating a direct inhibitory effect of BG on polymerization.","author":[{"dropping-particle":"","family":"Par","given":"Matej","non-dropping-particle":"","parse-names":false,"suffix":""},{"dropping-particle":"","family":"Spanovic","given":"Nika","non-dropping-particle":"","parse-names":false,"suffix":""},{"dropping-particle":"","family":"Tauböck","given":"Tobias T.","non-dropping-particle":"","parse-names":false,"suffix":""},{"dropping-particle":"","family":"Attin","given":"Thomas","non-dropping-particle":"","parse-names":false,"suffix":""},{"dropping-particle":"","family":"Tarle","given":"Zrinka","non-dropping-particle":"","parse-names":false,"suffix":""}],"container-title":"Scientific Reports","id":"ITEM-1","issue":"1","issued":{"date-parts":[["2019","12","1"]]},"page":"1-9","publisher":"Nature Research","title":"Degree of conversion of experimental resin composites containing bioactive glass 45S5: the effect of post-cure heating","type":"article-journal","volume":"9"},"uris":["http://www.mendeley.com/documents/?uuid=58c49c87-b3d2-3b75-ba6a-5519e3293fc2"]}],"mendeley":{"formattedCitation":"[29]","plainTextFormattedCitation":"[29]","previouslyFormattedCitation":"[29]"},"properties":{"noteIndex":0},"schema":"https://github.com/citation-style-language/schema/raw/master/csl-citation.json"}</w:instrText>
      </w:r>
      <w:r>
        <w:rPr>
          <w:rFonts w:ascii="Times New Roman" w:hAnsi="Times New Roman" w:cs="Times New Roman"/>
        </w:rPr>
        <w:fldChar w:fldCharType="separate"/>
      </w:r>
      <w:r w:rsidRPr="00115FB0">
        <w:rPr>
          <w:rFonts w:ascii="Times New Roman" w:hAnsi="Times New Roman" w:cs="Times New Roman"/>
          <w:noProof/>
        </w:rPr>
        <w:t>[29]</w:t>
      </w:r>
      <w:r>
        <w:rPr>
          <w:rFonts w:ascii="Times New Roman" w:hAnsi="Times New Roman" w:cs="Times New Roman"/>
        </w:rPr>
        <w:fldChar w:fldCharType="end"/>
      </w:r>
      <w:r>
        <w:rPr>
          <w:rFonts w:ascii="Times New Roman" w:hAnsi="Times New Roman" w:cs="Times New Roman"/>
        </w:rPr>
        <w:t xml:space="preserve">.  While Par et al. did not discuss the influence of TEGDMA on ultimate DC, their findings confirm the potential benefit of thermal post curing, which has previously been shown to increase photopolymer DC </w:t>
      </w:r>
      <w:r>
        <w:rPr>
          <w:rFonts w:ascii="Times New Roman" w:eastAsiaTheme="minorEastAsia" w:hAnsi="Times New Roman" w:cs="Times New Roman"/>
        </w:rPr>
        <w:fldChar w:fldCharType="begin" w:fldLock="1"/>
      </w:r>
      <w:r w:rsidR="0033427D">
        <w:rPr>
          <w:rFonts w:ascii="Times New Roman" w:eastAsiaTheme="minorEastAsia" w:hAnsi="Times New Roman" w:cs="Times New Roman"/>
        </w:rPr>
        <w:instrText>ADDIN CSL_CITATION {"citationItems":[{"id":"ITEM-1","itemData":{"DOI":"10.1002/pola.1987.080250227","ISSN":"0887624X","author":[{"dropping-particle":"","family":"Decker","given":"C.","non-dropping-particle":"","parse-names":false,"suffix":""},{"dropping-particle":"","family":"Moussa","given":"K.","non-dropping-particle":"","parse-names":false,"suffix":""}],"container-title":"Journal of Polymer Science Part A: Polymer Chemistry","id":"ITEM-1","issue":"2","issued":{"date-parts":[["1987","2","1"]]},"page":"739-742","publisher":"John Wiley &amp; Sons, Ltd","title":"Radical trapping in photopolymerized acrylic networks","type":"article-journal","volume":"25"},"uris":["http://www.mendeley.com/documents/?uuid=e2a3dc3b-61bf-310e-a7cd-901577694a41"]},{"id":"ITEM-2","itemData":{"DOI":"10.1002/pi.821","ISSN":"09598103","abstract":"Light-induced polymerization of multifunctional monomers is a powerful method to transform a liquid resin into a solid polymer almost instantly, selectively in the illuminated areas. The reaction can conveniently be followed by real-time infrared spectroscopy, a technique which records directly conversion versus time curves in photosensitive resins undergoing ultrafast curing upon UV or laser exposure. The photoinitiator was shown to play a key role in laser-induced polymerization because of the monochromatic character of the emitted radiation. By using highly sensitive acrylate photoresists, relief images of micronic size were obtained by fast scanning with a focused laser beam. The laser direct imaging technology makes image transfer obsolete and eliminates the manufacture of photolithographic masks. Polymer networks of different architectures have been obtained by UV irradiation of various monomer blends: acrylate-epoxide, acrylate-vinyl ether, acrylate-polyene, vinyl ether-maleate and thiol-polyene. With monomers polymerizing by different mechanisms, ie radical and cationic types, interpenetrating polymer networks have been generated upon UV exposure in the presence of adequate photoinitiators. The crosslinking reaction was also performed in the solid state on polybutadiene which was plasticized with a multifunctional acrylate or thiol monomer. Thermoplastic elastomers were transformed within a fraction of a second into an insoluble material showing a greatly improved resistance to heat and chemicals, because of the tight polymer network formed. © 2002 Society of Chemical Industry.","author":[{"dropping-particle":"","family":"Decker","given":"Christian","non-dropping-particle":"","parse-names":false,"suffix":""}],"container-title":"Polymer International","id":"ITEM-2","issue":"11","issued":{"date-parts":[["2002","11","1"]]},"page":"1141-1150","publisher":"John Wiley &amp; Sons, Ltd","title":"Light-induced crosslinking polymerization","type":"article-journal","volume":"51"},"uris":["http://www.mendeley.com/documents/?uuid=3d0b4d3a-17fa-39ea-8b2c-c838d10161ac"]}],"mendeley":{"formattedCitation":"[62], [63]","plainTextFormattedCitation":"[62], [63]","previouslyFormattedCitation":"[62], [63]"},"properties":{"noteIndex":0},"schema":"https://github.com/citation-style-language/schema/raw/master/csl-citation.json"}</w:instrText>
      </w:r>
      <w:r>
        <w:rPr>
          <w:rFonts w:ascii="Times New Roman" w:eastAsiaTheme="minorEastAsia" w:hAnsi="Times New Roman" w:cs="Times New Roman"/>
        </w:rPr>
        <w:fldChar w:fldCharType="separate"/>
      </w:r>
      <w:r w:rsidRPr="00115FB0">
        <w:rPr>
          <w:rFonts w:ascii="Times New Roman" w:eastAsiaTheme="minorEastAsia" w:hAnsi="Times New Roman" w:cs="Times New Roman"/>
          <w:noProof/>
        </w:rPr>
        <w:t>[62], [63]</w:t>
      </w:r>
      <w:r>
        <w:rPr>
          <w:rFonts w:ascii="Times New Roman" w:eastAsiaTheme="minorEastAsia" w:hAnsi="Times New Roman" w:cs="Times New Roman"/>
        </w:rPr>
        <w:fldChar w:fldCharType="end"/>
      </w:r>
      <w:r w:rsidRPr="00670343">
        <w:rPr>
          <w:rFonts w:ascii="Times New Roman" w:eastAsiaTheme="minorEastAsia" w:hAnsi="Times New Roman" w:cs="Times New Roman"/>
        </w:rPr>
        <w:t xml:space="preserve">.  </w:t>
      </w:r>
    </w:p>
    <w:p w14:paraId="40581EC4" w14:textId="2CF4CA6C" w:rsidR="00115FB0" w:rsidRPr="00115FB0" w:rsidRDefault="00115FB0" w:rsidP="009D06D1">
      <w:pPr>
        <w:pStyle w:val="Heading3"/>
      </w:pPr>
      <w:bookmarkStart w:id="30" w:name="_Toc101701725"/>
      <w:r>
        <w:t>Preliminary DC findings for Polynt Bis-EMA</w:t>
      </w:r>
      <w:bookmarkEnd w:id="30"/>
    </w:p>
    <w:p w14:paraId="0C6EF64C" w14:textId="17EB7B02" w:rsidR="000F4D4E" w:rsidRDefault="000F4D4E" w:rsidP="00400D64">
      <w:pPr>
        <w:rPr>
          <w:rFonts w:ascii="Times New Roman" w:hAnsi="Times New Roman" w:cs="Times New Roman"/>
        </w:rPr>
      </w:pPr>
    </w:p>
    <w:p w14:paraId="3FDAB473" w14:textId="28DF2D2A" w:rsidR="000F4D4E" w:rsidRDefault="00115FB0" w:rsidP="00115FB0">
      <w:pPr>
        <w:spacing w:line="360" w:lineRule="auto"/>
        <w:rPr>
          <w:rFonts w:ascii="Times New Roman" w:hAnsi="Times New Roman" w:cs="Times New Roman"/>
        </w:rPr>
      </w:pPr>
      <w:r>
        <w:rPr>
          <w:rFonts w:ascii="Times New Roman" w:hAnsi="Times New Roman" w:cs="Times New Roman"/>
        </w:rPr>
        <w:t xml:space="preserve">As discussed in the Appendices, the Bis-EMA supplied by Polynt and used in this dissertation differs from dental grade Bis-EMA.  It has a higher residual methacrylic acid content, unknown inhibitor package and reduced light transmission, but it is also available at lower cost and is better suited to LFAM applications.  </w:t>
      </w:r>
    </w:p>
    <w:p w14:paraId="14D4667F" w14:textId="77777777" w:rsidR="00115FB0" w:rsidRDefault="00115FB0" w:rsidP="00115FB0">
      <w:pPr>
        <w:spacing w:line="360" w:lineRule="auto"/>
        <w:rPr>
          <w:rFonts w:ascii="Times New Roman" w:hAnsi="Times New Roman" w:cs="Times New Roman"/>
        </w:rPr>
      </w:pPr>
    </w:p>
    <w:p w14:paraId="226E1CB9" w14:textId="32B5EE9A" w:rsidR="00131DE6" w:rsidRDefault="00131DE6" w:rsidP="00115FB0">
      <w:pPr>
        <w:spacing w:line="360" w:lineRule="auto"/>
        <w:rPr>
          <w:rFonts w:ascii="Times New Roman" w:hAnsi="Times New Roman" w:cs="Times New Roman"/>
        </w:rPr>
      </w:pPr>
      <w:r>
        <w:rPr>
          <w:rFonts w:ascii="Times New Roman" w:hAnsi="Times New Roman" w:cs="Times New Roman"/>
        </w:rPr>
        <w:t>To understand</w:t>
      </w:r>
      <w:r w:rsidR="00115FB0">
        <w:rPr>
          <w:rFonts w:ascii="Times New Roman" w:hAnsi="Times New Roman" w:cs="Times New Roman"/>
        </w:rPr>
        <w:t xml:space="preserve"> the ultimate DC for the Polynt Bis-EMA, several preliminary tests were conducted by the resin supplier and the results were provided to the author.  The resin was formulated as a thermoset, with 1% BPO as initiator.  A DSC thermal sweep of 0 ºC to 250 ºC was performed on the uncured resin, and the</w:t>
      </w:r>
      <w:r>
        <w:rPr>
          <w:rFonts w:ascii="Times New Roman" w:hAnsi="Times New Roman" w:cs="Times New Roman"/>
        </w:rPr>
        <w:t xml:space="preserve"> reported</w:t>
      </w:r>
      <w:r w:rsidR="00115FB0">
        <w:rPr>
          <w:rFonts w:ascii="Times New Roman" w:hAnsi="Times New Roman" w:cs="Times New Roman"/>
        </w:rPr>
        <w:t xml:space="preserve"> heat of reaction </w:t>
      </w:r>
      <w:r>
        <w:rPr>
          <w:rFonts w:ascii="Times New Roman" w:hAnsi="Times New Roman" w:cs="Times New Roman"/>
        </w:rPr>
        <w:t>was</w:t>
      </w:r>
      <w:r w:rsidR="00115FB0">
        <w:rPr>
          <w:rFonts w:ascii="Times New Roman" w:hAnsi="Times New Roman" w:cs="Times New Roman"/>
        </w:rPr>
        <w:t xml:space="preserve"> 207 J/g </w:t>
      </w:r>
      <w:r>
        <w:rPr>
          <w:rFonts w:ascii="Times New Roman" w:hAnsi="Times New Roman" w:cs="Times New Roman"/>
        </w:rPr>
        <w:t>-</w:t>
      </w:r>
      <w:r w:rsidR="00115FB0">
        <w:rPr>
          <w:rFonts w:ascii="Times New Roman" w:hAnsi="Times New Roman" w:cs="Times New Roman"/>
        </w:rPr>
        <w:t xml:space="preserve"> 220 J/g (see </w:t>
      </w:r>
      <w:r w:rsidR="00115FB0" w:rsidRPr="00115FB0">
        <w:rPr>
          <w:rFonts w:ascii="Times New Roman" w:hAnsi="Times New Roman" w:cs="Times New Roman"/>
        </w:rPr>
        <w:fldChar w:fldCharType="begin"/>
      </w:r>
      <w:r w:rsidR="00115FB0" w:rsidRPr="00115FB0">
        <w:rPr>
          <w:rFonts w:ascii="Times New Roman" w:hAnsi="Times New Roman" w:cs="Times New Roman"/>
        </w:rPr>
        <w:instrText xml:space="preserve"> REF _Ref101186968 \h </w:instrText>
      </w:r>
      <w:r w:rsidR="00115FB0">
        <w:rPr>
          <w:rFonts w:ascii="Times New Roman" w:hAnsi="Times New Roman" w:cs="Times New Roman"/>
        </w:rPr>
        <w:instrText xml:space="preserve"> \* MERGEFORMAT </w:instrText>
      </w:r>
      <w:r w:rsidR="00115FB0" w:rsidRPr="00115FB0">
        <w:rPr>
          <w:rFonts w:ascii="Times New Roman" w:hAnsi="Times New Roman" w:cs="Times New Roman"/>
        </w:rPr>
      </w:r>
      <w:r w:rsidR="00115FB0" w:rsidRPr="00115FB0">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11</w:t>
      </w:r>
      <w:r w:rsidR="00115FB0" w:rsidRPr="00115FB0">
        <w:rPr>
          <w:rFonts w:ascii="Times New Roman" w:hAnsi="Times New Roman" w:cs="Times New Roman"/>
        </w:rPr>
        <w:fldChar w:fldCharType="end"/>
      </w:r>
      <w:r w:rsidR="00115FB0">
        <w:rPr>
          <w:rFonts w:ascii="Times New Roman" w:hAnsi="Times New Roman" w:cs="Times New Roman"/>
        </w:rPr>
        <w:t xml:space="preserve">).  </w:t>
      </w:r>
      <w:r>
        <w:rPr>
          <w:rFonts w:ascii="Times New Roman" w:hAnsi="Times New Roman" w:cs="Times New Roman"/>
        </w:rPr>
        <w:t>Similar thermal sweeps were performed on cured specimens</w:t>
      </w:r>
      <w:r w:rsidR="00894BE9">
        <w:rPr>
          <w:rFonts w:ascii="Times New Roman" w:hAnsi="Times New Roman" w:cs="Times New Roman"/>
        </w:rPr>
        <w:t xml:space="preserve"> after</w:t>
      </w:r>
      <w:r>
        <w:rPr>
          <w:rFonts w:ascii="Times New Roman" w:hAnsi="Times New Roman" w:cs="Times New Roman"/>
        </w:rPr>
        <w:t xml:space="preserve"> with a three-step post cure regimen of 16 hrs 54 ºC, 2 hrs at 66 ºC and 2 hrs at 121 ºC</w:t>
      </w:r>
      <w:r w:rsidR="00894BE9">
        <w:rPr>
          <w:rFonts w:ascii="Times New Roman" w:hAnsi="Times New Roman" w:cs="Times New Roman"/>
        </w:rPr>
        <w:t>.</w:t>
      </w:r>
      <w:r>
        <w:rPr>
          <w:rFonts w:ascii="Times New Roman" w:hAnsi="Times New Roman" w:cs="Times New Roman"/>
        </w:rPr>
        <w:t xml:space="preserve"> </w:t>
      </w:r>
      <w:r w:rsidR="00894BE9">
        <w:rPr>
          <w:rFonts w:ascii="Times New Roman" w:hAnsi="Times New Roman" w:cs="Times New Roman"/>
        </w:rPr>
        <w:t>The resin supplier reported</w:t>
      </w:r>
      <w:r>
        <w:rPr>
          <w:rFonts w:ascii="Times New Roman" w:hAnsi="Times New Roman" w:cs="Times New Roman"/>
        </w:rPr>
        <w:t xml:space="preserve"> a 100% relative DC (no observable exotherm).  </w:t>
      </w:r>
    </w:p>
    <w:p w14:paraId="336AFBCE" w14:textId="77777777" w:rsidR="00131DE6" w:rsidRDefault="00131DE6" w:rsidP="00115FB0">
      <w:pPr>
        <w:spacing w:line="360" w:lineRule="auto"/>
        <w:rPr>
          <w:rFonts w:ascii="Times New Roman" w:hAnsi="Times New Roman" w:cs="Times New Roman"/>
        </w:rPr>
      </w:pPr>
    </w:p>
    <w:p w14:paraId="6C8F5C33" w14:textId="133A537F" w:rsidR="00115FB0" w:rsidRDefault="00131DE6" w:rsidP="00115FB0">
      <w:pPr>
        <w:spacing w:line="360" w:lineRule="auto"/>
        <w:rPr>
          <w:rFonts w:ascii="Times New Roman" w:hAnsi="Times New Roman" w:cs="Times New Roman"/>
        </w:rPr>
      </w:pPr>
      <w:r>
        <w:rPr>
          <w:rFonts w:ascii="Times New Roman" w:hAnsi="Times New Roman" w:cs="Times New Roman"/>
        </w:rPr>
        <w:t>FTIR results for the same thermoset cure conditions showed that the post cured specimen achieved 90.5% DC</w:t>
      </w:r>
      <w:r w:rsidR="00894BE9">
        <w:rPr>
          <w:rFonts w:ascii="Times New Roman" w:hAnsi="Times New Roman" w:cs="Times New Roman"/>
        </w:rPr>
        <w:t>, which will be the target FTIR DC for the photopolymer formulation work in this dissertation.</w:t>
      </w:r>
      <w:r>
        <w:rPr>
          <w:rFonts w:ascii="Times New Roman" w:hAnsi="Times New Roman" w:cs="Times New Roman"/>
        </w:rPr>
        <w:t xml:space="preserve">  The resin supplier recommended a post cure cycle of 2 hrs at 66 ºC and 2 hrs at 121 ºC for subsequent photopolymer work.</w:t>
      </w:r>
    </w:p>
    <w:p w14:paraId="3FAA27C6" w14:textId="77777777" w:rsidR="000525E4" w:rsidRDefault="000525E4" w:rsidP="000525E4">
      <w:pPr>
        <w:keepNext/>
        <w:jc w:val="center"/>
      </w:pPr>
      <w:r w:rsidRPr="000525E4">
        <w:rPr>
          <w:rFonts w:ascii="Times New Roman" w:hAnsi="Times New Roman" w:cs="Times New Roman"/>
          <w:noProof/>
        </w:rPr>
        <w:lastRenderedPageBreak/>
        <w:drawing>
          <wp:inline distT="0" distB="0" distL="0" distR="0" wp14:anchorId="2C367C9E" wp14:editId="1B7838C3">
            <wp:extent cx="3997842" cy="3004106"/>
            <wp:effectExtent l="0" t="0" r="3175" b="6350"/>
            <wp:docPr id="69" name="Picture 8" descr="Chart&#10;&#10;Description automatically generated">
              <a:extLst xmlns:a="http://schemas.openxmlformats.org/drawingml/2006/main">
                <a:ext uri="{FF2B5EF4-FFF2-40B4-BE49-F238E27FC236}">
                  <a16:creationId xmlns:a16="http://schemas.microsoft.com/office/drawing/2014/main" id="{1BD8832F-FC70-4D5F-BF3F-9A402BAEA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8" descr="Chart&#10;&#10;Description automatically generated">
                      <a:extLst>
                        <a:ext uri="{FF2B5EF4-FFF2-40B4-BE49-F238E27FC236}">
                          <a16:creationId xmlns:a16="http://schemas.microsoft.com/office/drawing/2014/main" id="{1BD8832F-FC70-4D5F-BF3F-9A402BAEA7D4}"/>
                        </a:ext>
                      </a:extLst>
                    </pic:cNvPr>
                    <pic:cNvPicPr>
                      <a:picLocks noChangeAspect="1"/>
                    </pic:cNvPicPr>
                  </pic:nvPicPr>
                  <pic:blipFill>
                    <a:blip r:embed="rId20"/>
                    <a:stretch>
                      <a:fillRect/>
                    </a:stretch>
                  </pic:blipFill>
                  <pic:spPr>
                    <a:xfrm>
                      <a:off x="0" y="0"/>
                      <a:ext cx="4010000" cy="3013242"/>
                    </a:xfrm>
                    <a:prstGeom prst="rect">
                      <a:avLst/>
                    </a:prstGeom>
                  </pic:spPr>
                </pic:pic>
              </a:graphicData>
            </a:graphic>
          </wp:inline>
        </w:drawing>
      </w:r>
    </w:p>
    <w:p w14:paraId="68E47F93" w14:textId="5A63BD47" w:rsidR="00400D64" w:rsidRDefault="000525E4" w:rsidP="00F20503">
      <w:pPr>
        <w:pStyle w:val="Caption"/>
      </w:pPr>
      <w:bookmarkStart w:id="31" w:name="_Ref101180689"/>
      <w:bookmarkStart w:id="32" w:name="_Toc101365672"/>
      <w:r w:rsidRPr="00115FB0">
        <w:t xml:space="preserve">Figure </w:t>
      </w:r>
      <w:r w:rsidR="002F73EC">
        <w:fldChar w:fldCharType="begin"/>
      </w:r>
      <w:r w:rsidR="002F73EC">
        <w:instrText xml:space="preserve"> SEQ Figure \* ARABIC </w:instrText>
      </w:r>
      <w:r w:rsidR="002F73EC">
        <w:fldChar w:fldCharType="separate"/>
      </w:r>
      <w:r w:rsidR="00BF5717">
        <w:rPr>
          <w:noProof/>
        </w:rPr>
        <w:t>10</w:t>
      </w:r>
      <w:r w:rsidR="002F73EC">
        <w:rPr>
          <w:noProof/>
        </w:rPr>
        <w:fldChar w:fldCharType="end"/>
      </w:r>
      <w:bookmarkEnd w:id="31"/>
      <w:r w:rsidR="00115FB0" w:rsidRPr="00115FB0">
        <w:rPr>
          <w:noProof/>
        </w:rPr>
        <w:t xml:space="preserve"> Degree of conversion is measured in FTIR by monitoring the </w:t>
      </w:r>
      <w:r w:rsidR="00115FB0">
        <w:rPr>
          <w:noProof/>
        </w:rPr>
        <w:t>decrease</w:t>
      </w:r>
      <w:r w:rsidR="00115FB0" w:rsidRPr="00115FB0">
        <w:rPr>
          <w:noProof/>
        </w:rPr>
        <w:t xml:space="preserve"> in</w:t>
      </w:r>
      <w:r w:rsidR="00115FB0">
        <w:rPr>
          <w:noProof/>
        </w:rPr>
        <w:t xml:space="preserve"> absorbance from</w:t>
      </w:r>
      <w:r w:rsidR="00115FB0" w:rsidRPr="00115FB0">
        <w:rPr>
          <w:noProof/>
        </w:rPr>
        <w:t xml:space="preserve"> a reactive peak relative to a reference peak</w:t>
      </w:r>
      <w:r w:rsidRPr="00115FB0">
        <w:t xml:space="preserve"> (Reproduced from </w:t>
      </w:r>
      <w:r w:rsidRPr="00115FB0">
        <w:fldChar w:fldCharType="begin" w:fldLock="1"/>
      </w:r>
      <w:r w:rsidR="0033427D">
        <w:instrText>ADDIN CSL_CITATION {"citationItems":[{"id":"ITEM-1","itemData":{"DOI":"10.1021/acs.macromol.9b01439","ISSN":"15205835","abstract":"In this study, the effect of different process conditions on the material properties of a single UV-cured layer of methacrylate resin, typically used in the stereolithography (SLA) process, is assessed. This simplified approach of the SLA process gives the opportunity to study the link between process conditions and mechanical properties without complicated interactions between different layers. Fourier-transform infrared analysis is performed to study the effect of light intensity, curing time, and initiator concentration on the monomer conversion. A model is developed based on the reaction kinetics of photopolymerization that describes and predicts the experimental data. The effect of curing time and light intensity on the glass-transition temperature is studied. A unique relation exists between conversion and glass-transition temperature, independent of the light intensity and curing time. Tensile tests on UV-cured resin show an increase in yield stress with increasing curing time and a linear relation between glass-transition temperature and yield stress. However, a lower light intensity leads to a different network structure characterized by a lower yield stress and glass-transition temperature. The correlations between process conditions and the mechanical properties of UV-cured methacrylate systems are established to better understand the role of the processing parameters involved in the SLA process.","author":[{"dropping-particle":"","family":"Anastasio","given":"R.","non-dropping-particle":"","parse-names":false,"suffix":""},{"dropping-particle":"","family":"Peerbooms","given":"W.","non-dropping-particle":"","parse-names":false,"suffix":""},{"dropping-particle":"","family":"Cardinaels","given":"R.","non-dropping-particle":"","parse-names":false,"suffix":""},{"dropping-particle":"","family":"Breemen","given":"L. C.A.","non-dropping-particle":"Van","parse-names":false,"suffix":""}],"container-title":"Macromolecules","id":"ITEM-1","issue":"23","issued":{"date-parts":[["2019","12","10"]]},"page":"9220-9231","publisher":"American Chemical Society","title":"Characterization of Ultraviolet-Cured Methacrylate Networks: From Photopolymerization to Ultimate Mechanical Properties","type":"article-journal","volume":"52"},"uris":["http://www.mendeley.com/documents/?uuid=4b8775ef-38cb-3c40-a708-4e89f992a7a5"]}],"mendeley":{"formattedCitation":"[64]","plainTextFormattedCitation":"[64]","previouslyFormattedCitation":"[64]"},"properties":{"noteIndex":0},"schema":"https://github.com/citation-style-language/schema/raw/master/csl-citation.json"}</w:instrText>
      </w:r>
      <w:r w:rsidRPr="00115FB0">
        <w:fldChar w:fldCharType="separate"/>
      </w:r>
      <w:r w:rsidR="00115FB0" w:rsidRPr="00115FB0">
        <w:rPr>
          <w:noProof/>
        </w:rPr>
        <w:t>[64]</w:t>
      </w:r>
      <w:r w:rsidRPr="00115FB0">
        <w:fldChar w:fldCharType="end"/>
      </w:r>
      <w:r w:rsidRPr="00115FB0">
        <w:t>)</w:t>
      </w:r>
      <w:r w:rsidR="00894BE9">
        <w:t>.</w:t>
      </w:r>
      <w:bookmarkEnd w:id="32"/>
    </w:p>
    <w:p w14:paraId="274AB22B" w14:textId="77A1E460" w:rsidR="00115FB0" w:rsidRDefault="00115FB0" w:rsidP="00115FB0"/>
    <w:p w14:paraId="1154155D" w14:textId="61C456D7" w:rsidR="00115FB0" w:rsidRDefault="00115FB0" w:rsidP="00115FB0"/>
    <w:p w14:paraId="08C13E03" w14:textId="77777777" w:rsidR="00115FB0" w:rsidRDefault="00115FB0" w:rsidP="00894BE9">
      <w:pPr>
        <w:keepNext/>
        <w:jc w:val="center"/>
      </w:pPr>
      <w:r>
        <w:rPr>
          <w:noProof/>
        </w:rPr>
        <w:drawing>
          <wp:inline distT="0" distB="0" distL="0" distR="0" wp14:anchorId="3B4FDFBC" wp14:editId="7E8491FE">
            <wp:extent cx="5369442" cy="3529289"/>
            <wp:effectExtent l="0" t="0" r="3175" b="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pic:nvPicPr>
                  <pic:blipFill>
                    <a:blip r:embed="rId21"/>
                    <a:stretch>
                      <a:fillRect/>
                    </a:stretch>
                  </pic:blipFill>
                  <pic:spPr>
                    <a:xfrm>
                      <a:off x="0" y="0"/>
                      <a:ext cx="5374336" cy="3532506"/>
                    </a:xfrm>
                    <a:prstGeom prst="rect">
                      <a:avLst/>
                    </a:prstGeom>
                  </pic:spPr>
                </pic:pic>
              </a:graphicData>
            </a:graphic>
          </wp:inline>
        </w:drawing>
      </w:r>
    </w:p>
    <w:p w14:paraId="52E63C90" w14:textId="734CB547" w:rsidR="00115FB0" w:rsidRPr="00115FB0" w:rsidRDefault="00115FB0" w:rsidP="00F20503">
      <w:pPr>
        <w:pStyle w:val="Caption"/>
      </w:pPr>
      <w:bookmarkStart w:id="33" w:name="_Ref101186968"/>
      <w:bookmarkStart w:id="34" w:name="_Toc101365673"/>
      <w:r>
        <w:t xml:space="preserve">Figure </w:t>
      </w:r>
      <w:r w:rsidR="002F73EC">
        <w:fldChar w:fldCharType="begin"/>
      </w:r>
      <w:r w:rsidR="002F73EC">
        <w:instrText xml:space="preserve"> SEQ Figure \* ARABIC </w:instrText>
      </w:r>
      <w:r w:rsidR="002F73EC">
        <w:fldChar w:fldCharType="separate"/>
      </w:r>
      <w:r w:rsidR="00BF5717">
        <w:rPr>
          <w:noProof/>
        </w:rPr>
        <w:t>11</w:t>
      </w:r>
      <w:r w:rsidR="002F73EC">
        <w:rPr>
          <w:noProof/>
        </w:rPr>
        <w:fldChar w:fldCharType="end"/>
      </w:r>
      <w:bookmarkEnd w:id="33"/>
      <w:r>
        <w:t xml:space="preserve"> Thermal DSC results for Bis-EMA formulated as thermoset, showing exothermic reaction peak (provided by Polynt USA)</w:t>
      </w:r>
      <w:r w:rsidR="00894BE9">
        <w:t>.</w:t>
      </w:r>
      <w:bookmarkEnd w:id="34"/>
    </w:p>
    <w:p w14:paraId="56811571" w14:textId="1F1CFEF1" w:rsidR="006F1981" w:rsidRDefault="006F1981" w:rsidP="00DB3040">
      <w:pPr>
        <w:pStyle w:val="Heading2"/>
      </w:pPr>
      <w:bookmarkStart w:id="35" w:name="_Toc101701726"/>
      <w:r>
        <w:lastRenderedPageBreak/>
        <w:t>Photopolymer Formulation for LFAM</w:t>
      </w:r>
      <w:bookmarkEnd w:id="35"/>
    </w:p>
    <w:p w14:paraId="31207954" w14:textId="198798F8" w:rsidR="006F1981" w:rsidRDefault="006F1981" w:rsidP="006F1981">
      <w:pPr>
        <w:spacing w:line="360" w:lineRule="auto"/>
        <w:rPr>
          <w:rFonts w:ascii="Times New Roman" w:eastAsiaTheme="minorEastAsia" w:hAnsi="Times New Roman" w:cs="Times New Roman"/>
        </w:rPr>
      </w:pPr>
      <w:r>
        <w:rPr>
          <w:rFonts w:ascii="Times New Roman" w:eastAsiaTheme="minorEastAsia" w:hAnsi="Times New Roman" w:cs="Times New Roman"/>
        </w:rPr>
        <w:t>A primary objective in LFAM printing is to achieve high material deposition rates with materials that have adequate properties for a given end</w:t>
      </w:r>
      <w:r w:rsidR="0041449C">
        <w:rPr>
          <w:rFonts w:ascii="Times New Roman" w:eastAsiaTheme="minorEastAsia" w:hAnsi="Times New Roman" w:cs="Times New Roman"/>
        </w:rPr>
        <w:t>-</w:t>
      </w:r>
      <w:r>
        <w:rPr>
          <w:rFonts w:ascii="Times New Roman" w:eastAsiaTheme="minorEastAsia" w:hAnsi="Times New Roman" w:cs="Times New Roman"/>
        </w:rPr>
        <w:t>use.  If Bis-EMA photopolymers can achieve the properties reported by the manufacturer for thermoset formulations, they should be well-suited for application in oven/autoclave cure tooling applications.  In determining the suitability of Bis-EMA for use in LFAM, several questions remain:</w:t>
      </w:r>
    </w:p>
    <w:p w14:paraId="054EBA9B" w14:textId="77777777" w:rsidR="00C530A3" w:rsidRDefault="00C530A3" w:rsidP="00C530A3">
      <w:pPr>
        <w:spacing w:line="276" w:lineRule="auto"/>
        <w:rPr>
          <w:rFonts w:ascii="Times New Roman" w:eastAsiaTheme="minorEastAsia" w:hAnsi="Times New Roman" w:cs="Times New Roman"/>
        </w:rPr>
      </w:pPr>
    </w:p>
    <w:p w14:paraId="45DB46DC" w14:textId="77777777" w:rsidR="006F1981" w:rsidRPr="003E5741" w:rsidRDefault="006F1981" w:rsidP="000F4D4E">
      <w:pPr>
        <w:pStyle w:val="ListParagraph"/>
        <w:rPr>
          <w:b/>
          <w:bCs/>
        </w:rPr>
      </w:pPr>
      <w:r w:rsidRPr="003E5741">
        <w:t>What is considered “full cure” for a Bis-EMA photopolymer, and how rapidly can photopolymers achieve full cure throughout a 2-4 mm layer thickness?</w:t>
      </w:r>
    </w:p>
    <w:p w14:paraId="083A3A5F" w14:textId="77777777" w:rsidR="006F1981" w:rsidRPr="003E5741" w:rsidRDefault="006F1981" w:rsidP="000F4D4E">
      <w:pPr>
        <w:pStyle w:val="ListParagraph"/>
        <w:rPr>
          <w:b/>
          <w:bCs/>
        </w:rPr>
      </w:pPr>
      <w:r w:rsidRPr="003E5741">
        <w:t>At full cure, is a Bis-EMA photopolymer suitable for use in oven/autoclave tooling applications?</w:t>
      </w:r>
    </w:p>
    <w:p w14:paraId="3CDDF6D3" w14:textId="77777777" w:rsidR="006F1981" w:rsidRPr="003E5741" w:rsidRDefault="006F1981" w:rsidP="000F4D4E">
      <w:pPr>
        <w:pStyle w:val="ListParagraph"/>
        <w:rPr>
          <w:b/>
          <w:bCs/>
        </w:rPr>
      </w:pPr>
      <w:r w:rsidRPr="003E5741">
        <w:t>How does the presence of a monomer influence the cure speed at LFAM layer thickness?</w:t>
      </w:r>
    </w:p>
    <w:p w14:paraId="2A52CBDA" w14:textId="77777777" w:rsidR="006F1981" w:rsidRPr="003E5741" w:rsidRDefault="006F1981" w:rsidP="000F4D4E">
      <w:pPr>
        <w:pStyle w:val="ListParagraph"/>
        <w:rPr>
          <w:b/>
          <w:bCs/>
        </w:rPr>
      </w:pPr>
      <w:r w:rsidRPr="003E5741">
        <w:t>Can through-thickness cure speed be reduced with PI selection and concentration?</w:t>
      </w:r>
    </w:p>
    <w:p w14:paraId="456343CF" w14:textId="77777777" w:rsidR="006F1981" w:rsidRPr="003E5741" w:rsidRDefault="006F1981" w:rsidP="000F4D4E">
      <w:pPr>
        <w:pStyle w:val="ListParagraph"/>
        <w:rPr>
          <w:b/>
          <w:bCs/>
        </w:rPr>
      </w:pPr>
      <w:r w:rsidRPr="003E5741">
        <w:t>As irradiation time decreases and theoretical material deposition rate increases, how does the cure gradient within a layer change?</w:t>
      </w:r>
    </w:p>
    <w:p w14:paraId="0C2D3F55" w14:textId="77777777" w:rsidR="006F1981" w:rsidRPr="003E5741" w:rsidRDefault="006F1981" w:rsidP="000F4D4E">
      <w:pPr>
        <w:pStyle w:val="ListParagraph"/>
        <w:rPr>
          <w:b/>
          <w:bCs/>
        </w:rPr>
      </w:pPr>
      <w:r w:rsidRPr="003E5741">
        <w:t>To what extent can multiple irradiation cycles improve cure in a previous layer?</w:t>
      </w:r>
    </w:p>
    <w:p w14:paraId="3EE35F45" w14:textId="77777777" w:rsidR="006F1981" w:rsidRPr="003E5741" w:rsidRDefault="006F1981" w:rsidP="000F4D4E">
      <w:pPr>
        <w:pStyle w:val="ListParagraph"/>
        <w:rPr>
          <w:b/>
          <w:bCs/>
        </w:rPr>
      </w:pPr>
      <w:r w:rsidRPr="003E5741">
        <w:t>What influence does a reinforcing filler such as fiberglass have on curing?</w:t>
      </w:r>
    </w:p>
    <w:p w14:paraId="33CAA72B" w14:textId="77777777" w:rsidR="006F1981" w:rsidRPr="003E5741" w:rsidRDefault="006F1981" w:rsidP="000F4D4E">
      <w:pPr>
        <w:pStyle w:val="ListParagraph"/>
        <w:rPr>
          <w:b/>
          <w:bCs/>
        </w:rPr>
      </w:pPr>
      <w:r w:rsidRPr="003E5741">
        <w:t xml:space="preserve">What influence does irradiation time have on the adhesion between printed layers of fiberglass reinforced photopolymer?  </w:t>
      </w:r>
    </w:p>
    <w:p w14:paraId="007BF2F1" w14:textId="5C7EB466" w:rsidR="006F1981" w:rsidRPr="003E5741" w:rsidRDefault="006F1981" w:rsidP="000F4D4E">
      <w:pPr>
        <w:pStyle w:val="ListParagraph"/>
        <w:rPr>
          <w:b/>
          <w:bCs/>
        </w:rPr>
      </w:pPr>
      <w:r w:rsidRPr="003E5741">
        <w:t xml:space="preserve">Does thermal post curing improve layer adhesion? </w:t>
      </w:r>
    </w:p>
    <w:p w14:paraId="2E23C49E" w14:textId="77777777" w:rsidR="006F1981" w:rsidRDefault="006F1981" w:rsidP="006F1981">
      <w:pPr>
        <w:spacing w:line="360" w:lineRule="auto"/>
        <w:rPr>
          <w:rFonts w:ascii="Times New Roman" w:eastAsiaTheme="minorEastAsia" w:hAnsi="Times New Roman" w:cs="Times New Roman"/>
        </w:rPr>
      </w:pPr>
    </w:p>
    <w:p w14:paraId="41648DE0" w14:textId="0D5DA2D7" w:rsidR="006F1981" w:rsidRPr="00CF4A8A" w:rsidRDefault="006F1981" w:rsidP="006F1981">
      <w:pPr>
        <w:spacing w:line="360" w:lineRule="auto"/>
        <w:rPr>
          <w:rFonts w:ascii="Times New Roman" w:hAnsi="Times New Roman" w:cs="Times New Roman"/>
        </w:rPr>
      </w:pPr>
      <w:r>
        <w:rPr>
          <w:rFonts w:ascii="Times New Roman" w:eastAsiaTheme="minorEastAsia" w:hAnsi="Times New Roman" w:cs="Times New Roman"/>
        </w:rPr>
        <w:t>The work presented in this dissertation attempts to address these questions and p</w:t>
      </w:r>
      <w:r w:rsidR="00CF4A8A">
        <w:rPr>
          <w:rFonts w:ascii="Times New Roman" w:eastAsiaTheme="minorEastAsia" w:hAnsi="Times New Roman" w:cs="Times New Roman"/>
        </w:rPr>
        <w:t>rovides</w:t>
      </w:r>
      <w:r>
        <w:rPr>
          <w:rFonts w:ascii="Times New Roman" w:eastAsiaTheme="minorEastAsia" w:hAnsi="Times New Roman" w:cs="Times New Roman"/>
        </w:rPr>
        <w:t xml:space="preserve"> a detailed study of Bis-EMA as a potential photopolymer for LFAM applications.  </w:t>
      </w:r>
      <w:r w:rsidR="0041449C">
        <w:rPr>
          <w:rFonts w:ascii="Times New Roman" w:eastAsiaTheme="minorEastAsia" w:hAnsi="Times New Roman" w:cs="Times New Roman"/>
        </w:rPr>
        <w:t>Several controls were in place to limit the scope in conducting this research</w:t>
      </w:r>
      <w:r>
        <w:rPr>
          <w:rFonts w:ascii="Times New Roman" w:eastAsiaTheme="minorEastAsia" w:hAnsi="Times New Roman" w:cs="Times New Roman"/>
        </w:rPr>
        <w:t>.  First, the lamp system used was an Altair 75 area lamp with a light</w:t>
      </w:r>
      <w:r w:rsidR="0041449C">
        <w:rPr>
          <w:rFonts w:ascii="Times New Roman" w:eastAsiaTheme="minorEastAsia" w:hAnsi="Times New Roman" w:cs="Times New Roman"/>
        </w:rPr>
        <w:t>-</w:t>
      </w:r>
      <w:r>
        <w:rPr>
          <w:rFonts w:ascii="Times New Roman" w:eastAsiaTheme="minorEastAsia" w:hAnsi="Times New Roman" w:cs="Times New Roman"/>
        </w:rPr>
        <w:t xml:space="preserve">emitting diode (LED) array and reported peak emission at 395 nm wavelength.  This lamp was maintained at a constant 10 mm distance from the polymer surface, with irradiation intensity held constant as much as could be allowed by the various mold configurations employed.  Second, all through-thickness cure testing was performed on specimens at an optimal layer thickness </w:t>
      </w:r>
      <w:r>
        <w:rPr>
          <w:rFonts w:ascii="Times New Roman" w:eastAsiaTheme="minorEastAsia" w:hAnsi="Times New Roman" w:cs="Times New Roman"/>
        </w:rPr>
        <w:lastRenderedPageBreak/>
        <w:t xml:space="preserve">of 3 mm, representing an average value for the typical layer thicknesses in LFAM.  Third, the only reinforcing fiber used was fiberglass, and no other fillers were used in formulations.  While additional fillers such as fumed silica are often used in material extrusion AM methods for photopolymers, the primary objective of this research was to study Bis-EMA as an oligomer for LFAM.  This research should not be considered an exhaustive study of the many possible formulation combinations, </w:t>
      </w:r>
      <w:r w:rsidR="004F7C9E">
        <w:rPr>
          <w:rFonts w:ascii="Times New Roman" w:eastAsiaTheme="minorEastAsia" w:hAnsi="Times New Roman" w:cs="Times New Roman"/>
        </w:rPr>
        <w:t>nor does it</w:t>
      </w:r>
      <w:r>
        <w:rPr>
          <w:rFonts w:ascii="Times New Roman" w:eastAsiaTheme="minorEastAsia" w:hAnsi="Times New Roman" w:cs="Times New Roman"/>
        </w:rPr>
        <w:t xml:space="preserve"> attempt to recommend a complete formulation for LFAM.  I</w:t>
      </w:r>
      <w:r w:rsidR="004F7C9E">
        <w:rPr>
          <w:rFonts w:ascii="Times New Roman" w:eastAsiaTheme="minorEastAsia" w:hAnsi="Times New Roman" w:cs="Times New Roman"/>
        </w:rPr>
        <w:t xml:space="preserve">nstead, it is </w:t>
      </w:r>
      <w:r>
        <w:rPr>
          <w:rFonts w:ascii="Times New Roman" w:eastAsiaTheme="minorEastAsia" w:hAnsi="Times New Roman" w:cs="Times New Roman"/>
        </w:rPr>
        <w:t xml:space="preserve">an investigation into the several factors that influence Bis-EMA photopolymer cure kinetics and recommend baseline formulations that could be further enhanced for a specific printer configuration.   </w:t>
      </w:r>
    </w:p>
    <w:p w14:paraId="49A3B0D7" w14:textId="77777777" w:rsidR="006F1981" w:rsidRPr="00B32F8A" w:rsidRDefault="006F1981" w:rsidP="00DB3040">
      <w:pPr>
        <w:pStyle w:val="Heading2"/>
      </w:pPr>
      <w:bookmarkStart w:id="36" w:name="_Toc101701727"/>
      <w:r w:rsidRPr="00B32F8A">
        <w:t>Dissertation Objectives</w:t>
      </w:r>
      <w:bookmarkEnd w:id="36"/>
    </w:p>
    <w:p w14:paraId="24ED59B3" w14:textId="1E32F130" w:rsidR="006F1981" w:rsidRDefault="006F1981" w:rsidP="003E5741">
      <w:pPr>
        <w:spacing w:line="360" w:lineRule="auto"/>
        <w:rPr>
          <w:rFonts w:ascii="Times New Roman" w:hAnsi="Times New Roman" w:cs="Times New Roman"/>
        </w:rPr>
      </w:pPr>
      <w:r>
        <w:rPr>
          <w:rFonts w:ascii="Times New Roman" w:hAnsi="Times New Roman" w:cs="Times New Roman"/>
        </w:rPr>
        <w:t>The present work can be segmented into three primary objectives, each focused on Bis-EMA as an oligomer for use in formulations towards application in LFAM.  These have been structured into three chapters, each of which is a manuscript that has either already been published or is being submitted for publication</w:t>
      </w:r>
      <w:r w:rsidR="003F584F">
        <w:rPr>
          <w:rFonts w:ascii="Times New Roman" w:hAnsi="Times New Roman" w:cs="Times New Roman"/>
        </w:rPr>
        <w:t xml:space="preserve"> in a peer-reviewed journal(s)</w:t>
      </w:r>
      <w:r>
        <w:rPr>
          <w:rFonts w:ascii="Times New Roman" w:hAnsi="Times New Roman" w:cs="Times New Roman"/>
        </w:rPr>
        <w:t>.</w:t>
      </w:r>
    </w:p>
    <w:p w14:paraId="1427B515" w14:textId="3B390246" w:rsidR="00183C80" w:rsidRDefault="00183C80" w:rsidP="00F52F6E">
      <w:pPr>
        <w:ind w:left="720"/>
      </w:pPr>
    </w:p>
    <w:p w14:paraId="56BDE3C0" w14:textId="77777777" w:rsidR="00183C80" w:rsidRPr="003E5741" w:rsidRDefault="00183C80" w:rsidP="000F4D4E">
      <w:pPr>
        <w:pStyle w:val="ListParagraph"/>
        <w:numPr>
          <w:ilvl w:val="0"/>
          <w:numId w:val="43"/>
        </w:numPr>
        <w:rPr>
          <w:b/>
          <w:bCs/>
        </w:rPr>
      </w:pPr>
      <w:r w:rsidRPr="003E5741">
        <w:t>Monomer concentration</w:t>
      </w:r>
    </w:p>
    <w:p w14:paraId="4DD71D55" w14:textId="33413077" w:rsidR="00183C80" w:rsidRPr="003E5741" w:rsidRDefault="00707AD8" w:rsidP="000F4D4E">
      <w:pPr>
        <w:pStyle w:val="ListParagraph"/>
        <w:numPr>
          <w:ilvl w:val="1"/>
          <w:numId w:val="43"/>
        </w:numPr>
        <w:rPr>
          <w:b/>
          <w:bCs/>
        </w:rPr>
      </w:pPr>
      <w:r w:rsidRPr="003E5741">
        <w:t>Explore the e</w:t>
      </w:r>
      <w:r w:rsidR="00183C80" w:rsidRPr="003E5741">
        <w:t>ffect of monomer concentration on through-thickness cure response</w:t>
      </w:r>
      <w:r w:rsidRPr="003E5741">
        <w:t xml:space="preserve"> </w:t>
      </w:r>
    </w:p>
    <w:p w14:paraId="508D24E3" w14:textId="4EA59934" w:rsidR="00183C80" w:rsidRPr="003E5741" w:rsidRDefault="00183C80" w:rsidP="000F4D4E">
      <w:pPr>
        <w:pStyle w:val="ListParagraph"/>
        <w:numPr>
          <w:ilvl w:val="1"/>
          <w:numId w:val="43"/>
        </w:numPr>
        <w:rPr>
          <w:b/>
          <w:bCs/>
        </w:rPr>
      </w:pPr>
      <w:r w:rsidRPr="003E5741">
        <w:t>Oven-cure tooling case study and</w:t>
      </w:r>
      <w:r w:rsidR="00707AD8" w:rsidRPr="003E5741">
        <w:t xml:space="preserve"> investigation of</w:t>
      </w:r>
      <w:r w:rsidRPr="003E5741">
        <w:t xml:space="preserve"> thermal effects on Bis-EMA photopolymer</w:t>
      </w:r>
    </w:p>
    <w:p w14:paraId="51CCFE97" w14:textId="77777777" w:rsidR="00183C80" w:rsidRPr="003E5741" w:rsidRDefault="00183C80" w:rsidP="000F4D4E">
      <w:pPr>
        <w:pStyle w:val="ListParagraph"/>
        <w:numPr>
          <w:ilvl w:val="0"/>
          <w:numId w:val="43"/>
        </w:numPr>
        <w:rPr>
          <w:b/>
          <w:bCs/>
        </w:rPr>
      </w:pPr>
      <w:r w:rsidRPr="003E5741">
        <w:t>PI selection and concentration</w:t>
      </w:r>
    </w:p>
    <w:p w14:paraId="404FD6CC" w14:textId="490FF8CB" w:rsidR="00183C80" w:rsidRPr="003E5741" w:rsidRDefault="00707AD8" w:rsidP="000F4D4E">
      <w:pPr>
        <w:pStyle w:val="ListParagraph"/>
        <w:numPr>
          <w:ilvl w:val="1"/>
          <w:numId w:val="43"/>
        </w:numPr>
        <w:rPr>
          <w:b/>
          <w:bCs/>
        </w:rPr>
      </w:pPr>
      <w:r w:rsidRPr="003E5741">
        <w:t>Implement o</w:t>
      </w:r>
      <w:r w:rsidR="00183C80" w:rsidRPr="003E5741">
        <w:t>ptical model as a pre-screening tool</w:t>
      </w:r>
    </w:p>
    <w:p w14:paraId="51F0382F" w14:textId="17928930" w:rsidR="00183C80" w:rsidRPr="003E5741" w:rsidRDefault="00707AD8" w:rsidP="000F4D4E">
      <w:pPr>
        <w:pStyle w:val="ListParagraph"/>
        <w:numPr>
          <w:ilvl w:val="1"/>
          <w:numId w:val="43"/>
        </w:numPr>
        <w:rPr>
          <w:b/>
          <w:bCs/>
        </w:rPr>
      </w:pPr>
      <w:r w:rsidRPr="003E5741">
        <w:t>Compare p</w:t>
      </w:r>
      <w:r w:rsidR="00183C80" w:rsidRPr="003E5741">
        <w:t>hotobleaching vs. non-photobleaching PI</w:t>
      </w:r>
      <w:r w:rsidRPr="003E5741">
        <w:t xml:space="preserve"> effects</w:t>
      </w:r>
    </w:p>
    <w:p w14:paraId="07A84862" w14:textId="6150DBAB" w:rsidR="00183C80" w:rsidRPr="003E5741" w:rsidRDefault="00707AD8" w:rsidP="000F4D4E">
      <w:pPr>
        <w:pStyle w:val="ListParagraph"/>
        <w:numPr>
          <w:ilvl w:val="1"/>
          <w:numId w:val="43"/>
        </w:numPr>
        <w:rPr>
          <w:b/>
          <w:bCs/>
        </w:rPr>
      </w:pPr>
      <w:r w:rsidRPr="003E5741">
        <w:t>Study the i</w:t>
      </w:r>
      <w:r w:rsidR="00183C80" w:rsidRPr="003E5741">
        <w:t>nfluence of PI concentration and irradiation time on cure</w:t>
      </w:r>
    </w:p>
    <w:p w14:paraId="5DED7AE4" w14:textId="77777777" w:rsidR="00183C80" w:rsidRPr="003E5741" w:rsidRDefault="00183C80" w:rsidP="000F4D4E">
      <w:pPr>
        <w:pStyle w:val="ListParagraph"/>
        <w:numPr>
          <w:ilvl w:val="0"/>
          <w:numId w:val="43"/>
        </w:numPr>
        <w:rPr>
          <w:b/>
          <w:bCs/>
        </w:rPr>
      </w:pPr>
      <w:r w:rsidRPr="003E5741">
        <w:t>Multi-layer effects</w:t>
      </w:r>
    </w:p>
    <w:p w14:paraId="7A906BDE" w14:textId="40682DC2" w:rsidR="00183C80" w:rsidRPr="003E5741" w:rsidRDefault="00707AD8" w:rsidP="000F4D4E">
      <w:pPr>
        <w:pStyle w:val="ListParagraph"/>
        <w:numPr>
          <w:ilvl w:val="1"/>
          <w:numId w:val="43"/>
        </w:numPr>
        <w:rPr>
          <w:b/>
          <w:bCs/>
        </w:rPr>
      </w:pPr>
      <w:r w:rsidRPr="003E5741">
        <w:t>Examine c</w:t>
      </w:r>
      <w:r w:rsidR="00183C80" w:rsidRPr="003E5741">
        <w:t xml:space="preserve">ure behavior </w:t>
      </w:r>
      <w:r w:rsidRPr="003E5741">
        <w:t>with</w:t>
      </w:r>
      <w:r w:rsidR="00183C80" w:rsidRPr="003E5741">
        <w:t xml:space="preserve"> multiple irradiation cycles</w:t>
      </w:r>
    </w:p>
    <w:p w14:paraId="11872B32" w14:textId="26096D66" w:rsidR="00183C80" w:rsidRPr="003E5741" w:rsidRDefault="00707AD8" w:rsidP="000F4D4E">
      <w:pPr>
        <w:pStyle w:val="ListParagraph"/>
        <w:numPr>
          <w:ilvl w:val="1"/>
          <w:numId w:val="43"/>
        </w:numPr>
        <w:rPr>
          <w:b/>
          <w:bCs/>
        </w:rPr>
      </w:pPr>
      <w:r w:rsidRPr="003E5741">
        <w:t>Observe the i</w:t>
      </w:r>
      <w:r w:rsidR="00183C80" w:rsidRPr="003E5741">
        <w:t xml:space="preserve">nfluence of irradiation dose and thermal post cure on </w:t>
      </w:r>
      <w:r w:rsidR="004F7C9E">
        <w:t>cure</w:t>
      </w:r>
    </w:p>
    <w:p w14:paraId="0990E746" w14:textId="3704D041" w:rsidR="00183C80" w:rsidRPr="003E5741" w:rsidRDefault="00707AD8" w:rsidP="000F4D4E">
      <w:pPr>
        <w:pStyle w:val="ListParagraph"/>
        <w:numPr>
          <w:ilvl w:val="1"/>
          <w:numId w:val="43"/>
        </w:numPr>
        <w:rPr>
          <w:b/>
          <w:bCs/>
        </w:rPr>
      </w:pPr>
      <w:r w:rsidRPr="003E5741">
        <w:t>Compare n</w:t>
      </w:r>
      <w:r w:rsidR="00183C80" w:rsidRPr="003E5741">
        <w:t xml:space="preserve">eat resin versus fiberglass composite cure gradient </w:t>
      </w:r>
    </w:p>
    <w:p w14:paraId="17050E32" w14:textId="6F7181E7" w:rsidR="00183C80" w:rsidRPr="003E5741" w:rsidRDefault="00707AD8" w:rsidP="000F4D4E">
      <w:pPr>
        <w:pStyle w:val="ListParagraph"/>
        <w:numPr>
          <w:ilvl w:val="1"/>
          <w:numId w:val="43"/>
        </w:numPr>
        <w:rPr>
          <w:b/>
          <w:bCs/>
        </w:rPr>
      </w:pPr>
      <w:r w:rsidRPr="003E5741">
        <w:t>Test i</w:t>
      </w:r>
      <w:r w:rsidR="00183C80" w:rsidRPr="003E5741">
        <w:t>nterlaminar bonding in multi-layer fiberglass composite</w:t>
      </w:r>
    </w:p>
    <w:p w14:paraId="170D6F22" w14:textId="21248FF6" w:rsidR="00236E6D" w:rsidRPr="00B32F8A" w:rsidRDefault="00737580" w:rsidP="00BF3517">
      <w:pPr>
        <w:pStyle w:val="Heading1"/>
      </w:pPr>
      <w:bookmarkStart w:id="37" w:name="_Toc420995896"/>
      <w:bookmarkStart w:id="38" w:name="_Toc422997483"/>
      <w:bookmarkStart w:id="39" w:name="_Toc101701728"/>
      <w:r>
        <w:lastRenderedPageBreak/>
        <w:t>CHAPTER</w:t>
      </w:r>
      <w:r w:rsidR="00D46A58">
        <w:t xml:space="preserve"> </w:t>
      </w:r>
      <w:r w:rsidR="00020242">
        <w:t>I</w:t>
      </w:r>
      <w:r w:rsidR="00965FBD" w:rsidRPr="00B32F8A">
        <w:br/>
      </w:r>
      <w:bookmarkEnd w:id="37"/>
      <w:bookmarkEnd w:id="38"/>
      <w:r w:rsidR="00B32F8A" w:rsidRPr="00737580">
        <w:rPr>
          <w:rStyle w:val="Heading2Char"/>
          <w:b/>
          <w:bCs/>
        </w:rPr>
        <w:t>Photopolymer formulation towards large scale additive manufacturing of autoclave capable tooling</w:t>
      </w:r>
      <w:bookmarkEnd w:id="39"/>
    </w:p>
    <w:p w14:paraId="796D2A4A" w14:textId="3618DDB9" w:rsidR="00236E6D" w:rsidRPr="00B32F8A" w:rsidRDefault="00236E6D">
      <w:pPr>
        <w:numPr>
          <w:ilvl w:val="12"/>
          <w:numId w:val="0"/>
        </w:numPr>
        <w:rPr>
          <w:rFonts w:ascii="Times New Roman" w:hAnsi="Times New Roman" w:cs="Times New Roman"/>
        </w:rPr>
      </w:pPr>
      <w:r w:rsidRPr="00B32F8A">
        <w:rPr>
          <w:rFonts w:ascii="Times New Roman" w:hAnsi="Times New Roman" w:cs="Times New Roman"/>
        </w:rPr>
        <w:tab/>
      </w:r>
    </w:p>
    <w:p w14:paraId="213C43CE" w14:textId="6BF00DF8" w:rsidR="00FB3EF0" w:rsidRDefault="00FB3EF0" w:rsidP="004A1B3F">
      <w:pPr>
        <w:rPr>
          <w:rFonts w:ascii="Times New Roman" w:hAnsi="Times New Roman" w:cs="Times New Roman"/>
        </w:rPr>
      </w:pPr>
    </w:p>
    <w:p w14:paraId="7354C985" w14:textId="16C3D8D9" w:rsidR="00B32F8A" w:rsidRDefault="00B32F8A" w:rsidP="004A1B3F">
      <w:pPr>
        <w:rPr>
          <w:rFonts w:ascii="Times New Roman" w:hAnsi="Times New Roman" w:cs="Times New Roman"/>
        </w:rPr>
      </w:pPr>
    </w:p>
    <w:p w14:paraId="7262B51A" w14:textId="4FCA9018" w:rsidR="00B32F8A" w:rsidRDefault="00B32F8A" w:rsidP="004A1B3F">
      <w:pPr>
        <w:rPr>
          <w:rFonts w:ascii="Times New Roman" w:hAnsi="Times New Roman" w:cs="Times New Roman"/>
        </w:rPr>
      </w:pPr>
    </w:p>
    <w:p w14:paraId="2906C70E" w14:textId="040F31DE" w:rsidR="00B32F8A" w:rsidRDefault="00B32F8A" w:rsidP="004A1B3F">
      <w:pPr>
        <w:rPr>
          <w:rFonts w:ascii="Times New Roman" w:hAnsi="Times New Roman" w:cs="Times New Roman"/>
        </w:rPr>
      </w:pPr>
    </w:p>
    <w:p w14:paraId="55F8B397" w14:textId="410E8C8F" w:rsidR="00B32F8A" w:rsidRDefault="00B32F8A" w:rsidP="004A1B3F">
      <w:pPr>
        <w:rPr>
          <w:rFonts w:ascii="Times New Roman" w:hAnsi="Times New Roman" w:cs="Times New Roman"/>
        </w:rPr>
      </w:pPr>
    </w:p>
    <w:p w14:paraId="66332895" w14:textId="53A8C5C7" w:rsidR="00B32F8A" w:rsidRDefault="00B32F8A" w:rsidP="004A1B3F">
      <w:pPr>
        <w:rPr>
          <w:rFonts w:ascii="Times New Roman" w:hAnsi="Times New Roman" w:cs="Times New Roman"/>
        </w:rPr>
      </w:pPr>
    </w:p>
    <w:p w14:paraId="0CB8417B" w14:textId="13B4CB87" w:rsidR="00B32F8A" w:rsidRDefault="00B32F8A" w:rsidP="004A1B3F">
      <w:pPr>
        <w:rPr>
          <w:rFonts w:ascii="Times New Roman" w:hAnsi="Times New Roman" w:cs="Times New Roman"/>
        </w:rPr>
      </w:pPr>
    </w:p>
    <w:p w14:paraId="19F0A43B" w14:textId="3FD92906" w:rsidR="00B32F8A" w:rsidRDefault="00B32F8A" w:rsidP="004A1B3F">
      <w:pPr>
        <w:rPr>
          <w:rFonts w:ascii="Times New Roman" w:hAnsi="Times New Roman" w:cs="Times New Roman"/>
        </w:rPr>
      </w:pPr>
    </w:p>
    <w:p w14:paraId="0907B0DC" w14:textId="0718AE0F" w:rsidR="00B32F8A" w:rsidRDefault="00B32F8A" w:rsidP="004A1B3F">
      <w:pPr>
        <w:rPr>
          <w:rFonts w:ascii="Times New Roman" w:hAnsi="Times New Roman" w:cs="Times New Roman"/>
        </w:rPr>
      </w:pPr>
    </w:p>
    <w:p w14:paraId="58DA2986" w14:textId="4477DCBC" w:rsidR="00B32F8A" w:rsidRDefault="00B32F8A" w:rsidP="004A1B3F">
      <w:pPr>
        <w:rPr>
          <w:rFonts w:ascii="Times New Roman" w:hAnsi="Times New Roman" w:cs="Times New Roman"/>
        </w:rPr>
      </w:pPr>
    </w:p>
    <w:p w14:paraId="455BF715" w14:textId="7422B1D9" w:rsidR="00B32F8A" w:rsidRDefault="00B32F8A" w:rsidP="004A1B3F">
      <w:pPr>
        <w:rPr>
          <w:rFonts w:ascii="Times New Roman" w:hAnsi="Times New Roman" w:cs="Times New Roman"/>
        </w:rPr>
      </w:pPr>
    </w:p>
    <w:p w14:paraId="720DCE23" w14:textId="16A9FBBE" w:rsidR="00B32F8A" w:rsidRDefault="00B32F8A" w:rsidP="004A1B3F">
      <w:pPr>
        <w:rPr>
          <w:rFonts w:ascii="Times New Roman" w:hAnsi="Times New Roman" w:cs="Times New Roman"/>
        </w:rPr>
      </w:pPr>
    </w:p>
    <w:p w14:paraId="122B7893" w14:textId="28BD5CFF" w:rsidR="00B32F8A" w:rsidRDefault="00B32F8A" w:rsidP="004A1B3F">
      <w:pPr>
        <w:rPr>
          <w:rFonts w:ascii="Times New Roman" w:hAnsi="Times New Roman" w:cs="Times New Roman"/>
        </w:rPr>
      </w:pPr>
    </w:p>
    <w:p w14:paraId="52712162" w14:textId="591A85C4" w:rsidR="00B32F8A" w:rsidRDefault="00B32F8A" w:rsidP="004A1B3F">
      <w:pPr>
        <w:rPr>
          <w:rFonts w:ascii="Times New Roman" w:hAnsi="Times New Roman" w:cs="Times New Roman"/>
        </w:rPr>
      </w:pPr>
    </w:p>
    <w:p w14:paraId="698A8FE2" w14:textId="2033E3E4" w:rsidR="00B32F8A" w:rsidRDefault="00B32F8A" w:rsidP="004A1B3F">
      <w:pPr>
        <w:rPr>
          <w:rFonts w:ascii="Times New Roman" w:hAnsi="Times New Roman" w:cs="Times New Roman"/>
        </w:rPr>
      </w:pPr>
    </w:p>
    <w:p w14:paraId="01BA74A1" w14:textId="6918ECF3" w:rsidR="007E5B56" w:rsidRDefault="007E5B56" w:rsidP="004A1B3F">
      <w:pPr>
        <w:rPr>
          <w:rFonts w:ascii="Times New Roman" w:hAnsi="Times New Roman" w:cs="Times New Roman"/>
        </w:rPr>
      </w:pPr>
    </w:p>
    <w:p w14:paraId="7C47036A" w14:textId="4B5AE1E2" w:rsidR="007E5B56" w:rsidRDefault="007E5B56" w:rsidP="004A1B3F">
      <w:pPr>
        <w:rPr>
          <w:rFonts w:ascii="Times New Roman" w:hAnsi="Times New Roman" w:cs="Times New Roman"/>
        </w:rPr>
      </w:pPr>
    </w:p>
    <w:p w14:paraId="789875FD" w14:textId="0BF3516A" w:rsidR="007E5B56" w:rsidRDefault="007E5B56" w:rsidP="004A1B3F">
      <w:pPr>
        <w:rPr>
          <w:rFonts w:ascii="Times New Roman" w:hAnsi="Times New Roman" w:cs="Times New Roman"/>
        </w:rPr>
      </w:pPr>
    </w:p>
    <w:p w14:paraId="10871592" w14:textId="29532F26" w:rsidR="007E5B56" w:rsidRDefault="007E5B56" w:rsidP="004A1B3F">
      <w:pPr>
        <w:rPr>
          <w:rFonts w:ascii="Times New Roman" w:hAnsi="Times New Roman" w:cs="Times New Roman"/>
        </w:rPr>
      </w:pPr>
    </w:p>
    <w:p w14:paraId="7744859D" w14:textId="1AC6DCD0" w:rsidR="007E5B56" w:rsidRDefault="007E5B56" w:rsidP="004A1B3F">
      <w:pPr>
        <w:rPr>
          <w:rFonts w:ascii="Times New Roman" w:hAnsi="Times New Roman" w:cs="Times New Roman"/>
        </w:rPr>
      </w:pPr>
    </w:p>
    <w:p w14:paraId="5A11C5F1" w14:textId="76E39919" w:rsidR="007E5B56" w:rsidRDefault="007E5B56" w:rsidP="004A1B3F">
      <w:pPr>
        <w:rPr>
          <w:rFonts w:ascii="Times New Roman" w:hAnsi="Times New Roman" w:cs="Times New Roman"/>
        </w:rPr>
      </w:pPr>
    </w:p>
    <w:p w14:paraId="1475392A" w14:textId="701EB514" w:rsidR="007E5B56" w:rsidRDefault="007E5B56" w:rsidP="004A1B3F">
      <w:pPr>
        <w:rPr>
          <w:rFonts w:ascii="Times New Roman" w:hAnsi="Times New Roman" w:cs="Times New Roman"/>
        </w:rPr>
      </w:pPr>
    </w:p>
    <w:p w14:paraId="6515C2A4" w14:textId="0ED8E985" w:rsidR="007E5B56" w:rsidRDefault="007E5B56" w:rsidP="004A1B3F">
      <w:pPr>
        <w:rPr>
          <w:rFonts w:ascii="Times New Roman" w:hAnsi="Times New Roman" w:cs="Times New Roman"/>
        </w:rPr>
      </w:pPr>
    </w:p>
    <w:p w14:paraId="328341EC" w14:textId="7084D3D2" w:rsidR="007E5B56" w:rsidRDefault="007E5B56" w:rsidP="004A1B3F">
      <w:pPr>
        <w:rPr>
          <w:rFonts w:ascii="Times New Roman" w:hAnsi="Times New Roman" w:cs="Times New Roman"/>
        </w:rPr>
      </w:pPr>
    </w:p>
    <w:p w14:paraId="32BF1E5E" w14:textId="68FCD862" w:rsidR="007E5B56" w:rsidRDefault="007E5B56" w:rsidP="004A1B3F">
      <w:pPr>
        <w:rPr>
          <w:rFonts w:ascii="Times New Roman" w:hAnsi="Times New Roman" w:cs="Times New Roman"/>
        </w:rPr>
      </w:pPr>
    </w:p>
    <w:p w14:paraId="47061872" w14:textId="4FE49605" w:rsidR="007E5B56" w:rsidRDefault="007E5B56" w:rsidP="004A1B3F">
      <w:pPr>
        <w:rPr>
          <w:rFonts w:ascii="Times New Roman" w:hAnsi="Times New Roman" w:cs="Times New Roman"/>
        </w:rPr>
      </w:pPr>
    </w:p>
    <w:p w14:paraId="0F5C1809" w14:textId="77777777" w:rsidR="007E5B56" w:rsidRDefault="007E5B56" w:rsidP="004A1B3F">
      <w:pPr>
        <w:rPr>
          <w:rFonts w:ascii="Times New Roman" w:hAnsi="Times New Roman" w:cs="Times New Roman"/>
        </w:rPr>
      </w:pPr>
    </w:p>
    <w:p w14:paraId="4A2E51FB" w14:textId="6E0BF5A1" w:rsidR="00B32F8A" w:rsidRDefault="00B32F8A" w:rsidP="004A1B3F">
      <w:pPr>
        <w:rPr>
          <w:rFonts w:ascii="Times New Roman" w:hAnsi="Times New Roman" w:cs="Times New Roman"/>
        </w:rPr>
      </w:pPr>
    </w:p>
    <w:p w14:paraId="5BDB0D75" w14:textId="7DA037F6" w:rsidR="00B32F8A" w:rsidRDefault="00B32F8A" w:rsidP="004A1B3F">
      <w:pPr>
        <w:rPr>
          <w:rFonts w:ascii="Times New Roman" w:hAnsi="Times New Roman" w:cs="Times New Roman"/>
        </w:rPr>
      </w:pPr>
    </w:p>
    <w:p w14:paraId="068FDF3E" w14:textId="5873FF33" w:rsidR="00B32F8A" w:rsidRDefault="00B32F8A" w:rsidP="004A1B3F">
      <w:pPr>
        <w:rPr>
          <w:rFonts w:ascii="Times New Roman" w:hAnsi="Times New Roman" w:cs="Times New Roman"/>
        </w:rPr>
      </w:pPr>
    </w:p>
    <w:p w14:paraId="751231C6" w14:textId="560C687F" w:rsidR="00B32F8A" w:rsidRDefault="00B32F8A" w:rsidP="004A1B3F">
      <w:pPr>
        <w:rPr>
          <w:rFonts w:ascii="Times New Roman" w:hAnsi="Times New Roman" w:cs="Times New Roman"/>
        </w:rPr>
      </w:pPr>
    </w:p>
    <w:p w14:paraId="3511BBCF" w14:textId="045ECEB7" w:rsidR="00B32F8A" w:rsidRDefault="00B32F8A" w:rsidP="004A1B3F">
      <w:pPr>
        <w:rPr>
          <w:rFonts w:ascii="Times New Roman" w:hAnsi="Times New Roman" w:cs="Times New Roman"/>
        </w:rPr>
      </w:pPr>
    </w:p>
    <w:p w14:paraId="442D0624" w14:textId="52DB59C3" w:rsidR="00B32F8A" w:rsidRDefault="00B32F8A" w:rsidP="004A1B3F">
      <w:pPr>
        <w:rPr>
          <w:rFonts w:ascii="Times New Roman" w:hAnsi="Times New Roman" w:cs="Times New Roman"/>
        </w:rPr>
      </w:pPr>
    </w:p>
    <w:p w14:paraId="440F64AF" w14:textId="1D96550F" w:rsidR="004D4393" w:rsidRDefault="004D4393" w:rsidP="004A1B3F">
      <w:pPr>
        <w:rPr>
          <w:rFonts w:ascii="Times New Roman" w:hAnsi="Times New Roman" w:cs="Times New Roman"/>
        </w:rPr>
      </w:pPr>
    </w:p>
    <w:p w14:paraId="2B49DEDE" w14:textId="4BF7A9E3" w:rsidR="004D4393" w:rsidRDefault="004D4393" w:rsidP="004A1B3F">
      <w:pPr>
        <w:rPr>
          <w:rFonts w:ascii="Times New Roman" w:hAnsi="Times New Roman" w:cs="Times New Roman"/>
        </w:rPr>
      </w:pPr>
    </w:p>
    <w:p w14:paraId="773D4EFD" w14:textId="060C44D6" w:rsidR="004D4393" w:rsidRDefault="004D4393" w:rsidP="004A1B3F">
      <w:pPr>
        <w:rPr>
          <w:rFonts w:ascii="Times New Roman" w:hAnsi="Times New Roman" w:cs="Times New Roman"/>
        </w:rPr>
      </w:pPr>
    </w:p>
    <w:p w14:paraId="6CB276D8" w14:textId="77777777" w:rsidR="004D4393" w:rsidRDefault="004D4393" w:rsidP="004A1B3F">
      <w:pPr>
        <w:rPr>
          <w:rFonts w:ascii="Times New Roman" w:hAnsi="Times New Roman" w:cs="Times New Roman"/>
        </w:rPr>
      </w:pPr>
    </w:p>
    <w:p w14:paraId="64D70341" w14:textId="07695EB1" w:rsidR="00B32F8A" w:rsidRPr="00DF7C87" w:rsidRDefault="00B32F8A" w:rsidP="00B00A40">
      <w:pPr>
        <w:spacing w:line="360" w:lineRule="auto"/>
        <w:rPr>
          <w:rFonts w:ascii="Times New Roman" w:hAnsi="Times New Roman" w:cs="Times New Roman"/>
        </w:rPr>
      </w:pPr>
      <w:r w:rsidRPr="00DF7C87">
        <w:rPr>
          <w:rFonts w:ascii="Times New Roman" w:hAnsi="Times New Roman" w:cs="Times New Roman"/>
        </w:rPr>
        <w:lastRenderedPageBreak/>
        <w:t xml:space="preserve">A version of this chapter was originally published by </w:t>
      </w:r>
      <w:r>
        <w:rPr>
          <w:rFonts w:ascii="Times New Roman" w:hAnsi="Times New Roman" w:cs="Times New Roman"/>
        </w:rPr>
        <w:t>Alexander Stiles, William Kobler, Pritesh Yeole and Uday Vaidya</w:t>
      </w:r>
      <w:r w:rsidRPr="00DF7C87">
        <w:rPr>
          <w:rFonts w:ascii="Times New Roman" w:hAnsi="Times New Roman" w:cs="Times New Roman"/>
        </w:rPr>
        <w:t>:</w:t>
      </w:r>
    </w:p>
    <w:p w14:paraId="70882C56" w14:textId="77777777" w:rsidR="00B00A40" w:rsidRDefault="00B00A40" w:rsidP="00B00A40">
      <w:pPr>
        <w:spacing w:line="360" w:lineRule="auto"/>
        <w:rPr>
          <w:rFonts w:ascii="Times New Roman" w:hAnsi="Times New Roman" w:cs="Times New Roman"/>
        </w:rPr>
      </w:pPr>
    </w:p>
    <w:p w14:paraId="77885E7C" w14:textId="0E21B66E" w:rsidR="00B32F8A" w:rsidRPr="00DF7C87" w:rsidRDefault="00B00A40" w:rsidP="00B00A40">
      <w:pPr>
        <w:spacing w:line="360" w:lineRule="auto"/>
        <w:rPr>
          <w:rFonts w:ascii="Times New Roman" w:hAnsi="Times New Roman" w:cs="Times New Roman"/>
        </w:rPr>
      </w:pPr>
      <w:r>
        <w:rPr>
          <w:rFonts w:ascii="Times New Roman" w:hAnsi="Times New Roman" w:cs="Times New Roman"/>
        </w:rPr>
        <w:t>A. Stiles, W. Kobler, P. Yeole, and U. Vaidya,</w:t>
      </w:r>
      <w:r w:rsidR="00B32F8A" w:rsidRPr="00DF7C87">
        <w:rPr>
          <w:rFonts w:ascii="Times New Roman" w:hAnsi="Times New Roman" w:cs="Times New Roman"/>
        </w:rPr>
        <w:t xml:space="preserve"> “</w:t>
      </w:r>
      <w:r w:rsidR="00B32F8A">
        <w:rPr>
          <w:rFonts w:ascii="Times New Roman" w:hAnsi="Times New Roman" w:cs="Times New Roman"/>
        </w:rPr>
        <w:t>Photopolymer formulation towards large scale additive manufacturing of autoclave capable tooling</w:t>
      </w:r>
      <w:r>
        <w:rPr>
          <w:rFonts w:ascii="Times New Roman" w:hAnsi="Times New Roman" w:cs="Times New Roman"/>
        </w:rPr>
        <w:t>,</w:t>
      </w:r>
      <w:r w:rsidR="00B32F8A" w:rsidRPr="00DF7C87">
        <w:rPr>
          <w:rFonts w:ascii="Times New Roman" w:hAnsi="Times New Roman" w:cs="Times New Roman"/>
        </w:rPr>
        <w:t xml:space="preserve">” </w:t>
      </w:r>
      <w:r w:rsidR="00B32F8A">
        <w:rPr>
          <w:rFonts w:ascii="Times New Roman" w:hAnsi="Times New Roman" w:cs="Times New Roman"/>
          <w:i/>
        </w:rPr>
        <w:t>Additive Manufacturing</w:t>
      </w:r>
      <w:r>
        <w:rPr>
          <w:rFonts w:ascii="Times New Roman" w:hAnsi="Times New Roman" w:cs="Times New Roman"/>
          <w:i/>
        </w:rPr>
        <w:t xml:space="preserve">, </w:t>
      </w:r>
      <w:r w:rsidRPr="00B00A40">
        <w:rPr>
          <w:rFonts w:ascii="Times New Roman" w:hAnsi="Times New Roman" w:cs="Times New Roman"/>
          <w:iCs/>
        </w:rPr>
        <w:t>vol.</w:t>
      </w:r>
      <w:r w:rsidR="00B32F8A" w:rsidRPr="00DF7C87">
        <w:rPr>
          <w:rFonts w:ascii="Times New Roman" w:hAnsi="Times New Roman" w:cs="Times New Roman"/>
          <w:i/>
        </w:rPr>
        <w:t xml:space="preserve"> </w:t>
      </w:r>
      <w:r w:rsidR="00B32F8A">
        <w:rPr>
          <w:rFonts w:ascii="Times New Roman" w:hAnsi="Times New Roman" w:cs="Times New Roman"/>
        </w:rPr>
        <w:t>50</w:t>
      </w:r>
      <w:r w:rsidR="00B32F8A" w:rsidRPr="00DF7C87">
        <w:rPr>
          <w:rFonts w:ascii="Times New Roman" w:hAnsi="Times New Roman" w:cs="Times New Roman"/>
        </w:rPr>
        <w:t xml:space="preserve"> (</w:t>
      </w:r>
      <w:r w:rsidR="00B32F8A">
        <w:rPr>
          <w:rFonts w:ascii="Times New Roman" w:hAnsi="Times New Roman" w:cs="Times New Roman"/>
        </w:rPr>
        <w:t>2022</w:t>
      </w:r>
      <w:r w:rsidR="00B32F8A" w:rsidRPr="00DF7C87">
        <w:rPr>
          <w:rFonts w:ascii="Times New Roman" w:hAnsi="Times New Roman" w:cs="Times New Roman"/>
        </w:rPr>
        <w:t>)</w:t>
      </w:r>
      <w:r>
        <w:rPr>
          <w:rFonts w:ascii="Times New Roman" w:hAnsi="Times New Roman" w:cs="Times New Roman"/>
        </w:rPr>
        <w:t>,</w:t>
      </w:r>
      <w:r w:rsidR="00B32F8A">
        <w:rPr>
          <w:rFonts w:ascii="Times New Roman" w:hAnsi="Times New Roman" w:cs="Times New Roman"/>
        </w:rPr>
        <w:t xml:space="preserve"> </w:t>
      </w:r>
      <w:r w:rsidRPr="00B00A40">
        <w:rPr>
          <w:rFonts w:ascii="Times New Roman" w:hAnsi="Times New Roman" w:cs="Times New Roman"/>
        </w:rPr>
        <w:t>https://doi.org/10.1016/j.addma.2021.102571</w:t>
      </w:r>
      <w:r>
        <w:rPr>
          <w:rFonts w:ascii="Times New Roman" w:hAnsi="Times New Roman" w:cs="Times New Roman"/>
        </w:rPr>
        <w:t>.</w:t>
      </w:r>
    </w:p>
    <w:p w14:paraId="4117648D" w14:textId="20966786" w:rsidR="00B00A40" w:rsidRPr="00B00A40" w:rsidRDefault="00B00A40" w:rsidP="00B00A40">
      <w:pPr>
        <w:shd w:val="clear" w:color="auto" w:fill="FFFFFF"/>
        <w:spacing w:beforeAutospacing="1" w:afterAutospacing="1" w:line="360" w:lineRule="auto"/>
        <w:textAlignment w:val="baseline"/>
        <w:rPr>
          <w:rFonts w:ascii="Times New Roman" w:hAnsi="Times New Roman" w:cs="Times New Roman"/>
        </w:rPr>
      </w:pPr>
      <w:r w:rsidRPr="00B00A40">
        <w:rPr>
          <w:rFonts w:ascii="Times New Roman" w:hAnsi="Times New Roman" w:cs="Times New Roman"/>
        </w:rPr>
        <w:t>Alex</w:t>
      </w:r>
      <w:r>
        <w:rPr>
          <w:rFonts w:ascii="Times New Roman" w:hAnsi="Times New Roman" w:cs="Times New Roman"/>
        </w:rPr>
        <w:t>ander</w:t>
      </w:r>
      <w:r w:rsidRPr="00B00A40">
        <w:rPr>
          <w:rFonts w:ascii="Times New Roman" w:hAnsi="Times New Roman" w:cs="Times New Roman"/>
        </w:rPr>
        <w:t xml:space="preserve"> Stiles </w:t>
      </w:r>
      <w:r>
        <w:rPr>
          <w:rFonts w:ascii="Times New Roman" w:hAnsi="Times New Roman" w:cs="Times New Roman"/>
        </w:rPr>
        <w:t>was the involved in the c</w:t>
      </w:r>
      <w:r w:rsidRPr="00B00A40">
        <w:rPr>
          <w:rFonts w:ascii="Times New Roman" w:hAnsi="Times New Roman" w:cs="Times New Roman"/>
        </w:rPr>
        <w:t xml:space="preserve">onceptualization, </w:t>
      </w:r>
      <w:r>
        <w:rPr>
          <w:rFonts w:ascii="Times New Roman" w:hAnsi="Times New Roman" w:cs="Times New Roman"/>
        </w:rPr>
        <w:t>i</w:t>
      </w:r>
      <w:r w:rsidRPr="00B00A40">
        <w:rPr>
          <w:rFonts w:ascii="Times New Roman" w:hAnsi="Times New Roman" w:cs="Times New Roman"/>
        </w:rPr>
        <w:t xml:space="preserve">nvestigation, </w:t>
      </w:r>
      <w:r>
        <w:rPr>
          <w:rFonts w:ascii="Times New Roman" w:hAnsi="Times New Roman" w:cs="Times New Roman"/>
        </w:rPr>
        <w:t>f</w:t>
      </w:r>
      <w:r w:rsidRPr="00B00A40">
        <w:rPr>
          <w:rFonts w:ascii="Times New Roman" w:hAnsi="Times New Roman" w:cs="Times New Roman"/>
        </w:rPr>
        <w:t xml:space="preserve">ormal </w:t>
      </w:r>
      <w:r>
        <w:rPr>
          <w:rFonts w:ascii="Times New Roman" w:hAnsi="Times New Roman" w:cs="Times New Roman"/>
        </w:rPr>
        <w:t>a</w:t>
      </w:r>
      <w:r w:rsidRPr="00B00A40">
        <w:rPr>
          <w:rFonts w:ascii="Times New Roman" w:hAnsi="Times New Roman" w:cs="Times New Roman"/>
        </w:rPr>
        <w:t xml:space="preserve">nalysis, </w:t>
      </w:r>
      <w:r>
        <w:rPr>
          <w:rFonts w:ascii="Times New Roman" w:hAnsi="Times New Roman" w:cs="Times New Roman"/>
        </w:rPr>
        <w:t>v</w:t>
      </w:r>
      <w:r w:rsidRPr="00B00A40">
        <w:rPr>
          <w:rFonts w:ascii="Times New Roman" w:hAnsi="Times New Roman" w:cs="Times New Roman"/>
        </w:rPr>
        <w:t xml:space="preserve">isualization, </w:t>
      </w:r>
      <w:r>
        <w:rPr>
          <w:rFonts w:ascii="Times New Roman" w:hAnsi="Times New Roman" w:cs="Times New Roman"/>
        </w:rPr>
        <w:t>and w</w:t>
      </w:r>
      <w:r w:rsidRPr="00B00A40">
        <w:rPr>
          <w:rFonts w:ascii="Times New Roman" w:hAnsi="Times New Roman" w:cs="Times New Roman"/>
        </w:rPr>
        <w:t>riting</w:t>
      </w:r>
      <w:r>
        <w:rPr>
          <w:rFonts w:ascii="Times New Roman" w:hAnsi="Times New Roman" w:cs="Times New Roman"/>
        </w:rPr>
        <w:t xml:space="preserve"> of this publication.  He wrote the</w:t>
      </w:r>
      <w:r w:rsidRPr="00B00A40">
        <w:rPr>
          <w:rFonts w:ascii="Times New Roman" w:hAnsi="Times New Roman" w:cs="Times New Roman"/>
        </w:rPr>
        <w:t xml:space="preserve"> </w:t>
      </w:r>
      <w:r>
        <w:rPr>
          <w:rFonts w:ascii="Times New Roman" w:hAnsi="Times New Roman" w:cs="Times New Roman"/>
        </w:rPr>
        <w:t>o</w:t>
      </w:r>
      <w:r w:rsidRPr="00B00A40">
        <w:rPr>
          <w:rFonts w:ascii="Times New Roman" w:hAnsi="Times New Roman" w:cs="Times New Roman"/>
        </w:rPr>
        <w:t xml:space="preserve">riginal </w:t>
      </w:r>
      <w:r>
        <w:rPr>
          <w:rFonts w:ascii="Times New Roman" w:hAnsi="Times New Roman" w:cs="Times New Roman"/>
        </w:rPr>
        <w:t>d</w:t>
      </w:r>
      <w:r w:rsidRPr="00B00A40">
        <w:rPr>
          <w:rFonts w:ascii="Times New Roman" w:hAnsi="Times New Roman" w:cs="Times New Roman"/>
        </w:rPr>
        <w:t>raft,</w:t>
      </w:r>
      <w:r>
        <w:rPr>
          <w:rFonts w:ascii="Times New Roman" w:hAnsi="Times New Roman" w:cs="Times New Roman"/>
        </w:rPr>
        <w:t xml:space="preserve"> as well as reviewing and editing in all drafts through to submission and publication.  </w:t>
      </w:r>
      <w:r w:rsidRPr="00B00A40">
        <w:rPr>
          <w:rFonts w:ascii="Times New Roman" w:hAnsi="Times New Roman" w:cs="Times New Roman"/>
        </w:rPr>
        <w:t>Will Kobler</w:t>
      </w:r>
      <w:r>
        <w:rPr>
          <w:rFonts w:ascii="Times New Roman" w:hAnsi="Times New Roman" w:cs="Times New Roman"/>
        </w:rPr>
        <w:t xml:space="preserve"> was involved specifically in conducting Dynamic Mechanical Analysis (DMA), as well as</w:t>
      </w:r>
      <w:r w:rsidRPr="00B00A40">
        <w:rPr>
          <w:rFonts w:ascii="Times New Roman" w:hAnsi="Times New Roman" w:cs="Times New Roman"/>
        </w:rPr>
        <w:t xml:space="preserve"> </w:t>
      </w:r>
      <w:r>
        <w:rPr>
          <w:rFonts w:ascii="Times New Roman" w:hAnsi="Times New Roman" w:cs="Times New Roman"/>
        </w:rPr>
        <w:t>v</w:t>
      </w:r>
      <w:r w:rsidRPr="00B00A40">
        <w:rPr>
          <w:rFonts w:ascii="Times New Roman" w:hAnsi="Times New Roman" w:cs="Times New Roman"/>
        </w:rPr>
        <w:t>isualization</w:t>
      </w:r>
      <w:r>
        <w:rPr>
          <w:rFonts w:ascii="Times New Roman" w:hAnsi="Times New Roman" w:cs="Times New Roman"/>
        </w:rPr>
        <w:t xml:space="preserve"> of Figures related to DMA</w:t>
      </w:r>
      <w:r w:rsidRPr="00B00A40">
        <w:rPr>
          <w:rFonts w:ascii="Times New Roman" w:hAnsi="Times New Roman" w:cs="Times New Roman"/>
        </w:rPr>
        <w:t xml:space="preserve">, </w:t>
      </w:r>
      <w:r>
        <w:rPr>
          <w:rFonts w:ascii="Times New Roman" w:hAnsi="Times New Roman" w:cs="Times New Roman"/>
        </w:rPr>
        <w:t>and original draft preparation</w:t>
      </w:r>
      <w:r w:rsidRPr="00B00A40">
        <w:rPr>
          <w:rFonts w:ascii="Times New Roman" w:hAnsi="Times New Roman" w:cs="Times New Roman"/>
        </w:rPr>
        <w:t>. </w:t>
      </w:r>
      <w:r>
        <w:rPr>
          <w:rFonts w:ascii="Times New Roman" w:hAnsi="Times New Roman" w:cs="Times New Roman"/>
        </w:rPr>
        <w:t xml:space="preserve"> </w:t>
      </w:r>
      <w:r w:rsidRPr="00B00A40">
        <w:rPr>
          <w:rFonts w:ascii="Times New Roman" w:hAnsi="Times New Roman" w:cs="Times New Roman"/>
        </w:rPr>
        <w:t>Pritesh Yeole</w:t>
      </w:r>
      <w:r>
        <w:rPr>
          <w:rFonts w:ascii="Times New Roman" w:hAnsi="Times New Roman" w:cs="Times New Roman"/>
        </w:rPr>
        <w:t xml:space="preserve"> was involved in the laser scanning</w:t>
      </w:r>
      <w:r w:rsidRPr="00B00A40">
        <w:rPr>
          <w:rFonts w:ascii="Times New Roman" w:hAnsi="Times New Roman" w:cs="Times New Roman"/>
        </w:rPr>
        <w:t xml:space="preserve"> </w:t>
      </w:r>
      <w:r>
        <w:rPr>
          <w:rFonts w:ascii="Times New Roman" w:hAnsi="Times New Roman" w:cs="Times New Roman"/>
        </w:rPr>
        <w:t>i</w:t>
      </w:r>
      <w:r w:rsidRPr="00B00A40">
        <w:rPr>
          <w:rFonts w:ascii="Times New Roman" w:hAnsi="Times New Roman" w:cs="Times New Roman"/>
        </w:rPr>
        <w:t>nvestigation</w:t>
      </w:r>
      <w:r>
        <w:rPr>
          <w:rFonts w:ascii="Times New Roman" w:hAnsi="Times New Roman" w:cs="Times New Roman"/>
        </w:rPr>
        <w:t xml:space="preserve"> and f</w:t>
      </w:r>
      <w:r w:rsidRPr="00B00A40">
        <w:rPr>
          <w:rFonts w:ascii="Times New Roman" w:hAnsi="Times New Roman" w:cs="Times New Roman"/>
        </w:rPr>
        <w:t xml:space="preserve">ormal </w:t>
      </w:r>
      <w:r>
        <w:rPr>
          <w:rFonts w:ascii="Times New Roman" w:hAnsi="Times New Roman" w:cs="Times New Roman"/>
        </w:rPr>
        <w:t>a</w:t>
      </w:r>
      <w:r w:rsidRPr="00B00A40">
        <w:rPr>
          <w:rFonts w:ascii="Times New Roman" w:hAnsi="Times New Roman" w:cs="Times New Roman"/>
        </w:rPr>
        <w:t>n</w:t>
      </w:r>
      <w:r>
        <w:rPr>
          <w:rFonts w:ascii="Times New Roman" w:hAnsi="Times New Roman" w:cs="Times New Roman"/>
        </w:rPr>
        <w:t>a</w:t>
      </w:r>
      <w:r w:rsidRPr="00B00A40">
        <w:rPr>
          <w:rFonts w:ascii="Times New Roman" w:hAnsi="Times New Roman" w:cs="Times New Roman"/>
        </w:rPr>
        <w:t xml:space="preserve">lysis, </w:t>
      </w:r>
      <w:r>
        <w:rPr>
          <w:rFonts w:ascii="Times New Roman" w:hAnsi="Times New Roman" w:cs="Times New Roman"/>
        </w:rPr>
        <w:t>as well as related v</w:t>
      </w:r>
      <w:r w:rsidRPr="00B00A40">
        <w:rPr>
          <w:rFonts w:ascii="Times New Roman" w:hAnsi="Times New Roman" w:cs="Times New Roman"/>
        </w:rPr>
        <w:t>isualization</w:t>
      </w:r>
      <w:r>
        <w:rPr>
          <w:rFonts w:ascii="Times New Roman" w:hAnsi="Times New Roman" w:cs="Times New Roman"/>
        </w:rPr>
        <w:t xml:space="preserve">s.  </w:t>
      </w:r>
      <w:r w:rsidRPr="00B00A40">
        <w:rPr>
          <w:rFonts w:ascii="Times New Roman" w:hAnsi="Times New Roman" w:cs="Times New Roman"/>
        </w:rPr>
        <w:t>Uday Vaidya</w:t>
      </w:r>
      <w:r>
        <w:rPr>
          <w:rFonts w:ascii="Times New Roman" w:hAnsi="Times New Roman" w:cs="Times New Roman"/>
        </w:rPr>
        <w:t xml:space="preserve"> was responsible for</w:t>
      </w:r>
      <w:r w:rsidRPr="00B00A40">
        <w:rPr>
          <w:rFonts w:ascii="Times New Roman" w:hAnsi="Times New Roman" w:cs="Times New Roman"/>
        </w:rPr>
        <w:t> </w:t>
      </w:r>
      <w:r>
        <w:rPr>
          <w:rFonts w:ascii="Times New Roman" w:hAnsi="Times New Roman" w:cs="Times New Roman"/>
        </w:rPr>
        <w:t>f</w:t>
      </w:r>
      <w:r w:rsidRPr="00B00A40">
        <w:rPr>
          <w:rFonts w:ascii="Times New Roman" w:hAnsi="Times New Roman" w:cs="Times New Roman"/>
        </w:rPr>
        <w:t xml:space="preserve">unding acquisition, </w:t>
      </w:r>
      <w:r>
        <w:rPr>
          <w:rFonts w:ascii="Times New Roman" w:hAnsi="Times New Roman" w:cs="Times New Roman"/>
        </w:rPr>
        <w:t>and r</w:t>
      </w:r>
      <w:r w:rsidRPr="00B00A40">
        <w:rPr>
          <w:rFonts w:ascii="Times New Roman" w:hAnsi="Times New Roman" w:cs="Times New Roman"/>
        </w:rPr>
        <w:t xml:space="preserve">eview &amp; </w:t>
      </w:r>
      <w:r>
        <w:rPr>
          <w:rFonts w:ascii="Times New Roman" w:hAnsi="Times New Roman" w:cs="Times New Roman"/>
        </w:rPr>
        <w:t>e</w:t>
      </w:r>
      <w:r w:rsidRPr="00B00A40">
        <w:rPr>
          <w:rFonts w:ascii="Times New Roman" w:hAnsi="Times New Roman" w:cs="Times New Roman"/>
        </w:rPr>
        <w:t>diting</w:t>
      </w:r>
      <w:r>
        <w:rPr>
          <w:rFonts w:ascii="Times New Roman" w:hAnsi="Times New Roman" w:cs="Times New Roman"/>
        </w:rPr>
        <w:t xml:space="preserve"> of the manuscript drafts.</w:t>
      </w:r>
    </w:p>
    <w:p w14:paraId="64EBE39E" w14:textId="77777777" w:rsidR="00B32F8A" w:rsidRPr="00B32F8A" w:rsidRDefault="00B32F8A" w:rsidP="004A1B3F">
      <w:pPr>
        <w:rPr>
          <w:rFonts w:ascii="Times New Roman" w:hAnsi="Times New Roman" w:cs="Times New Roman"/>
        </w:rPr>
      </w:pPr>
    </w:p>
    <w:p w14:paraId="2002002B" w14:textId="77777777" w:rsidR="00FB3EF0" w:rsidRPr="00B32F8A" w:rsidRDefault="00FB3EF0" w:rsidP="004A1B3F">
      <w:pPr>
        <w:rPr>
          <w:rFonts w:ascii="Times New Roman" w:hAnsi="Times New Roman" w:cs="Times New Roman"/>
        </w:rPr>
      </w:pPr>
    </w:p>
    <w:p w14:paraId="07CD2C4B" w14:textId="77777777" w:rsidR="00FB3EF0" w:rsidRPr="00B32F8A" w:rsidRDefault="00FB3EF0" w:rsidP="004A1B3F">
      <w:pPr>
        <w:rPr>
          <w:rFonts w:ascii="Times New Roman" w:hAnsi="Times New Roman" w:cs="Times New Roman"/>
        </w:rPr>
      </w:pPr>
    </w:p>
    <w:p w14:paraId="6528F556" w14:textId="77777777" w:rsidR="004F08CE" w:rsidRPr="00B32F8A" w:rsidRDefault="004F08CE" w:rsidP="004A1B3F">
      <w:pPr>
        <w:rPr>
          <w:rFonts w:ascii="Times New Roman" w:hAnsi="Times New Roman" w:cs="Times New Roman"/>
        </w:rPr>
      </w:pPr>
    </w:p>
    <w:p w14:paraId="6F58D801" w14:textId="77777777" w:rsidR="004F08CE" w:rsidRPr="00B32F8A" w:rsidRDefault="004F08CE" w:rsidP="004A1B3F">
      <w:pPr>
        <w:rPr>
          <w:rFonts w:ascii="Times New Roman" w:hAnsi="Times New Roman" w:cs="Times New Roman"/>
        </w:rPr>
      </w:pPr>
    </w:p>
    <w:p w14:paraId="3E63908E" w14:textId="77777777" w:rsidR="004F08CE" w:rsidRPr="00B32F8A" w:rsidRDefault="004F08CE" w:rsidP="004A1B3F">
      <w:pPr>
        <w:rPr>
          <w:rFonts w:ascii="Times New Roman" w:hAnsi="Times New Roman" w:cs="Times New Roman"/>
        </w:rPr>
      </w:pPr>
    </w:p>
    <w:p w14:paraId="0CAD6A89" w14:textId="77777777" w:rsidR="004F08CE" w:rsidRPr="00B32F8A" w:rsidRDefault="004F08CE" w:rsidP="004A1B3F">
      <w:pPr>
        <w:rPr>
          <w:rFonts w:ascii="Times New Roman" w:hAnsi="Times New Roman" w:cs="Times New Roman"/>
        </w:rPr>
      </w:pPr>
    </w:p>
    <w:p w14:paraId="73DCC02A" w14:textId="77777777" w:rsidR="004F08CE" w:rsidRPr="00B32F8A" w:rsidRDefault="004F08CE" w:rsidP="004A1B3F">
      <w:pPr>
        <w:rPr>
          <w:rFonts w:ascii="Times New Roman" w:hAnsi="Times New Roman" w:cs="Times New Roman"/>
        </w:rPr>
      </w:pPr>
    </w:p>
    <w:p w14:paraId="76C50683" w14:textId="77777777" w:rsidR="004F08CE" w:rsidRPr="00B32F8A" w:rsidRDefault="004F08CE" w:rsidP="004A1B3F">
      <w:pPr>
        <w:rPr>
          <w:rFonts w:ascii="Times New Roman" w:hAnsi="Times New Roman" w:cs="Times New Roman"/>
        </w:rPr>
      </w:pPr>
    </w:p>
    <w:p w14:paraId="7F97C825" w14:textId="77777777" w:rsidR="004F08CE" w:rsidRPr="00B32F8A" w:rsidRDefault="004F08CE" w:rsidP="004A1B3F">
      <w:pPr>
        <w:rPr>
          <w:rFonts w:ascii="Times New Roman" w:hAnsi="Times New Roman" w:cs="Times New Roman"/>
        </w:rPr>
      </w:pPr>
    </w:p>
    <w:p w14:paraId="7CE63DAE" w14:textId="77777777" w:rsidR="004F08CE" w:rsidRPr="00B32F8A" w:rsidRDefault="004F08CE" w:rsidP="004A1B3F">
      <w:pPr>
        <w:rPr>
          <w:rFonts w:ascii="Times New Roman" w:hAnsi="Times New Roman" w:cs="Times New Roman"/>
        </w:rPr>
      </w:pPr>
    </w:p>
    <w:p w14:paraId="27D9415C" w14:textId="77777777" w:rsidR="004F08CE" w:rsidRPr="00B32F8A" w:rsidRDefault="004F08CE" w:rsidP="004A1B3F">
      <w:pPr>
        <w:rPr>
          <w:rFonts w:ascii="Times New Roman" w:hAnsi="Times New Roman" w:cs="Times New Roman"/>
        </w:rPr>
      </w:pPr>
    </w:p>
    <w:p w14:paraId="54AD37B8" w14:textId="77777777" w:rsidR="004F08CE" w:rsidRPr="00B32F8A" w:rsidRDefault="004F08CE" w:rsidP="004A1B3F">
      <w:pPr>
        <w:rPr>
          <w:rFonts w:ascii="Times New Roman" w:hAnsi="Times New Roman" w:cs="Times New Roman"/>
        </w:rPr>
      </w:pPr>
    </w:p>
    <w:p w14:paraId="143F6AC2" w14:textId="77777777" w:rsidR="004F08CE" w:rsidRPr="00B32F8A" w:rsidRDefault="004F08CE" w:rsidP="004A1B3F">
      <w:pPr>
        <w:rPr>
          <w:rFonts w:ascii="Times New Roman" w:hAnsi="Times New Roman" w:cs="Times New Roman"/>
        </w:rPr>
      </w:pPr>
    </w:p>
    <w:p w14:paraId="5FEF50F1" w14:textId="77777777" w:rsidR="004F08CE" w:rsidRPr="00B32F8A" w:rsidRDefault="004F08CE" w:rsidP="004A1B3F">
      <w:pPr>
        <w:rPr>
          <w:rFonts w:ascii="Times New Roman" w:hAnsi="Times New Roman" w:cs="Times New Roman"/>
        </w:rPr>
      </w:pPr>
    </w:p>
    <w:p w14:paraId="7B011DCA" w14:textId="77777777" w:rsidR="004F08CE" w:rsidRPr="00B32F8A" w:rsidRDefault="004F08CE" w:rsidP="004A1B3F">
      <w:pPr>
        <w:rPr>
          <w:rFonts w:ascii="Times New Roman" w:hAnsi="Times New Roman" w:cs="Times New Roman"/>
        </w:rPr>
      </w:pPr>
    </w:p>
    <w:p w14:paraId="74E0D254" w14:textId="77777777" w:rsidR="004F08CE" w:rsidRPr="00B32F8A" w:rsidRDefault="004F08CE" w:rsidP="004A1B3F">
      <w:pPr>
        <w:rPr>
          <w:rFonts w:ascii="Times New Roman" w:hAnsi="Times New Roman" w:cs="Times New Roman"/>
        </w:rPr>
      </w:pPr>
    </w:p>
    <w:p w14:paraId="6FF1DBC5" w14:textId="77777777" w:rsidR="004F08CE" w:rsidRPr="00B32F8A" w:rsidRDefault="004F08CE" w:rsidP="004A1B3F">
      <w:pPr>
        <w:rPr>
          <w:rFonts w:ascii="Times New Roman" w:hAnsi="Times New Roman" w:cs="Times New Roman"/>
        </w:rPr>
      </w:pPr>
    </w:p>
    <w:p w14:paraId="2C890D21" w14:textId="77777777" w:rsidR="004F08CE" w:rsidRPr="00B32F8A" w:rsidRDefault="004F08CE" w:rsidP="004A1B3F">
      <w:pPr>
        <w:rPr>
          <w:rFonts w:ascii="Times New Roman" w:hAnsi="Times New Roman" w:cs="Times New Roman"/>
        </w:rPr>
      </w:pPr>
    </w:p>
    <w:p w14:paraId="20C96882" w14:textId="77777777" w:rsidR="004F08CE" w:rsidRPr="00B32F8A" w:rsidRDefault="004F08CE" w:rsidP="004A1B3F">
      <w:pPr>
        <w:rPr>
          <w:rFonts w:ascii="Times New Roman" w:hAnsi="Times New Roman" w:cs="Times New Roman"/>
        </w:rPr>
      </w:pPr>
    </w:p>
    <w:p w14:paraId="69BAFB92" w14:textId="77777777" w:rsidR="004F08CE" w:rsidRPr="00B32F8A" w:rsidRDefault="004F08CE" w:rsidP="004A1B3F">
      <w:pPr>
        <w:rPr>
          <w:rFonts w:ascii="Times New Roman" w:hAnsi="Times New Roman" w:cs="Times New Roman"/>
        </w:rPr>
      </w:pPr>
    </w:p>
    <w:p w14:paraId="47B6FBE1" w14:textId="77777777" w:rsidR="008B3BCF" w:rsidRPr="008B3BCF" w:rsidRDefault="008B3BCF" w:rsidP="00DB3040">
      <w:pPr>
        <w:pStyle w:val="Heading2"/>
      </w:pPr>
      <w:bookmarkStart w:id="40" w:name="_Toc101701729"/>
      <w:r w:rsidRPr="008B3BCF">
        <w:lastRenderedPageBreak/>
        <w:t>Abstract</w:t>
      </w:r>
      <w:bookmarkEnd w:id="40"/>
    </w:p>
    <w:p w14:paraId="51E9B0B1"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Large-scale polymeric additive manufacturing (AM) is emerging as a method for producing prototype tooling in the aerospace industry. However, material options for oven/autoclave-capable tooling are currently limited to costly thermoplastics such as polyetherimide (PEI) and polyphenylene sulfide (PPS). Photopolymers can be formulated for oven/autoclave use and have advantages over thermoplastics such as ambient processing and rapid curing under low-energy ultraviolet light emitting diode (UV LED) lamps. </w:t>
      </w:r>
    </w:p>
    <w:p w14:paraId="6A54824D" w14:textId="77777777" w:rsidR="004D4393" w:rsidRDefault="004D4393" w:rsidP="008B3BCF">
      <w:pPr>
        <w:spacing w:line="360" w:lineRule="auto"/>
        <w:rPr>
          <w:rFonts w:ascii="Times New Roman" w:hAnsi="Times New Roman" w:cs="Times New Roman"/>
        </w:rPr>
      </w:pPr>
    </w:p>
    <w:p w14:paraId="0D2C5ADC" w14:textId="103F600D"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This study presents initial photopolymer formulation work towards large-scale AM with bisphenol A ethoxylate dimethacrylate (Bis-EMA), a vinyl ester suitable for moderate autoclave/oven-curing temperatures (100 - 135 °C, 212 – 275 °F). Bis-EMA photopolymers were prepared and cured in 3 mm thick specimens by UV irradiation to simulate large-scale AM conditions. Bis-EMA was also blended with pentaerythritol triacrylate (PETIA) to determine the influence of a high-functionality acrylate on cure response and material properties.  For the same UV dose, an increase in PETIA content up to 50 wt% increased the Vickers Hardness Number (VHN) on the irradiated surface from 22.6 to 25.0. It also improved the ratio of top to bottom surface hardness from 65% to 91%, indicating possible improvement in through-thickness cure response. The addition of PETIA decreased the tensile modulus from 2.8 GPa to 2.1- 2.3 GPa, and PETIA content above 20 wt% reduced the glass transition temperature (T</w:t>
      </w:r>
      <w:r w:rsidRPr="008B3BCF">
        <w:rPr>
          <w:rFonts w:ascii="Times New Roman" w:hAnsi="Times New Roman" w:cs="Times New Roman"/>
          <w:vertAlign w:val="subscript"/>
        </w:rPr>
        <w:t>g</w:t>
      </w:r>
      <w:r w:rsidRPr="008B3BCF">
        <w:rPr>
          <w:rFonts w:ascii="Times New Roman" w:hAnsi="Times New Roman" w:cs="Times New Roman"/>
        </w:rPr>
        <w:t xml:space="preserve">) below the Bis-EMA control. </w:t>
      </w:r>
    </w:p>
    <w:p w14:paraId="72050F99" w14:textId="77777777" w:rsidR="004D4393" w:rsidRDefault="004D4393" w:rsidP="008B3BCF">
      <w:pPr>
        <w:spacing w:line="360" w:lineRule="auto"/>
        <w:rPr>
          <w:rFonts w:ascii="Times New Roman" w:hAnsi="Times New Roman" w:cs="Times New Roman"/>
        </w:rPr>
      </w:pPr>
    </w:p>
    <w:p w14:paraId="79A65441" w14:textId="4717AAED"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A blend of 80 wt% Bis-EMA with 20 wt% PETIA yielded an optimal balance of improved through-thickness hardness over the Bis-EMA control while retaining thermal stability. To investigate suitability for oven/autoclave-capable tooling, this 80:20 photopolymer blend was reinforced with fiberglass and used to produce UV cured demonstration tooling via a pseudo-additive process. The tools were subjected to five oven cure molding cycles, and laser scanning showed an average deviation &lt; 0.05 mm, indicating negligible degradation in the tool geometry. The hardness values of the tool </w:t>
      </w:r>
      <w:r w:rsidRPr="008B3BCF">
        <w:rPr>
          <w:rFonts w:ascii="Times New Roman" w:hAnsi="Times New Roman" w:cs="Times New Roman"/>
        </w:rPr>
        <w:lastRenderedPageBreak/>
        <w:t>stock material did not change significantly with thermal cycling, and the T</w:t>
      </w:r>
      <w:r w:rsidRPr="008B3BCF">
        <w:rPr>
          <w:rFonts w:ascii="Times New Roman" w:hAnsi="Times New Roman" w:cs="Times New Roman"/>
          <w:vertAlign w:val="subscript"/>
        </w:rPr>
        <w:t>g</w:t>
      </w:r>
      <w:r w:rsidRPr="008B3BCF">
        <w:rPr>
          <w:rFonts w:ascii="Times New Roman" w:hAnsi="Times New Roman" w:cs="Times New Roman"/>
        </w:rPr>
        <w:t xml:space="preserve"> increased from 154 °C to 172 °C. </w:t>
      </w:r>
    </w:p>
    <w:p w14:paraId="4088A426" w14:textId="77777777" w:rsidR="004D4393" w:rsidRDefault="004D4393" w:rsidP="008B3BCF">
      <w:pPr>
        <w:spacing w:line="360" w:lineRule="auto"/>
        <w:rPr>
          <w:rFonts w:ascii="Times New Roman" w:hAnsi="Times New Roman" w:cs="Times New Roman"/>
        </w:rPr>
      </w:pPr>
    </w:p>
    <w:p w14:paraId="7CFB3380" w14:textId="4734680D"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This study is the first report of Bis-EMA/PETIA blends towards use in photopolymers for large-scale AM. The data confirm that Bis-EMA photopolymer formulations can achieve adequate through-thickness cure at the layer thicknesses typical of large-scale AM. An 80:20 Bis-EMA/PETIA blend was thermally stable within the low volume thermal cycles expected of a 3D printed prototype tool. </w:t>
      </w:r>
    </w:p>
    <w:p w14:paraId="17658B32" w14:textId="77777777" w:rsidR="004D4393" w:rsidRDefault="004D4393" w:rsidP="008B3BCF">
      <w:pPr>
        <w:spacing w:line="360" w:lineRule="auto"/>
        <w:rPr>
          <w:rFonts w:ascii="Times New Roman" w:hAnsi="Times New Roman" w:cs="Times New Roman"/>
          <w:b/>
          <w:bCs/>
        </w:rPr>
      </w:pPr>
    </w:p>
    <w:p w14:paraId="004A8504" w14:textId="6F07C575" w:rsidR="004D4393" w:rsidRPr="000D7162" w:rsidRDefault="008B3BCF" w:rsidP="008B3BCF">
      <w:pPr>
        <w:spacing w:line="360" w:lineRule="auto"/>
        <w:rPr>
          <w:rFonts w:ascii="Times New Roman" w:hAnsi="Times New Roman" w:cs="Times New Roman"/>
        </w:rPr>
      </w:pPr>
      <w:r w:rsidRPr="008B3BCF">
        <w:rPr>
          <w:rFonts w:ascii="Times New Roman" w:hAnsi="Times New Roman" w:cs="Times New Roman"/>
          <w:b/>
          <w:bCs/>
        </w:rPr>
        <w:t xml:space="preserve">Keywords: </w:t>
      </w:r>
      <w:r w:rsidRPr="008B3BCF">
        <w:rPr>
          <w:rFonts w:ascii="Times New Roman" w:hAnsi="Times New Roman" w:cs="Times New Roman"/>
        </w:rPr>
        <w:t>Large-scale, additive manufacturing, autoclave, photopolymer, methacrylate, acrylate</w:t>
      </w:r>
    </w:p>
    <w:p w14:paraId="601885EE" w14:textId="2A7D706D" w:rsidR="008B3BCF" w:rsidRPr="008B3BCF" w:rsidRDefault="008B3BCF" w:rsidP="00DB3040">
      <w:pPr>
        <w:pStyle w:val="Heading2"/>
      </w:pPr>
      <w:bookmarkStart w:id="41" w:name="_Toc101701730"/>
      <w:r w:rsidRPr="008B3BCF">
        <w:t>1.</w:t>
      </w:r>
      <w:r w:rsidR="00507CD8">
        <w:t>0</w:t>
      </w:r>
      <w:r w:rsidRPr="008B3BCF">
        <w:t xml:space="preserve"> Introduction</w:t>
      </w:r>
      <w:bookmarkEnd w:id="41"/>
    </w:p>
    <w:p w14:paraId="27D6D5D4" w14:textId="50DE8ABD" w:rsidR="008B3BCF" w:rsidRPr="008B3BCF" w:rsidRDefault="008B3BCF" w:rsidP="008B3BCF">
      <w:pPr>
        <w:spacing w:line="360" w:lineRule="auto"/>
        <w:rPr>
          <w:rFonts w:ascii="Times New Roman" w:hAnsi="Times New Roman" w:cs="Times New Roman"/>
          <w:b/>
          <w:bCs/>
        </w:rPr>
      </w:pPr>
      <w:bookmarkStart w:id="42" w:name="_Hlk94821793"/>
      <w:r w:rsidRPr="008B3BCF">
        <w:rPr>
          <w:rFonts w:ascii="Times New Roman" w:hAnsi="Times New Roman" w:cs="Times New Roman"/>
        </w:rPr>
        <w:t xml:space="preserve">Large-scale AM is a nascent technology emerging as an efficient method for producing tooling, especially in low volume composites manufacturing applications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www.compositesworld.com/articles/a-growing-trend-3d-printing-of-aerospace-tooling","accessed":{"date-parts":[["2017","7","15"]]},"author":[{"dropping-particle":"","family":"Black","given":"Sara","non-dropping-particle":"","parse-names":false,"suffix":""}],"container-title":"CompositesWorld","id":"ITEM-1","issued":{"date-parts":[["2015"]]},"title":"A growing trend: 3D printing of aerospace tooling : CompositesWorld","type":"webpage"},"uris":["http://www.mendeley.com/documents/?uuid=8f82d39e-22be-3e28-badb-0add6702be46"]},{"id":"ITEM-2","itemData":{"author":[{"dropping-particle":"","family":"Brosius","given":"D.","non-dropping-particle":"","parse-names":false,"suffix":""}],"container-title":"Composites World","id":"ITEM-2","issued":{"date-parts":[["2017","11"]]},"title":"Tooling: 3D printing’s “killer app” | CompositesWorld","type":"article-magazine"},"uris":["http://www.mendeley.com/documents/?uuid=a25411c8-36b6-3dce-b024-29b93df7918e"]},{"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id":"ITEM-4","itemData":{"author":[{"dropping-particle":"","family":"Kunc","given":"Vlastimil","non-dropping-particle":"","parse-names":false,"suffix":""},{"dropping-particle":"","family":"Lindahl","given":"John","non-dropping-particle":"","parse-names":false,"suffix":""},{"dropping-particle":"","family":"Dinwiddie","given":"Ralph","non-dropping-particle":"","parse-names":false,"suffix":""},{"dropping-particle":"","family":"Post","given":"Brian","non-dropping-particle":"","parse-names":false,"suffix":""}],"container-title":"CAMX Anaheim","id":"ITEM-4","issued":{"date-parts":[["2016"]]},"title":"Investigation of In-Autoclave Additive Manufacturing Composite Tooling","type":"paper-conference"},"uris":["http://www.mendeley.com/documents/?uuid=fdf9fc57-adee-3ddd-90c1-dce4a06a89d4"]}],"mendeley":{"formattedCitation":"[14], [65]–[67]","plainTextFormattedCitation":"[14], [65]–[67]","previouslyFormattedCitation":"[14], [65]–[67]"},"properties":{"noteIndex":0},"schema":"https://github.com/citation-style-language/schema/raw/master/csl-citation.json"}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[14], [65]–[67]</w:t>
      </w:r>
      <w:r w:rsidRPr="008B3BCF">
        <w:rPr>
          <w:rFonts w:ascii="Times New Roman" w:hAnsi="Times New Roman" w:cs="Times New Roman"/>
        </w:rPr>
        <w:fldChar w:fldCharType="end"/>
      </w:r>
      <w:r w:rsidRPr="008B3BCF">
        <w:rPr>
          <w:rFonts w:ascii="Times New Roman" w:hAnsi="Times New Roman" w:cs="Times New Roman"/>
        </w:rPr>
        <w:t>.</w:t>
      </w:r>
      <w:bookmarkEnd w:id="42"/>
      <w:r w:rsidRPr="008B3BCF">
        <w:rPr>
          <w:rFonts w:ascii="Times New Roman" w:hAnsi="Times New Roman" w:cs="Times New Roman"/>
          <w:b/>
          <w:bCs/>
        </w:rPr>
        <w:t xml:space="preserve">  </w:t>
      </w:r>
      <w:r w:rsidRPr="008B3BCF">
        <w:rPr>
          <w:rFonts w:ascii="Times New Roman" w:hAnsi="Times New Roman" w:cs="Times New Roman"/>
        </w:rPr>
        <w:t xml:space="preserve">Most large-scale 3D printers use thermoplastic feedstock, with some printers such as the Big Area Additive Manufacturing (BAAM) system capable of depositing material at a maximum rate of </w:t>
      </w:r>
      <w:bookmarkStart w:id="43" w:name="_Hlk94823243"/>
      <w:r w:rsidRPr="008B3BCF">
        <w:rPr>
          <w:rFonts w:ascii="Times New Roman" w:hAnsi="Times New Roman" w:cs="Times New Roman"/>
        </w:rPr>
        <w:t xml:space="preserve">36 kg/hr (80 lbs/hr)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{"citationItems":[{"id":"ITEM-1","itemData":{"URL":"http://wwwassets.e-ci.com/PDF/Products/baam-fact-sheet.pdf","accessed":{"date-parts":[["2017","7","15"]]},"id":"ITEM-1","issued":{"date-parts":[["2016"]]},"title":"BAAM: Fact Sheet","type":"webpage"},"uris":["http://www.mendeley.com/documents/?uuid=c4a2010e-0d54-37d0-840a-39bc738c06c6"]}],"mendeley":{"formattedCitation":"[11]","plainTextFormattedCitation":"[11]","previouslyFormattedCitation":"[11]"},"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[11]</w:t>
      </w:r>
      <w:r w:rsidRPr="008B3BCF">
        <w:rPr>
          <w:rFonts w:ascii="Times New Roman" w:hAnsi="Times New Roman" w:cs="Times New Roman"/>
        </w:rPr>
        <w:fldChar w:fldCharType="end"/>
      </w:r>
      <w:bookmarkEnd w:id="43"/>
      <w:r w:rsidRPr="008B3BCF">
        <w:rPr>
          <w:rFonts w:ascii="Times New Roman" w:hAnsi="Times New Roman" w:cs="Times New Roman"/>
        </w:rPr>
        <w:t>.</w:t>
      </w:r>
      <w:r w:rsidRPr="008B3BCF">
        <w:rPr>
          <w:rFonts w:ascii="Times New Roman" w:hAnsi="Times New Roman" w:cs="Times New Roman"/>
          <w:b/>
          <w:bCs/>
        </w:rPr>
        <w:t xml:space="preserve">  </w:t>
      </w:r>
      <w:r w:rsidRPr="008B3BCF">
        <w:rPr>
          <w:rFonts w:ascii="Times New Roman" w:hAnsi="Times New Roman" w:cs="Times New Roman"/>
        </w:rPr>
        <w:t xml:space="preserve">The most common feedstock for such printers is acrylonitrile butadiene styrene (ABS), often blended with chopped carbon fiber to improve mechanical properties and reduce warping in large printed parts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{"citationItems":[{"id":"ITEM-1","itemData":{"DOI":"10.1557/jmr.2014.212","ISSN":"20445326","abstract":"Additive manufacturing (AM) holds tremendous promise in terms of revolutionizing manufacturing. However, fundamental hurdles limit the widespread adoption of this technology. First, production rates are extremely low. Second, the physical size of the parts is generally small, less than a cubic foot. Third, the mechanical properties of the polymer parts are generally poor, limiting the potential for direct part replacement and functional use of the polymer components. This article describes various ways in which carbon fibers (CFs) can be used to address these fundamental hurdles. First, CF-reinforced polymers developed for AM have demonstrated specific strengths approaching aerospace-quality aluminum. Second, CF additions can radically reduce the distortion and warping of the material during deposition, which enables large-scale, out-of-the-oven, high deposition rate manufacturing. Finally, the complementary nature of CF technology and AM is discussed, showing how merging the two manufacturing processes enables the construction of complex components that would not be possible with either technology alone.","author":[{"dropping-particle":"","family":"Love","given":"Lonnie J.","non-dropping-particle":"","parse-names":false,"suffix":""},{"dropping-particle":"","family":"Kunc","given":"Vlastamil","non-dropping-particle":"","parse-names":false,"suffix":""},{"dropping-particle":"","family":"Rios","given":"Orlando","non-dropping-particle":"","parse-names":false,"suffix":""},{"dropping-particle":"","family":"Duty","given":"Chad E.","non-dropping-particle":"","parse-names":false,"suffix":""},{"dropping-particle":"","family":"Elliott","given":"Amelia M.","non-dropping-particle":"","parse-names":false,"suffix":""},{"dropping-particle":"","family":"Post","given":"Brian K.","non-dropping-particle":"","parse-names":false,"suffix":""},{"dropping-particle":"","family":"Smith","given":"Rachel J.","non-dropping-particle":"","parse-names":false,"suffix":""},{"dropping-particle":"","family":"Blue","given":"Craig A.","non-dropping-particle":"","parse-names":false,"suffix":""}],"container-title":"Journal of Materials Research","id":"ITEM-1","issue":"17","issued":{"date-parts":[["2014","6","17"]]},"page":"1893-1898","publisher":"Cambridge University Press","title":"The importance of carbon fiber to polymer additive manufacturing","type":"article-journal","volume":"29"},"uris":["http://www.mendeley.com/documents/?uuid=b2a00024-2d24-3c87-92bd-0f1c2f0da9a1"]},{"id":"ITEM-2","itemData":{"DOI":"10.1108/RPJ-12-2015-0183","ISSN":"1355-2546","author":[{"dropping-particle":"","family":"Duty","given":"Chad E.","non-dropping-particle":"","parse-names":false,"suffix":""},{"dropping-particle":"","family":"Kunc","given":"Vlastimil","non-dropping-particle":"","parse-names":false,"suffix":""},{"dropping-particle":"","family":"Compton","given":"Brett","non-dropping-particle":"","parse-names":false,"suffix":""},{"dropping-particle":"","family":"Post","given":"Brian","non-dropping-particle":"","parse-names":false,"suffix":""},{"dropping-particle":"","family":"Erdman","given":"Donald","non-dropping-particle":"","parse-names":false,"suffix":""},{"dropping-particle":"","family":"Smith","given":"Rachel","non-dropping-particle":"","parse-names":false,"suffix":""},{"dropping-particle":"","family":"Lind","given":"Randall","non-dropping-particle":"","parse-names":false,"suffix":""},{"dropping-particle":"","family":"Lloyd","given":"Peter","non-dropping-particle":"","parse-names":false,"suffix":""},{"dropping-particle":"","family":"Love","given":"Lonnie","non-dropping-particle":"","parse-names":false,"suffix":""}],"container-title":"Rapid Prototyping Journal","id":"ITEM-2","issue":"1","issued":{"date-parts":[["2017","1","16"]]},"page":"181-189","title":"Structure and mechanical behavior of Big Area Additive Manufacturing (BAAM) materials","type":"article-journal","volume":"23"},"uris":["http://www.mendeley.com/documents/?uuid=5c5efab5-f69e-33d0-830f-c95bd1c91664"]},{"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mendeley":{"formattedCitation":"[12]–[14]","plainTextFormattedCitation":"[12]–[14]","previouslyFormattedCitation":"[12]–[14]"},"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[12]–[14]</w:t>
      </w:r>
      <w:r w:rsidRPr="008B3BCF">
        <w:rPr>
          <w:rFonts w:ascii="Times New Roman" w:hAnsi="Times New Roman" w:cs="Times New Roman"/>
        </w:rPr>
        <w:fldChar w:fldCharType="end"/>
      </w:r>
      <w:r w:rsidRPr="008B3BCF">
        <w:rPr>
          <w:rFonts w:ascii="Times New Roman" w:hAnsi="Times New Roman" w:cs="Times New Roman"/>
        </w:rPr>
        <w:t xml:space="preserve">.  While ABS is suitable for room temperature applications such as layup and trim tools, many tooling applications in the aerospace industry demand materials capable of withstanding the higher temperatures needed for curing epoxy/carbon fiber “pre-pregs”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{"citationItems":[{"id":"ITEM-1","itemData":{"abstract":"This work investigates the use of two semi-crystalline high performance thermoplastics, polyphenylene sulfide (PPS) and poly (ether ketone ketone) (PEKK), as feedstock for fused filament fabrication process. Composites of PPS and PEKK are emerging as viable candidates for several components in aerospace and tooling industries and additive manufacturing of these materials can be extremely beneficial to lower manufacturing costs and lead times. However, these materials pose several challenges for extrusion and deposition due to some of their inherent properties as well as thermal and oxidative responses. To better understand the properties of such systems specific to 3D printing and determine the critical parameters that make them \" printable \" , various rheological and thermal properties have been studied for neat as well as short fiber reinforced PPS and PEKK systems. Attempts were also made to print these materials in a customized high temperature fused filament fabrication system.","author":[{"dropping-particle":"","family":"Kishore","given":"Vidya","non-dropping-particle":"","parse-names":false,"suffix":""},{"dropping-particle":"","family":"Chen","given":"Xun","non-dropping-particle":"","parse-names":false,"suffix":""},{"dropping-particle":"","family":"Ajinjeru","given":"Christine","non-dropping-particle":"","parse-names":false,"suffix":""},{"dropping-particle":"","family":"Hassen","given":"Ahmed Arabi","non-dropping-particle":"","parse-names":false,"suffix":""},{"dropping-particle":"","family":"Lindahl","given":"John","non-dropping-particle":"","parse-names":false,"suffix":""},{"dropping-particle":"","family":"Failla","given":"Jordan","non-dropping-particle":"","parse-names":false,"suffix":""},{"dropping-particle":"","family":"Kunc","given":"Vlastimil","non-dropping-particle":"","parse-names":false,"suffix":""},{"dropping-particle":"","family":"Duty","given":"Chad","non-dropping-particle":"","parse-names":false,"suffix":""}],"id":"ITEM-1","issued":{"date-parts":[["0"]]},"title":"Additive manufacturing of high performance semicrystalline thermoplastics and their composites","type":"article-journal"},"uris":["http://www.mendeley.com/documents/?uuid=d1771211-b474-35f5-bda7-0e2359804083"]}],"mendeley":{"formattedCitation":"[68]","plainTextFormattedCitation":"[68]","previouslyFormattedCitation":"[68]"},"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[68]</w:t>
      </w:r>
      <w:r w:rsidRPr="008B3BCF">
        <w:rPr>
          <w:rFonts w:ascii="Times New Roman" w:hAnsi="Times New Roman" w:cs="Times New Roman"/>
        </w:rPr>
        <w:fldChar w:fldCharType="end"/>
      </w:r>
      <w:r w:rsidRPr="008B3BCF">
        <w:rPr>
          <w:rFonts w:ascii="Times New Roman" w:hAnsi="Times New Roman" w:cs="Times New Roman"/>
        </w:rPr>
        <w:t xml:space="preserve">.  Pre-pregs typically cure at 121 – 177 °C (250 – 350 °F) and are subjected to autoclave or oven-cure molding. Autoclavable 3D printed tooling has been produced from high-temperature thermoplastics such as PEI and PPS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{"citationItems":[{"id":"ITEM-1","itemData":{"abstract":"douglas.d.greenwood@navy.mil Distribution Statement A FRC-East is engaged in several research projects with industry under the umbrella of Cooperative Research and Development Agreements (CRADA). Research work includes the following two projects devoted to sheet metal forming and composite tools printed built on two different large format printers; the Big Area Additive Manufacturing (BAAM-CI) machine manufactured by Cincinnati, Inc. (CI) and the Large Scale Additive Manufacturing (LSAM) machine manufactured by Thermwood, Inc. Both AM machines build parts by melting pelletized thermoplastic materials and extruding &amp; compacting the material through an injection molding sprue and deposition nozzle assembly mounted on a gantry system. BOEING/ORNL BAAM COMPOSITE TOOLING PROJECT This is a joint project between FRC-E, Boeing, Oak Ridge National Labs (ORNL), Cincinnati, Inc., BASF, Techmer ES, Ford and TruDesign. The theme of the project is to investigate the use of high temperature, low CTE carbon filled thermoplastic materials that can be processed by the BAAM-CI AM machine to build composite layup tools for use under autoclave conditions of 350°F and 100 psig. Each company and organization funds their own efforts. Tool designs are provided by Boeing. Thermoplastic materials are provided by Techmer ES and BASF. ORNL builds the tools on their BAAM-CI AM machine. ORNL performs finish machining of the tools on a 5-axis CNC router. Boeing and FRC-E test the composite tools. All results are shared collaboratively with all partners. Two materials are being investigated – Polyphenol Sulfide (PPS) and Polyphenolsulfone (PPSU), both with carbon fiber fill. To date, the team has successfully tested a set of small scale tools (~2.5' x 2.5' x 2.5' (XYZ)) at Boeing in April, 2016. The team then tested a set of mid-scale tools (~5' x 5' x 5' (XYZ)) at FRC-E in September, 2016. The Mid-Scale trials revealed differences in thermal expansion between the build plane (XY) and the direction of build (Z) that was not observed during the small scale trials. This anisotropic CTE behavior is currently under further investigation at ORNL prior to building the next set of tools.","author":[{"dropping-particle":"","family":"Greenwood","given":"Douglas D","non-dropping-particle":"","parse-names":false,"suffix":""}],"id":"ITEM-1","issued":{"date-parts":[["2017"]]},"publisher-place":"Marine Corps Air Station Cherry Point","title":"Fleet Readiness Center – East: Large format additive manufacturing research projects","type":"report"},"uris":["http://www.mendeley.com/documents/?uuid=79ea557c-185f-35df-a0d1-46193758dcb9"]}],"mendeley":{"formattedCitation":"[18]","plainTextFormattedCitation":"[18]","previouslyFormattedCitation":"[18]"},"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[18]</w:t>
      </w:r>
      <w:r w:rsidRPr="008B3BCF">
        <w:rPr>
          <w:rFonts w:ascii="Times New Roman" w:hAnsi="Times New Roman" w:cs="Times New Roman"/>
        </w:rPr>
        <w:fldChar w:fldCharType="end"/>
      </w:r>
      <w:r w:rsidRPr="008B3BCF">
        <w:rPr>
          <w:rFonts w:ascii="Times New Roman" w:hAnsi="Times New Roman" w:cs="Times New Roman"/>
        </w:rPr>
        <w:t xml:space="preserve">. Still, these are more costly than ABS and print at higher temperatures of 300 – 450 °C (572 – 842 °F), increasing energy consumption and equipment costs. </w:t>
      </w:r>
    </w:p>
    <w:p w14:paraId="618AAA6F" w14:textId="77777777" w:rsidR="004D4393" w:rsidRDefault="004D4393" w:rsidP="008B3BCF">
      <w:pPr>
        <w:spacing w:line="360" w:lineRule="auto"/>
        <w:rPr>
          <w:rFonts w:ascii="Times New Roman" w:hAnsi="Times New Roman" w:cs="Times New Roman"/>
        </w:rPr>
      </w:pPr>
    </w:p>
    <w:p w14:paraId="77D5DBBC" w14:textId="10789575"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lastRenderedPageBreak/>
        <w:t xml:space="preserve">Unlike thermoplastics, thermosetting materials can cure at ambient temperatures, although they often require thermal post-curing to achieve a complete cure. A large-scale thermoset printer, the </w:t>
      </w:r>
      <w:bookmarkStart w:id="44" w:name="_Hlk94823398"/>
      <w:r w:rsidRPr="008B3BCF">
        <w:rPr>
          <w:rFonts w:ascii="Times New Roman" w:hAnsi="Times New Roman" w:cs="Times New Roman"/>
        </w:rPr>
        <w:t>Reactive Additive Manufacturing (RAM) system</w:t>
      </w:r>
      <w:bookmarkEnd w:id="44"/>
      <w:r w:rsidRPr="008B3BCF">
        <w:rPr>
          <w:rFonts w:ascii="Times New Roman" w:hAnsi="Times New Roman" w:cs="Times New Roman"/>
        </w:rPr>
        <w:t xml:space="preserve">, was developed at the Oak Ridge National Laboratory’s Manufacturing Demonstration Facility (ORNL-MDF).  The RAM utilizes vinyl ester and polyester resins that are potentially capable of withstanding autoclave temperatures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{"citationItems":[{"id":"ITEM-1","itemData":{"DOI":"10.2172/1490578","author":[{"dropping-particle":"","family":"Kunc","given":"Vlastimil","non-dropping-particle":"","parse-names":false,"suffix":""},{"dropping-particle":"","family":"Ilkka","given":"John R.","non-dropping-particle":"","parse-names":false,"suffix":""},{"dropping-particle":"","family":"Voeks","given":"Steven L.","non-dropping-particle":"","parse-names":false,"suffix":""},{"dropping-particle":"","family":"Lindahl","given":"John M.","non-dropping-particle":"","parse-names":false,"suffix":""}],"id":"ITEM-1","issued":{"date-parts":[["2018"]]},"publisher-place":"Oak Ridge","title":"Vinylester and Polyester 3D Printing","type":"article-magazine"},"uris":["http://www.mendeley.com/documents/?uuid=2c7418bd-fc03-382e-8de4-7506d778726b"]}],"mendeley":{"formattedCitation":"[69]","plainTextFormattedCitation":"[69]","previouslyFormattedCitation":"[69]"},"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[69]</w:t>
      </w:r>
      <w:r w:rsidRPr="008B3BCF">
        <w:rPr>
          <w:rFonts w:ascii="Times New Roman" w:hAnsi="Times New Roman" w:cs="Times New Roman"/>
        </w:rPr>
        <w:fldChar w:fldCharType="end"/>
      </w:r>
      <w:r w:rsidRPr="008B3BCF">
        <w:rPr>
          <w:rFonts w:ascii="Times New Roman" w:hAnsi="Times New Roman" w:cs="Times New Roman"/>
        </w:rPr>
        <w:t>.  At present, some challenges of thermoset printers include: balancing cure time and exotherm temperatures to retain wall integrity with uncured resins, limited build height due to wall collapse, and worker safety hazards from volatiles such as styrene</w:t>
      </w:r>
      <w:r w:rsidR="0033427D">
        <w:rPr>
          <w:rFonts w:ascii="Times New Roman" w:hAnsi="Times New Roman" w:cs="Times New Roman"/>
        </w:rPr>
        <w:t xml:space="preserve"> </w:t>
      </w:r>
      <w:r w:rsidR="0033427D">
        <w:rPr>
          <w:rFonts w:ascii="Times New Roman" w:hAnsi="Times New Roman" w:cs="Times New Roman"/>
        </w:rPr>
        <w:fldChar w:fldCharType="begin" w:fldLock="1"/>
      </w:r>
      <w:r w:rsidR="0033427D">
        <w:rPr>
          <w:rFonts w:ascii="Times New Roman" w:hAnsi="Times New Roman" w:cs="Times New Roman"/>
        </w:rPr>
        <w:instrText>ADDIN CSL_CITATION {"citationItems":[{"id":"ITEM-1","itemData":{"author":[{"dropping-particle":"","family":"Sloan","given":"Jeff","non-dropping-particle":"","parse-names":false,"suffix":""}],"container-title":"CompositesWorld","id":"ITEM-1","issued":{"date-parts":[["2014","4","1"]]},"title":"Styrene &amp; cobalt: Headed for the exit?","type":"article-magazine"},"uris":["http://www.mendeley.com/documents/?uuid=714344de-8d1c-3e28-a3ad-e7c4785fe44d"]},{"id":"ITEM-2","itemData":{"URL":"https://www.nationalacademies.org/news/2014/07/styrene-reasonably-anticipated-to-be-a-human-carcinogen-new-report-confirms","accessed":{"date-parts":[["2020","10","1"]]},"id":"ITEM-2","issued":{"date-parts":[["0"]]},"title":"Styrene Reasonably Anticipated to Be a Human Carcinogen, New Report Confirms | National Academies","type":"webpage"},"uris":["http://www.mendeley.com/documents/?uuid=2ac19f1d-4690-3328-acaa-9b297f1d4b3c"]}],"mendeley":{"formattedCitation":"[20], [21]","plainTextFormattedCitation":"[20], [21]","previouslyFormattedCitation":"[20], [21]"},"properties":{"noteIndex":0},"schema":"https://github.com/citation-style-language/schema/raw/master/csl-citation.json"}</w:instrText>
      </w:r>
      <w:r w:rsidR="0033427D">
        <w:rPr>
          <w:rFonts w:ascii="Times New Roman" w:hAnsi="Times New Roman" w:cs="Times New Roman"/>
        </w:rPr>
        <w:fldChar w:fldCharType="separate"/>
      </w:r>
      <w:r w:rsidR="0033427D" w:rsidRPr="0033427D">
        <w:rPr>
          <w:rFonts w:ascii="Times New Roman" w:hAnsi="Times New Roman" w:cs="Times New Roman"/>
          <w:noProof/>
        </w:rPr>
        <w:t>[20], [21]</w:t>
      </w:r>
      <w:r w:rsidR="0033427D">
        <w:rPr>
          <w:rFonts w:ascii="Times New Roman" w:hAnsi="Times New Roman" w:cs="Times New Roman"/>
        </w:rPr>
        <w:fldChar w:fldCharType="end"/>
      </w:r>
      <w:r w:rsidRPr="008B3BCF">
        <w:rPr>
          <w:rFonts w:ascii="Times New Roman" w:hAnsi="Times New Roman" w:cs="Times New Roman"/>
        </w:rPr>
        <w:t xml:space="preserve">.     </w:t>
      </w:r>
    </w:p>
    <w:p w14:paraId="24FC501B" w14:textId="77777777" w:rsidR="004D4393" w:rsidRDefault="004D4393" w:rsidP="008B3BCF">
      <w:pPr>
        <w:spacing w:line="360" w:lineRule="auto"/>
        <w:rPr>
          <w:rFonts w:ascii="Times New Roman" w:hAnsi="Times New Roman" w:cs="Times New Roman"/>
        </w:rPr>
      </w:pPr>
    </w:p>
    <w:p w14:paraId="625BC490" w14:textId="1DC4869B"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Photopolymers are a subset of thermosets that cure in seconds vs. minutes or hours </w:t>
      </w:r>
      <w:r w:rsidRPr="008B3BCF">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mendeley":{"formattedCitation":"[22]","plainTextFormattedCitation":"[22]","previouslyFormattedCitation":"[22]"},"properties":{"noteIndex":0},"schema":"https://github.com/citation-style-language/schema/raw/master/csl-citation.json"}</w:instrText>
      </w:r>
      <w:r w:rsidRPr="008B3BCF">
        <w:rPr>
          <w:rFonts w:ascii="Times New Roman" w:hAnsi="Times New Roman" w:cs="Times New Roman"/>
        </w:rPr>
        <w:fldChar w:fldCharType="separate"/>
      </w:r>
      <w:r w:rsidR="00BF7344" w:rsidRPr="00BF7344">
        <w:rPr>
          <w:rFonts w:ascii="Times New Roman" w:hAnsi="Times New Roman" w:cs="Times New Roman"/>
          <w:noProof/>
        </w:rPr>
        <w:t>[22]</w:t>
      </w:r>
      <w:r w:rsidRPr="008B3BCF">
        <w:rPr>
          <w:rFonts w:ascii="Times New Roman" w:hAnsi="Times New Roman" w:cs="Times New Roman"/>
        </w:rPr>
        <w:fldChar w:fldCharType="end"/>
      </w:r>
      <w:r w:rsidRPr="008B3BCF">
        <w:rPr>
          <w:rFonts w:ascii="Times New Roman" w:hAnsi="Times New Roman" w:cs="Times New Roman"/>
        </w:rPr>
        <w:t xml:space="preserve">. In AM methods such as direct ink writing (DIW), a printed photopolymer path is cured immediately with UV lamps after deposition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mendeley":{"formattedCitation":"[70]","plainTextFormattedCitation":"[70]","previouslyFormattedCitation":"[70]"},"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[70]</w:t>
      </w:r>
      <w:r w:rsidRPr="008B3BCF">
        <w:rPr>
          <w:rFonts w:ascii="Times New Roman" w:hAnsi="Times New Roman" w:cs="Times New Roman"/>
        </w:rPr>
        <w:fldChar w:fldCharType="end"/>
      </w:r>
      <w:r w:rsidRPr="008B3BCF">
        <w:rPr>
          <w:rFonts w:ascii="Times New Roman" w:hAnsi="Times New Roman" w:cs="Times New Roman"/>
        </w:rPr>
        <w:t>.  Unlike thermoset printers, photopolymer DIW (UV-DIW) printers do not require a mixing head, and the inks cure rapidly enough to avoid wall collapse. UV-DIW printers can achieve high deposition rates and are emerging in large-scale printing applications</w:t>
      </w:r>
      <w:r w:rsidR="0033427D">
        <w:rPr>
          <w:rFonts w:ascii="Times New Roman" w:hAnsi="Times New Roman" w:cs="Times New Roman"/>
        </w:rPr>
        <w:t xml:space="preserve"> </w:t>
      </w:r>
      <w:r w:rsidR="0033427D">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{"citationItems":[{"id":"ITEM-1","itemData":{"URL":"https://www.compositesworld.com/news/moi-composites-debuts-3d-printed-glass-fiber-boat","accessed":{"date-parts":[["2020","11","19"]]},"id":"ITEM-1","issued":{"date-parts":[["0"]]},"title":"Moi Composites debuts 3D-printed glass fiber boat | CompositesWorld","type":"webpage"},"uris":["http://www.mendeley.com/documents/?uuid=28ac7283-e038-3587-b4e3-3ac7ffe6121a"]},{"id":"ITEM-2","itemData":{"URL":"https://3dprintingindustry.com/news/interview-mighty-buildings-co-founder-sam-ruben-on-gaining-a-30m-investment-and-3d-printing-houses-174712/","accessed":{"date-parts":[["2020","11","19"]]},"id":"ITEM-2","issued":{"date-parts":[["0"]]},"title":"Interview: Mighty Buildings Co-founder Sam Ruben on gaining a $30m investment and 3D printing houses  - 3D Printing Industry","type":"webpage"},"uris":["http://www.mendeley.com/documents/?uuid=d194a2a7-8ecf-3a13-84a9-c12262737fdb"]}],"mendeley":{"formattedCitation":"[8], [71]","plainTextFormattedCitation":"[8], [71]","previouslyFormattedCitation":"[8], [71]"},"properties":{"noteIndex":0},"schema":"https://github.com/citation-style-language/schema/raw/master/csl-citation.json"}</w:instrText>
      </w:r>
      <w:r w:rsidR="0033427D">
        <w:rPr>
          <w:rFonts w:ascii="Times New Roman" w:hAnsi="Times New Roman" w:cs="Times New Roman"/>
        </w:rPr>
        <w:fldChar w:fldCharType="separate"/>
      </w:r>
      <w:r w:rsidR="0033427D" w:rsidRPr="0033427D">
        <w:rPr>
          <w:rFonts w:ascii="Times New Roman" w:hAnsi="Times New Roman" w:cs="Times New Roman"/>
          <w:noProof/>
        </w:rPr>
        <w:t>[8], [71]</w:t>
      </w:r>
      <w:r w:rsidR="0033427D">
        <w:rPr>
          <w:rFonts w:ascii="Times New Roman" w:hAnsi="Times New Roman" w:cs="Times New Roman"/>
        </w:rPr>
        <w:fldChar w:fldCharType="end"/>
      </w:r>
      <w:r w:rsidRPr="008B3BCF">
        <w:rPr>
          <w:rFonts w:ascii="Times New Roman" w:hAnsi="Times New Roman" w:cs="Times New Roman"/>
        </w:rPr>
        <w:t xml:space="preserve">.  Large-scale UV 3D printing companies such as Massivit 3D (Lod, Israel) and Mighty Buildings (Oakland, USA) utilize a gel deposition technique comparable to UV-DIW for their printers and have successfully printed small buildings. Continuous Composites (Coeur d'Alene, USA) and Moi Composites (Pero, Italy) employ a method most comparable to automated fiber placement, and they have printed boats and demonstration wing sections. Despite these successes, few studies are available regarding photopolymer formulations suitable for large-scale AM. To the authors’ knowledge, no prior studies have reported on photopolymer formulations for 3D printing autoclave/oven-capable materials at the </w:t>
      </w:r>
      <w:bookmarkStart w:id="45" w:name="_Hlk94823327"/>
      <w:r w:rsidRPr="008B3BCF">
        <w:rPr>
          <w:rFonts w:ascii="Times New Roman" w:hAnsi="Times New Roman" w:cs="Times New Roman"/>
        </w:rPr>
        <w:t xml:space="preserve">2 - 4 mm (0.08 – 0.16 in.) layer heights typical of large-scale AM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[10]</w:t>
      </w:r>
      <w:r w:rsidRPr="008B3BCF">
        <w:rPr>
          <w:rFonts w:ascii="Times New Roman" w:hAnsi="Times New Roman" w:cs="Times New Roman"/>
        </w:rPr>
        <w:fldChar w:fldCharType="end"/>
      </w:r>
      <w:r w:rsidRPr="008B3BCF">
        <w:rPr>
          <w:rFonts w:ascii="Times New Roman" w:hAnsi="Times New Roman" w:cs="Times New Roman"/>
        </w:rPr>
        <w:t>.</w:t>
      </w:r>
      <w:bookmarkEnd w:id="45"/>
    </w:p>
    <w:p w14:paraId="7221621B" w14:textId="77777777" w:rsidR="004D4393" w:rsidRDefault="004D4393" w:rsidP="008B3BCF">
      <w:pPr>
        <w:spacing w:line="360" w:lineRule="auto"/>
        <w:rPr>
          <w:rFonts w:ascii="Times New Roman" w:hAnsi="Times New Roman" w:cs="Times New Roman"/>
        </w:rPr>
      </w:pPr>
    </w:p>
    <w:p w14:paraId="7590BF85" w14:textId="2EE1CA8A" w:rsid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Many photopolymers and some thermosets cure via free-radical reactions. An initiator breaks apart or enters an excited state and generates molecules with unpaired electrons that react to grow a polymer chain or create cross-links between chains. In a thermoset printer such as the RAM, a polymer reacts once initiators are in a specific temperature </w:t>
      </w:r>
      <w:r w:rsidRPr="008B3BCF">
        <w:rPr>
          <w:rFonts w:ascii="Times New Roman" w:hAnsi="Times New Roman" w:cs="Times New Roman"/>
        </w:rPr>
        <w:lastRenderedPageBreak/>
        <w:t>range, and reactions are self-sustaining throughout the bulk of the polymer. In photopolymers, a photoinitiator reacts upon exposure to UV light, and reactions commence at the irradiated surface before progressing through the polymer bulk (see</w:t>
      </w:r>
      <w:r w:rsidR="005F60E7">
        <w:rPr>
          <w:rFonts w:ascii="Times New Roman" w:hAnsi="Times New Roman" w:cs="Times New Roman"/>
        </w:rPr>
        <w:t xml:space="preserve"> </w:t>
      </w:r>
      <w:r w:rsidR="005F60E7" w:rsidRPr="005F60E7">
        <w:rPr>
          <w:rFonts w:ascii="Times New Roman" w:hAnsi="Times New Roman" w:cs="Times New Roman"/>
        </w:rPr>
        <w:fldChar w:fldCharType="begin"/>
      </w:r>
      <w:r w:rsidR="005F60E7" w:rsidRPr="005F60E7">
        <w:rPr>
          <w:rFonts w:ascii="Times New Roman" w:hAnsi="Times New Roman" w:cs="Times New Roman"/>
        </w:rPr>
        <w:instrText xml:space="preserve"> REF _Ref100921607 \h </w:instrText>
      </w:r>
      <w:r w:rsidR="005F60E7">
        <w:rPr>
          <w:rFonts w:ascii="Times New Roman" w:hAnsi="Times New Roman" w:cs="Times New Roman"/>
        </w:rPr>
        <w:instrText xml:space="preserve"> \* MERGEFORMAT </w:instrText>
      </w:r>
      <w:r w:rsidR="005F60E7" w:rsidRPr="005F60E7">
        <w:rPr>
          <w:rFonts w:ascii="Times New Roman" w:hAnsi="Times New Roman" w:cs="Times New Roman"/>
        </w:rPr>
      </w:r>
      <w:r w:rsidR="005F60E7" w:rsidRPr="005F60E7">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12</w:t>
      </w:r>
      <w:r w:rsidR="005F60E7" w:rsidRPr="005F60E7">
        <w:rPr>
          <w:rFonts w:ascii="Times New Roman" w:hAnsi="Times New Roman" w:cs="Times New Roman"/>
        </w:rPr>
        <w:fldChar w:fldCharType="end"/>
      </w:r>
      <w:r w:rsidRPr="008B3BCF">
        <w:rPr>
          <w:rFonts w:ascii="Times New Roman" w:hAnsi="Times New Roman" w:cs="Times New Roman"/>
        </w:rPr>
        <w:t xml:space="preserve">). As layer thickness increases, the progressive through-thickness cure reaction is hindered by light attenuation from fillers, initiators, and even the polymer itself.   These factors can significantly reduce free-radical generation and inhibit curing through the depth of the layer </w:t>
      </w:r>
      <w:r w:rsidRPr="008B3BCF">
        <w:rPr>
          <w:rFonts w:ascii="Times New Roman" w:hAnsi="Times New Roman" w:cs="Times New Roman"/>
        </w:rPr>
        <w:fldChar w:fldCharType="begin" w:fldLock="1"/>
      </w:r>
      <w:r w:rsidR="00115FB0">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Composites","id":"ITEM-2","issue":"7","issued":{"date-parts":[["2008","7","1"]]},"page":"818-829","publisher":"John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id":"ITEM-3","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Composites","id":"ITEM-3","issue":"2","issued":{"date-parts":[["2006","4","1"]]},"page":"119-128","publisher":"Wiley Subscription Services, Inc., A Wiley Company","title":"Curing of composite components by ultraviolet radiation: A review","type":"article-journal","volume":"27"},"uris":["http://www.mendeley.com/documents/?uuid=a2abd0e2-3c93-32d8-97d9-bdd80fb4c950"]},{"id":"ITEM-4","itemData":{"DOI":"10.1016/j.dental.2013.10.011","abstract":"d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Materials","id":"ITEM-4","issued":{"date-parts":[["2014"]]},"page":"149-154","title":"ScienceDirect Post-cure depth of cure of bulk fill dental resin-composites","type":"article-journal","volume":"30"},"uris":["http://www.mendeley.com/documents/?uuid=278738b9-3e52-3005-b13a-01c7bec0ca56"]}],"mendeley":{"formattedCitation":"[22], [23], [39], [48]","plainTextFormattedCitation":"[22], [23], [39], [48]","previouslyFormattedCitation":"[22], [23], [39], [48]"},"properties":{"noteIndex":0},"schema":"https://github.com/citation-style-language/schema/raw/master/csl-citation.json"}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[22], [23], [39], [48]</w:t>
      </w:r>
      <w:r w:rsidRPr="008B3BCF">
        <w:rPr>
          <w:rFonts w:ascii="Times New Roman" w:hAnsi="Times New Roman" w:cs="Times New Roman"/>
        </w:rPr>
        <w:fldChar w:fldCharType="end"/>
      </w:r>
      <w:r w:rsidRPr="008B3BCF">
        <w:rPr>
          <w:rFonts w:ascii="Times New Roman" w:hAnsi="Times New Roman" w:cs="Times New Roman"/>
        </w:rPr>
        <w:t xml:space="preserve">. Longer UV exposure times can often overcome this light attenuation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{"citationItems":[{"id":"ITEM-1","itemData":{"DOI":"10.1016/j.dental.2009.08.001","ISSN":"01095641","PMID":"19747719","abstract":"Objectives: The purpose of this study was to investigate the effect of light-curing protocol on degree of conversion (DC), volume contraction (C), elastic modulus (E), and glass transition temperature (Tg) as measured on a model polymer. It was a further aim to correlate the measured values with each other. Methods: Different light-curing protocols were used in order to investigate the influence of energy density (ED), power density (PD), and mode of cure on the properties. The modes of cure were continuous, pulse-delay, and stepped irradiation. DC was measured by Raman micro-spectroscopy. C was determined by pycnometry and a density column. E was measured by a dynamic mechanical analyzer (DMA), and Tg was measured by differential scanning calorimetry (DSC). Data were submitted to two- and three-way ANOVA, and linear regression analyses. Results: ED, PD, and mode of cure influenced DC, C, E, and Tg of the polymer. A significant positive correlation was found between ED and DC (r = 0.58), ED and E (r = 0.51), and ED and Tg (r = 0.44). Taken together, ED and PD were significantly related to DC and E. The regression coefficient was positive for ED and negative for PD. Significant positive correlations were detected between DC and C (r = 0.54), DC and E (r = 0.61), and DC and Tg (r = 0.53). Comparisons between continuous and pulse-delay modes of cure showed significant influence of mode of cure: pulse-delay curing resulted in decreased DC, decreased C, and decreased Tg. Influence of mode of cure, when comparing continuous and step modes of cure, was more ambiguous. Significance: A complex relationship exists between curing protocol, microstructure of the resin and the investigated properties. The overall performance of a composite is thus indirectly affected by the curing protocol adopted, and the desired reduction of C may be in fact a consequence of the decrease in DC. © 2009 Academy of Dental Materials.","author":[{"dropping-particle":"","family":"Dewaele","given":"Magali","non-dropping-particle":"","parse-names":false,"suffix":""},{"dropping-particle":"","family":"Asmussen","given":"Erik","non-dropping-particle":"","parse-names":false,"suffix":""},{"dropping-particle":"","family":"Peutzfeldt","given":"Anne","non-dropping-particle":"","parse-names":false,"suffix":""},{"dropping-particle":"","family":"Munksgaard","given":"E. Christian","non-dropping-particle":"","parse-names":false,"suffix":""},{"dropping-particle":"","family":"Benetti","given":"Ana R.","non-dropping-particle":"","parse-names":false,"suffix":""},{"dropping-particle":"","family":"Finné","given":"Gauthier","non-dropping-particle":"","parse-names":false,"suffix":""},{"dropping-particle":"","family":"Leloup","given":"Gaëtane","non-dropping-particle":"","parse-names":false,"suffix":""},{"dropping-particle":"","family":"Devaux","given":"Jacques","non-dropping-particle":"","parse-names":false,"suffix":""}],"container-title":"Dental Materials","id":"ITEM-1","issue":"12","issued":{"date-parts":[["2009","12","1"]]},"page":"1576-1584","publisher":"Elsevier","title":"Influence of curing protocol on selected properties of light-curing polymers: Degree of conversion, volume contraction, elastic modulus, and glass transition temperature","type":"article-journal","volume":"25"},"uris":["http://www.mendeley.com/documents/?uuid=ccaa87e7-f893-3952-9fe9-c70b4f1e2a13"]}],"mendeley":{"formattedCitation":"[72]","plainTextFormattedCitation":"[72]","previouslyFormattedCitation":"[72]"},"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[72]</w:t>
      </w:r>
      <w:r w:rsidRPr="008B3BCF">
        <w:rPr>
          <w:rFonts w:ascii="Times New Roman" w:hAnsi="Times New Roman" w:cs="Times New Roman"/>
        </w:rPr>
        <w:fldChar w:fldCharType="end"/>
      </w:r>
      <w:r w:rsidRPr="008B3BCF">
        <w:rPr>
          <w:rFonts w:ascii="Times New Roman" w:hAnsi="Times New Roman" w:cs="Times New Roman"/>
        </w:rPr>
        <w:t>, but this reduces the print speed and throughput achieved by the 3D printer. Therefore, a key objective of this paper is to assess the influence of polymer formulation on through-thickness cure speed at a 3</w:t>
      </w:r>
      <w:r w:rsidR="00E93348">
        <w:rPr>
          <w:rFonts w:ascii="Times New Roman" w:hAnsi="Times New Roman" w:cs="Times New Roman"/>
        </w:rPr>
        <w:t xml:space="preserve"> </w:t>
      </w:r>
      <w:r w:rsidRPr="008B3BCF">
        <w:rPr>
          <w:rFonts w:ascii="Times New Roman" w:hAnsi="Times New Roman" w:cs="Times New Roman"/>
        </w:rPr>
        <w:t xml:space="preserve">mm layer thickness. </w:t>
      </w:r>
    </w:p>
    <w:p w14:paraId="563D6D69" w14:textId="0D9B38CD" w:rsidR="004D4393" w:rsidRDefault="004D4393" w:rsidP="008B3BCF">
      <w:pPr>
        <w:spacing w:line="360" w:lineRule="auto"/>
        <w:rPr>
          <w:rFonts w:ascii="Times New Roman" w:hAnsi="Times New Roman" w:cs="Times New Roman"/>
        </w:rPr>
      </w:pPr>
    </w:p>
    <w:p w14:paraId="173E0DF2" w14:textId="5CE990D3" w:rsidR="00020242" w:rsidRDefault="004D4393" w:rsidP="008B3BCF">
      <w:pPr>
        <w:spacing w:line="360" w:lineRule="auto"/>
        <w:rPr>
          <w:rFonts w:ascii="Times New Roman" w:hAnsi="Times New Roman" w:cs="Times New Roman"/>
        </w:rPr>
      </w:pPr>
      <w:r w:rsidRPr="008B3BCF">
        <w:rPr>
          <w:rFonts w:ascii="Times New Roman" w:hAnsi="Times New Roman" w:cs="Times New Roman"/>
        </w:rPr>
        <w:t xml:space="preserve">When considering tooling for producing composite parts, there are several objectives. All tools must have a smooth finish on the molding surface that has vacuum integrity and is compatible with typical mold release agents. If the tool is going to be used in an oven, it must be capable of withstanding pre-preg curing thermal cycles and have a predictable thermal expansion. In autoclave use, it must also be stable at pressures up to 100 psi [6.9 Bar]. 3D printed tooling is typically used for prototype applications of </w:t>
      </w:r>
      <w:proofErr w:type="gramStart"/>
      <w:r w:rsidRPr="008B3BCF">
        <w:rPr>
          <w:rFonts w:ascii="Times New Roman" w:hAnsi="Times New Roman" w:cs="Times New Roman"/>
        </w:rPr>
        <w:t>1-20 part</w:t>
      </w:r>
      <w:proofErr w:type="gramEnd"/>
      <w:r w:rsidRPr="008B3BCF">
        <w:rPr>
          <w:rFonts w:ascii="Times New Roman" w:hAnsi="Times New Roman" w:cs="Times New Roman"/>
        </w:rPr>
        <w:t xml:space="preserve"> cycles. In large-scale 3D printing, tooling is often produced as a shell with minimal internal geometry. The molding face is typically machined and coated with a thermosetting polymer to create a smooth, void-free surface </w:t>
      </w:r>
      <w:r w:rsidRPr="008B3BCF">
        <w:rPr>
          <w:rFonts w:ascii="Times New Roman" w:hAnsi="Times New Roman" w:cs="Times New Roman"/>
        </w:rPr>
        <w:fldChar w:fldCharType="begin" w:fldLock="1"/>
      </w:r>
      <w:r w:rsidR="0033427D">
        <w:rPr>
          <w:rFonts w:ascii="Times New Roman" w:hAnsi="Times New Roman" w:cs="Times New Roman"/>
        </w:rPr>
        <w:instrText>ADDIN CSL_CITATION {"citationItems":[{"id":"ITEM-1","itemData":{"author":[{"dropping-particle":"","family":"Kunc","given":"Vlastimil","non-dropping-particle":"","parse-names":false,"suffix":""},{"dropping-particle":"","family":"Lindahl","given":"John","non-dropping-particle":"","parse-names":false,"suffix":""},{"dropping-particle":"","family":"Dinwiddie","given":"Ralph","non-dropping-particle":"","parse-names":false,"suffix":""},{"dropping-particle":"","family":"Post","given":"Brian","non-dropping-particle":"","parse-names":false,"suffix":""}],"container-title":"CAMX Anaheim","id":"ITEM-1","issued":{"date-parts":[["2016"]]},"title":"Investigation of In-Autoclave Additive Manufacturing Composite Tooling","type":"paper-conference"},"uris":["http://www.mendeley.com/documents/?uuid=fdf9fc57-adee-3ddd-90c1-dce4a06a89d4"]},{"id":"ITEM-2","itemData":{"abstract":"douglas.d.greenwood@navy.mil Distribution Statement A FRC-East is engaged in several research projects with industry under the umbrella of Cooperative Research and Development Agreements (CRADA). Research work includes the following two projects devoted to sheet metal forming and composite tools printed built on two different large format printers; the Big Area Additive Manufacturing (BAAM-CI) machine manufactured by Cincinnati, Inc. (CI) and the Large Scale Additive Manufacturing (LSAM) machine manufactured by Thermwood, Inc. Both AM machines build parts by melting pelletized thermoplastic materials and extruding &amp; compacting the material through an injection molding sprue and deposition nozzle assembly mounted on a gantry system. BOEING/ORNL BAAM COMPOSITE TOOLING PROJECT This is a joint project between FRC-E, Boeing, Oak Ridge National Labs (ORNL), Cincinnati, Inc., BASF, Techmer ES, Ford and TruDesign. The theme of the project is to investigate the use of high temperature, low CTE carbon filled thermoplastic materials that can be processed by the BAAM-CI AM machine to build composite layup tools for use under autoclave conditions of 350°F and 100 psig. Each company and organization funds their own efforts. Tool designs are provided by Boeing. Thermoplastic materials are provided by Techmer ES and BASF. ORNL builds the tools on their BAAM-CI AM machine. ORNL performs finish machining of the tools on a 5-axis CNC router. Boeing and FRC-E test the composite tools. All results are shared collaboratively with all partners. Two materials are being investigated – Polyphenol Sulfide (PPS) and Polyphenolsulfone (PPSU), both with carbon fiber fill. To date, the team has successfully tested a set of small scale tools (~2.5' x 2.5' x 2.5' (XYZ)) at Boeing in April, 2016. The team then tested a set of mid-scale tools (~5' x 5' x 5' (XYZ)) at FRC-E in September, 2016. The Mid-Scale trials revealed differences in thermal expansion between the build plane (XY) and the direction of build (Z) that was not observed during the small scale trials. This anisotropic CTE behavior is currently under further investigation at ORNL prior to building the next set of tools.","author":[{"dropping-particle":"","family":"Greenwood","given":"Douglas D","non-dropping-particle":"","parse-names":false,"suffix":""}],"id":"ITEM-2","issued":{"date-parts":[["2017"]]},"publisher-place":"Marine Corps Air Station Cherry Point","title":"Fleet Readiness Center – East: Large format additive manufacturing research projects","type":"report"},"uris":["http://www.mendeley.com/documents/?uuid=79ea557c-185f-35df-a0d1-46193758dcb9"]}],"mendeley":{"formattedCitation":"[18], [67]","plainTextFormattedCitation":"[18], [67]","previouslyFormattedCitation":"[18], [67]"},"properties":{"noteIndex":0},"schema":"https://github.com/citation-style-language/schema/raw/master/csl-citation.json"}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[18], [67]</w:t>
      </w:r>
      <w:r w:rsidRPr="008B3BCF">
        <w:rPr>
          <w:rFonts w:ascii="Times New Roman" w:hAnsi="Times New Roman" w:cs="Times New Roman"/>
        </w:rPr>
        <w:fldChar w:fldCharType="end"/>
      </w:r>
      <w:r w:rsidRPr="008B3BCF">
        <w:rPr>
          <w:rFonts w:ascii="Times New Roman" w:hAnsi="Times New Roman" w:cs="Times New Roman"/>
        </w:rPr>
        <w:t>. A photopolymer printer with 3 mm layer height will likely require similar post processing, but while thermoplastics require heated extrusion, photopolymers can process in ambient conditions.  The UV LED lamp used in this study consumes 32 W of power.</w:t>
      </w:r>
    </w:p>
    <w:p w14:paraId="0E42AD78" w14:textId="294EDBD8" w:rsidR="00A2593C" w:rsidRPr="008B3BCF" w:rsidRDefault="00A2593C" w:rsidP="00DB3040">
      <w:pPr>
        <w:pStyle w:val="Heading2"/>
      </w:pPr>
      <w:bookmarkStart w:id="46" w:name="_Toc101701731"/>
      <w:r w:rsidRPr="008B3BCF">
        <w:t>2.</w:t>
      </w:r>
      <w:r w:rsidR="00507CD8">
        <w:t>0</w:t>
      </w:r>
      <w:r w:rsidRPr="008B3BCF">
        <w:t xml:space="preserve"> Literature Review</w:t>
      </w:r>
      <w:bookmarkEnd w:id="46"/>
    </w:p>
    <w:p w14:paraId="217C9936" w14:textId="5420614A" w:rsidR="004D4393" w:rsidRPr="008B3BCF" w:rsidRDefault="00A2593C" w:rsidP="00CA2397">
      <w:pPr>
        <w:widowControl w:val="0"/>
        <w:spacing w:line="360" w:lineRule="auto"/>
        <w:rPr>
          <w:rFonts w:ascii="Times New Roman" w:hAnsi="Times New Roman" w:cs="Times New Roman"/>
        </w:rPr>
      </w:pPr>
      <w:bookmarkStart w:id="47" w:name="_Hlk100929326"/>
      <w:r w:rsidRPr="008B3BCF">
        <w:rPr>
          <w:rFonts w:ascii="Times New Roman" w:hAnsi="Times New Roman" w:cs="Times New Roman"/>
        </w:rPr>
        <w:t xml:space="preserve">Photopolymers are currently used in three categories of additive manufacturing: Vat Polymerization, Material Jetting, and Material Extrusion. Vat polymerization typically utilizes photopolymers and includes stereolithography (SLA), digital light processing (DLP), multiphoton lithography, and continuous digital light processing (cDLP). Vat </w:t>
      </w:r>
    </w:p>
    <w:p w14:paraId="0EE0B4B4" w14:textId="77777777" w:rsidR="005F60E7" w:rsidRDefault="008B3BCF" w:rsidP="005F60E7">
      <w:pPr>
        <w:keepNext/>
        <w:spacing w:line="360" w:lineRule="auto"/>
      </w:pPr>
      <w:r w:rsidRPr="008B3BCF">
        <w:rPr>
          <w:rFonts w:ascii="Times New Roman" w:hAnsi="Times New Roman" w:cs="Times New Roman"/>
          <w:noProof/>
        </w:rPr>
        <w:lastRenderedPageBreak/>
        <w:drawing>
          <wp:inline distT="0" distB="0" distL="0" distR="0" wp14:anchorId="7F45E225" wp14:editId="7BD32B4B">
            <wp:extent cx="5419725" cy="2289464"/>
            <wp:effectExtent l="0" t="0" r="0" b="0"/>
            <wp:docPr id="15"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A picture containing icon&#10;&#10;Description automatically generated"/>
                    <pic:cNvPicPr>
                      <a:picLocks noChangeAspect="1"/>
                    </pic:cNvPicPr>
                  </pic:nvPicPr>
                  <pic:blipFill>
                    <a:blip r:embed="rId17"/>
                    <a:stretch>
                      <a:fillRect/>
                    </a:stretch>
                  </pic:blipFill>
                  <pic:spPr>
                    <a:xfrm>
                      <a:off x="0" y="0"/>
                      <a:ext cx="5507859" cy="2326695"/>
                    </a:xfrm>
                    <a:prstGeom prst="rect">
                      <a:avLst/>
                    </a:prstGeom>
                  </pic:spPr>
                </pic:pic>
              </a:graphicData>
            </a:graphic>
          </wp:inline>
        </w:drawing>
      </w:r>
    </w:p>
    <w:p w14:paraId="4D105125" w14:textId="09AD1F5C" w:rsidR="008B3BCF" w:rsidRPr="005F60E7" w:rsidRDefault="005F60E7" w:rsidP="00F20503">
      <w:pPr>
        <w:pStyle w:val="Caption"/>
      </w:pPr>
      <w:bookmarkStart w:id="48" w:name="_Ref100921607"/>
      <w:bookmarkStart w:id="49" w:name="_Toc101365674"/>
      <w:r>
        <w:t xml:space="preserve">Figure </w:t>
      </w:r>
      <w:r w:rsidR="002F73EC">
        <w:fldChar w:fldCharType="begin"/>
      </w:r>
      <w:r w:rsidR="002F73EC">
        <w:instrText xml:space="preserve"> SEQ Figure \* ARABIC </w:instrText>
      </w:r>
      <w:r w:rsidR="002F73EC">
        <w:fldChar w:fldCharType="separate"/>
      </w:r>
      <w:r w:rsidR="00BF5717">
        <w:rPr>
          <w:noProof/>
        </w:rPr>
        <w:t>12</w:t>
      </w:r>
      <w:r w:rsidR="002F73EC">
        <w:rPr>
          <w:noProof/>
        </w:rPr>
        <w:fldChar w:fldCharType="end"/>
      </w:r>
      <w:bookmarkEnd w:id="48"/>
      <w:r>
        <w:t xml:space="preserve"> </w:t>
      </w:r>
      <w:r w:rsidRPr="008B3BCF">
        <w:t xml:space="preserve">Unlike thermoset curing reactions, a photopolymer reaction progresses from the UV incident surface down into the bulk </w:t>
      </w:r>
      <w:r w:rsidRPr="008B3BCF">
        <w:fldChar w:fldCharType="begin" w:fldLock="1"/>
      </w:r>
      <w: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sidRPr="008B3BCF">
        <w:fldChar w:fldCharType="separate"/>
      </w:r>
      <w:r w:rsidRPr="00BF7344">
        <w:rPr>
          <w:noProof/>
        </w:rPr>
        <w:t>[23]</w:t>
      </w:r>
      <w:r w:rsidRPr="008B3BCF">
        <w:fldChar w:fldCharType="end"/>
      </w:r>
      <w:r>
        <w:t>.</w:t>
      </w:r>
      <w:bookmarkEnd w:id="49"/>
    </w:p>
    <w:p w14:paraId="721B5A4B" w14:textId="77777777" w:rsidR="004D4393" w:rsidRDefault="004D4393" w:rsidP="008B3BCF">
      <w:pPr>
        <w:spacing w:line="360" w:lineRule="auto"/>
        <w:rPr>
          <w:rFonts w:ascii="Times New Roman" w:hAnsi="Times New Roman" w:cs="Times New Roman"/>
          <w:b/>
          <w:bCs/>
        </w:rPr>
      </w:pPr>
    </w:p>
    <w:p w14:paraId="76653475" w14:textId="77777777" w:rsidR="004D4393" w:rsidRDefault="004D4393" w:rsidP="008B3BCF">
      <w:pPr>
        <w:spacing w:line="360" w:lineRule="auto"/>
        <w:rPr>
          <w:rFonts w:ascii="Times New Roman" w:hAnsi="Times New Roman" w:cs="Times New Roman"/>
          <w:b/>
          <w:bCs/>
        </w:rPr>
      </w:pPr>
    </w:p>
    <w:p w14:paraId="48B9DDE7" w14:textId="77777777" w:rsidR="004D4393" w:rsidRDefault="004D4393" w:rsidP="008B3BCF">
      <w:pPr>
        <w:spacing w:line="360" w:lineRule="auto"/>
        <w:rPr>
          <w:rFonts w:ascii="Times New Roman" w:hAnsi="Times New Roman" w:cs="Times New Roman"/>
          <w:b/>
          <w:bCs/>
        </w:rPr>
      </w:pPr>
    </w:p>
    <w:p w14:paraId="3C26C447" w14:textId="77777777" w:rsidR="004D4393" w:rsidRDefault="004D4393" w:rsidP="008B3BCF">
      <w:pPr>
        <w:spacing w:line="360" w:lineRule="auto"/>
        <w:rPr>
          <w:rFonts w:ascii="Times New Roman" w:hAnsi="Times New Roman" w:cs="Times New Roman"/>
          <w:b/>
          <w:bCs/>
        </w:rPr>
      </w:pPr>
    </w:p>
    <w:p w14:paraId="04EC3F31" w14:textId="77777777" w:rsidR="004D4393" w:rsidRDefault="004D4393" w:rsidP="008B3BCF">
      <w:pPr>
        <w:spacing w:line="360" w:lineRule="auto"/>
        <w:rPr>
          <w:rFonts w:ascii="Times New Roman" w:hAnsi="Times New Roman" w:cs="Times New Roman"/>
          <w:b/>
          <w:bCs/>
        </w:rPr>
      </w:pPr>
    </w:p>
    <w:p w14:paraId="326C9DB3" w14:textId="77777777" w:rsidR="004D4393" w:rsidRDefault="004D4393" w:rsidP="008B3BCF">
      <w:pPr>
        <w:spacing w:line="360" w:lineRule="auto"/>
        <w:rPr>
          <w:rFonts w:ascii="Times New Roman" w:hAnsi="Times New Roman" w:cs="Times New Roman"/>
          <w:b/>
          <w:bCs/>
        </w:rPr>
      </w:pPr>
    </w:p>
    <w:p w14:paraId="47190E44" w14:textId="77777777" w:rsidR="004D4393" w:rsidRDefault="004D4393" w:rsidP="008B3BCF">
      <w:pPr>
        <w:spacing w:line="360" w:lineRule="auto"/>
        <w:rPr>
          <w:rFonts w:ascii="Times New Roman" w:hAnsi="Times New Roman" w:cs="Times New Roman"/>
          <w:b/>
          <w:bCs/>
        </w:rPr>
      </w:pPr>
    </w:p>
    <w:p w14:paraId="24B02722" w14:textId="77777777" w:rsidR="004D4393" w:rsidRDefault="004D4393" w:rsidP="008B3BCF">
      <w:pPr>
        <w:spacing w:line="360" w:lineRule="auto"/>
        <w:rPr>
          <w:rFonts w:ascii="Times New Roman" w:hAnsi="Times New Roman" w:cs="Times New Roman"/>
          <w:b/>
          <w:bCs/>
        </w:rPr>
      </w:pPr>
    </w:p>
    <w:p w14:paraId="0A0FA6FC" w14:textId="77777777" w:rsidR="004D4393" w:rsidRDefault="004D4393" w:rsidP="008B3BCF">
      <w:pPr>
        <w:spacing w:line="360" w:lineRule="auto"/>
        <w:rPr>
          <w:rFonts w:ascii="Times New Roman" w:hAnsi="Times New Roman" w:cs="Times New Roman"/>
          <w:b/>
          <w:bCs/>
        </w:rPr>
      </w:pPr>
    </w:p>
    <w:p w14:paraId="4599E33C" w14:textId="77777777" w:rsidR="004D4393" w:rsidRDefault="004D4393" w:rsidP="008B3BCF">
      <w:pPr>
        <w:spacing w:line="360" w:lineRule="auto"/>
        <w:rPr>
          <w:rFonts w:ascii="Times New Roman" w:hAnsi="Times New Roman" w:cs="Times New Roman"/>
          <w:b/>
          <w:bCs/>
        </w:rPr>
      </w:pPr>
    </w:p>
    <w:p w14:paraId="4ED8DB5A" w14:textId="77777777" w:rsidR="004D4393" w:rsidRDefault="004D4393" w:rsidP="008B3BCF">
      <w:pPr>
        <w:spacing w:line="360" w:lineRule="auto"/>
        <w:rPr>
          <w:rFonts w:ascii="Times New Roman" w:hAnsi="Times New Roman" w:cs="Times New Roman"/>
          <w:b/>
          <w:bCs/>
        </w:rPr>
      </w:pPr>
    </w:p>
    <w:p w14:paraId="457A72A5" w14:textId="77777777" w:rsidR="004D4393" w:rsidRDefault="004D4393" w:rsidP="008B3BCF">
      <w:pPr>
        <w:spacing w:line="360" w:lineRule="auto"/>
        <w:rPr>
          <w:rFonts w:ascii="Times New Roman" w:hAnsi="Times New Roman" w:cs="Times New Roman"/>
          <w:b/>
          <w:bCs/>
        </w:rPr>
      </w:pPr>
    </w:p>
    <w:p w14:paraId="0E3E2454" w14:textId="77777777" w:rsidR="004D4393" w:rsidRDefault="004D4393" w:rsidP="008B3BCF">
      <w:pPr>
        <w:spacing w:line="360" w:lineRule="auto"/>
        <w:rPr>
          <w:rFonts w:ascii="Times New Roman" w:hAnsi="Times New Roman" w:cs="Times New Roman"/>
          <w:b/>
          <w:bCs/>
        </w:rPr>
      </w:pPr>
    </w:p>
    <w:p w14:paraId="229EC808" w14:textId="77777777" w:rsidR="004D4393" w:rsidRDefault="004D4393" w:rsidP="008B3BCF">
      <w:pPr>
        <w:spacing w:line="360" w:lineRule="auto"/>
        <w:rPr>
          <w:rFonts w:ascii="Times New Roman" w:hAnsi="Times New Roman" w:cs="Times New Roman"/>
          <w:b/>
          <w:bCs/>
        </w:rPr>
      </w:pPr>
    </w:p>
    <w:p w14:paraId="1F8823D0" w14:textId="77777777" w:rsidR="004D4393" w:rsidRDefault="004D4393" w:rsidP="008B3BCF">
      <w:pPr>
        <w:spacing w:line="360" w:lineRule="auto"/>
        <w:rPr>
          <w:rFonts w:ascii="Times New Roman" w:hAnsi="Times New Roman" w:cs="Times New Roman"/>
          <w:b/>
          <w:bCs/>
        </w:rPr>
      </w:pPr>
    </w:p>
    <w:p w14:paraId="5F23202C" w14:textId="77777777" w:rsidR="004D4393" w:rsidRDefault="004D4393" w:rsidP="008B3BCF">
      <w:pPr>
        <w:spacing w:line="360" w:lineRule="auto"/>
        <w:rPr>
          <w:rFonts w:ascii="Times New Roman" w:hAnsi="Times New Roman" w:cs="Times New Roman"/>
          <w:b/>
          <w:bCs/>
        </w:rPr>
      </w:pPr>
    </w:p>
    <w:p w14:paraId="5608C851" w14:textId="79412BB2" w:rsidR="004D4393" w:rsidRDefault="004D4393" w:rsidP="008B3BCF">
      <w:pPr>
        <w:spacing w:line="360" w:lineRule="auto"/>
        <w:rPr>
          <w:rFonts w:ascii="Times New Roman" w:hAnsi="Times New Roman" w:cs="Times New Roman"/>
          <w:b/>
          <w:bCs/>
        </w:rPr>
      </w:pPr>
    </w:p>
    <w:p w14:paraId="5436475F" w14:textId="77777777" w:rsidR="00CA2397" w:rsidRDefault="00CA2397" w:rsidP="008B3BCF">
      <w:pPr>
        <w:spacing w:line="360" w:lineRule="auto"/>
        <w:rPr>
          <w:rFonts w:ascii="Times New Roman" w:hAnsi="Times New Roman" w:cs="Times New Roman"/>
          <w:b/>
          <w:bCs/>
        </w:rPr>
      </w:pPr>
    </w:p>
    <w:p w14:paraId="7BB27A16" w14:textId="77777777" w:rsidR="00CA2397" w:rsidRDefault="00CA2397" w:rsidP="008B3BCF">
      <w:pPr>
        <w:spacing w:line="360" w:lineRule="auto"/>
        <w:rPr>
          <w:rFonts w:ascii="Times New Roman" w:hAnsi="Times New Roman" w:cs="Times New Roman"/>
        </w:rPr>
      </w:pPr>
    </w:p>
    <w:p w14:paraId="4433D938" w14:textId="1421149C" w:rsidR="00CA2397" w:rsidRDefault="00CA2397" w:rsidP="008B3BCF">
      <w:pPr>
        <w:spacing w:line="360" w:lineRule="auto"/>
        <w:rPr>
          <w:rFonts w:ascii="Times New Roman" w:hAnsi="Times New Roman" w:cs="Times New Roman"/>
        </w:rPr>
      </w:pPr>
      <w:r w:rsidRPr="008B3BCF">
        <w:rPr>
          <w:rFonts w:ascii="Times New Roman" w:hAnsi="Times New Roman" w:cs="Times New Roman"/>
        </w:rPr>
        <w:lastRenderedPageBreak/>
        <w:t>polymerization methods produce 3D printed parts from a tray or vat of uncured resin by</w:t>
      </w:r>
    </w:p>
    <w:p w14:paraId="6C07CAD7" w14:textId="5CCA659A" w:rsidR="008B3BCF" w:rsidRPr="00C52232"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selectively curing the desired part geometry with a laser or projected light source. </w:t>
      </w:r>
      <w:bookmarkStart w:id="50" w:name="_Hlk101469917"/>
      <w:r w:rsidRPr="008B3BCF">
        <w:rPr>
          <w:rFonts w:ascii="Times New Roman" w:hAnsi="Times New Roman" w:cs="Times New Roman"/>
        </w:rPr>
        <w:t xml:space="preserve">Multiphoton lithography can achieve part resolution from 0.1 – 5 μm, but most </w:t>
      </w:r>
      <w:r w:rsidRPr="00C52232">
        <w:rPr>
          <w:rFonts w:ascii="Times New Roman" w:hAnsi="Times New Roman" w:cs="Times New Roman"/>
        </w:rPr>
        <w:t xml:space="preserve">conventional SLA, DLP, or cDLP printers have typical feature resolutions of 25 – 100 </w:t>
      </w:r>
      <w:bookmarkStart w:id="51" w:name="_Hlk87970549"/>
      <w:r w:rsidRPr="00C52232">
        <w:rPr>
          <w:rFonts w:ascii="Times New Roman" w:hAnsi="Times New Roman" w:cs="Times New Roman"/>
        </w:rPr>
        <w:t>μm</w:t>
      </w:r>
      <w:bookmarkEnd w:id="51"/>
      <w:r w:rsidR="00280E34">
        <w:rPr>
          <w:rFonts w:ascii="Times New Roman" w:hAnsi="Times New Roman" w:cs="Times New Roman"/>
        </w:rPr>
        <w:t xml:space="preserve"> </w:t>
      </w:r>
      <w:r w:rsidR="00280E34">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{"citationItems":[{"id":"ITEM-1","itemData":{"DOI":"10.1021/ACS.CHEMREV.7B00074","ISSN":"15206890","PMID":"28756658","abstract":"Additive manufacturing (AM) alias 3D printing translates computer-aided design (CAD) virtual 3D models into physical objects. By digital slicing of CAD, 3D scan, or tomography data, AM builds objec...","author":[{"dropping-particle":"","family":"Ligon","given":"Samuel Clark","non-dropping-particle":"","parse-names":false,"suffix":""},{"dropping-particle":"","family":"Liska","given":"Robert","non-dropping-particle":"","parse-names":false,"suffix":""},{"dropping-particle":"","family":"Stampfl","given":"Jürgen","non-dropping-particle":"","parse-names":false,"suffix":""},{"dropping-particle":"","family":"Gurr","given":"Matthias","non-dropping-particle":"","parse-names":false,"suffix":""},{"dropping-particle":"","family":"Mülhaupt","given":"Rolf","non-dropping-particle":"","parse-names":false,"suffix":""}],"container-title":"Chemical Reviews","id":"ITEM-1","issue":"15","issued":{"date-parts":[["2017","8","9"]]},"page":"10212-10290","publisher":"American Chemical Society","title":"Polymers for 3D Printing and Customized Additive Manufacturing","type":"article-journal","volume":"117"},"uris":["http://www.mendeley.com/documents/?uuid=51c08a04-3848-39e5-9717-3f8f339e7661"]},{"id":"ITEM-2","itemData":{"DOI":"10.1016/J.JEURCERAMSOC.2012.01.010","ISSN":"0955-2219","abstract":"UV laser stereolithography is a rather new shaping technique that makes it possible the fabrication of complex 3D ceramic structures with a high dimensional accuracy. The green part is built through layer by layer photopolymerization of a light sensitive suspension. Polymerization is thus a critical step to control in this shaping technique. Photopolymerization, with the initiation, propagation and termination reactions, involves the mobility of reactive species and is then sensible to the rheology of the media. This study investigated the influence of the rheology of suspensions of silica particles in an acrylate oligomer and of the intergranular curable organic phase on the UV polymerization. In this respect, the effects of the powder concentration, the state of dispersion and of the dilution of the reactive oligomer on polymerization, are measured. In addition, the influence of the powder loading on the cure depth and cure width, which are respectively pertinent indicators of the reactivity of the suspension and of the dimensional accuracy of the green part, is evaluated. © 2012 Elsevier Ltd.","author":[{"dropping-particle":"","family":"Chartier","given":"T.","non-dropping-particle":"","parse-names":false,"suffix":""},{"dropping-particle":"","family":"Badev","given":"A.","non-dropping-particle":"","parse-names":false,"suffix":""},{"dropping-particle":"","family":"Abouliatim","given":"Y.","non-dropping-particle":"","parse-names":false,"suffix":""},{"dropping-particle":"","family":"Lebaudy","given":"P.","non-dropping-particle":"","parse-names":false,"suffix":""},{"dropping-particle":"","family":"Lecamp","given":"L.","non-dropping-particle":"","parse-names":false,"suffix":""}],"container-title":"Journal of the European Ceramic Society","id":"ITEM-2","issue":"8","issued":{"date-parts":[["2012","7","1"]]},"page":"1625-1634","publisher":"Elsevier","title":"Stereolithography process: Influence of the rheology of silica suspensions and of the medium on polymerization kinetics – Cured depth and width","type":"article-journal","volume":"32"},"uris":["http://www.mendeley.com/documents/?uuid=4371ada1-2514-39d6-9b9d-b034749930ae"]},{"id":"ITEM-3","itemData":{"DOI":"10.1021/ACS.BIOMAC.9B00076/SUPPL_FILE/BM9B00076_SI_001.PDF","ISSN":"15264602","PMID":"30807696","abstract":"Complex three-dimensional (3D) pore geometries, useful for tissue engineering scaffolds, can be fabricated via photo-crosslinking of resorbable poly(propylene fumarate) (PPF) resins using stereolithography (SLA) and/or continuous digital light processing (cDLP) methods. Physico-chemical parameters inherent to 3D printable resin design, include viscosity, polymer concentration, degree of polymerization, and resin printing temperature. We report here on our study of these parameters and their influence the cDLP 3D printing process and the resulting mechanical properties. A series of PPF oligomers were synthesized by the ring-opening copolymerization (ROCOP) of maleic anhydride and propylene oxide followed by a base-catalyzed isomerization. The resin viscosities were measured as a function of number-average molecular mass (Mn) of the PPF oligomers (1.1, 1.7 and 2.0 kDa), concentrations of PPF in the reactive diluent diethyl fumarate (DEF) (50 and 75 wt %) and resin temperature (25 to 55 °C). The zero-shear viscosity (η 0 ) of the resins was found to be temperature-dependent and follow a linear Arrhenius relationship. Tensile tests demonstrated mechanical properties within the range of trabecular bone, with the ultimate strength at break above 15 MPa and elastic moduli between 178 and 199 MPa.","author":[{"dropping-particle":"","family":"Luo","given":"Yuanyuan","non-dropping-particle":"","parse-names":false,"suffix":""},{"dropping-particle":"","family":"Fer","given":"Gaëlle","non-dropping-particle":"Le","parse-names":false,"suffix":""},{"dropping-particle":"","family":"Dean","given":"David","non-dropping-particle":"","parse-names":false,"suffix":""},{"dropping-particle":"","family":"Becker","given":"Matthew L.","non-dropping-particle":"","parse-names":false,"suffix":""}],"container-title":"Biomacromolecules","id":"ITEM-3","issue":"4","issued":{"date-parts":[["2019","4","8"]]},"page":"1699-1708","publisher":"American Chemical Society","title":"3D Printing of Poly(propylene fumarate) Oligomers: Evaluation of Resin Viscosity, Printing Characteristics and Mechanical Properties","type":"article-journal","volume":"20"},"uris":["http://www.mendeley.com/documents/?uuid=de666731-2556-3330-90a3-1a56f236bad8"]},{"id":"ITEM-4","itemData":{"DOI":"10.1080/17452759.2012.673152","ISSN":"17452759","abstract":"Highly accurate rendering of the external and internal geometry of bone tissue engineering scaffolds affects fit at the defect site, loading of internal pore spaces with cells, bioreactor-delivered...","author":[{"dropping-particle":"","family":"Dean","given":"David","non-dropping-particle":"","parse-names":false,"suffix":""},{"dropping-particle":"","family":"Wallace","given":"Jonathan","non-dropping-particle":"","parse-names":false,"suffix":""},{"dropping-particle":"","family":"Siblani","given":"Ali","non-dropping-particle":"","parse-names":false,"suffix":""},{"dropping-particle":"","family":"Wang","given":"Martha O.","non-dropping-particle":"","parse-names":false,"suffix":""},{"dropping-particle":"","family":"Kim","given":"Kyobum","non-dropping-particle":"","parse-names":false,"suffix":""},{"dropping-particle":"","family":"Mikos","given":"Antonios G.","non-dropping-particle":"","parse-names":false,"suffix":""},{"dropping-particle":"","family":"Fisher","given":"John P.","non-dropping-particle":"","parse-names":false,"suffix":""}],"container-title":"http://dx.doi.org.utk.idm.oclc.org/10.1080/17452759.2012.673152","id":"ITEM-4","issue":"1","issued":{"date-parts":[["2012","3"]]},"page":"13-24","publisher":" Taylor &amp; Francis Group ","title":"Continuous digital light processing (cDLP): Highly accurate additive manufacturing of tissue engineered bone scaffolds","type":"article-journal","volume":"7"},"uris":["http://www.mendeley.com/documents/?uuid=348ea479-c8f3-39de-9a33-c9368236dcce"]},{"id":"ITEM-5","itemData":{"DOI":"10.1016/J.ADDMA.2017.08.011","ISSN":"2214-8604","abstract":"3D printing has gained significant research interest recently for directly manufacturing 3D components and structures for use in a variety of applications. In this paper, a digital light processing (DLP ® ) based 3D printing technique was explored to manufacture electrically conductive objects of polymer nanocomposites. Here, the ink was made of a mixture of photocurable resin with multi-walled carbon nanotubes (MWCNTs). The concentrations of MWCNT as well as the printing parameters were investigated to yield optimal conductivity and printing quality. We found that 0.3 wt% loading of MWCNT in the resin matrix can provide the maximum electrical conductivity of 0.027S/m under the resin viscosity limit that allows high printing quality. With electric conductivity, the printed MWCNT nanocomposites can be used as smart materials and structures with strain sensitivity and shape memory effect. We demonstrate that the printed conductive complex structures as hollow capacitive sensor, electrically activated shape memory composites, stretchable circuits, showing the versatility of DLP ® 3D printing for conductive complex structures. In addition, mechanical tests showed that the addition of MWCNT could slightly increase the modulus and ultimate tensile stress while decreasing slightly the ultimate stretch, indicating that the new functionality is not obtained at the price of sacrificing mechanical properties.","author":[{"dropping-particle":"","family":"Mu","given":"Quanyi","non-dropping-particle":"","parse-names":false,"suffix":""},{"dropping-particle":"","family":"Wang","given":"Lei","non-dropping-particle":"","parse-names":false,"suffix":""},{"dropping-particle":"","family":"Dunn","given":"Conner K.","non-dropping-particle":"","parse-names":false,"suffix":""},{"dropping-particle":"","family":"Kuang","given":"Xiao","non-dropping-particle":"","parse-names":false,"suffix":""},{"dropping-particle":"","family":"Duan","given":"Feng","non-dropping-particle":"","parse-names":false,"suffix":""},{"dropping-particle":"","family":"Zhang","given":"Zhong","non-dropping-particle":"","parse-names":false,"suffix":""},{"dropping-particle":"","family":"Qi","given":"H. Jerry","non-dropping-particle":"","parse-names":false,"suffix":""},{"dropping-particle":"","family":"Wang","given":"Tiejun","non-dropping-particle":"","parse-names":false,"suffix":""}],"container-title":"Additive Manufacturing","id":"ITEM-5","issued":{"date-parts":[["2017","12","1"]]},"page":"74-83","publisher":"Elsevier","title":"Digital light processing 3D printing of conductive complex structures","type":"article-journal","volume":"18"},"uris":["http://www.mendeley.com/documents/?uuid=b20c547f-280c-3097-a296-6a2c20e88e8f"]}],"mendeley":{"formattedCitation":"[73]–[77]","plainTextFormattedCitation":"[73]–[77]","previouslyFormattedCitation":"[73]–[77]"},"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[73]–[77]</w:t>
      </w:r>
      <w:r w:rsidR="00280E34">
        <w:rPr>
          <w:rFonts w:ascii="Times New Roman" w:hAnsi="Times New Roman" w:cs="Times New Roman"/>
        </w:rPr>
        <w:fldChar w:fldCharType="end"/>
      </w:r>
      <w:r w:rsidR="00280E34">
        <w:rPr>
          <w:rFonts w:ascii="Times New Roman" w:hAnsi="Times New Roman" w:cs="Times New Roman"/>
        </w:rPr>
        <w:t>.</w:t>
      </w:r>
      <w:r w:rsidRPr="00C52232">
        <w:rPr>
          <w:rFonts w:ascii="Times New Roman" w:hAnsi="Times New Roman" w:cs="Times New Roman"/>
        </w:rPr>
        <w:t xml:space="preserve"> Layer heights for DLP have been reported as low as 19 μm </w:t>
      </w:r>
      <w:r w:rsidR="00280E34">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{"citationItems":[{"id":"ITEM-1","itemData":{"DOI":"10.1016/J.ADDMA.2017.08.011","ISSN":"2214-8604","abstract":"3D printing has gained significant research interest recently for directly manufacturing 3D components and structures for use in a variety of applications. In this paper, a digital light processing (DLP ® ) based 3D printing technique was explored to manufacture electrically conductive objects of polymer nanocomposites. Here, the ink was made of a mixture of photocurable resin with multi-walled carbon nanotubes (MWCNTs). The concentrations of MWCNT as well as the printing parameters were investigated to yield optimal conductivity and printing quality. We found that 0.3 wt% loading of MWCNT in the resin matrix can provide the maximum electrical conductivity of 0.027S/m under the resin viscosity limit that allows high printing quality. With electric conductivity, the printed MWCNT nanocomposites can be used as smart materials and structures with strain sensitivity and shape memory effect. We demonstrate that the printed conductive complex structures as hollow capacitive sensor, electrically activated shape memory composites, stretchable circuits, showing the versatility of DLP ® 3D printing for conductive complex structures. In addition, mechanical tests showed that the addition of MWCNT could slightly increase the modulus and ultimate tensile stress while decreasing slightly the ultimate stretch, indicating that the new functionality is not obtained at the price of sacrificing mechanical properties.","author":[{"dropping-particle":"","family":"Mu","given":"Quanyi","non-dropping-particle":"","parse-names":false,"suffix":""},{"dropping-particle":"","family":"Wang","given":"Lei","non-dropping-particle":"","parse-names":false,"suffix":""},{"dropping-particle":"","family":"Dunn","given":"Conner K.","non-dropping-particle":"","parse-names":false,"suffix":""},{"dropping-particle":"","family":"Kuang","given":"Xiao","non-dropping-particle":"","parse-names":false,"suffix":""},{"dropping-particle":"","family":"Duan","given":"Feng","non-dropping-particle":"","parse-names":false,"suffix":""},{"dropping-particle":"","family":"Zhang","given":"Zhong","non-dropping-particle":"","parse-names":false,"suffix":""},{"dropping-particle":"","family":"Qi","given":"H. Jerry","non-dropping-particle":"","parse-names":false,"suffix":""},{"dropping-particle":"","family":"Wang","given":"Tiejun","non-dropping-particle":"","parse-names":false,"suffix":""}],"container-title":"Additive Manufacturing","id":"ITEM-1","issued":{"date-parts":[["2017","12","1"]]},"page":"74-83","publisher":"Elsevier","title":"Digital light processing 3D printing of conductive complex structures","type":"article-journal","volume":"18"},"uris":["http://www.mendeley.com/documents/?uuid=b20c547f-280c-3097-a296-6a2c20e88e8f"]}],"mendeley":{"formattedCitation":"[77]","plainTextFormattedCitation":"[77]","previouslyFormattedCitation":"[77]"},"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[77]</w:t>
      </w:r>
      <w:r w:rsidR="00280E34">
        <w:rPr>
          <w:rFonts w:ascii="Times New Roman" w:hAnsi="Times New Roman" w:cs="Times New Roman"/>
        </w:rPr>
        <w:fldChar w:fldCharType="end"/>
      </w:r>
      <w:r w:rsidRPr="00C52232">
        <w:rPr>
          <w:rFonts w:ascii="Times New Roman" w:hAnsi="Times New Roman" w:cs="Times New Roman"/>
        </w:rPr>
        <w:t>. Lateral overcuring can be a concern in vat polymerization methods, as it can affect part resolution. Light-blocking agents are utilized in some formulations to restrict cure behavior</w:t>
      </w:r>
      <w:r w:rsidR="0033427D" w:rsidRPr="00C52232">
        <w:rPr>
          <w:rFonts w:ascii="Times New Roman" w:hAnsi="Times New Roman" w:cs="Times New Roman"/>
        </w:rPr>
        <w:t xml:space="preserve"> </w:t>
      </w:r>
      <w:r w:rsidR="0033427D" w:rsidRPr="00C52232">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{"citationItems":[{"id":"ITEM-1","itemData":{"DOI":"10.1080/17452759.2012.673152","ISSN":"17452759","abstract":"Highly accurate rendering of the external and internal geometry of bone tissue engineering scaffolds affects fit at the defect site, loading of internal pore spaces with cells, bioreactor-delivered...","author":[{"dropping-particle":"","family":"Dean","given":"David","non-dropping-particle":"","parse-names":false,"suffix":""},{"dropping-particle":"","family":"Wallace","given":"Jonathan","non-dropping-particle":"","parse-names":false,"suffix":""},{"dropping-particle":"","family":"Siblani","given":"Ali","non-dropping-particle":"","parse-names":false,"suffix":""},{"dropping-particle":"","family":"Wang","given":"Martha O.","non-dropping-particle":"","parse-names":false,"suffix":""},{"dropping-particle":"","family":"Kim","given":"Kyobum","non-dropping-particle":"","parse-names":false,"suffix":""},{"dropping-particle":"","family":"Mikos","given":"Antonios G.","non-dropping-particle":"","parse-names":false,"suffix":""},{"dropping-particle":"","family":"Fisher","given":"John P.","non-dropping-particle":"","parse-names":false,"suffix":""}],"container-title":"http://dx.doi.org.utk.idm.oclc.org/10.1080/17452759.2012.673152","id":"ITEM-1","issue":"1","issued":{"date-parts":[["2012","3"]]},"page":"13-24","publisher":" Taylor &amp; Francis Group ","title":"Continuous digital light processing (cDLP): Highly accurate additive manufacturing of tissue engineered bone scaffolds","type":"article-journal","volume":"7"},"uris":["http://www.mendeley.com/documents/?uuid=348ea479-c8f3-39de-9a33-c9368236dcce"]}],"mendeley":{"formattedCitation":"[76]","plainTextFormattedCitation":"[76]","previouslyFormattedCitation":"[76]"},"properties":{"noteIndex":0},"schema":"https://github.com/citation-style-language/schema/raw/master/csl-citation.json"}</w:instrText>
      </w:r>
      <w:r w:rsidR="0033427D" w:rsidRPr="00C52232">
        <w:rPr>
          <w:rFonts w:ascii="Times New Roman" w:hAnsi="Times New Roman" w:cs="Times New Roman"/>
        </w:rPr>
        <w:fldChar w:fldCharType="separate"/>
      </w:r>
      <w:r w:rsidR="00280E34" w:rsidRPr="00280E34">
        <w:rPr>
          <w:rFonts w:ascii="Times New Roman" w:hAnsi="Times New Roman" w:cs="Times New Roman"/>
          <w:noProof/>
        </w:rPr>
        <w:t>[76]</w:t>
      </w:r>
      <w:r w:rsidR="0033427D" w:rsidRPr="00C52232">
        <w:rPr>
          <w:rFonts w:ascii="Times New Roman" w:hAnsi="Times New Roman" w:cs="Times New Roman"/>
        </w:rPr>
        <w:fldChar w:fldCharType="end"/>
      </w:r>
      <w:r w:rsidR="00280E34">
        <w:rPr>
          <w:rFonts w:ascii="Times New Roman" w:hAnsi="Times New Roman" w:cs="Times New Roman"/>
        </w:rPr>
        <w:t>.</w:t>
      </w:r>
      <w:r w:rsidRPr="00C52232">
        <w:rPr>
          <w:rFonts w:ascii="Times New Roman" w:hAnsi="Times New Roman" w:cs="Times New Roman"/>
        </w:rPr>
        <w:t xml:space="preserve"> </w:t>
      </w:r>
      <w:r w:rsidR="00280E34">
        <w:rPr>
          <w:rFonts w:ascii="Times New Roman" w:hAnsi="Times New Roman" w:cs="Times New Roman"/>
        </w:rPr>
        <w:t xml:space="preserve"> </w:t>
      </w:r>
      <w:r w:rsidRPr="00C52232">
        <w:rPr>
          <w:rFonts w:ascii="Times New Roman" w:hAnsi="Times New Roman" w:cs="Times New Roman"/>
        </w:rPr>
        <w:t>Most vat polymerization methods rely on a precise gap between the build plate and bottom of the resin tray to determine layer height. Lower viscosity resins are preferred to allow rapid resin flow into this small gap. Typical vat polymerization resins have a viscosity ranging from 0.2 – 10 Pa-s at low shear, as high viscosities can limit resin flow and lead to bubble formation, restricting print speeds</w:t>
      </w:r>
      <w:r w:rsidR="00280E34">
        <w:rPr>
          <w:rFonts w:ascii="Times New Roman" w:hAnsi="Times New Roman" w:cs="Times New Roman"/>
        </w:rPr>
        <w:t xml:space="preserve"> </w:t>
      </w:r>
      <w:r w:rsidR="00280E34">
        <w:rPr>
          <w:rFonts w:ascii="Times New Roman" w:hAnsi="Times New Roman" w:cs="Times New Roman"/>
        </w:rPr>
        <w:fldChar w:fldCharType="begin" w:fldLock="1"/>
      </w:r>
      <w:r w:rsidR="00280E34">
        <w:rPr>
          <w:rFonts w:ascii="Times New Roman" w:hAnsi="Times New Roman" w:cs="Times New Roman"/>
        </w:rPr>
        <w:instrText xml:space="preserve">ADDIN CSL_CITATION {"citationItems":[{"id":"ITEM-1","itemData":{"DOI":"10.1016/J.JEURCERAMSOC.2012.01.010","ISSN":"0955-2219","abstract":"UV laser stereolithography is a rather new shaping technique that makes it possible the fabrication of complex 3D ceramic structures with a high dimensional accuracy. The green part is built through layer by layer photopolymerization of a light sensitive suspension. Polymerization is thus a critical step to control in this shaping technique. Photopolymerization, with the initiation, propagation and termination reactions, involves the mobility of reactive species and is then sensible to the rheology of the media. This study investigated the influence of the rheology of suspensions of silica particles in an acrylate oligomer and of the intergranular curable organic phase on the UV polymerization. In this respect, the effects of the powder concentration, the state of dispersion and of the dilution of the reactive oligomer on polymerization, are measured. In addition, the influence of the powder loading on the cure depth and cure width, which are respectively pertinent indicators of the reactivity of the suspension and of the dimensional accuracy of the green part, is evaluated. © 2012 Elsevier Ltd.","author":[{"dropping-particle":"","family":"Chartier","given":"T.","non-dropping-particle":"","parse-names":false,"suffix":""},{"dropping-particle":"","family":"Badev","given":"A.","non-dropping-particle":"","parse-names":false,"suffix":""},{"dropping-particle":"","family":"Abouliatim","given":"Y.","non-dropping-particle":"","parse-names":false,"suffix":""},{"dropping-particle":"","family":"Lebaudy","given":"P.","non-dropping-particle":"","parse-names":false,"suffix":""},{"dropping-particle":"","family":"Lecamp","given":"L.","non-dropping-particle":"","parse-names":false,"suffix":""}],"container-title":"Journal of the European Ceramic Society","id":"ITEM-1","issue":"8","issued":{"date-parts":[["2012","7","1"]]},"page":"1625-1634","publisher":"Elsevier","title":"Stereolithography process: Influence of the rheology of silica suspensions and of the medium on polymerization kinetics – Cured depth and width","type":"article-journal","volume":"32"},"uris":["http://www.mendeley.com/documents/?uuid=4371ada1-2514-39d6-9b9d-b034749930ae"]},{"id":"ITEM-2","itemData":{"DOI":"10.1021/ACS.BIOMAC.9B00076/SUPPL_FILE/BM9B00076_SI_001.PDF","ISSN":"15264602","PMID":"30807696","abstract":"Complex three-dimensional (3D) pore geometries, useful for tissue engineering scaffolds, can be fabricated via photo-crosslinking of resorbable poly(propylene fumarate) (PPF) resins using stereolithography (SLA) and/or continuous digital light processing (cDLP) methods. Physico-chemical parameters inherent to 3D printable resin design, include viscosity, polymer concentration, degree of polymerization, and resin printing temperature. We report here on our study of these parameters and their influence the cDLP 3D printing process and the resulting mechanical properties. A series of PPF oligomers were synthesized by the ring-opening copolymerization (ROCOP) of maleic anhydride and propylene oxide followed by a base-catalyzed isomerization. The resin viscosities were measured as a function of number-average molecular mass (Mn) of the PPF oligomers (1.1, 1.7 and 2.0 kDa), concentrations of PPF in the reactive diluent diethyl fumarate (DEF) (50 and 75 wt %) and resin temperature (25 to 55 °C). The zero-shear viscosity (η 0 ) of the resins was found to be temperature-dependent and follow a linear Arrhenius relationship. Tensile tests demonstrated mechanical properties within the range of trabecular bone, with the ultimate strength at break above 15 MPa and elastic moduli between 178 and 199 MPa.","author":[{"dropping-particle":"","family":"Luo","given":"Yuanyuan","non-dropping-particle":"","parse-names":false,"suffix":""},{"dropping-particle":"","family":"Fer","given":"Gaëlle","non-dropping-particle":"Le","parse-names":false,"suffix":""},{"dropping-particle":"","family":"Dean","given":"David","non-dropping-particle":"","parse-names":false,"suffix":""},{"dropping-particle":"","family":"Becker","given":"Matthew L.","non-dropping-particle":"","parse-names":false,"suffix":""}],"container-title":"Biomacromolecules","id":"ITEM-2","issue":"4","issued":{"date-parts":[["2019","4","8"]]},"page":"1699-1708","publisher":"American Chemical Society","title":"3D Printing of Poly(propylene fumarate) Oligomers: Evaluation of Resin Viscosity, Printing Characteristics and Mechanical Properties","type":"article-journal","volume":"20"},"uris":["http://www.mendeley.com/documents/?uuid=de666731-2556-3330-90a3-1a56f236bad8"]},{"id":"ITEM-3","itemData":{"DOI":"10.1016/J.ADDMA.2017.08.011","ISSN":"2214-8604","abstract":"3D printing has gained significant research interest recently for directly manufacturing 3D components and structures for use in a variety of applications. In this paper, a digital light processing (DLP ® ) based 3D printing technique was explored to manufacture electrically conductive objects of polymer nanocomposites. Here, the ink was made of a mixture of photocurable resin with multi-walled carbon nanotubes (MWCNTs). The concentrations of MWCNT as well as the printing parameters were investigated to yield optimal conductivity and printing quality. We found that 0.3 wt% loading of MWCNT in the resin matrix can provide the maximum electrical conductivity of 0.027S/m under the resin viscosity limit that allows high printing quality. With electric conductivity, the printed MWCNT nanocomposites can be used as smart materials and structures with strain sensitivity and shape memory effect. We demonstrate that the printed conductive complex structures as hollow capacitive sensor, electrically activated shape memory composites, stretchable circuits, showing the versatility of DLP ® 3D printing for conductive complex structures. In addition, mechanical tests showed that the addition of MWCNT could slightly increase the modulus and ultimate tensile stress while decreasing slightly the ultimate stretch, indicating that the new functionality is not obtained at the price of sacrificing mechanical properties.","author":[{"dropping-particle":"","family":"Mu","given":"Quanyi","non-dropping-particle":"","parse-names":false,"suffix":""},{"dropping-particle":"","family":"Wang","given":"Lei","non-dropping-particle":"","parse-names":false,"suffix":""},{"dropping-particle":"","family":"Dunn","given":"Conner K.","non-dropping-particle":"","parse-names":false,"suffix":""},{"dropping-particle":"","family":"Kuang","given":"Xiao","non-dropping-particle":"","parse-names":false,"suffix":""},{"dropping-particle":"","family":"Duan","given":"Feng","non-dropping-particle":"","parse-names":false,"suffix":""},{"dropping-particle":"","family":"Zhang","given":"Zhong","non-dropping-particle":"","parse-names":false,"suffix":""},{"dropping-particle":"","family":"Qi","given":"H. Jerry","non-dropping-particle":"","parse-names":false,"suffix":""},{"dropping-particle":"","family":"Wang","given":"Tiejun","non-dropping-particle":"","parse-names":false,"suffix":""}],"container-title":"Additive Manufacturing","id":"ITEM-3","issued":{"date-parts":[["2017","12","1"]]},"page":"74-83","publisher":"Elsevier","title":"Digital light processing 3D printing of conductive complex structures","type":"article-journal","volume":"18"},"uris":["http://www.mendeley.com/documents/?uuid=b20c547f-280c-3097-a296-6a2c20e88e8f"]},{"id":"ITEM-4","itemData":{"DOI":"10.1016/J.JMATPROTEC.2009.05.004","ISSN":"0924-0136","abstract":"Microstereolithography (μSL) technology can fabricate three-dimensional (3D) tissue engineered scaffolds with controlled biochemical and mechanical micro-architectures. A μSL system for tissue engineering was developed using a Digital Micromirror Device (DMD™) for dynamic pattern generation and an ultraviolet (UV) lamp filtered at 365 nm for crosslinking the photoreactive polymer solution. The μSL system was designed with x-y resolution of </w:instrText>
      </w:r>
      <w:r w:rsidR="00280E34">
        <w:rPr>
          <w:rFonts w:ascii="Cambria Math" w:hAnsi="Cambria Math" w:cs="Cambria Math"/>
        </w:rPr>
        <w:instrText>∼</w:instrText>
      </w:r>
      <w:r w:rsidR="00280E34">
        <w:rPr>
          <w:rFonts w:ascii="Times New Roman" w:hAnsi="Times New Roman" w:cs="Times New Roman"/>
        </w:rPr>
        <w:instrText xml:space="preserve">2 μm and a vertical (z) resolution of </w:instrText>
      </w:r>
      <w:r w:rsidR="00280E34">
        <w:rPr>
          <w:rFonts w:ascii="Cambria Math" w:hAnsi="Cambria Math" w:cs="Cambria Math"/>
        </w:rPr>
        <w:instrText>∼</w:instrText>
      </w:r>
      <w:r w:rsidR="00280E34">
        <w:rPr>
          <w:rFonts w:ascii="Times New Roman" w:hAnsi="Times New Roman" w:cs="Times New Roman"/>
        </w:rPr>
        <w:instrText xml:space="preserve">1 μm. To demonstrate the use of μSL in tissue engineering, poly(propylene fumarate) (PPF) was synthesized with a molecular weight of </w:instrText>
      </w:r>
      <w:r w:rsidR="00280E34">
        <w:rPr>
          <w:rFonts w:ascii="Cambria Math" w:hAnsi="Cambria Math" w:cs="Cambria Math"/>
        </w:rPr>
        <w:instrText>∼</w:instrText>
      </w:r>
      <w:r w:rsidR="00280E34">
        <w:rPr>
          <w:rFonts w:ascii="Times New Roman" w:hAnsi="Times New Roman" w:cs="Times New Roman"/>
        </w:rPr>
        <w:instrText xml:space="preserve">1200 Da. The viscosity of the PPF was reduced to </w:instrText>
      </w:r>
      <w:r w:rsidR="00280E34">
        <w:rPr>
          <w:rFonts w:ascii="Cambria Math" w:hAnsi="Cambria Math" w:cs="Cambria Math"/>
        </w:rPr>
        <w:instrText>∼</w:instrText>
      </w:r>
      <w:r w:rsidR="00280E34">
        <w:rPr>
          <w:rFonts w:ascii="Times New Roman" w:hAnsi="Times New Roman" w:cs="Times New Roman"/>
        </w:rPr>
        <w:instrText xml:space="preserve">150 cP (at 50 °C) by mixing with diethyl fumarate (DEF) in the ratio of 7:3 (w/w). Finally, </w:instrText>
      </w:r>
      <w:r w:rsidR="00280E34">
        <w:rPr>
          <w:rFonts w:ascii="Cambria Math" w:hAnsi="Cambria Math" w:cs="Cambria Math"/>
        </w:rPr>
        <w:instrText>∼</w:instrText>
      </w:r>
      <w:r w:rsidR="00280E34">
        <w:rPr>
          <w:rFonts w:ascii="Times New Roman" w:hAnsi="Times New Roman" w:cs="Times New Roman"/>
        </w:rPr>
        <w:instrText xml:space="preserve">2% (w/w) of bis(2,4,6-trimethylbenzoyl) phenylphosphine oxide (BAPO) was added to the solution to serve as a photoinitiator. Cure depth experiments were performed to determine the curing characteristics of the synthesized PPF, and the resulting system and prepolymer were used to construct a 3D porous scaffold with interconnected pores of </w:instrText>
      </w:r>
      <w:r w:rsidR="00280E34">
        <w:rPr>
          <w:rFonts w:ascii="Cambria Math" w:hAnsi="Cambria Math" w:cs="Cambria Math"/>
        </w:rPr>
        <w:instrText>∼</w:instrText>
      </w:r>
      <w:r w:rsidR="00280E34">
        <w:rPr>
          <w:rFonts w:ascii="Times New Roman" w:hAnsi="Times New Roman" w:cs="Times New Roman"/>
        </w:rPr>
        <w:instrText>100 μm. Scanning electron microscopy (SEM), and micro-computed tomography (μCT) images of the micro-architecture illustrate that the developed μSL system is a promising technology for producing biodegradable and biocompatible 3D micro-scaffolds with fully interconnected pores. © 2009 Elsevier B.V. All rights reserved.","author":[{"dropping-particle":"","family":"Choi","given":"Jae Won","non-dropping-particle":"","parse-names":false,"suffix":""},{"dropping-particle":"","family":"Wicker","given":"Ryan","non-dropping-particle":"","parse-names":false,"suffix":""},{"dropping-particle":"","family":"Lee","given":"Seok Hee","non-dropping-particle":"","parse-names":false,"suffix":""},{"dropping-particle":"","family":"Choi","given":"Kyung Hyun","non-dropping-particle":"","parse-names":false,"suffix":""},{"dropping-particle":"","family":"Ha","given":"Chang Sik","non-dropping-particle":"","parse-names":false,"suffix":""},{"dropping-particle":"","family":"Chung","given":"Ildoo","non-dropping-particle":"","parse-names":false,"suffix":""}],"container-title":"Journal of Materials Processing Technology","id":"ITEM-4","issue":"15-16","issued":{"date-parts":[["2009","8","1"]]},"page":"5494-5503","publisher":"Elsevier","title":"Fabrication of 3D biocompatible/biodegradable micro-scaffolds using dynamic mask projection microstereolithography","type":"article-journal","volume":"209"},"uris":["http://www.mendeley.com/documents/?uuid=995c7a95-26f4-3e31-8488-96c372b464fd"]}],"mendeley":{"formattedCitation":"[74], [75], [77], [78]","plainTextFormattedCitation":"[74], [75], [77], [78]","previouslyFormattedCitation":"[74], [75], [77], [78]"},"properties":{"noteIndex":0},"schema":"https://github.com/citation-style-language/schema/raw/master/csl-citation.json"}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[74], [75], [77], [78]</w:t>
      </w:r>
      <w:r w:rsidR="00280E34">
        <w:rPr>
          <w:rFonts w:ascii="Times New Roman" w:hAnsi="Times New Roman" w:cs="Times New Roman"/>
        </w:rPr>
        <w:fldChar w:fldCharType="end"/>
      </w:r>
      <w:r w:rsidR="00280E34">
        <w:rPr>
          <w:rFonts w:ascii="Times New Roman" w:hAnsi="Times New Roman" w:cs="Times New Roman"/>
        </w:rPr>
        <w:t>.</w:t>
      </w:r>
      <w:r w:rsidRPr="00C52232">
        <w:rPr>
          <w:rFonts w:ascii="Times New Roman" w:hAnsi="Times New Roman" w:cs="Times New Roman"/>
        </w:rPr>
        <w:t xml:space="preserve"> Vat polymerization printers typically have </w:t>
      </w:r>
      <w:proofErr w:type="spellStart"/>
      <w:proofErr w:type="gramStart"/>
      <w:r w:rsidRPr="00C52232">
        <w:rPr>
          <w:rFonts w:ascii="Times New Roman" w:hAnsi="Times New Roman" w:cs="Times New Roman"/>
        </w:rPr>
        <w:t>build</w:t>
      </w:r>
      <w:proofErr w:type="spellEnd"/>
      <w:proofErr w:type="gramEnd"/>
      <w:r w:rsidRPr="00C52232">
        <w:rPr>
          <w:rFonts w:ascii="Times New Roman" w:hAnsi="Times New Roman" w:cs="Times New Roman"/>
        </w:rPr>
        <w:t xml:space="preserve"> volumes below 0.03 m</w:t>
      </w:r>
      <w:r w:rsidRPr="00C52232">
        <w:rPr>
          <w:rFonts w:ascii="Times New Roman" w:hAnsi="Times New Roman" w:cs="Times New Roman"/>
          <w:vertAlign w:val="superscript"/>
        </w:rPr>
        <w:t>3</w:t>
      </w:r>
      <w:r w:rsidRPr="00C52232">
        <w:rPr>
          <w:rFonts w:ascii="Times New Roman" w:hAnsi="Times New Roman" w:cs="Times New Roman"/>
        </w:rPr>
        <w:t xml:space="preserve">. </w:t>
      </w:r>
    </w:p>
    <w:p w14:paraId="72FEF377" w14:textId="77777777" w:rsidR="004D4393" w:rsidRPr="00C52232" w:rsidRDefault="004D4393" w:rsidP="008B3BCF">
      <w:pPr>
        <w:spacing w:line="360" w:lineRule="auto"/>
        <w:rPr>
          <w:rFonts w:ascii="Times New Roman" w:hAnsi="Times New Roman" w:cs="Times New Roman"/>
        </w:rPr>
      </w:pPr>
    </w:p>
    <w:p w14:paraId="01FD7958" w14:textId="73BB3C53" w:rsidR="008B3BCF" w:rsidRPr="00C52232" w:rsidRDefault="008B3BCF" w:rsidP="008B3BCF">
      <w:pPr>
        <w:spacing w:line="360" w:lineRule="auto"/>
        <w:rPr>
          <w:rFonts w:ascii="Times New Roman" w:hAnsi="Times New Roman" w:cs="Times New Roman"/>
        </w:rPr>
      </w:pPr>
      <w:r w:rsidRPr="00C52232">
        <w:rPr>
          <w:rFonts w:ascii="Times New Roman" w:hAnsi="Times New Roman" w:cs="Times New Roman"/>
        </w:rPr>
        <w:t xml:space="preserve">Material jetting is an inkjet-based system that deposits droplets of photopolymer on a print bed and cures layers by scanning a UV lamp over the print bed. Material jetting can achieve resolutions of 25 μm and print multiple materials and colors within a single part </w:t>
      </w:r>
      <w:r w:rsidR="00280E34">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{"citationItems":[{"id":"ITEM-1","itemData":{"DOI":"10.1021/ACS.CHEMREV.7B00074","ISSN":"15206890","PMID":"28756658","abstract":"Additive manufacturing (AM) alias 3D printing translates computer-aided design (CAD) virtual 3D models into physical objects. By digital slicing of CAD, 3D scan, or tomography data, AM builds objec...","author":[{"dropping-particle":"","family":"Ligon","given":"Samuel Clark","non-dropping-particle":"","parse-names":false,"suffix":""},{"dropping-particle":"","family":"Liska","given":"Robert","non-dropping-particle":"","parse-names":false,"suffix":""},{"dropping-particle":"","family":"Stampfl","given":"Jürgen","non-dropping-particle":"","parse-names":false,"suffix":""},{"dropping-particle":"","family":"Gurr","given":"Matthias","non-dropping-particle":"","parse-names":false,"suffix":""},{"dropping-particle":"","family":"Mülhaupt","given":"Rolf","non-dropping-particle":"","parse-names":false,"suffix":""}],"container-title":"Chemical Reviews","id":"ITEM-1","issue":"15","issued":{"date-parts":[["2017","8","9"]]},"page":"10212-10290","publisher":"American Chemical Society","title":"Polymers for 3D Printing and Customized Additive Manufacturing","type":"article-journal","volume":"117"},"uris":["http://www.mendeley.com/documents/?uuid=51c08a04-3848-39e5-9717-3f8f339e7661"]},{"id":"ITEM-2","itemData":{"DOI":"10.1007/978-1-4419-1120-9","ISBN":"978-1-4419-1119-3","author":[{"dropping-particle":"","family":"Gibson","given":"I","non-dropping-particle":"","parse-names":false,"suffix":""},{"dropping-particle":"","family":"Rosen","given":"D W","non-dropping-particle":"","parse-names":false,"suffix":""},{"dropping-particle":"","family":"Stucker","given":"B","non-dropping-particle":"","parse-names":false,"suffix":""}],"id":"ITEM-2","issued":{"date-parts":[["2010"]]},"publisher":"Springer","title":"Additive Manufacturing Technologies Rapid Prototyping to Direct Digital Manufacturing","type":"book"},"uris":["http://www.mendeley.com/documents/?uuid=132cbdb2-6e19-3363-917b-3fd23d1fc274"]}],"mendeley":{"formattedCitation":"[73], [79]","plainTextFormattedCitation":"[73], [79]","previouslyFormattedCitation":"[73], [79]"},"properties":{"noteIndex":0},"schema":"https://github.com/citation-style-language/schema/raw/master/csl-citation.json"}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[73], [79]</w:t>
      </w:r>
      <w:r w:rsidR="00280E34">
        <w:rPr>
          <w:rFonts w:ascii="Times New Roman" w:hAnsi="Times New Roman" w:cs="Times New Roman"/>
        </w:rPr>
        <w:fldChar w:fldCharType="end"/>
      </w:r>
      <w:r w:rsidR="00280E34">
        <w:rPr>
          <w:rFonts w:ascii="Times New Roman" w:hAnsi="Times New Roman" w:cs="Times New Roman"/>
        </w:rPr>
        <w:t>.</w:t>
      </w:r>
      <w:r w:rsidRPr="00C52232">
        <w:rPr>
          <w:rFonts w:ascii="Times New Roman" w:hAnsi="Times New Roman" w:cs="Times New Roman"/>
        </w:rPr>
        <w:t xml:space="preserve"> However, low viscosity inks are required, with typical maximum printable viscosity reported between 0.02-0.04 Pa-s</w:t>
      </w:r>
      <w:r w:rsidR="00280E34">
        <w:rPr>
          <w:rFonts w:ascii="Times New Roman" w:hAnsi="Times New Roman" w:cs="Times New Roman"/>
        </w:rPr>
        <w:t xml:space="preserve"> </w:t>
      </w:r>
      <w:r w:rsidR="00280E34">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{"citationItems":[{"id":"ITEM-1","itemData":{"DOI":"10.1557/MRS2003.230","ISSN":"1938-1425","abstract":"Inkjet printing is an attractive method for patterning and fabricating objects directly from design or image files without the need for masks, patterns, or dies. In order to achieve this with metals or ceramics, it is often necessary to print them as highly concentrated suspensions of powders in liquids. Such liquid suspensions must have physical properties appropriate to the inkjet delivery mechanism. These properties are presented using a nondimensional formalism to illustrate the requirements for both drop formation and spreading on impact. Further critical issues relevant to inkjet printing of particulate suspensions are discussed and illustrated with experiments on a model alumina-containing colloidal suspension.","author":[{"dropping-particle":"","family":"Derby","given":"Brian","non-dropping-particle":"","parse-names":false,"suffix":""},{"dropping-particle":"","family":"Reis","given":"Nuno","non-dropping-particle":"","parse-names":false,"suffix":""}],"container-title":"MRS Bulletin","id":"ITEM-1","issue":"11","issued":{"date-parts":[["2003"]]},"page":"815-818","publisher":"Cambridge University Press","title":"Inkjet Printing of Highly Loaded Particulate Suspensions","type":"article-journal","volume":"28"},"uris":["http://www.mendeley.com/documents/?uuid=7c876c1a-7de5-3fbc-9ed3-b5ae005d5089"]},{"id":"ITEM-2","itemData":{"DOI":"10.1002/ADMA.200300385","ISSN":"1521-4095","abstract":"Inkjet printing is considered to be a key technology in the field of defined polymer deposition. This article provides an introduction to inkjet printing technology and a short overview of the available instrumentation. Examples of polymer inkjet printing are given, including the manufacturing of multicolor polymer light-emitting diode displays, polymer electronics, three-dimensional printing, and oral dosage forms for controlled drug release. Special emphasis is placed upon the utilized polymers and conditions, such as polymer structure, molar mass, solvents, and concentration. Studies on viscoelastic fluid jets and the formation of viscoelastic droplets under gravity indicate that strain hardening is the key parameter that determines the inkjet printability of polymer solutions.","author":[{"dropping-particle":"","family":"Gans","given":"Berend Jan","non-dropping-particle":"De","parse-names":false,"suffix":""},{"dropping-particle":"","family":"Duineveld","given":"Paul C.","non-dropping-particle":"","parse-names":false,"suffix":""},{"dropping-particle":"","family":"Schubert","given":"Ulrich S.","non-dropping-particle":"","parse-names":false,"suffix":""}],"container-title":"Advanced Materials","id":"ITEM-2","issue":"3","issued":{"date-parts":[["2004","2","3"]]},"page":"203-213","publisher":"John Wiley &amp; Sons, Ltd","title":"Inkjet Printing of Polymers: State of the Art and Future Developments","type":"article-journal","volume":"16"},"uris":["http://www.mendeley.com/documents/?uuid=66375636-737e-3643-8cfc-4685c6d8b6ee"]}],"mendeley":{"formattedCitation":"[80], [81]","plainTextFormattedCitation":"[80], [81]","previouslyFormattedCitation":"[80], [81]"},"properties":{"noteIndex":0},"schema":"https://github.com/citation-style-language/schema/raw/master/csl-citation.json"}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[80], [81]</w:t>
      </w:r>
      <w:r w:rsidR="00280E34">
        <w:rPr>
          <w:rFonts w:ascii="Times New Roman" w:hAnsi="Times New Roman" w:cs="Times New Roman"/>
        </w:rPr>
        <w:fldChar w:fldCharType="end"/>
      </w:r>
      <w:r w:rsidR="00280E34">
        <w:rPr>
          <w:rFonts w:ascii="Times New Roman" w:hAnsi="Times New Roman" w:cs="Times New Roman"/>
        </w:rPr>
        <w:t>.</w:t>
      </w:r>
      <w:r w:rsidRPr="00C52232">
        <w:rPr>
          <w:rFonts w:ascii="Times New Roman" w:hAnsi="Times New Roman" w:cs="Times New Roman"/>
        </w:rPr>
        <w:t xml:space="preserve"> </w:t>
      </w:r>
      <w:bookmarkStart w:id="52" w:name="_Hlk87970464"/>
      <w:r w:rsidRPr="00C52232">
        <w:rPr>
          <w:rFonts w:ascii="Times New Roman" w:hAnsi="Times New Roman" w:cs="Times New Roman"/>
        </w:rPr>
        <w:t xml:space="preserve">Material jetting printers typically have </w:t>
      </w:r>
      <w:proofErr w:type="spellStart"/>
      <w:proofErr w:type="gramStart"/>
      <w:r w:rsidRPr="00C52232">
        <w:rPr>
          <w:rFonts w:ascii="Times New Roman" w:hAnsi="Times New Roman" w:cs="Times New Roman"/>
        </w:rPr>
        <w:t>build</w:t>
      </w:r>
      <w:proofErr w:type="spellEnd"/>
      <w:proofErr w:type="gramEnd"/>
      <w:r w:rsidRPr="00C52232">
        <w:rPr>
          <w:rFonts w:ascii="Times New Roman" w:hAnsi="Times New Roman" w:cs="Times New Roman"/>
        </w:rPr>
        <w:t xml:space="preserve"> volumes below 0.5 m</w:t>
      </w:r>
      <w:r w:rsidRPr="00C52232">
        <w:rPr>
          <w:rFonts w:ascii="Times New Roman" w:hAnsi="Times New Roman" w:cs="Times New Roman"/>
          <w:vertAlign w:val="superscript"/>
        </w:rPr>
        <w:t>3</w:t>
      </w:r>
      <w:r w:rsidRPr="00C52232">
        <w:rPr>
          <w:rFonts w:ascii="Times New Roman" w:hAnsi="Times New Roman" w:cs="Times New Roman"/>
        </w:rPr>
        <w:t>.</w:t>
      </w:r>
      <w:bookmarkEnd w:id="52"/>
    </w:p>
    <w:p w14:paraId="5882CBA8" w14:textId="77777777" w:rsidR="004D4393" w:rsidRPr="00C52232" w:rsidRDefault="004D4393" w:rsidP="008B3BCF">
      <w:pPr>
        <w:spacing w:line="360" w:lineRule="auto"/>
        <w:rPr>
          <w:rFonts w:ascii="Times New Roman" w:hAnsi="Times New Roman" w:cs="Times New Roman"/>
        </w:rPr>
      </w:pPr>
    </w:p>
    <w:p w14:paraId="7424D359" w14:textId="3F27C669" w:rsidR="008B3BCF" w:rsidRPr="008B3BCF" w:rsidRDefault="008B3BCF" w:rsidP="008B3BCF">
      <w:pPr>
        <w:spacing w:line="360" w:lineRule="auto"/>
        <w:rPr>
          <w:rFonts w:ascii="Times New Roman" w:hAnsi="Times New Roman" w:cs="Times New Roman"/>
        </w:rPr>
      </w:pPr>
      <w:bookmarkStart w:id="53" w:name="_Hlk96191658"/>
      <w:r w:rsidRPr="00C52232">
        <w:rPr>
          <w:rFonts w:ascii="Times New Roman" w:hAnsi="Times New Roman" w:cs="Times New Roman"/>
        </w:rPr>
        <w:t>Material extrusion methods include conventional thermoplastic printing methods such as fused deposition modeling (FDM), and broader printing methods such as DIW encompass thermosets, hydrogels, and low melt temperature metals. For thermoset and photopolymer inks, typical inside nozzle diameters range from 100-1000 μm, with layer heights of 50-500 μm</w:t>
      </w:r>
      <w:r w:rsidR="00280E34">
        <w:rPr>
          <w:rFonts w:ascii="Times New Roman" w:hAnsi="Times New Roman" w:cs="Times New Roman"/>
        </w:rPr>
        <w:t xml:space="preserve"> </w:t>
      </w:r>
      <w:r w:rsidR="00280E34">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{"citationItems":[{"id":"ITEM-1","itemData":{"DOI":"10.1016/j.compositesb.2021.109122","abstract":"Fiber-reinforced polymer composites have been extensively utilized in recent years as feedstock materials for material extrusion additive manufacturing (AM) processes to improve strength, stiffness, and functionality of printed parts over unfilled printed polymers. However, the widespread adoption of AM of fiber-reinforced polymer composites requires a deeper understanding of the process-structure-property relationships in printed components, and such relationships are not well understood yet. Fiber length is critically important to the mechanical performance of short fiber composites, but very few studies to-date have focused on how the fiber length distribution (FLD) evolves during processing of composite feedstocks and how this evolution affects printing behavior and mechanical properties in 3D-printed composites. In this work, FLD is measured for carbon fiber reinforced epoxy composites over a wide range of ink compositions and shear mixing times, and the distributions are fit with a Weibull-type distribution function. The effects of FLD on the tradeoff between ink processability, ink rheology, printing behavior and mechanical properties are investigated. Furthermore, the effects of printing parameters (nozzle size and print speed) on mechanical anisotropy and fiber orientation distribution (FOD) in printed composites are explored. Mechanical properties of printed composites are characterized via 3 pt-flexural testing, and microstructure is investigated using optical and scanning electron mi-croscopy (SEM), and x-ray computed tomography. Finally, the fitted Weibull parameters are fed into a composite model that incorporates FLD and FOD, and model predictions are found to be in excellent agreement with experimental observations.","author":[{"dropping-particle":"","family":"Hmeidat","given":"Nadim S","non-dropping-particle":"","parse-names":false,"suffix":""},{"dropping-particle":"","family":"Elkins","given":"Daniel S","non-dropping-particle":"","parse-names":false,"suffix":""},{"dropping-particle":"","family":"Peter","given":"Hutchison R","non-dropping-particle":"","parse-names":false,"suffix":""},{"dropping-particle":"","family":"Kumar","given":"Vipin","non-dropping-particle":"","parse-names":false,"suffix":""},{"dropping-particle":"","family":"Compton","given":"Brett G","non-dropping-particle":"","parse-names":false,"suffix":""}],"container-title":"Composites Part B","id":"ITEM-1","issued":{"date-parts":[["2021"]]},"page":"1359-8368","title":"Processing and mechanical characterization of short carbon fiber-reinforced epoxy composites for material extrusion additive manufacturing ","type":"article-journal","volume":"223"},"uris":["http://www.mendeley.com/documents/?uuid=528842b9-f857-3c12-aad7-0bf373dc33ae"]},{"id":"ITEM-2","itemData":{"DOI":"10.1002/adma.201401804","ISSN":"09359648","author":[{"dropping-particle":"","family":"Compton","given":"Brett G.","non-dropping-particle":"","parse-names":false,"suffix":""},{"dropping-particle":"","family":"Lewis","given":"Jennifer A.","non-dropping-particle":"","parse-names":false,"suffix":""}],"container-title":"Advanced Materials","id":"ITEM-2","issue":"34","issued":{"date-parts":[["2014","9","1"]]},"page":"5930-5935","title":"3D-Printing of Lightweight Cellular Composites","type":"article-journal","volume":"26"},"uris":["http://www.mendeley.com/documents/?uuid=faf65912-9ca0-3d90-9ca5-85143f7ca4db"]},{"id":"ITEM-3","itemData":{"DOI":"10.1088/0960-1317/24/5/055020","ISSN":"0960-1317","author":[{"dropping-particle":"","family":"Farahani","given":"R D","non-dropping-particle":"","parse-names":false,"suffix":""},{"dropping-particle":"","family":"Lebel","given":"L L","non-dropping-particle":"","parse-names":false,"suffix":""},{"dropping-particle":"","family":"Therriault","given":"D","non-dropping-particle":"","parse-names":false,"suffix":""}],"container-title":"Journal of Micromechanics and Microengineering","id":"ITEM-3","issue":"5","issued":{"date-parts":[["2014","5","1"]]},"page":"055020","publisher":"IOP Publishing","title":"Processing parameters investigation for the fabrication of self-supported and freeform polymeric microstructures using ultraviolet-assisted three-dimensional printing","type":"article-journal","volume":"24"},"uris":["http://www.mendeley.com/documents/?uuid=f73b5613-a3b1-37d0-811a-037bdc0bc130"]},{"id":"ITEM-4","itemData":{"DOI":"10.1016/j.polymer.2016.03.048","abstract":"a b s t r a c t In this work a sequential interpenetrating polymer network (IPN) obtained by co-formulation of a photocurable acrylic resin with a thermocurable epoxy resin is presented and proposed as matrix for the fabrication of carbon-fiber reinforced (CFR) composite structures by means of 3D-printing technology. This approach combines the advantages of the easy free-form fabrication typical of the 3D-printing technology with the purposely customized features of the newly developed IPN material. Photo-calorimetric and dynamic-mechanical analyses were performed in order to investigate the photo-and thermal-crosslinking reactions and their effect on the development of the IPN system. The IPN resin was finally loaded with carbon fibers and successfully ultraviolet-assisted (UV)-3D printed, demonstrating the possibility of fabricating CFR composite materials in 3D with excellent mechanical properties. Being the first example of direct fabrication of IPN-based composites by 3D printing, this study clearly shows the great potential of this additive manufacturing technology for advanced industrial applications.","author":[{"dropping-particle":"","family":"Griffini","given":"Gianmarco","non-dropping-particle":"","parse-names":false,"suffix":""},{"dropping-particle":"","family":"Invernizzi","given":"Marta","non-dropping-particle":"","parse-names":false,"suffix":""},{"dropping-particle":"","family":"Levi","given":"Marinella","non-dropping-particle":"","parse-names":false,"suffix":""},{"dropping-particle":"","family":"Natale","given":"Gabriele","non-dropping-particle":"","parse-names":false,"suffix":""},{"dropping-particle":"","family":"Postiglione","given":"Giovanni","non-dropping-particle":"","parse-names":false,"suffix":""},{"dropping-particle":"","family":"Turri","given":"Stefano","non-dropping-particle":"","parse-names":false,"suffix":""}],"id":"ITEM-4","issued":{"date-parts":[["2016"]]},"title":"3D-printable CFR polymer composites with dual-cure sequential IPNs","type":"article-journal"},"uris":["http://www.mendeley.com/documents/?uuid=bd9f932f-0dfb-370d-be90-06f61247fc19"]}],"mendeley":{"formattedCitation":"[82]–[85]","plainTextFormattedCitation":"[82]–[85]","previouslyFormattedCitation":"[82]–[85]"},"properties":{"noteIndex":0},"schema":"https://github.com/citation-style-language/schema/raw/master/csl-citation.json"}</w:instrText>
      </w:r>
      <w:r w:rsidR="00280E34">
        <w:rPr>
          <w:rFonts w:ascii="Times New Roman" w:hAnsi="Times New Roman" w:cs="Times New Roman"/>
        </w:rPr>
        <w:fldChar w:fldCharType="separate"/>
      </w:r>
      <w:r w:rsidR="00280E34" w:rsidRPr="00280E34">
        <w:rPr>
          <w:rFonts w:ascii="Times New Roman" w:hAnsi="Times New Roman" w:cs="Times New Roman"/>
          <w:noProof/>
        </w:rPr>
        <w:t>[82]–[85]</w:t>
      </w:r>
      <w:r w:rsidR="00280E34">
        <w:rPr>
          <w:rFonts w:ascii="Times New Roman" w:hAnsi="Times New Roman" w:cs="Times New Roman"/>
        </w:rPr>
        <w:fldChar w:fldCharType="end"/>
      </w:r>
      <w:r w:rsidR="00EC2668">
        <w:rPr>
          <w:rFonts w:ascii="Times New Roman" w:hAnsi="Times New Roman" w:cs="Times New Roman"/>
        </w:rPr>
        <w:t>.</w:t>
      </w:r>
      <w:r w:rsidRPr="00C52232">
        <w:rPr>
          <w:rFonts w:ascii="Times New Roman" w:hAnsi="Times New Roman" w:cs="Times New Roman"/>
        </w:rPr>
        <w:t xml:space="preserve"> Dynamic viscosity</w:t>
      </w:r>
      <w:r w:rsidRPr="008B3BCF">
        <w:rPr>
          <w:rFonts w:ascii="Times New Roman" w:hAnsi="Times New Roman" w:cs="Times New Roman"/>
        </w:rPr>
        <w:t xml:space="preserve"> is an important consideration for DIW inks to create stable printed beads, and thixotropic agents such as fumed silica and nanoclay can improve shear-thinning behavior</w:t>
      </w:r>
      <w:r w:rsidR="0033427D">
        <w:rPr>
          <w:rFonts w:ascii="Times New Roman" w:hAnsi="Times New Roman" w:cs="Times New Roman"/>
        </w:rPr>
        <w:t xml:space="preserve"> </w:t>
      </w:r>
      <w:r w:rsidR="0033427D">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Manufacturing","id":"ITEM-1","issued":{"date-parts":[["2020","10","3"]]},"page":"101621","publisher":"Elsevier BV","title":"Linking thermoset ink rheology to the stability of 3D-printed structures","type":"article-journal"},"uris":["http://www.mendeley.com/documents/?uuid=87d00141-30b5-398b-8b12-56270c67b765"]},{"id":"ITEM-2","itemData":{"DOI":"10.1016/j.compscitech.2018.03.008","ISSN":"02663538","abstract":"Clay-based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Technology","id":"ITEM-2","issued":{"date-parts":[["2018","5","26"]]},"page":"9-20","publisher":"Elsevier Ltd","title":"High-strength epoxy nanocomposites for 3D printing","type":"article-journal","volume":"160"},"uris":["http://www.mendeley.com/documents/?uuid=293e55c1-0979-3d8c-b06b-4de96c7cd11a"]},{"id":"ITEM-3","itemData":{"DOI":"10.3390/ma9070583","ISSN":"1996-1944","abstract":"Glass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-3","issue":"7","issued":{"date-parts":[["2016","7","16"]]},"page":"583","publisher":"Multidisciplinary Digital Publishing Institute","title":"UV-Assisted 3D Printing of Glass and Carbon Fiber-Reinforced Dual-Cure Polymer Composites","type":"article-journal","volume":"9"},"uris":["http://www.mendeley.com/documents/?uuid=4ad7fb45-507e-3879-bee7-7f5073003a76"]}],"mendeley":{"formattedCitation":"[70], [86], [87]","plainTextFormattedCitation":"[70], [86], [87]","previouslyFormattedCitation":"[70], [86], [87]"},"properties":{"noteIndex":0},"schema":"https://github.com/citation-style-language/schema/raw/master/csl-citation.json"}</w:instrText>
      </w:r>
      <w:r w:rsidR="0033427D">
        <w:rPr>
          <w:rFonts w:ascii="Times New Roman" w:hAnsi="Times New Roman" w:cs="Times New Roman"/>
        </w:rPr>
        <w:fldChar w:fldCharType="separate"/>
      </w:r>
      <w:r w:rsidR="00280E34" w:rsidRPr="00280E34">
        <w:rPr>
          <w:rFonts w:ascii="Times New Roman" w:hAnsi="Times New Roman" w:cs="Times New Roman"/>
          <w:noProof/>
        </w:rPr>
        <w:t>[70], [86], [87]</w:t>
      </w:r>
      <w:r w:rsidR="0033427D">
        <w:rPr>
          <w:rFonts w:ascii="Times New Roman" w:hAnsi="Times New Roman" w:cs="Times New Roman"/>
        </w:rPr>
        <w:fldChar w:fldCharType="end"/>
      </w:r>
      <w:r w:rsidRPr="008B3BCF">
        <w:rPr>
          <w:rFonts w:ascii="Times New Roman" w:hAnsi="Times New Roman" w:cs="Times New Roman"/>
        </w:rPr>
        <w:t>. While thermosetting inks must be capable of supporting the weight of multiple layers in an uncured state</w:t>
      </w:r>
      <w:r w:rsidR="0033427D">
        <w:rPr>
          <w:rFonts w:ascii="Times New Roman" w:hAnsi="Times New Roman" w:cs="Times New Roman"/>
        </w:rPr>
        <w:t xml:space="preserve"> </w:t>
      </w:r>
      <w:r w:rsidR="0033427D">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mendeley":{"formattedCitation":"[70]","plainTextFormattedCitation":"[70]","previouslyFormattedCitation":"[70]"},"properties":{"noteIndex":0},"schema":"https://github.com/citation-style-language/schema/raw/master/csl-citation.json"}</w:instrText>
      </w:r>
      <w:r w:rsidR="0033427D">
        <w:rPr>
          <w:rFonts w:ascii="Times New Roman" w:hAnsi="Times New Roman" w:cs="Times New Roman"/>
        </w:rPr>
        <w:fldChar w:fldCharType="separate"/>
      </w:r>
      <w:r w:rsidR="0033427D" w:rsidRPr="0033427D">
        <w:rPr>
          <w:rFonts w:ascii="Times New Roman" w:hAnsi="Times New Roman" w:cs="Times New Roman"/>
          <w:noProof/>
        </w:rPr>
        <w:t>[70]</w:t>
      </w:r>
      <w:r w:rsidR="0033427D">
        <w:rPr>
          <w:rFonts w:ascii="Times New Roman" w:hAnsi="Times New Roman" w:cs="Times New Roman"/>
        </w:rPr>
        <w:fldChar w:fldCharType="end"/>
      </w:r>
      <w:r w:rsidRPr="008B3BCF">
        <w:rPr>
          <w:rFonts w:ascii="Times New Roman" w:hAnsi="Times New Roman" w:cs="Times New Roman"/>
        </w:rPr>
        <w:t xml:space="preserve">, UV-cured inks undergo rapid crosslinking and achieve gelation before the addition of new </w:t>
      </w:r>
      <w:r w:rsidRPr="008B3BCF">
        <w:rPr>
          <w:rFonts w:ascii="Times New Roman" w:hAnsi="Times New Roman" w:cs="Times New Roman"/>
        </w:rPr>
        <w:lastRenderedPageBreak/>
        <w:t xml:space="preserve">layers. UV cured inks do not have the same stability requirements as other thermosetting inks, but ink stability improves final part </w:t>
      </w:r>
      <w:r w:rsidRPr="00C52232">
        <w:rPr>
          <w:rFonts w:ascii="Times New Roman" w:hAnsi="Times New Roman" w:cs="Times New Roman"/>
        </w:rPr>
        <w:t>resolution</w:t>
      </w:r>
      <w:r w:rsidR="00EC2668">
        <w:rPr>
          <w:rFonts w:ascii="Times New Roman" w:hAnsi="Times New Roman" w:cs="Times New Roman"/>
        </w:rPr>
        <w:t xml:space="preserve"> </w:t>
      </w:r>
      <w:r w:rsidR="00EC2668">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mendeley":{"formattedCitation":"[70]","plainTextFormattedCitation":"[70]","previouslyFormattedCitation":"[70]"},"properties":{"noteIndex":0},"schema":"https://github.com/citation-style-language/schema/raw/master/csl-citation.json"}</w:instrText>
      </w:r>
      <w:r w:rsidR="00EC2668">
        <w:rPr>
          <w:rFonts w:ascii="Times New Roman" w:hAnsi="Times New Roman" w:cs="Times New Roman"/>
        </w:rPr>
        <w:fldChar w:fldCharType="separate"/>
      </w:r>
      <w:r w:rsidR="00EC2668" w:rsidRPr="00EC2668">
        <w:rPr>
          <w:rFonts w:ascii="Times New Roman" w:hAnsi="Times New Roman" w:cs="Times New Roman"/>
          <w:noProof/>
        </w:rPr>
        <w:t>[70]</w:t>
      </w:r>
      <w:r w:rsidR="00EC2668">
        <w:rPr>
          <w:rFonts w:ascii="Times New Roman" w:hAnsi="Times New Roman" w:cs="Times New Roman"/>
        </w:rPr>
        <w:fldChar w:fldCharType="end"/>
      </w:r>
      <w:r w:rsidRPr="00C52232">
        <w:rPr>
          <w:rFonts w:ascii="Times New Roman" w:hAnsi="Times New Roman" w:cs="Times New Roman"/>
        </w:rPr>
        <w:t>. Farahani et al. reported on UV- DIW inks that cured rapidly enough to print self-supporting spans</w:t>
      </w:r>
      <w:r w:rsidRPr="008B3BCF">
        <w:rPr>
          <w:rFonts w:ascii="Times New Roman" w:hAnsi="Times New Roman" w:cs="Times New Roman"/>
        </w:rPr>
        <w:t xml:space="preserve"> of 8 mm, observing an ideal ink apparent viscosity &gt;140 Pa-s at low shear </w:t>
      </w:r>
      <w:r w:rsidR="00376050" w:rsidRPr="00376050">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{"citationItems":[{"id":"ITEM-1","itemData":{"DOI":"10.1088/0957-4484/23/8/085502","author":[{"dropping-particle":"","family":"Farahani","given":"Rouhollah Dermanaki","non-dropping-particle":"","parse-names":false,"suffix":""},{"dropping-particle":"","family":"Dalir","given":"Hamid","non-dropping-particle":"","parse-names":false,"suffix":""},{"dropping-particle":"","family":"Borgne","given":"Vincent","non-dropping-particle":"Le","parse-names":false,"suffix":""},{"dropping-particle":"","family":"Gautier","given":"Loick A.","non-dropping-particle":"","parse-names":false,"suffix":""},{"dropping-particle":"","family":"Khakani","given":"My Ali","non-dropping-particle":"El","parse-names":false,"suffix":""},{"dropping-particle":"","family":"Levesque","given":"Martin","non-dropping-particle":"","parse-names":false,"suffix":""},{"dropping-particle":"","family":"Therriault","given":"Daniel","non-dropping-particle":"","parse-names":false,"suffix":""}],"container-title":"Nanotechnology","id":"ITEM-1","issued":{"date-parts":[["2012"]]},"title":"Direct-write fabrication of freestanding nanocomposite strain sensors","type":"article-journal","volume":"23"},"uris":["http://www.mendeley.com/documents/?uuid=98f55222-f0b3-33c6-b837-e2b85efd7dfd"]}],"mendeley":{"formattedCitation":"[88]","plainTextFormattedCitation":"[88]","previouslyFormattedCitation":"[88]"},"properties":{"noteIndex":0},"schema":"https://github.com/citation-style-language/schema/raw/master/csl-citation.json"}</w:instrText>
      </w:r>
      <w:r w:rsidR="00376050" w:rsidRPr="00376050">
        <w:rPr>
          <w:rFonts w:ascii="Times New Roman" w:hAnsi="Times New Roman" w:cs="Times New Roman"/>
        </w:rPr>
        <w:fldChar w:fldCharType="separate"/>
      </w:r>
      <w:r w:rsidR="00280E34" w:rsidRPr="00280E34">
        <w:rPr>
          <w:rFonts w:ascii="Times New Roman" w:hAnsi="Times New Roman" w:cs="Times New Roman"/>
          <w:noProof/>
        </w:rPr>
        <w:t>[88]</w:t>
      </w:r>
      <w:r w:rsidR="00376050" w:rsidRPr="00376050">
        <w:rPr>
          <w:rFonts w:ascii="Times New Roman" w:hAnsi="Times New Roman" w:cs="Times New Roman"/>
        </w:rPr>
        <w:fldChar w:fldCharType="end"/>
      </w:r>
      <w:r w:rsidR="00376050">
        <w:rPr>
          <w:rFonts w:ascii="Times New Roman" w:hAnsi="Times New Roman" w:cs="Times New Roman"/>
        </w:rPr>
        <w:t xml:space="preserve">. </w:t>
      </w:r>
      <w:r w:rsidRPr="008B3BCF">
        <w:rPr>
          <w:rFonts w:ascii="Times New Roman" w:hAnsi="Times New Roman" w:cs="Times New Roman"/>
        </w:rPr>
        <w:t xml:space="preserve">To enhance part resolution, improve overhangs and reduce cure-induced shrinkage and warp, photopolymer inks are often formulated with additives such as fumed silica, fiberglass, silica, carbon fiber, and carbon nanotubes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Composites","type":"article-journal","volume":"9"},"uris":["http://www.mendeley.com/documents/?uuid=4ad7fb45-507e-3879-bee7-7f5073003a76"]},{"id":"ITEM-2","itemData":{"DOI":"10.1016/j.polymer.2016.03.048","abstract":"a b s t r a c t In this work a sequential interpenetrating polymer network (IPN) obtained by co-formulation of a photocurable acrylic resin with a thermocurable epoxy resin is presented and proposed as matrix for the fabrication of carbon-fiber reinforced (CFR) composite structures by means of 3D-printing technology. This approach combines the advantages of the easy free-form fabrication typical of the 3D-printing technology with the purposely customized features of the newly developed IPN material. Photo-calorimetric and dynamic-mechanical analyses were performed in order to investigate the photo-and thermal-crosslinking reactions and their effect on the development of the IPN system. The IPN resin was finally loaded with carbon fibers and successfully ultraviolet-assisted (UV)-3D printed, demonstrating the possibility of fabricating CFR composite materials in 3D with excellent mechanical properties. Being the first example of direct fabrication of IPN-based composites by 3D printing, this study clearly shows the great potential of this additive manufacturing technology for advanced industrial applications.","author":[{"dropping-particle":"","family":"Griffini","given":"Gianmarco","non-dropping-particle":"","parse-names":false,"suffix":""},{"dropping-particle":"","family":"Invernizzi","given":"Marta","non-dropping-particle":"","parse-names":false,"suffix":""},{"dropping-particle":"","family":"Levi","given":"Marinella","non-dropping-particle":"","parse-names":false,"suffix":""},{"dropping-particle":"","family":"Natale","given":"Gabriele","non-dropping-particle":"","parse-names":false,"suffix":""},{"dropping-particle":"","family":"Postiglione","given":"Giovanni","non-dropping-particle":"","parse-names":false,"suffix":""},{"dropping-particle":"","family":"Turri","given":"Stefano","non-dropping-particle":"","parse-names":false,"suffix":""}],"id":"ITEM-2","issued":{"date-parts":[["2016"]]},"title":"3D-printable CFR polymer composites with dual-cure sequential IPNs","type":"article-journal"},"uris":["http://www.mendeley.com/documents/?uuid=bd9f932f-0dfb-370d-be90-06f61247fc19"]},{"id":"ITEM-3","itemData":{"DOI":"10.1088/0960-1317/24/5/055020","ISSN":"0960-1317","author":[{"dropping-particle":"","family":"Farahani","given":"R D","non-dropping-particle":"","parse-names":false,"suffix":""},{"dropping-particle":"","family":"Lebel","given":"L L","non-dropping-particle":"","parse-names":false,"suffix":""},{"dropping-particle":"","family":"Therriault","given":"D","non-dropping-particle":"","parse-names":false,"suffix":""}],"container-title":"Journal of Micromechanics and Microengineering","id":"ITEM-3","issue":"5","issued":{"date-parts":[["2014","5","1"]]},"page":"055020","publisher":"IOP Publishing","title":"Processing parameters investigation for the fabrication of self-supported and freeform polymeric microstructures using ultraviolet-assisted three-dimensional printing","type":"article-journal","volume":"24"},"uris":["http://www.mendeley.com/documents/?uuid=f73b5613-a3b1-37d0-811a-037bdc0bc130"]}],"mendeley":{"formattedCitation":"[70], [84], [85]","plainTextFormattedCitation":"[70], [84], [85]","previouslyFormattedCitation":"[70], [84], [85]"},"properties":{"noteIndex":0},"schema":"https://github.com/citation-style-language/schema/raw/master/csl-citation.json"}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[70], [84], [85]</w:t>
      </w:r>
      <w:r w:rsidRPr="008B3BCF">
        <w:rPr>
          <w:rFonts w:ascii="Times New Roman" w:hAnsi="Times New Roman" w:cs="Times New Roman"/>
        </w:rPr>
        <w:fldChar w:fldCharType="end"/>
      </w:r>
      <w:r w:rsidRPr="008B3BCF">
        <w:rPr>
          <w:rFonts w:ascii="Times New Roman" w:hAnsi="Times New Roman" w:cs="Times New Roman"/>
        </w:rPr>
        <w:t xml:space="preserve">.  </w:t>
      </w:r>
    </w:p>
    <w:p w14:paraId="1FF17381" w14:textId="77777777" w:rsidR="004D4393" w:rsidRDefault="004D4393" w:rsidP="008B3BCF">
      <w:pPr>
        <w:spacing w:line="360" w:lineRule="auto"/>
        <w:rPr>
          <w:rFonts w:ascii="Times New Roman" w:eastAsiaTheme="minorEastAsia" w:hAnsi="Times New Roman" w:cs="Times New Roman"/>
          <w:iCs/>
        </w:rPr>
      </w:pPr>
      <w:bookmarkStart w:id="54" w:name="_Hlk95859575"/>
      <w:bookmarkEnd w:id="47"/>
      <w:bookmarkEnd w:id="50"/>
    </w:p>
    <w:bookmarkEnd w:id="53"/>
    <w:p w14:paraId="43CCE7E2" w14:textId="38986402" w:rsidR="008B3BCF" w:rsidRPr="008B3BCF" w:rsidRDefault="008B3BCF" w:rsidP="008B3BCF">
      <w:pPr>
        <w:spacing w:line="360" w:lineRule="auto"/>
        <w:rPr>
          <w:rFonts w:ascii="Times New Roman" w:hAnsi="Times New Roman" w:cs="Times New Roman"/>
        </w:rPr>
      </w:pPr>
      <w:r w:rsidRPr="008B3BCF">
        <w:rPr>
          <w:rFonts w:ascii="Times New Roman" w:eastAsiaTheme="minorEastAsia" w:hAnsi="Times New Roman" w:cs="Times New Roman"/>
          <w:iCs/>
        </w:rPr>
        <w:t xml:space="preserve">While most photopolymer and thermoset research in 3D printing reports layer heights of 25-500 </w:t>
      </w:r>
      <w:r w:rsidRPr="008B3BCF">
        <w:rPr>
          <w:rFonts w:ascii="Times New Roman" w:hAnsi="Times New Roman" w:cs="Times New Roman"/>
        </w:rPr>
        <w:t xml:space="preserve">μm, few studies are available that consider </w:t>
      </w:r>
      <w:r w:rsidRPr="008B3BCF">
        <w:rPr>
          <w:rFonts w:ascii="Times New Roman" w:eastAsiaTheme="minorEastAsia" w:hAnsi="Times New Roman" w:cs="Times New Roman"/>
          <w:iCs/>
        </w:rPr>
        <w:t>the</w:t>
      </w:r>
      <w:r w:rsidRPr="008B3BCF">
        <w:rPr>
          <w:rFonts w:ascii="Times New Roman" w:hAnsi="Times New Roman" w:cs="Times New Roman"/>
        </w:rPr>
        <w:t xml:space="preserve"> 2 - 4 mm (0.08 – 0.16 in.) layer heights more common in large-scale AM</w:t>
      </w:r>
      <w:bookmarkEnd w:id="54"/>
      <w:r w:rsidRPr="008B3BCF">
        <w:rPr>
          <w:rFonts w:ascii="Times New Roman" w:hAnsi="Times New Roman" w:cs="Times New Roman"/>
        </w:rPr>
        <w:t xml:space="preserve">. At present, the only photopolymer research that considers such thicknesses is in dentistry and fiberglass-reinforced composites. In dental fillings, a standard method for determining cure through a given polymer thickness is by comparing the hardness of an irradiated specimen's top (UV incident) and bottom surfaces. Abedian et al. </w:t>
      </w:r>
      <w:r w:rsidR="00376050" w:rsidRPr="00376050">
        <w:rPr>
          <w:rFonts w:ascii="Times New Roman" w:hAnsi="Times New Roman" w:cs="Times New Roman"/>
          <w:noProof/>
        </w:rPr>
        <w:fldChar w:fldCharType="begin" w:fldLock="1"/>
      </w:r>
      <w:r w:rsidR="00EC2668">
        <w:rPr>
          <w:rFonts w:ascii="Times New Roman" w:hAnsi="Times New Roman" w:cs="Times New Roman"/>
          <w:noProof/>
        </w:rPr>
        <w:instrText>ADDIN CSL_CITATION {"citationItems":[{"id":"ITEM-1","itemData":{"DOI":"10.1002/app.21596","ISSN":"0021-8995","abstract":"Extent of cure of hybrid composite systems is examined by conducting hardness measurements at different stages of the photopolymerization reaction and obtaining kinetic parameters that matched the experimental data. The materials are commercial dental composites based on bis[4-(2-hydroxy-3- methacryloyloxypropoxy)phenyl]propane resins with different photoinitiator concentrations as well as filler particle sizes and combinations. Samples (five per group) were made using nylon molds (2.5 × 5 mm) of the tested composites. The samples were light cured with a constant-power light source for durations up to 20 s. After curing, all samples underwent Vicker's hardness testing of top and bottom surfaces. While there are significant differences in the polymerization behavior between the top and bottom locations for the tested composites, the corresponding growth exponent n, a kinetic parameter in the kinetic theory, is very close in all cases. For the tested materials the coefficient factor k is much lower for the bottom surfaces compared with the top surfaces. This reduction in the value of k is more severe for the material with a higher concentration of the photoinitiator as well as a higher percentage of glass filler particles in the wavelength range affecting the photopolymerization. It is argued that a relationship between k and the irradiation intensity can be used to quantify the decay of irradiated light with its penetration into the composites. The comparisons can be used to draw preliminary conclusions on the parameters controlling the effective depth of cure in a hybrid composite. © 2005 Wiley Periodicals, Inc.","author":[{"dropping-particle":"","family":"Abedian","given":"B.","non-dropping-particle":"","parse-names":false,"suffix":""},{"dropping-particle":"","family":"Garcia-Godoy","given":"F.","non-dropping-particle":"","parse-names":false,"suffix":""},{"dropping-particle":"","family":"Garcia-Godoy","given":"F.","non-dropping-particle":"","parse-names":false,"suffix":""}],"container-title":"Journal of Applied Polymer Science","id":"ITEM-1","issue":"1","issued":{"date-parts":[["2005","7","5"]]},"page":"426-431","publisher":"John Wiley &amp; Sons, Ltd","title":"A study of localized curing of glass-filled composites using microhardness measurements","type":"article-journal","volume":"97"},"uris":["http://www.mendeley.com/documents/?uuid=bb7fcf03-7da6-3beb-a5bc-3c2b987e9881"]}],"mendeley":{"formattedCitation":"[89]","plainTextFormattedCitation":"[89]","previouslyFormattedCitation":"[89]"},"properties":{"noteIndex":0},"schema":"https://github.com/citation-style-language/schema/raw/master/csl-citation.json"}</w:instrText>
      </w:r>
      <w:r w:rsidR="00376050" w:rsidRPr="00376050">
        <w:rPr>
          <w:rFonts w:ascii="Times New Roman" w:hAnsi="Times New Roman" w:cs="Times New Roman"/>
          <w:noProof/>
        </w:rPr>
        <w:fldChar w:fldCharType="separate"/>
      </w:r>
      <w:r w:rsidR="00280E34" w:rsidRPr="00280E34">
        <w:rPr>
          <w:rFonts w:ascii="Times New Roman" w:hAnsi="Times New Roman" w:cs="Times New Roman"/>
          <w:noProof/>
        </w:rPr>
        <w:t>[89]</w:t>
      </w:r>
      <w:r w:rsidR="00376050" w:rsidRPr="00376050">
        <w:rPr>
          <w:rFonts w:ascii="Times New Roman" w:hAnsi="Times New Roman" w:cs="Times New Roman"/>
          <w:noProof/>
        </w:rPr>
        <w:fldChar w:fldCharType="end"/>
      </w:r>
      <w:r w:rsidR="00376050">
        <w:rPr>
          <w:rFonts w:ascii="Times New Roman" w:hAnsi="Times New Roman" w:cs="Times New Roman"/>
          <w:noProof/>
        </w:rPr>
        <w:t xml:space="preserve"> </w:t>
      </w:r>
      <w:r w:rsidRPr="008B3BCF">
        <w:rPr>
          <w:rFonts w:ascii="Times New Roman" w:hAnsi="Times New Roman" w:cs="Times New Roman"/>
        </w:rPr>
        <w:t xml:space="preserve">correlated Vickers hardness with the extent of cure, and Orefice et al. </w:t>
      </w:r>
      <w:r w:rsidR="004B6793">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{"citationItems":[{"id":"ITEM-1","itemData":{"DOI":"10.1016/S0142-9418(02)00052-1","ISSN":"01429418","abstract":"Polymer composites have been used in dental applications for more than 25 years. Although their properties and behavior have been systematically improved, they still are not able to produce dental restorations chemically, dimensionally and mechanically stable for long periods of time. Low degrees of monomer conversion and poor processing control are some of the main features responsible for the materials instability. In this work, the monomer conversion of dental composites during visible light irradiation was in situ monitored by infrared spectroscopy. The relationship between degree of conversion and mechanical properties was obtained by evaluating the microhardness of composites with different degrees of conversion. The relationship obtained was then used to identify the evolution of the mechanical properties during photopolymerization. © 2002 Elsevier Science Ltd. All rights reserved.","author":[{"dropping-particle":"","family":"Oréfice","given":"R.L","non-dropping-particle":"","parse-names":false,"suffix":""},{"dropping-particle":"","family":"Discacciati","given":"J.A.C","non-dropping-particle":"","parse-names":false,"suffix":""},{"dropping-particle":"","family":"Neves","given":"A.D","non-dropping-particle":"","parse-names":false,"suffix":""},{"dropping-particle":"","family":"Mansur","given":"H.S","non-dropping-particle":"","parse-names":false,"suffix":""},{"dropping-particle":"","family":"Jansen","given":"W.C","non-dropping-particle":"","parse-names":false,"suffix":""}],"container-title":"Polymer Testing","id":"ITEM-1","issue":"1","issued":{"date-parts":[["2003","2","1"]]},"page":"77-81","publisher":"Elsevier","title":"In situ evaluation of the polymerization kinetics and corresponding evolution of the mechanical properties of dental composites","type":"article-journal","volume":"22"},"uris":["http://www.mendeley.com/documents/?uuid=b275594c-8f60-31cf-afa8-9d6fff4e096d"]}],"mendeley":{"formattedCitation":"[51]","plainTextFormattedCitation":"[51]","previouslyFormattedCitation":"[51]"},"properties":{"noteIndex":0},"schema":"https://github.com/citation-style-language/schema/raw/master/csl-citation.json"}</w:instrText>
      </w:r>
      <w:r w:rsidR="004B6793">
        <w:rPr>
          <w:rFonts w:ascii="Times New Roman" w:hAnsi="Times New Roman" w:cs="Times New Roman"/>
        </w:rPr>
        <w:fldChar w:fldCharType="separate"/>
      </w:r>
      <w:r w:rsidR="00115FB0" w:rsidRPr="00115FB0">
        <w:rPr>
          <w:rFonts w:ascii="Times New Roman" w:hAnsi="Times New Roman" w:cs="Times New Roman"/>
          <w:noProof/>
        </w:rPr>
        <w:t>[51]</w:t>
      </w:r>
      <w:r w:rsidR="004B6793">
        <w:rPr>
          <w:rFonts w:ascii="Times New Roman" w:hAnsi="Times New Roman" w:cs="Times New Roman"/>
        </w:rPr>
        <w:fldChar w:fldCharType="end"/>
      </w:r>
      <w:r w:rsidR="004B6793">
        <w:rPr>
          <w:rFonts w:ascii="Times New Roman" w:hAnsi="Times New Roman" w:cs="Times New Roman"/>
        </w:rPr>
        <w:t xml:space="preserve"> </w:t>
      </w:r>
      <w:r w:rsidRPr="008B3BCF">
        <w:rPr>
          <w:rFonts w:ascii="Times New Roman" w:hAnsi="Times New Roman" w:cs="Times New Roman"/>
        </w:rPr>
        <w:t xml:space="preserve">found a linear relationship between microhardness and the degree of double bond conversion within a given polymer system as measured using Fourier-transform infrared spectroscopy (FTIR).  Alrahlah et al. tested Vickers hardness across the depth of an irradiated specimen. They found that the hardness decreased with depth, introducing a guideline that a dental filling may be considered fully cured when the bottom surface hardness value achieves 80% of the hardness value on the irradiated surface </w:t>
      </w:r>
      <w:r w:rsidRPr="008B3BCF">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mendeley":{"formattedCitation":"[48]","plainTextFormattedCitation":"[48]","previouslyFormattedCitation":"[48]"},"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[48]</w:t>
      </w:r>
      <w:r w:rsidRPr="008B3BCF">
        <w:rPr>
          <w:rFonts w:ascii="Times New Roman" w:hAnsi="Times New Roman" w:cs="Times New Roman"/>
        </w:rPr>
        <w:fldChar w:fldCharType="end"/>
      </w:r>
      <w:r w:rsidRPr="008B3BCF">
        <w:rPr>
          <w:rFonts w:ascii="Times New Roman" w:hAnsi="Times New Roman" w:cs="Times New Roman"/>
        </w:rPr>
        <w:t>.  The advantage of this guideline is that it is independent of photopolymer formulation, enabling a basic framework for comparing cure across many photopolymer options.</w:t>
      </w:r>
    </w:p>
    <w:p w14:paraId="5F2137D4" w14:textId="77777777" w:rsidR="004D4393" w:rsidRDefault="004D4393" w:rsidP="008B3BCF">
      <w:pPr>
        <w:spacing w:line="360" w:lineRule="auto"/>
        <w:rPr>
          <w:rFonts w:ascii="Times New Roman" w:hAnsi="Times New Roman" w:cs="Times New Roman"/>
        </w:rPr>
      </w:pPr>
    </w:p>
    <w:p w14:paraId="26E89EE5" w14:textId="6EAEBE18"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One challenge in formulating photopolymers for AM of autoclave/oven-cure tooling is balancing temperature resistance with printer deposition rate.  Temperature resistance is determined by factors such as polymer chemistry and degree of cure, while deposition rate is limited by the through-thickness cure response. Bis-EMA has a reported glass transition temperature (T</w:t>
      </w:r>
      <w:r w:rsidRPr="008B3BCF">
        <w:rPr>
          <w:rFonts w:ascii="Times New Roman" w:hAnsi="Times New Roman" w:cs="Times New Roman"/>
          <w:vertAlign w:val="subscript"/>
        </w:rPr>
        <w:t>g</w:t>
      </w:r>
      <w:r w:rsidRPr="008B3BCF">
        <w:rPr>
          <w:rFonts w:ascii="Times New Roman" w:hAnsi="Times New Roman" w:cs="Times New Roman"/>
        </w:rPr>
        <w:t xml:space="preserve">) as high as </w:t>
      </w:r>
      <w:bookmarkStart w:id="55" w:name="_Hlk78464540"/>
      <w:r w:rsidRPr="008B3BCF">
        <w:rPr>
          <w:rFonts w:ascii="Times New Roman" w:hAnsi="Times New Roman" w:cs="Times New Roman"/>
        </w:rPr>
        <w:t>170 °C</w:t>
      </w:r>
      <w:bookmarkEnd w:id="55"/>
      <w:r w:rsidRPr="008B3BCF">
        <w:rPr>
          <w:rFonts w:ascii="Times New Roman" w:hAnsi="Times New Roman" w:cs="Times New Roman"/>
        </w:rPr>
        <w:t xml:space="preserve"> (338 </w:t>
      </w:r>
      <w:r w:rsidRPr="008B3BCF">
        <w:rPr>
          <w:rFonts w:ascii="Times New Roman" w:hAnsi="Times New Roman" w:cs="Times New Roman"/>
        </w:rPr>
        <w:sym w:font="Symbol" w:char="F0B0"/>
      </w:r>
      <w:r w:rsidRPr="008B3BCF">
        <w:rPr>
          <w:rFonts w:ascii="Times New Roman" w:hAnsi="Times New Roman" w:cs="Times New Roman"/>
        </w:rPr>
        <w:t xml:space="preserve">F). However, the methacrylate </w:t>
      </w:r>
      <w:r w:rsidRPr="008B3BCF">
        <w:rPr>
          <w:rFonts w:ascii="Times New Roman" w:hAnsi="Times New Roman" w:cs="Times New Roman"/>
        </w:rPr>
        <w:lastRenderedPageBreak/>
        <w:t xml:space="preserve">functionality of Bis-EMA can reduce cure speed when compared with less temperature-resistant acrylate-based photopolymers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{"citationItems":[{"id":"ITEM-1","itemData":{"author":[{"dropping-particle":"","family":"Arceneaux","given":"Jo Ann","non-dropping-particle":"","parse-names":false,"suffix":""}],"container-title":"RadTech UV&amp;EB 2014","id":"ITEM-1","issued":{"date-parts":[["2014"]]},"publisher":"RadTech","title":"Mitigation of Oxygen Inhibition in UV LED, UVA, and Low Intensity UV Cure","type":"paper-conference"},"uris":["http://www.mendeley.com/documents/?uuid=7531d6fd-9a8d-3e6f-aa30-2829a817d6ab"]}],"mendeley":{"formattedCitation":"[90]","plainTextFormattedCitation":"[90]","previouslyFormattedCitation":"[90]"},"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[90]</w:t>
      </w:r>
      <w:r w:rsidRPr="008B3BCF">
        <w:rPr>
          <w:rFonts w:ascii="Times New Roman" w:hAnsi="Times New Roman" w:cs="Times New Roman"/>
        </w:rPr>
        <w:fldChar w:fldCharType="end"/>
      </w:r>
      <w:r w:rsidRPr="008B3BCF">
        <w:rPr>
          <w:rFonts w:ascii="Times New Roman" w:hAnsi="Times New Roman" w:cs="Times New Roman"/>
        </w:rPr>
        <w:t xml:space="preserve">.   Arceneaux reported improved cure response in thin films when using acrylates with a higher number of functional groups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{"citationItems":[{"id":"ITEM-1","itemData":{"author":[{"dropping-particle":"","family":"Arceneaux","given":"Jo Ann","non-dropping-particle":"","parse-names":false,"suffix":""}],"container-title":"RadTech UV&amp;EB 2014","id":"ITEM-1","issued":{"date-parts":[["2014"]]},"publisher":"RadTech","title":"Mitigation of Oxygen Inhibition in UV LED, UVA, and Low Intensity UV Cure","type":"paper-conference"},"uris":["http://www.mendeley.com/documents/?uuid=7531d6fd-9a8d-3e6f-aa30-2829a817d6ab"]}],"mendeley":{"formattedCitation":"[90]","plainTextFormattedCitation":"[90]","previouslyFormattedCitation":"[90]"},"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[90]</w:t>
      </w:r>
      <w:r w:rsidRPr="008B3BCF">
        <w:rPr>
          <w:rFonts w:ascii="Times New Roman" w:hAnsi="Times New Roman" w:cs="Times New Roman"/>
        </w:rPr>
        <w:fldChar w:fldCharType="end"/>
      </w:r>
      <w:r w:rsidRPr="008B3BCF">
        <w:rPr>
          <w:rFonts w:ascii="Times New Roman" w:hAnsi="Times New Roman" w:cs="Times New Roman"/>
        </w:rPr>
        <w:t xml:space="preserve">, and PETIA in particular has been shown to consistently improve cure speeds in formulations cured under UV LED lamps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{"citationItems":[{"id":"ITEM-1","itemData":{"URL":"https://www.rahn-group.com/en/energycuring/led-feature-copy/","id":"ITEM-1","issued":{"date-parts":[["2017"]]},"publisher-place":"Zurich","title":"Lab Report: Raw Material Selection for UV LED","type":"webpage"},"uris":["http://www.mendeley.com/documents/?uuid=ffa8447c-b8cc-49e0-b38f-f73c2108cbcc"]}],"mendeley":{"formattedCitation":"[91]","plainTextFormattedCitation":"[91]","previouslyFormattedCitation":"[91]"},"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[91]</w:t>
      </w:r>
      <w:r w:rsidRPr="008B3BCF">
        <w:rPr>
          <w:rFonts w:ascii="Times New Roman" w:hAnsi="Times New Roman" w:cs="Times New Roman"/>
        </w:rPr>
        <w:fldChar w:fldCharType="end"/>
      </w:r>
      <w:r w:rsidRPr="008B3BCF">
        <w:rPr>
          <w:rFonts w:ascii="Times New Roman" w:hAnsi="Times New Roman" w:cs="Times New Roman"/>
        </w:rPr>
        <w:t>.  While PETIA has the potential to improve cure response, higher functionality components can also limit the achievable degree of double bond conversion and reduce T</w:t>
      </w:r>
      <w:r w:rsidRPr="008B3BCF">
        <w:rPr>
          <w:rFonts w:ascii="Times New Roman" w:hAnsi="Times New Roman" w:cs="Times New Roman"/>
          <w:vertAlign w:val="subscript"/>
        </w:rPr>
        <w:t xml:space="preserve">g  </w:t>
      </w:r>
      <w:r w:rsidRPr="008B3BCF">
        <w:rPr>
          <w:rFonts w:ascii="Times New Roman" w:hAnsi="Times New Roman" w:cs="Times New Roman"/>
          <w:vertAlign w:val="subscript"/>
        </w:rPr>
        <w:fldChar w:fldCharType="begin" w:fldLock="1"/>
      </w:r>
      <w:r w:rsidR="00EC2668">
        <w:rPr>
          <w:rFonts w:ascii="Times New Roman" w:hAnsi="Times New Roman" w:cs="Times New Roman"/>
          <w:vertAlign w:val="subscript"/>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Photoinitiators","type":"book"},"uris":["http://www.mendeley.com/documents/?uuid=65ca02a4-58fe-44a4-9fc5-70da5083d62a"]},{"id":"ITEM-2","itemData":{"DOI":"10.1007/BF00329970","ISSN":"01700839","abstract":"The glass transition temperatures of the highly crosslinked networks formed from photopolymerizing-the multifunctional monomers trimethylol propane triacrylate (TrMP TrA), pentaerythritol tetraacrylate (PETeA), and dipentaerythritol monohydroxy pentaacrylate (DPEMHP eA) were determined using a dynamic viscoelastometer. All glass transition temperatures, Tg, were in excess of 150°C indicating the highly crosslinked structure of the resulting networks. The curves of the damping factor as a function of temperature were broadened peaks spanning up to 100°C due to the extreme heterogeneity of these structures. Evidence of trapped radicals was also observed as cured samples subjected to a thermal pretreatment had higher Tg than those without the thermal pretreatment. © 1993 Springer-Verlag.","author":[{"dropping-particle":"","family":"Anseth","given":"Kristi S.","non-dropping-particle":"","parse-names":false,"suffix":""},{"dropping-particle":"","family":"Bowman","given":"Christopher N.","non-dropping-particle":"","parse-names":false,"suffix":""},{"dropping-particle":"","family":"Peppas","given":"Nikolaos A.","non-dropping-particle":"","parse-names":false,"suffix":""}],"container-title":"Polymer Bulletin","id":"ITEM-2","issue":"2","issued":{"date-parts":[["1993","8"]]},"page":"229-233","publisher":"Springer-Verlag","title":"Dynamic mechanical studies of the glass transition temperature of photopolymerized multifunctional acrylates","type":"article-journal","volume":"31"},"uris":["http://www.mendeley.com/documents/?uuid=6c24812d-4c49-3e3f-aa57-7070584b7cf9"]},{"id":"ITEM-3","itemData":{"DOI":"10.1016/0032-3861(90)90364-5","ISSN":"00323861","abstract":"Polymers of ethylene glycol dimethacrylate, diethylene glycol dimethacrylate, triethylene glycol dimethacrylate and tetraethylene glycol dimethacrylate were produced by photopolymerization using the photoinitiator 2,2-dimethoxy-2-phenyl-acetophenone. These polymerization reactions and the resulting materials were examined as to their feasibility for production of laser video discs using the 2p process. The volume shrinkage during polymerization, swelling characteristics, molecular weight between crosslinks and the glass transition temperature of the polymeric networks were determined and compared with the characteristics of polymers presently used in laser video disc production. The networks produced by the polymerization of these monomers were highly crosslinked with glass transition temperatures greater than 200°C. They swelled little in any of four solvents used with a maximum volume fraction of the solvent at equilibrium lower than 10%. © 1990.","author":[{"dropping-particle":"","family":"Bowman","given":"Christopher N.","non-dropping-particle":"","parse-names":false,"suffix":""},{"dropping-particle":"","family":"Carver","given":"Amy L.","non-dropping-particle":"","parse-names":false,"suffix":""},{"dropping-particle":"","family":"Kennett","given":"Shari N.","non-dropping-particle":"","parse-names":false,"suffix":""},{"dropping-particle":"","family":"Williams","given":"Michele M.","non-dropping-particle":"","parse-names":false,"suffix":""},{"dropping-particle":"","family":"Peppas","given":"Nikolaos A.","non-dropping-particle":"","parse-names":false,"suffix":""}],"container-title":"Polymer","id":"ITEM-3","issue":"1","issued":{"date-parts":[["1990","1","1"]]},"page":"135-139","publisher":"Elsevier","title":"Polymers for information storage systems III. Crosslinked structure of polydimethacrylates","type":"article-journal","volume":"31"},"uris":["http://www.mendeley.com/documents/?uuid=7446727f-58a6-333a-9973-caf2461f3894"]}],"mendeley":{"formattedCitation":"[23], [92], [93]","plainTextFormattedCitation":"[23], [92], [93]","previouslyFormattedCitation":"[23], [92], [93]"},"properties":{"noteIndex":0},"schema":"https://github.com/citation-style-language/schema/raw/master/csl-citation.json"}</w:instrText>
      </w:r>
      <w:r w:rsidRPr="008B3BCF">
        <w:rPr>
          <w:rFonts w:ascii="Times New Roman" w:hAnsi="Times New Roman" w:cs="Times New Roman"/>
          <w:vertAlign w:val="subscript"/>
        </w:rPr>
        <w:fldChar w:fldCharType="separate"/>
      </w:r>
      <w:r w:rsidR="00280E34" w:rsidRPr="00280E34">
        <w:rPr>
          <w:rFonts w:ascii="Times New Roman" w:hAnsi="Times New Roman" w:cs="Times New Roman"/>
          <w:noProof/>
        </w:rPr>
        <w:t>[23], [92], [93]</w:t>
      </w:r>
      <w:r w:rsidRPr="008B3BCF">
        <w:rPr>
          <w:rFonts w:ascii="Times New Roman" w:hAnsi="Times New Roman" w:cs="Times New Roman"/>
          <w:vertAlign w:val="subscript"/>
        </w:rPr>
        <w:fldChar w:fldCharType="end"/>
      </w:r>
      <w:r w:rsidRPr="008B3BCF">
        <w:rPr>
          <w:rFonts w:ascii="Times New Roman" w:hAnsi="Times New Roman" w:cs="Times New Roman"/>
        </w:rPr>
        <w:t xml:space="preserve">, and the addition of this monomer could increase cure-induced volumetric shrinkage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Photoinitiators","type":"book"},"uris":["http://www.mendeley.com/documents/?uuid=65ca02a4-58fe-44a4-9fc5-70da5083d62a"]},{"id":"ITEM-2","itemData":{"DOI":"10.1016/0032-3861(90)90364-5","ISSN":"00323861","abstract":"Polymers of ethylene glycol dimethacrylate, diethylene glycol dimethacrylate, triethylene glycol dimethacrylate and tetraethylene glycol dimethacrylate were produced by photopolymerization using the photoinitiator 2,2-dimethoxy-2-phenyl-acetophenone. These polymerization reactions and the resulting materials were examined as to their feasibility for production of laser video discs using the 2p process. The volume shrinkage during polymerization, swelling characteristics, molecular weight between crosslinks and the glass transition temperature of the polymeric networks were determined and compared with the characteristics of polymers presently used in laser video disc production. The networks produced by the polymerization of these monomers were highly crosslinked with glass transition temperatures greater than 200°C. They swelled little in any of four solvents used with a maximum volume fraction of the solvent at equilibrium lower than 10%. © 1990.","author":[{"dropping-particle":"","family":"Bowman","given":"Christopher N.","non-dropping-particle":"","parse-names":false,"suffix":""},{"dropping-particle":"","family":"Carver","given":"Amy L.","non-dropping-particle":"","parse-names":false,"suffix":""},{"dropping-particle":"","family":"Kennett","given":"Shari N.","non-dropping-particle":"","parse-names":false,"suffix":""},{"dropping-particle":"","family":"Williams","given":"Michele M.","non-dropping-particle":"","parse-names":false,"suffix":""},{"dropping-particle":"","family":"Peppas","given":"Nikolaos A.","non-dropping-particle":"","parse-names":false,"suffix":""}],"container-title":"Polymer","id":"ITEM-2","issue":"1","issued":{"date-parts":[["1990","1","1"]]},"page":"135-139","publisher":"Elsevier","title":"Polymers for information storage systems III. Crosslinked structure of polydimethacrylates","type":"article-journal","volume":"31"},"uris":["http://www.mendeley.com/documents/?uuid=7446727f-58a6-333a-9973-caf2461f3894"]}],"mendeley":{"formattedCitation":"[23], [93]","manualFormatting":"[18, 26]","plainTextFormattedCitation":"[23], [93]","previouslyFormattedCitation":"[23], [93]"},"properties":{"noteIndex":0},"schema":"https://github.com/citation-style-language/schema/raw/master/csl-citation.json"}</w:instrText>
      </w:r>
      <w:r w:rsidRPr="008B3BCF">
        <w:rPr>
          <w:rFonts w:ascii="Times New Roman" w:hAnsi="Times New Roman" w:cs="Times New Roman"/>
        </w:rPr>
        <w:fldChar w:fldCharType="separate"/>
      </w:r>
      <w:r w:rsidRPr="008B3BCF">
        <w:rPr>
          <w:rFonts w:ascii="Times New Roman" w:hAnsi="Times New Roman" w:cs="Times New Roman"/>
          <w:noProof/>
        </w:rPr>
        <w:t>[18, 26]</w:t>
      </w:r>
      <w:r w:rsidRPr="008B3BCF">
        <w:rPr>
          <w:rFonts w:ascii="Times New Roman" w:hAnsi="Times New Roman" w:cs="Times New Roman"/>
        </w:rPr>
        <w:fldChar w:fldCharType="end"/>
      </w:r>
      <w:r w:rsidRPr="008B3BCF">
        <w:rPr>
          <w:rFonts w:ascii="Times New Roman" w:hAnsi="Times New Roman" w:cs="Times New Roman"/>
        </w:rPr>
        <w:t xml:space="preserve">.  While Bis-EMA has been studied in combination with other oligomers and reactive diluents </w:t>
      </w:r>
      <w:r w:rsidRPr="008B3BCF">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{"citationItems":[{"id":"ITEM-1","itemData":{"DOI":"10.1016/j.ijadhadh.2020.102796","ISSN":"01437496","abstract":"Objectives: The aim of this study was to evaluate the effects of a hydrophobic layer of Bis-EMA 4 (B4, 4 ethoxilations), Bis-EMA 10 (B10, 10 ethoxilations) or Bis-EMA 30 (B30, 30 ethoxilations) on dentin adhesion and mechanical properties of a universal adhesive. Materials and methods: Extracted human molars were cut and restored using self-etching mode of Ambar Universal (AU, FGM) adhesive and divided according to the hydrophobic layer employed (n = 8): only AU (Control), SBMP (Scotchbond Multi-Purpose adhesive, 3 M, Commercial Control), B4, B10 and B30. Microtensile bond strength (μTBS) and nanoleakage tests were performed after 24h and 6 months water storage. Interface micro-permeability was surveyed by confocal microscopy. Dynamic-mechanical analysis (DMA) of each adhesive combination (50 wt% Ambar + 50 wt% BisEMA or 100% Ambar) were assessed. The data were statistically analyzed using two-way ANOVA and Tukey's test (p &lt; 0.05). Results: SBMP achieved the highest μTBS, followed by B4, B10 and Control, whilst B30 presented significantly lowest μTBS when compared with further groups (p &lt; 0.001). After ageing, the only group depicting significant μTBS reduction was Control (p = 0,009). B4 and SBMP were almost devoid of silver deposits and did not show any signs of gaps, even after ageing. B4 presented the lowest micropermeability and the best mechanical behavior on DMA, showing the highest rubbery zone and increased glass transition temperature. Conclusions: Bis-EMA-4 might be a suitable monomer for a hydrophobic layer in adhesive strategy, reducing hydrolytic degradation and increasing the durability and mechanical properties of adhesive interfaces.","author":[{"dropping-particle":"","family":"Silva","given":"Julianne Coelho","non-dropping-particle":"","parse-names":false,"suffix":""},{"dropping-particle":"","family":"Moreira","given":"Madiana Magalhães","non-dropping-particle":"","parse-names":false,"suffix":""},{"dropping-particle":"","family":"Nobre","given":"Caio Felipe de Almeida","non-dropping-particle":"","parse-names":false,"suffix":""},{"dropping-particle":"","family":"Araújo Neto","given":"Vitaliano Gomes","non-dropping-particle":"","parse-names":false,"suffix":""},{"dropping-particle":"","family":"Lomonaco","given":"Diego","non-dropping-particle":"","parse-names":false,"suffix":""},{"dropping-particle":"","family":"Feitosa","given":"Victor Pinheiro","non-dropping-particle":"","parse-names":false,"suffix":""}],"container-title":"International Journal of Adhesion and Adhesives","id":"ITEM-1","issued":{"date-parts":[["2021","3","1"]]},"page":"102796","publisher":"Elsevier Ltd","title":"Influence of hydrophobic layer of Bis-EMA with different ethoxilations on adhesive's bonding efficacy and mechanical properties","type":"article-journal","volume":"105"},"uris":["http://www.mendeley.com/documents/?uuid=cd7c67bd-1ee7-33e0-bf7d-f7dcd1e00ae5"]},{"id":"ITEM-2","itemData":{"DOI":"10.1038/s41598-019-54035-y","ISSN":"20452322","PMID":"31754180","abstract":"Resin composites containing reinforcing inert glass fillers combined with bioactive glass (BG) can aid in the prevention of secondary caries, which is a major cause of failure of contemporary composite restorations. A series of previous studies on experimental resin composites filled with BG 45S5 has demonstrated that methacrylate resin polymerization can be impaired by the addition of unsilanized BG, leading to lower degrees of conversion (DC). In order to distinguish whether the polymerization inhibition is caused by a direct (temperature-independent) effect of BG or an indirect (temperature-dependent) effect of restricted mobility of reactive species, this study used Raman spectroscopy to evaluate the DC values of experimental composites post-cured at 37 °C and 150 °C. The potential of BG to adversely affect DC was highly dependent on the resin system. The highest DC reduction was observed in the resin system based on ethoxylated bisphenol A dimethacrylate (Bis-EMA), followed by bisphenol A glycidyl methacrylate (Bis-GMA). In contrast, the DC for urethane dimethacrylate (UDMA) was not compromised by BG. Increasing the mobility of reactive species by heating at 150 °C showed limited potential for increasing the DC in the Bis-EMA and Bis-GMA resin systems, indicating a direct inhibitory effect of BG on polymerization.","author":[{"dropping-particle":"","family":"Par","given":"Matej","non-dropping-particle":"","parse-names":false,"suffix":""},{"dropping-particle":"","family":"Spanovic","given":"Nika","non-dropping-particle":"","parse-names":false,"suffix":""},{"dropping-particle":"","family":"Tauböck","given":"Tobias T.","non-dropping-particle":"","parse-names":false,"suffix":""},{"dropping-particle":"","family":"Attin","given":"Thomas","non-dropping-particle":"","parse-names":false,"suffix":""},{"dropping-particle":"","family":"Tarle","given":"Zrinka","non-dropping-particle":"","parse-names":false,"suffix":""}],"container-title":"Scientific Reports","id":"ITEM-2","issue":"1","issued":{"date-parts":[["2019","12","1"]]},"page":"1-9","publisher":"Nature Research","title":"Degree of conversion of experimental resin composites containing bioactive glass 45S5: the effect of post-cure heating","type":"article-journal","volume":"9"},"uris":["http://www.mendeley.com/documents/?uuid=58c49c87-b3d2-3b75-ba6a-5519e3293fc2"]},{"id":"ITEM-3","itemData":{"DOI":"10.1016/S0142-9612(01)00308-8","ISSN":"01429612","PMID":"11950052","abstract":"In this work the room-temperature photopolymerization of Bis-GMA, Bis-EMA, urethane dimethacrylate (UDMA) and triethylene glycol dimethacrylate (TEGDMA) induced by camphoroquinone/N,N-dimethylaminoethyl methacrylate, as photoinitiator system, was followed by FT-IR. The results obtained were then fitted by a non-linear least square method to a rational function, which permitted the accurate calculation of the limiting degree of conversion. The latter was found to increase in the order Bis-GMA&lt;Bis-EMA&lt;UDMA&lt;TEGDMA. This trend is discussed in connection with the chemical structure of dimethacrylates. The photopolymerization of mixtures of Bis-GMA/TEGDMA, Bis-GMA/UDMA and Bis-GMA/Bis-EMA showed a good linear relationship of degree of conversion with the mole fraction of Bis-GMA and in the case of the first pair also with the Tg of the initial monomer mixture. © 2002 Elsevier Science Ltd. All rights reserved.","author":[{"dropping-particle":"","family":"Sideridou","given":"I.","non-dropping-particle":"","parse-names":false,"suffix":""},{"dropping-particle":"","family":"Tserki","given":"V.","non-dropping-particle":"","parse-names":false,"suffix":""},{"dropping-particle":"","family":"Papanastasiou","given":"G.","non-dropping-particle":"","parse-names":false,"suffix":""}],"container-title":"Biomaterials","id":"ITEM-3","issue":"8","issued":{"date-parts":[["2002","4","15"]]},"page":"1819-1829","title":"Effect of chemical structure on degree of conversion in light-cured dimethacrylate-based dental resins","type":"article-journal","volume":"23"},"uris":["http://www.mendeley.com/documents/?uuid=58bb76ec-aadd-3c61-ad0b-714045b193ba"]},{"id":"ITEM-4","itemData":{"DOI":"10.1590/S1806-83242013000600002","ISSN":"18073107","PMID":"24402058","abstract":"The purpose of this study was to evaluate the influence of the internal standard peak on the measured degree of conversion (DC) for methacrylate-based resins analyzed by Fourier-transform infrared spectroscopy (FTIR). The influence of different baseline measurement methods was also determined. Different blends were prepared, mixing BisGMA/BisEMA and BisGMA/TEGDMA at proportions of 0% to 100%, in weight. Camphoroquinone and ethyl-4-dimethylaminobenzoate were used to permit the light activation of blends. Degree of conversion was evaluated using FTIR equipped with an attenuated total reflectance (ATR) device. Samples were dispensed onto ATR crystal and light activated for 40 s. The DC was calculated by relating the height of the peak 1637 cm-1 to the intensity of different internal standard peaks (1715, 1608, or 1582 cm-1), measured using two different baseline methods, before and after polymerization. Data were compared by ANOVA at 5% significance. The relationship between DC and monomer ratio was obtained by regression analysis. Double-bond conversion ranged from 32.75% to 78.50% for BisGMA/BisEMA blends, and from 32.75% to 76.22% for BisGMA/TEGDMA blends. For the BisGMA/BisEMA blends, the DC showed a linear association with the composition of the comonomer blends, independent of the internal standard peak and baseline method used. In contrast, the trends in DC for BisGMA/TEGDMA blends were different for each method of measurement. The internal standard peaks and measurement baseline should be taken into account when using FTIR to calculate the DC of methacrylate-based resins, especially comonomer blends containing a high degree of monomers that lack aromatic rings.","author":[{"dropping-particle":"","family":"Collares","given":"Fabrício Mezzomo","non-dropping-particle":"","parse-names":false,"suffix":""},{"dropping-particle":"","family":"Portella","given":"Fernando Freitas","non-dropping-particle":"","parse-names":false,"suffix":""},{"dropping-particle":"","family":"Leitune","given":"Vicente Castelo Branco","non-dropping-particle":"","parse-names":false,"suffix":""},{"dropping-particle":"","family":"Samuel","given":"Susana Maria Werner","non-dropping-particle":"","parse-names":false,"suffix":""}],"container-title":"Brazilian Oral Research","id":"ITEM-4","issue":"1","issued":{"date-parts":[["2014","1","1"]]},"page":"9-15","publisher":"Sociedade Brasileira de Hematologia e Hemoterapia","title":"Discrepancies in degree of conversion measurements by FTIR","type":"article-journal","volume":"28"},"uris":["http://www.mendeley.com/documents/?uuid=65d2fc25-0cbf-3165-8578-c367d2fca7d8"]}],"mendeley":{"formattedCitation":"[28]–[31]","plainTextFormattedCitation":"[28]–[31]","previouslyFormattedCitation":"[28]–[31]"},"properties":{"noteIndex":0},"schema":"https://github.com/citation-style-language/schema/raw/master/csl-citation.json"}</w:instrText>
      </w:r>
      <w:r w:rsidRPr="008B3BCF">
        <w:rPr>
          <w:rFonts w:ascii="Times New Roman" w:hAnsi="Times New Roman" w:cs="Times New Roman"/>
        </w:rPr>
        <w:fldChar w:fldCharType="separate"/>
      </w:r>
      <w:r w:rsidR="00BF7344" w:rsidRPr="00BF7344">
        <w:rPr>
          <w:rFonts w:ascii="Times New Roman" w:hAnsi="Times New Roman" w:cs="Times New Roman"/>
          <w:noProof/>
        </w:rPr>
        <w:t>[28]–[31]</w:t>
      </w:r>
      <w:r w:rsidRPr="008B3BCF">
        <w:rPr>
          <w:rFonts w:ascii="Times New Roman" w:hAnsi="Times New Roman" w:cs="Times New Roman"/>
        </w:rPr>
        <w:fldChar w:fldCharType="end"/>
      </w:r>
      <w:r w:rsidRPr="008B3BCF">
        <w:rPr>
          <w:rFonts w:ascii="Times New Roman" w:hAnsi="Times New Roman" w:cs="Times New Roman"/>
        </w:rPr>
        <w:t>, to the authors’ knowledge no prior studies report on the photocuring of Bis-EMA combined with PETIA.</w:t>
      </w:r>
    </w:p>
    <w:p w14:paraId="6969FB2E" w14:textId="77777777" w:rsidR="004D4393" w:rsidRDefault="004D4393" w:rsidP="008B3BCF">
      <w:pPr>
        <w:spacing w:line="360" w:lineRule="auto"/>
        <w:rPr>
          <w:rFonts w:ascii="Times New Roman" w:hAnsi="Times New Roman" w:cs="Times New Roman"/>
        </w:rPr>
      </w:pPr>
    </w:p>
    <w:p w14:paraId="45249035" w14:textId="6702970F"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The present study focused on formulation to improve the cure response of Bis-EMA in thick sections under a high-intensity UV LED lamp with a short irradiation time, simulating conditions typical of a large-scale photopolymer 3D printer. The authors hypothesized that the through-thickness cure response would improve with this polymer combination for a constant UV dose. Uncured Bis-EMA formulations with increasing levels of PETIA were tested for viscosity range and potential process suitability. Each formula was cured via UV LED irradiation in 3 mm thick layers, then tested for the change in hardness on the top and bottom surfaces, degree of conversion, tensile modulus, T</w:t>
      </w:r>
      <w:r w:rsidRPr="008B3BCF">
        <w:rPr>
          <w:rFonts w:ascii="Times New Roman" w:hAnsi="Times New Roman" w:cs="Times New Roman"/>
          <w:vertAlign w:val="subscript"/>
        </w:rPr>
        <w:t>g,</w:t>
      </w:r>
      <w:r w:rsidRPr="008B3BCF">
        <w:rPr>
          <w:rFonts w:ascii="Times New Roman" w:hAnsi="Times New Roman" w:cs="Times New Roman"/>
        </w:rPr>
        <w:t xml:space="preserve"> and cure-induced shrinkage. </w:t>
      </w:r>
    </w:p>
    <w:p w14:paraId="7AB3C412" w14:textId="77777777" w:rsidR="004D4393" w:rsidRDefault="004D4393" w:rsidP="008B3BCF">
      <w:pPr>
        <w:spacing w:line="360" w:lineRule="auto"/>
        <w:rPr>
          <w:rFonts w:ascii="Times New Roman" w:hAnsi="Times New Roman" w:cs="Times New Roman"/>
        </w:rPr>
      </w:pPr>
    </w:p>
    <w:p w14:paraId="26BD1301" w14:textId="5DEA25AA"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Based on these results, a blend of 80 wt% Bis-EMA with 20 wt% PETIA was selected for its optimal balance of through-cure response and T</w:t>
      </w:r>
      <w:r w:rsidRPr="008B3BCF">
        <w:rPr>
          <w:rFonts w:ascii="Times New Roman" w:hAnsi="Times New Roman" w:cs="Times New Roman"/>
          <w:vertAlign w:val="subscript"/>
        </w:rPr>
        <w:t>g</w:t>
      </w:r>
      <w:r w:rsidRPr="008B3BCF">
        <w:rPr>
          <w:rFonts w:ascii="Times New Roman" w:hAnsi="Times New Roman" w:cs="Times New Roman"/>
        </w:rPr>
        <w:t>.  This formula was then tested for response to thermal aging and used to fabricate fiberglass-reinforced composite tooling (molds). Five oven-cured composite parts were produced with each tool, and the tools were analyzed for thermal aging effects on hardness, T</w:t>
      </w:r>
      <w:r w:rsidRPr="008B3BCF">
        <w:rPr>
          <w:rFonts w:ascii="Times New Roman" w:hAnsi="Times New Roman" w:cs="Times New Roman"/>
          <w:vertAlign w:val="subscript"/>
        </w:rPr>
        <w:t>g</w:t>
      </w:r>
      <w:r w:rsidRPr="008B3BCF">
        <w:rPr>
          <w:rFonts w:ascii="Times New Roman" w:hAnsi="Times New Roman" w:cs="Times New Roman"/>
        </w:rPr>
        <w:t xml:space="preserve">, and tool geometry. </w:t>
      </w:r>
    </w:p>
    <w:p w14:paraId="0C58F8D9" w14:textId="0E0A9B67" w:rsidR="004D4393" w:rsidRDefault="004D4393" w:rsidP="008B3BCF">
      <w:pPr>
        <w:spacing w:line="360" w:lineRule="auto"/>
        <w:rPr>
          <w:rFonts w:ascii="Times New Roman" w:hAnsi="Times New Roman" w:cs="Times New Roman"/>
          <w:b/>
          <w:bCs/>
        </w:rPr>
      </w:pPr>
      <w:bookmarkStart w:id="56" w:name="_Hlk87802147"/>
    </w:p>
    <w:p w14:paraId="47F877BD" w14:textId="77777777" w:rsidR="00020242" w:rsidRDefault="00020242" w:rsidP="008B3BCF">
      <w:pPr>
        <w:spacing w:line="360" w:lineRule="auto"/>
        <w:rPr>
          <w:rFonts w:ascii="Times New Roman" w:hAnsi="Times New Roman" w:cs="Times New Roman"/>
          <w:b/>
          <w:bCs/>
        </w:rPr>
      </w:pPr>
    </w:p>
    <w:p w14:paraId="1785F23E" w14:textId="77777777" w:rsidR="00A2593C" w:rsidRDefault="00A2593C" w:rsidP="008B3BCF">
      <w:pPr>
        <w:spacing w:line="360" w:lineRule="auto"/>
        <w:rPr>
          <w:rFonts w:ascii="Times New Roman" w:hAnsi="Times New Roman" w:cs="Times New Roman"/>
          <w:b/>
          <w:bCs/>
        </w:rPr>
      </w:pPr>
    </w:p>
    <w:p w14:paraId="6AB05813" w14:textId="221665C7" w:rsidR="0074122E" w:rsidRDefault="008B3BCF" w:rsidP="00DB3040">
      <w:pPr>
        <w:pStyle w:val="Heading2"/>
      </w:pPr>
      <w:bookmarkStart w:id="57" w:name="_Toc101701732"/>
      <w:r w:rsidRPr="008B3BCF">
        <w:lastRenderedPageBreak/>
        <w:t>3.0 Materials and Methods</w:t>
      </w:r>
      <w:bookmarkEnd w:id="56"/>
      <w:bookmarkEnd w:id="57"/>
    </w:p>
    <w:p w14:paraId="0682DE88" w14:textId="3ED41EDA" w:rsidR="008B3BCF" w:rsidRPr="008B3BCF" w:rsidRDefault="008B3BCF" w:rsidP="009D06D1">
      <w:pPr>
        <w:pStyle w:val="Heading3"/>
      </w:pPr>
      <w:bookmarkStart w:id="58" w:name="_Toc101701733"/>
      <w:r w:rsidRPr="008B3BCF">
        <w:t>3.1 Light Source and Materials</w:t>
      </w:r>
      <w:bookmarkEnd w:id="58"/>
    </w:p>
    <w:p w14:paraId="3A80CA2A" w14:textId="786A7C1A" w:rsidR="00A2593C" w:rsidRDefault="008B3BCF" w:rsidP="008B3BCF">
      <w:pPr>
        <w:spacing w:line="360" w:lineRule="auto"/>
        <w:rPr>
          <w:rFonts w:ascii="Times New Roman" w:hAnsi="Times New Roman" w:cs="Times New Roman"/>
        </w:rPr>
      </w:pPr>
      <w:r w:rsidRPr="008B3BCF">
        <w:rPr>
          <w:rFonts w:ascii="Times New Roman" w:hAnsi="Times New Roman" w:cs="Times New Roman"/>
        </w:rPr>
        <w:t>The lamp was an Altair 75 high-intensity UV LED area lamp from Heraeus Noblelight (Cambridge, UK), with an emitting window of 80 mm x 13 mm and peak irradiance of 3.7 W/cm</w:t>
      </w:r>
      <w:r w:rsidRPr="008B3BCF">
        <w:rPr>
          <w:rFonts w:ascii="Times New Roman" w:hAnsi="Times New Roman" w:cs="Times New Roman"/>
          <w:vertAlign w:val="superscript"/>
        </w:rPr>
        <w:t>2</w:t>
      </w:r>
      <w:r w:rsidRPr="008B3BCF">
        <w:rPr>
          <w:rFonts w:ascii="Times New Roman" w:hAnsi="Times New Roman" w:cs="Times New Roman"/>
        </w:rPr>
        <w:t xml:space="preserve"> at 395 nm. The primary oligomer in this study was Bis-EMA (see </w:t>
      </w:r>
      <w:r w:rsidR="00E444A3" w:rsidRPr="00E444A3">
        <w:rPr>
          <w:rFonts w:ascii="Times New Roman" w:hAnsi="Times New Roman" w:cs="Times New Roman"/>
        </w:rPr>
        <w:fldChar w:fldCharType="begin"/>
      </w:r>
      <w:r w:rsidR="00E444A3" w:rsidRPr="00E444A3">
        <w:rPr>
          <w:rFonts w:ascii="Times New Roman" w:hAnsi="Times New Roman" w:cs="Times New Roman"/>
        </w:rPr>
        <w:instrText xml:space="preserve"> REF _Ref100922046 \h </w:instrText>
      </w:r>
      <w:r w:rsidR="00E444A3">
        <w:rPr>
          <w:rFonts w:ascii="Times New Roman" w:hAnsi="Times New Roman" w:cs="Times New Roman"/>
        </w:rPr>
        <w:instrText xml:space="preserve"> \* MERGEFORMAT </w:instrText>
      </w:r>
      <w:r w:rsidR="00E444A3" w:rsidRPr="00E444A3">
        <w:rPr>
          <w:rFonts w:ascii="Times New Roman" w:hAnsi="Times New Roman" w:cs="Times New Roman"/>
        </w:rPr>
      </w:r>
      <w:r w:rsidR="00E444A3" w:rsidRPr="00E444A3">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13</w:t>
      </w:r>
      <w:r w:rsidR="00E444A3" w:rsidRPr="00E444A3">
        <w:rPr>
          <w:rFonts w:ascii="Times New Roman" w:hAnsi="Times New Roman" w:cs="Times New Roman"/>
        </w:rPr>
        <w:fldChar w:fldCharType="end"/>
      </w:r>
      <w:r w:rsidRPr="008B3BCF">
        <w:rPr>
          <w:rFonts w:ascii="Times New Roman" w:hAnsi="Times New Roman" w:cs="Times New Roman"/>
        </w:rPr>
        <w:t xml:space="preserve">). The reactive diluent was PETIA, a 50:50 molar mixture of tri- and tetra-acrylate esters of pentaerythritol supplied by Allnex (Frankfurt am Main, Germany). The photoinitiator was 2-Benzyl-2-dimethylamino-1-(4-morpholinophenyl)-butanone-1 (BDMB), a highly reactive alkylaminoacetophenone supplied by Lambson (West Yorkshire, UK). Absorption properties of BDMB were determined by ultraviolet-visible (UV-Vis) spectroscopy on an Evolution 300 spectrometer from </w:t>
      </w:r>
      <w:proofErr w:type="spellStart"/>
      <w:r w:rsidRPr="008B3BCF">
        <w:rPr>
          <w:rFonts w:ascii="Times New Roman" w:hAnsi="Times New Roman" w:cs="Times New Roman"/>
        </w:rPr>
        <w:t>Thermo</w:t>
      </w:r>
      <w:proofErr w:type="spellEnd"/>
      <w:r w:rsidRPr="008B3BCF">
        <w:rPr>
          <w:rFonts w:ascii="Times New Roman" w:hAnsi="Times New Roman" w:cs="Times New Roman"/>
        </w:rPr>
        <w:t xml:space="preserve"> Fisher Scientific (Waltham, USA). BDMB was dissolved in methanol at 0.01 wt%, and the solution was tested in a 1400 microliter quartz cuvette with a lid from Thorlabs, Inc. (Newton, USA), with a scan range of 200 to 600 nm and a bandwidth of 2.0 nm. As </w:t>
      </w:r>
      <w:r w:rsidR="00E444A3" w:rsidRPr="00E444A3">
        <w:rPr>
          <w:rFonts w:ascii="Times New Roman" w:hAnsi="Times New Roman" w:cs="Times New Roman"/>
        </w:rPr>
        <w:fldChar w:fldCharType="begin"/>
      </w:r>
      <w:r w:rsidR="00E444A3" w:rsidRPr="00E444A3">
        <w:rPr>
          <w:rFonts w:ascii="Times New Roman" w:hAnsi="Times New Roman" w:cs="Times New Roman"/>
        </w:rPr>
        <w:instrText xml:space="preserve"> REF _Ref100922156 \h </w:instrText>
      </w:r>
      <w:r w:rsidR="00E444A3">
        <w:rPr>
          <w:rFonts w:ascii="Times New Roman" w:hAnsi="Times New Roman" w:cs="Times New Roman"/>
        </w:rPr>
        <w:instrText xml:space="preserve"> \* MERGEFORMAT </w:instrText>
      </w:r>
      <w:r w:rsidR="00E444A3" w:rsidRPr="00E444A3">
        <w:rPr>
          <w:rFonts w:ascii="Times New Roman" w:hAnsi="Times New Roman" w:cs="Times New Roman"/>
        </w:rPr>
      </w:r>
      <w:r w:rsidR="00E444A3" w:rsidRPr="00E444A3">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14</w:t>
      </w:r>
      <w:r w:rsidR="00E444A3" w:rsidRPr="00E444A3">
        <w:rPr>
          <w:rFonts w:ascii="Times New Roman" w:hAnsi="Times New Roman" w:cs="Times New Roman"/>
        </w:rPr>
        <w:fldChar w:fldCharType="end"/>
      </w:r>
      <w:r w:rsidR="00E444A3">
        <w:rPr>
          <w:rFonts w:ascii="Times New Roman" w:hAnsi="Times New Roman" w:cs="Times New Roman"/>
        </w:rPr>
        <w:t xml:space="preserve"> </w:t>
      </w:r>
      <w:r w:rsidRPr="008B3BCF">
        <w:rPr>
          <w:rFonts w:ascii="Times New Roman" w:hAnsi="Times New Roman" w:cs="Times New Roman"/>
        </w:rPr>
        <w:t xml:space="preserve">shows, BDMB has a high molar absorptivity at lower wavelengths and a weak UV absorbance tail in the UV-A range. The lower initiator absorptivity at 395 nm increases the depth of cure that can be achieved with BDMB </w:t>
      </w:r>
      <w:r w:rsidRPr="008B3BCF">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sidRPr="008B3BCF">
        <w:rPr>
          <w:rFonts w:ascii="Times New Roman" w:hAnsi="Times New Roman" w:cs="Times New Roman"/>
        </w:rPr>
        <w:fldChar w:fldCharType="separate"/>
      </w:r>
      <w:r w:rsidR="00BF7344" w:rsidRPr="00BF7344">
        <w:rPr>
          <w:rFonts w:ascii="Times New Roman" w:hAnsi="Times New Roman" w:cs="Times New Roman"/>
          <w:noProof/>
        </w:rPr>
        <w:t>[23]</w:t>
      </w:r>
      <w:r w:rsidRPr="008B3BCF">
        <w:rPr>
          <w:rFonts w:ascii="Times New Roman" w:hAnsi="Times New Roman" w:cs="Times New Roman"/>
        </w:rPr>
        <w:fldChar w:fldCharType="end"/>
      </w:r>
      <w:r w:rsidRPr="008B3BCF">
        <w:rPr>
          <w:rFonts w:ascii="Times New Roman" w:hAnsi="Times New Roman" w:cs="Times New Roman"/>
        </w:rPr>
        <w:t xml:space="preserve">.  </w:t>
      </w:r>
    </w:p>
    <w:p w14:paraId="57805A98" w14:textId="36B40550" w:rsidR="00A2593C" w:rsidRPr="008B3BCF" w:rsidRDefault="00A2593C" w:rsidP="009D06D1">
      <w:pPr>
        <w:pStyle w:val="Heading3"/>
      </w:pPr>
      <w:bookmarkStart w:id="59" w:name="_Toc101701734"/>
      <w:r w:rsidRPr="008B3BCF">
        <w:t>3.2 Specimen Preparation</w:t>
      </w:r>
      <w:bookmarkEnd w:id="59"/>
    </w:p>
    <w:p w14:paraId="00F7B073" w14:textId="72206B42" w:rsidR="00A2593C" w:rsidRDefault="00A2593C" w:rsidP="00A2593C">
      <w:pPr>
        <w:spacing w:line="360" w:lineRule="auto"/>
        <w:rPr>
          <w:rFonts w:ascii="Times New Roman" w:hAnsi="Times New Roman" w:cs="Times New Roman"/>
        </w:rPr>
      </w:pPr>
      <w:r w:rsidRPr="008B3BCF">
        <w:rPr>
          <w:rFonts w:ascii="Times New Roman" w:hAnsi="Times New Roman" w:cs="Times New Roman"/>
        </w:rPr>
        <w:t xml:space="preserve">Bis-EMA formulations were prepared with 0, 10, 20, 30, 40, and 50 wt% PETIA, with BDMB added to the mixture at 1 wt%. Formulations were mixed under low heat using a hot plate stirrer for 10 minutes, then allowed to rest for at least 24 hours prior to irradiation at ambient temperatures. Cured specimens for tensile testing, hardness testing, dynamic mechanical analysis, and helium pycnometry were all irradiated for 5 seconds at </w:t>
      </w:r>
      <w:proofErr w:type="gramStart"/>
      <w:r w:rsidRPr="008B3BCF">
        <w:rPr>
          <w:rFonts w:ascii="Times New Roman" w:hAnsi="Times New Roman" w:cs="Times New Roman"/>
        </w:rPr>
        <w:t>a distance of 10</w:t>
      </w:r>
      <w:proofErr w:type="gramEnd"/>
      <w:r w:rsidRPr="008B3BCF">
        <w:rPr>
          <w:rFonts w:ascii="Times New Roman" w:hAnsi="Times New Roman" w:cs="Times New Roman"/>
        </w:rPr>
        <w:t xml:space="preserve"> mm from the lamp to the surface of the photopolymer. Molding fixtures were positioned to center specimens in the emitting window, with hardness and dynamic mechanical analysis (DMA) specimens using a glass microscope slide treated with a mold release agent (Frekote 770 NC, Loctite, Hartford) as the top mold surface. Through</w:t>
      </w:r>
    </w:p>
    <w:p w14:paraId="43132B15" w14:textId="77777777" w:rsidR="00E444A3" w:rsidRDefault="008B3BCF" w:rsidP="00E444A3">
      <w:pPr>
        <w:keepNext/>
        <w:spacing w:line="360" w:lineRule="auto"/>
        <w:jc w:val="center"/>
      </w:pPr>
      <w:r w:rsidRPr="008B3BCF">
        <w:rPr>
          <w:rFonts w:ascii="Times New Roman" w:hAnsi="Times New Roman" w:cs="Times New Roman"/>
          <w:b/>
          <w:bCs/>
          <w:noProof/>
        </w:rPr>
        <w:lastRenderedPageBreak/>
        <w:drawing>
          <wp:inline distT="0" distB="0" distL="0" distR="0" wp14:anchorId="561CB29A" wp14:editId="5C9A68B6">
            <wp:extent cx="3592914" cy="2781300"/>
            <wp:effectExtent l="0" t="0" r="762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7001" b="13166"/>
                    <a:stretch/>
                  </pic:blipFill>
                  <pic:spPr bwMode="auto">
                    <a:xfrm>
                      <a:off x="0" y="0"/>
                      <a:ext cx="3613767" cy="2797443"/>
                    </a:xfrm>
                    <a:prstGeom prst="rect">
                      <a:avLst/>
                    </a:prstGeom>
                    <a:noFill/>
                    <a:ln>
                      <a:noFill/>
                    </a:ln>
                    <a:extLst>
                      <a:ext uri="{53640926-AAD7-44D8-BBD7-CCE9431645EC}">
                        <a14:shadowObscured xmlns:a14="http://schemas.microsoft.com/office/drawing/2010/main"/>
                      </a:ext>
                    </a:extLst>
                  </pic:spPr>
                </pic:pic>
              </a:graphicData>
            </a:graphic>
          </wp:inline>
        </w:drawing>
      </w:r>
    </w:p>
    <w:p w14:paraId="6AAA1623" w14:textId="6C0BE63E" w:rsidR="0049226F" w:rsidRDefault="00E444A3" w:rsidP="00F20503">
      <w:pPr>
        <w:pStyle w:val="Caption"/>
      </w:pPr>
      <w:bookmarkStart w:id="60" w:name="_Ref100922046"/>
      <w:bookmarkStart w:id="61" w:name="_Toc101365675"/>
      <w:r>
        <w:t xml:space="preserve">Figure </w:t>
      </w:r>
      <w:r w:rsidR="002F73EC">
        <w:fldChar w:fldCharType="begin"/>
      </w:r>
      <w:r w:rsidR="002F73EC">
        <w:instrText xml:space="preserve"> SEQ Figure \* ARABIC </w:instrText>
      </w:r>
      <w:r w:rsidR="002F73EC">
        <w:fldChar w:fldCharType="separate"/>
      </w:r>
      <w:r w:rsidR="00BF5717">
        <w:rPr>
          <w:noProof/>
        </w:rPr>
        <w:t>13</w:t>
      </w:r>
      <w:r w:rsidR="002F73EC">
        <w:rPr>
          <w:noProof/>
        </w:rPr>
        <w:fldChar w:fldCharType="end"/>
      </w:r>
      <w:bookmarkEnd w:id="60"/>
      <w:r>
        <w:t xml:space="preserve"> </w:t>
      </w:r>
      <w:r w:rsidRPr="00907872">
        <w:t>Primary oligomer Bis-EMA is di-functional while PETIA has tri</w:t>
      </w:r>
      <w:r w:rsidRPr="00E602C5">
        <w:t>- and tetra-functionality.</w:t>
      </w:r>
      <w:bookmarkEnd w:id="61"/>
    </w:p>
    <w:p w14:paraId="117F7055" w14:textId="5F2C1226" w:rsidR="008B3BCF" w:rsidRDefault="008B3BCF" w:rsidP="008B3BCF">
      <w:pPr>
        <w:spacing w:line="360" w:lineRule="auto"/>
        <w:rPr>
          <w:rFonts w:ascii="Times New Roman" w:hAnsi="Times New Roman" w:cs="Times New Roman"/>
        </w:rPr>
      </w:pPr>
    </w:p>
    <w:p w14:paraId="38C13351" w14:textId="77777777" w:rsidR="0049226F" w:rsidRPr="008B3BCF" w:rsidRDefault="0049226F" w:rsidP="008B3BCF">
      <w:pPr>
        <w:spacing w:line="360" w:lineRule="auto"/>
        <w:rPr>
          <w:rFonts w:ascii="Times New Roman" w:hAnsi="Times New Roman" w:cs="Times New Roman"/>
        </w:rPr>
      </w:pPr>
    </w:p>
    <w:p w14:paraId="523EC0D6" w14:textId="77777777" w:rsidR="00E444A3" w:rsidRDefault="008B3BCF" w:rsidP="00E444A3">
      <w:pPr>
        <w:keepNext/>
        <w:spacing w:line="360" w:lineRule="auto"/>
        <w:jc w:val="center"/>
      </w:pPr>
      <w:r w:rsidRPr="008B3BCF">
        <w:rPr>
          <w:rFonts w:ascii="Times New Roman" w:hAnsi="Times New Roman" w:cs="Times New Roman"/>
          <w:noProof/>
        </w:rPr>
        <w:drawing>
          <wp:inline distT="0" distB="0" distL="0" distR="0" wp14:anchorId="1076B4D5" wp14:editId="632F6D24">
            <wp:extent cx="4479834" cy="3414522"/>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19399" t="7830" r="14983" b="3172"/>
                    <a:stretch/>
                  </pic:blipFill>
                  <pic:spPr bwMode="auto">
                    <a:xfrm>
                      <a:off x="0" y="0"/>
                      <a:ext cx="4563944" cy="3478631"/>
                    </a:xfrm>
                    <a:prstGeom prst="rect">
                      <a:avLst/>
                    </a:prstGeom>
                    <a:noFill/>
                    <a:ln>
                      <a:noFill/>
                    </a:ln>
                    <a:extLst>
                      <a:ext uri="{53640926-AAD7-44D8-BBD7-CCE9431645EC}">
                        <a14:shadowObscured xmlns:a14="http://schemas.microsoft.com/office/drawing/2010/main"/>
                      </a:ext>
                    </a:extLst>
                  </pic:spPr>
                </pic:pic>
              </a:graphicData>
            </a:graphic>
          </wp:inline>
        </w:drawing>
      </w:r>
    </w:p>
    <w:p w14:paraId="5C272FF5" w14:textId="749ADFF9" w:rsidR="0074122E" w:rsidRDefault="00E444A3" w:rsidP="00F20503">
      <w:pPr>
        <w:pStyle w:val="Caption"/>
      </w:pPr>
      <w:bookmarkStart w:id="62" w:name="_Ref100922156"/>
      <w:bookmarkStart w:id="63" w:name="_Toc101365676"/>
      <w:r>
        <w:t xml:space="preserve">Figure </w:t>
      </w:r>
      <w:r w:rsidR="002F73EC">
        <w:fldChar w:fldCharType="begin"/>
      </w:r>
      <w:r w:rsidR="002F73EC">
        <w:instrText xml:space="preserve"> SEQ Figure \* ARABIC </w:instrText>
      </w:r>
      <w:r w:rsidR="002F73EC">
        <w:fldChar w:fldCharType="separate"/>
      </w:r>
      <w:r w:rsidR="00BF5717">
        <w:rPr>
          <w:noProof/>
        </w:rPr>
        <w:t>14</w:t>
      </w:r>
      <w:r w:rsidR="002F73EC">
        <w:rPr>
          <w:noProof/>
        </w:rPr>
        <w:fldChar w:fldCharType="end"/>
      </w:r>
      <w:bookmarkEnd w:id="62"/>
      <w:r>
        <w:t xml:space="preserve"> </w:t>
      </w:r>
      <w:r w:rsidRPr="008B3BCF">
        <w:t>Absorption spectrum for BDMB shows a tail that extends into the UV-A range, compatible with 395 nm LED systems</w:t>
      </w:r>
      <w:r>
        <w:t>.</w:t>
      </w:r>
      <w:bookmarkEnd w:id="63"/>
    </w:p>
    <w:p w14:paraId="29E40AEB" w14:textId="661777B0" w:rsidR="004D4393" w:rsidRPr="0074122E" w:rsidRDefault="0074122E" w:rsidP="008B3BCF">
      <w:pPr>
        <w:spacing w:line="360" w:lineRule="auto"/>
        <w:rPr>
          <w:rFonts w:ascii="Times New Roman" w:hAnsi="Times New Roman" w:cs="Times New Roman"/>
        </w:rPr>
      </w:pPr>
      <w:r w:rsidRPr="008B3BCF">
        <w:rPr>
          <w:rFonts w:ascii="Times New Roman" w:hAnsi="Times New Roman" w:cs="Times New Roman"/>
        </w:rPr>
        <w:lastRenderedPageBreak/>
        <w:t>the treated glass, 5 second irradiation provided an average incident intensity on the polymer surface of 1.7 W/cm</w:t>
      </w:r>
      <w:r w:rsidRPr="008B3BCF">
        <w:rPr>
          <w:rFonts w:ascii="Times New Roman" w:hAnsi="Times New Roman" w:cs="Times New Roman"/>
          <w:vertAlign w:val="superscript"/>
        </w:rPr>
        <w:t>2</w:t>
      </w:r>
      <w:r w:rsidRPr="008B3BCF">
        <w:rPr>
          <w:rFonts w:ascii="Times New Roman" w:hAnsi="Times New Roman" w:cs="Times New Roman"/>
        </w:rPr>
        <w:t xml:space="preserve"> and a dose of 8.0 J/cm</w:t>
      </w:r>
      <w:r w:rsidRPr="008B3BCF">
        <w:rPr>
          <w:rFonts w:ascii="Times New Roman" w:hAnsi="Times New Roman" w:cs="Times New Roman"/>
          <w:vertAlign w:val="superscript"/>
        </w:rPr>
        <w:t>2</w:t>
      </w:r>
      <w:r w:rsidRPr="008B3BCF">
        <w:rPr>
          <w:rFonts w:ascii="Times New Roman" w:hAnsi="Times New Roman" w:cs="Times New Roman"/>
        </w:rPr>
        <w:t xml:space="preserve">, as measured by an ILT800 </w:t>
      </w:r>
    </w:p>
    <w:p w14:paraId="13D88C0E" w14:textId="10933812"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radiometer from International Light Technologies (Peabody).</w:t>
      </w:r>
    </w:p>
    <w:p w14:paraId="512BEB0F" w14:textId="77777777" w:rsidR="004D4393" w:rsidRDefault="004D4393" w:rsidP="008B3BCF">
      <w:pPr>
        <w:spacing w:line="360" w:lineRule="auto"/>
        <w:rPr>
          <w:rFonts w:ascii="Times New Roman" w:hAnsi="Times New Roman" w:cs="Times New Roman"/>
        </w:rPr>
      </w:pPr>
    </w:p>
    <w:p w14:paraId="7581A304" w14:textId="2C83A3B4"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The specimens for tensile testing were cured in a while acrylic mold with 3 mm depth and a single cavity with geometry per ASTM D638 Type V. Specimens for hardness testing were cured in a polytetrafluoroethylene (PTFE) mold with five cavities of 6 mm diameter, 3 mm depth. To ensure a smooth molded surface and minimize the effects of oxygen inhibition, glass microscope slides treated with mold release were used as the top and bottom sides of the molds. Tensile bars from one formula were thermally treated by placing them in an oven within one hour of UV irradiation. These specimens were treated at 135 °C (275 °F) for increments of 10 and 20 hours, then tested for polymer degradation via thermogravimetric analysis (TGA).</w:t>
      </w:r>
    </w:p>
    <w:p w14:paraId="2B8F11AF" w14:textId="77777777" w:rsidR="004D4393" w:rsidRDefault="004D4393" w:rsidP="008B3BCF">
      <w:pPr>
        <w:spacing w:line="360" w:lineRule="auto"/>
        <w:rPr>
          <w:rFonts w:ascii="Times New Roman" w:hAnsi="Times New Roman" w:cs="Times New Roman"/>
        </w:rPr>
      </w:pPr>
    </w:p>
    <w:p w14:paraId="0957B78F" w14:textId="5E20979D" w:rsid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DMA specimens were prepared in a PTFE mold with cavities measuring 5 mm x 30 mm x 1 mm, using a polished stainless-steel surface as the bottom mold face and a treated glass microscope slide as the top mold face. </w:t>
      </w:r>
    </w:p>
    <w:p w14:paraId="23655B59" w14:textId="77777777" w:rsidR="0074122E" w:rsidRPr="008B3BCF" w:rsidRDefault="0074122E" w:rsidP="008B3BCF">
      <w:pPr>
        <w:spacing w:line="360" w:lineRule="auto"/>
        <w:rPr>
          <w:rFonts w:ascii="Times New Roman" w:hAnsi="Times New Roman" w:cs="Times New Roman"/>
        </w:rPr>
      </w:pPr>
    </w:p>
    <w:p w14:paraId="464BDE3C" w14:textId="45831C6C" w:rsidR="00A2593C"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Helium pycnometry density specimens were cured using the DMA mold, with a red-tinted transparent nylon bagging film instead of a glass slide on the top surface to limit oxygen inhibition while allowing volumetric shrinkage during curing. </w:t>
      </w:r>
    </w:p>
    <w:p w14:paraId="2806D769" w14:textId="77777777" w:rsidR="008B3BCF" w:rsidRPr="008B3BCF" w:rsidRDefault="008B3BCF" w:rsidP="009D06D1">
      <w:pPr>
        <w:pStyle w:val="Heading3"/>
      </w:pPr>
      <w:bookmarkStart w:id="64" w:name="_Toc101701735"/>
      <w:r w:rsidRPr="008B3BCF">
        <w:t>3.3 Uncured Polymer Characterization</w:t>
      </w:r>
      <w:bookmarkEnd w:id="64"/>
    </w:p>
    <w:p w14:paraId="29829AF5"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Rheological characterization was conducted on a Discovery Hybrid Rheometer-2 (DHR-2) from TA Instruments (New Castle, USA), outfitted with 25 mm-diameter disposable aluminum platens at ambient temperature. With a gap of 1.1 mm, specimens from each formula were subjected to a logarithmic flow sweep from 1.0 to 300.0 1/s shear rate. A minimum of three tests were conducted for each of the six photopolymer formulations. </w:t>
      </w:r>
    </w:p>
    <w:p w14:paraId="44E86C5D" w14:textId="3C6B9F2D" w:rsidR="004D4393" w:rsidRDefault="004D4393" w:rsidP="008B3BCF">
      <w:pPr>
        <w:spacing w:line="360" w:lineRule="auto"/>
        <w:rPr>
          <w:rFonts w:ascii="Times New Roman" w:hAnsi="Times New Roman" w:cs="Times New Roman"/>
          <w:b/>
          <w:bCs/>
        </w:rPr>
      </w:pPr>
    </w:p>
    <w:p w14:paraId="07C667C7" w14:textId="77777777" w:rsidR="0074122E" w:rsidRDefault="0074122E" w:rsidP="008B3BCF">
      <w:pPr>
        <w:spacing w:line="360" w:lineRule="auto"/>
        <w:rPr>
          <w:rFonts w:ascii="Times New Roman" w:hAnsi="Times New Roman" w:cs="Times New Roman"/>
          <w:b/>
          <w:bCs/>
        </w:rPr>
      </w:pPr>
    </w:p>
    <w:p w14:paraId="6EB3316F" w14:textId="77777777" w:rsidR="0074122E" w:rsidRDefault="008B3BCF" w:rsidP="009D06D1">
      <w:pPr>
        <w:pStyle w:val="Heading3"/>
      </w:pPr>
      <w:bookmarkStart w:id="65" w:name="_Toc101701736"/>
      <w:r w:rsidRPr="008B3BCF">
        <w:lastRenderedPageBreak/>
        <w:t>3.4 Cured Polymer Testing</w:t>
      </w:r>
      <w:bookmarkEnd w:id="65"/>
      <w:r w:rsidR="0074122E" w:rsidRPr="0074122E">
        <w:t xml:space="preserve"> </w:t>
      </w:r>
    </w:p>
    <w:p w14:paraId="127F6B3E" w14:textId="5DF081DF" w:rsidR="008B3BCF" w:rsidRPr="008B3BCF" w:rsidRDefault="0074122E" w:rsidP="008B3BCF">
      <w:pPr>
        <w:spacing w:line="360" w:lineRule="auto"/>
        <w:rPr>
          <w:rFonts w:ascii="Times New Roman" w:hAnsi="Times New Roman" w:cs="Times New Roman"/>
          <w:b/>
          <w:bCs/>
        </w:rPr>
      </w:pPr>
      <w:r w:rsidRPr="008B3BCF">
        <w:rPr>
          <w:rFonts w:ascii="Times New Roman" w:hAnsi="Times New Roman" w:cs="Times New Roman"/>
        </w:rPr>
        <w:t>tests were conducted after a minimum of 24 hours post irradiation. Tensile testing was conducted at a strain rate of 1 mm/min on an Instron 5960 load frame with a 5 kN</w:t>
      </w:r>
    </w:p>
    <w:p w14:paraId="345EB7C1" w14:textId="6B7C5EF7" w:rsidR="004D4393"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load cell (Norwood, USA). </w:t>
      </w:r>
    </w:p>
    <w:p w14:paraId="1D541C73" w14:textId="77777777" w:rsidR="0074122E" w:rsidRDefault="0074122E" w:rsidP="008B3BCF">
      <w:pPr>
        <w:spacing w:line="360" w:lineRule="auto"/>
        <w:rPr>
          <w:rFonts w:ascii="Times New Roman" w:hAnsi="Times New Roman" w:cs="Times New Roman"/>
        </w:rPr>
      </w:pPr>
    </w:p>
    <w:p w14:paraId="260F74E9" w14:textId="2392088C"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Hardness was measured on the top and bottom surfaces of the 3 mm thick disc specimens, with “top” indicating the UV incident face and “bottom” indicating the point farthest from the UV lamp. Vickers hardness testing was conducted at a loading of 50 g on a Buehler 1600 Series microhardness tester (Lake Bluff, USA). Three specimens were measured from each formulation, with a minimum of five measurements taken from the top and bottom of each specimen.</w:t>
      </w:r>
    </w:p>
    <w:p w14:paraId="3FEC8FA2" w14:textId="77777777" w:rsidR="004D4393" w:rsidRDefault="004D4393" w:rsidP="008B3BCF">
      <w:pPr>
        <w:spacing w:line="360" w:lineRule="auto"/>
        <w:rPr>
          <w:rFonts w:ascii="Times New Roman" w:hAnsi="Times New Roman" w:cs="Times New Roman"/>
          <w:shd w:val="clear" w:color="auto" w:fill="FFFFFF"/>
        </w:rPr>
      </w:pPr>
    </w:p>
    <w:p w14:paraId="3A04D9F3" w14:textId="30BC393C" w:rsidR="008B3BCF" w:rsidRPr="008B3BCF" w:rsidRDefault="008B3BCF" w:rsidP="008B3BCF">
      <w:pPr>
        <w:spacing w:line="360" w:lineRule="auto"/>
        <w:rPr>
          <w:rFonts w:ascii="Times New Roman" w:hAnsi="Times New Roman" w:cs="Times New Roman"/>
          <w:shd w:val="clear" w:color="auto" w:fill="FFFFFF"/>
        </w:rPr>
      </w:pPr>
      <w:r w:rsidRPr="008B3BCF">
        <w:rPr>
          <w:rFonts w:ascii="Times New Roman" w:hAnsi="Times New Roman" w:cs="Times New Roman"/>
          <w:shd w:val="clear" w:color="auto" w:fill="FFFFFF"/>
        </w:rPr>
        <w:t>The T</w:t>
      </w:r>
      <w:r w:rsidRPr="008B3BCF">
        <w:rPr>
          <w:rFonts w:ascii="Times New Roman" w:hAnsi="Times New Roman" w:cs="Times New Roman"/>
          <w:shd w:val="clear" w:color="auto" w:fill="FFFFFF"/>
          <w:vertAlign w:val="subscript"/>
        </w:rPr>
        <w:t>g</w:t>
      </w:r>
      <w:r w:rsidRPr="008B3BCF">
        <w:rPr>
          <w:rFonts w:ascii="Times New Roman" w:hAnsi="Times New Roman" w:cs="Times New Roman"/>
          <w:shd w:val="clear" w:color="auto" w:fill="FFFFFF"/>
        </w:rPr>
        <w:t> was measured via DMA testing, conducted on a TA Instruments Q800 (New Castle, USA). Samples were tested in single cantilever mode with the UV incident side facing up. The oscillation frequency was 1 Hz, strain amplitude of 0.05%, and a temperature range of ambient to 200 °C with a ramp rate of 3 °C/min. T</w:t>
      </w:r>
      <w:r w:rsidRPr="008B3BCF">
        <w:rPr>
          <w:rFonts w:ascii="Times New Roman" w:hAnsi="Times New Roman" w:cs="Times New Roman"/>
          <w:shd w:val="clear" w:color="auto" w:fill="FFFFFF"/>
          <w:vertAlign w:val="subscript"/>
        </w:rPr>
        <w:t>g</w:t>
      </w:r>
      <w:r w:rsidRPr="008B3BCF">
        <w:rPr>
          <w:rFonts w:ascii="Times New Roman" w:hAnsi="Times New Roman" w:cs="Times New Roman"/>
          <w:shd w:val="clear" w:color="auto" w:fill="FFFFFF"/>
        </w:rPr>
        <w:t xml:space="preserve"> was measured as the maximum value of the tan delta curve.</w:t>
      </w:r>
    </w:p>
    <w:p w14:paraId="408FA97E" w14:textId="77777777" w:rsidR="004D4393" w:rsidRDefault="004D4393" w:rsidP="008B3BCF">
      <w:pPr>
        <w:spacing w:line="360" w:lineRule="auto"/>
        <w:rPr>
          <w:rFonts w:ascii="Times New Roman" w:hAnsi="Times New Roman" w:cs="Times New Roman"/>
        </w:rPr>
      </w:pPr>
    </w:p>
    <w:p w14:paraId="672A07CE" w14:textId="233862B3" w:rsidR="008B3BCF" w:rsidRDefault="008B3BCF" w:rsidP="008B3BCF">
      <w:pPr>
        <w:spacing w:line="360" w:lineRule="auto"/>
        <w:rPr>
          <w:rFonts w:ascii="Times New Roman" w:hAnsi="Times New Roman" w:cs="Times New Roman"/>
        </w:rPr>
      </w:pPr>
      <w:r w:rsidRPr="008B3BCF">
        <w:rPr>
          <w:rFonts w:ascii="Times New Roman" w:hAnsi="Times New Roman" w:cs="Times New Roman"/>
        </w:rPr>
        <w:t>Cured specimen density was measured via helium pycnometry using a 10 cm</w:t>
      </w:r>
      <w:r w:rsidRPr="008B3BCF">
        <w:rPr>
          <w:rFonts w:ascii="Times New Roman" w:hAnsi="Times New Roman" w:cs="Times New Roman"/>
          <w:vertAlign w:val="superscript"/>
        </w:rPr>
        <w:t>3</w:t>
      </w:r>
      <w:r w:rsidRPr="008B3BCF">
        <w:rPr>
          <w:rFonts w:ascii="Times New Roman" w:hAnsi="Times New Roman" w:cs="Times New Roman"/>
        </w:rPr>
        <w:t xml:space="preserve"> chamber on the AccuPyc II 1340 (micromeritics, Gwinnett County, USA) with a minimum of three specimens per formulation. Liquid density was determined for each formula at 25 °C using a calibrated 25 ml manual pycnometer (Eisco Labs, Ambala, India) and digital scale.</w:t>
      </w:r>
    </w:p>
    <w:p w14:paraId="452F448B" w14:textId="77777777" w:rsidR="00670343" w:rsidRPr="008B3BCF" w:rsidRDefault="00670343" w:rsidP="008B3BCF">
      <w:pPr>
        <w:spacing w:line="360" w:lineRule="auto"/>
        <w:rPr>
          <w:rFonts w:ascii="Times New Roman" w:hAnsi="Times New Roman" w:cs="Times New Roman"/>
        </w:rPr>
      </w:pPr>
    </w:p>
    <w:p w14:paraId="527A6372"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TGA was performed on specimens from one formula after UV irradiation and after subsequent thermal treatments of 10 and 20 hours at 135 °C (275 °F). Testing was conducted on a TA Instruments Q50 (New Castle, USA), with a thermal sweep from ambient to 600 °C at a ramp rate of 10 °C/min under a nitrogen atmosphere.</w:t>
      </w:r>
    </w:p>
    <w:p w14:paraId="3C45DEB0" w14:textId="199CDACC" w:rsid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FTIR was used to characterize double bond conversion in the cured photopolymers. Testing was conducted on a Nicolet iS50 FTIR Spectrometer with an attenuated total </w:t>
      </w:r>
      <w:r w:rsidRPr="008B3BCF">
        <w:rPr>
          <w:rFonts w:ascii="Times New Roman" w:hAnsi="Times New Roman" w:cs="Times New Roman"/>
        </w:rPr>
        <w:lastRenderedPageBreak/>
        <w:t xml:space="preserve">reflectance (FTIR-ATR) module, both from </w:t>
      </w:r>
      <w:proofErr w:type="spellStart"/>
      <w:r w:rsidRPr="008B3BCF">
        <w:rPr>
          <w:rFonts w:ascii="Times New Roman" w:hAnsi="Times New Roman" w:cs="Times New Roman"/>
        </w:rPr>
        <w:t>Thermo</w:t>
      </w:r>
      <w:proofErr w:type="spellEnd"/>
      <w:r w:rsidRPr="008B3BCF">
        <w:rPr>
          <w:rFonts w:ascii="Times New Roman" w:hAnsi="Times New Roman" w:cs="Times New Roman"/>
        </w:rPr>
        <w:t xml:space="preserve"> Fisher Scientific (Waltham, USA). Each test consisted of 64 scans across a wavenumber range of 525 to 4000 cm</w:t>
      </w:r>
      <w:r w:rsidRPr="008B3BCF">
        <w:rPr>
          <w:rFonts w:ascii="Times New Roman" w:hAnsi="Times New Roman" w:cs="Times New Roman"/>
          <w:vertAlign w:val="superscript"/>
        </w:rPr>
        <w:t>-1</w:t>
      </w:r>
      <w:r w:rsidRPr="008B3BCF">
        <w:rPr>
          <w:rFonts w:ascii="Times New Roman" w:hAnsi="Times New Roman" w:cs="Times New Roman"/>
        </w:rPr>
        <w:t xml:space="preserve"> at a resolution of 4 cm</w:t>
      </w:r>
      <w:r w:rsidRPr="008B3BCF">
        <w:rPr>
          <w:rFonts w:ascii="Times New Roman" w:hAnsi="Times New Roman" w:cs="Times New Roman"/>
          <w:vertAlign w:val="superscript"/>
        </w:rPr>
        <w:t>-1</w:t>
      </w:r>
      <w:r w:rsidRPr="008B3BCF">
        <w:rPr>
          <w:rFonts w:ascii="Times New Roman" w:hAnsi="Times New Roman" w:cs="Times New Roman"/>
        </w:rPr>
        <w:t xml:space="preserve"> and a gain of 8.0.  FTIR is a common method for determining the degree of cure of photopolymers by measuring the relative reduction in carbon-carbon double bonds reacting during crosslinking. The degree of conversion for Bis-EMA formulations was calculated using </w:t>
      </w:r>
      <w:r w:rsidR="00AE3DDA">
        <w:rPr>
          <w:rFonts w:ascii="Times New Roman" w:hAnsi="Times New Roman" w:cs="Times New Roman"/>
        </w:rPr>
        <w:t>E</w:t>
      </w:r>
      <w:r w:rsidRPr="008B3BCF">
        <w:rPr>
          <w:rFonts w:ascii="Times New Roman" w:hAnsi="Times New Roman" w:cs="Times New Roman"/>
        </w:rPr>
        <w:t xml:space="preserve">quation </w:t>
      </w:r>
      <w:r w:rsidR="0082333A">
        <w:rPr>
          <w:rFonts w:ascii="Times New Roman" w:hAnsi="Times New Roman" w:cs="Times New Roman"/>
        </w:rPr>
        <w:t>4</w:t>
      </w:r>
      <w:r w:rsidRPr="008B3BCF">
        <w:rPr>
          <w:rFonts w:ascii="Times New Roman" w:hAnsi="Times New Roman" w:cs="Times New Roman"/>
        </w:rPr>
        <w:t xml:space="preserve"> </w:t>
      </w:r>
      <w:r w:rsidRPr="008B3BCF">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{"citationItems":[{"id":"ITEM-1","itemData":{"DOI":"10.1016/j.dental.2014.12.010","ISSN":"01095641","PMID":"25582061","abstract":"Objectives The aim was to evaluate the polymerization properties of bulk-fill resin composites using two different light-curing protocols, in terms of degree of conversion (%DC), Vickers hardness (HV), polymerization volume shrinkage (PVS) and polymerization shrinkage stress (PSS) and compare them to conventional condensable and flowable resin composites. Materials and methods Filtek BulkFill (FBF, 3MESPE, Germany), SDR (Dentsply, Germany), TetricEvoCeram BulkFill (TBF, Ivoclar-Vivadent, Liechtenstein), Venus BulkFill (VBF, Heraeus, Germany), X-traBase (XTB, Voco, Germany), FiltekZ250 (3MESPE) and Filtek Supreme XTE Flowable (FSF, 3MESPE) were investigated. Light-curing was performed for 30 s or according to manufacturers' instructions (1200 mW/cm2, Bluephase20i, Ivoclar-Vivadent). For %DC and HV, discs (n = 5) of 2 or 4 mm in thickness were prepared and stored for 24 h in distilled water at 37 °C. %DC was determined by FTIR-ATR-spectroscopy. %DC and HV were measured at the top and bottom of the specimens. PVS was measured using Archimedes method (n = 6). PSS measurements (n = 10) were carried out using 5 mm diameter PMMA rods as bonding substrates with a specimen height of 1 mm in a universal testing machine. Data were analyzed using one- and two-way ANOVA (α = 0.05). Results Except Z250 in the manufacturers' light-curing mode, all materials showed no significant inferior %DC at 4 mm thickness. When light cured for 30 s Z250 had no significant differences in %DC at 2 or 4 mm when compared to top. FBF, TBF, FSF and Z250 displayed significant reduced HV at 4 mm in both curing modes. Z250 and TBF showed the lowest PVS and FSF the highest PSS in both curing modes. Significance All investigated bulk-fill composites obtained sufficient polymerization properties at 4 mm depth. Enhanced curing time improved the investigated polymerization properties of bulk-fills and Z250.","author":[{"dropping-particle":"","family":"Zorzin","given":"José","non-dropping-particle":"","parse-names":false,"suffix":""},{"dropping-particle":"","family":"Maier","given":"Eva","non-dropping-particle":"","parse-names":false,"suffix":""},{"dropping-particle":"","family":"Harre","given":"Sarah","non-dropping-particle":"","parse-names":false,"suffix":""},{"dropping-particle":"","family":"Fey","given":"Tobias","non-dropping-particle":"","parse-names":false,"suffix":""},{"dropping-particle":"","family":"Belli","given":"Renan","non-dropping-particle":"","parse-names":false,"suffix":""},{"dropping-particle":"","family":"Lohbauer","given":"Ulrich","non-dropping-particle":"","parse-names":false,"suffix":""},{"dropping-particle":"","family":"Petschelt","given":"Anselm","non-dropping-particle":"","parse-names":false,"suffix":""},{"dropping-particle":"","family":"Taschner","given":"Michael","non-dropping-particle":"","parse-names":false,"suffix":""}],"container-title":"Dental Materials","id":"ITEM-1","issue":"3","issued":{"date-parts":[["2015","3","1"]]},"page":"293-301","publisher":"Elsevier Inc.","title":"Bulk-fill resin composites: Polymerization properties and extended light curing","type":"article-journal","volume":"31"},"uris":["http://www.mendeley.com/documents/?uuid=0dfbddcd-8cb0-3bf3-87dd-b0d3b8c1d2a0"]}],"mendeley":{"formattedCitation":"[61]","plainTextFormattedCitation":"[61]","previouslyFormattedCitation":"[61]"},"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[61]</w:t>
      </w:r>
      <w:r w:rsidRPr="008B3BCF">
        <w:rPr>
          <w:rFonts w:ascii="Times New Roman" w:hAnsi="Times New Roman" w:cs="Times New Roman"/>
        </w:rPr>
        <w:fldChar w:fldCharType="end"/>
      </w:r>
      <w:r w:rsidRPr="008B3BCF">
        <w:rPr>
          <w:rFonts w:ascii="Times New Roman" w:hAnsi="Times New Roman" w:cs="Times New Roman"/>
        </w:rPr>
        <w:t>:</w:t>
      </w:r>
    </w:p>
    <w:p w14:paraId="7FB331A2" w14:textId="77777777" w:rsidR="004D4393" w:rsidRPr="008B3BCF" w:rsidRDefault="004D4393" w:rsidP="008B3BCF">
      <w:pPr>
        <w:spacing w:line="360" w:lineRule="auto"/>
        <w:rPr>
          <w:rFonts w:ascii="Times New Roman" w:hAnsi="Times New Roman" w:cs="Times New Roman"/>
        </w:rPr>
      </w:pPr>
    </w:p>
    <w:p w14:paraId="5F7CCA58" w14:textId="503453BA" w:rsidR="008B3BCF" w:rsidRPr="004D4393" w:rsidRDefault="008B3BCF" w:rsidP="008B3BCF">
      <w:pPr>
        <w:spacing w:line="360" w:lineRule="auto"/>
        <w:rPr>
          <w:rFonts w:ascii="Times New Roman" w:hAnsi="Times New Roman" w:cs="Times New Roman"/>
        </w:rPr>
      </w:pPr>
      <m:oMathPara>
        <m:oMath>
          <m:r>
            <m:rPr>
              <m:sty m:val="p"/>
            </m:rPr>
            <w:rPr>
              <w:rFonts w:ascii="Cambria Math" w:hAnsi="Cambria Math" w:cs="Times New Roman"/>
            </w:rPr>
            <m:t>%</m:t>
          </m:r>
          <m:r>
            <w:rPr>
              <w:rFonts w:ascii="Cambria Math" w:hAnsi="Cambria Math" w:cs="Times New Roman"/>
            </w:rPr>
            <m:t>DC</m:t>
          </m:r>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1-</m:t>
              </m:r>
              <m:f>
                <m:fPr>
                  <m:ctrlPr>
                    <w:rPr>
                      <w:rFonts w:ascii="Cambria Math" w:hAnsi="Cambria Math" w:cs="Times New Roman"/>
                    </w:rPr>
                  </m:ctrlPr>
                </m:fPr>
                <m:num>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 xml:space="preserve">1637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num>
                        <m:den>
                          <m:r>
                            <m:rPr>
                              <m:sty m:val="p"/>
                            </m:rPr>
                            <w:rPr>
                              <w:rFonts w:ascii="Cambria Math" w:hAnsi="Cambria Math" w:cs="Times New Roman"/>
                            </w:rPr>
                            <m:t xml:space="preserve">1608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den>
                      </m:f>
                    </m:e>
                  </m:d>
                  <m:r>
                    <m:rPr>
                      <m:sty m:val="p"/>
                    </m:rPr>
                    <w:rPr>
                      <w:rFonts w:ascii="Cambria Math" w:hAnsi="Cambria Math" w:cs="Times New Roman"/>
                    </w:rPr>
                    <m:t xml:space="preserve">  </m:t>
                  </m:r>
                  <m:r>
                    <w:rPr>
                      <w:rFonts w:ascii="Cambria Math" w:hAnsi="Cambria Math" w:cs="Times New Roman"/>
                    </w:rPr>
                    <m:t>Peak</m:t>
                  </m:r>
                  <m:r>
                    <m:rPr>
                      <m:sty m:val="p"/>
                    </m:rPr>
                    <w:rPr>
                      <w:rFonts w:ascii="Cambria Math" w:hAnsi="Cambria Math" w:cs="Times New Roman"/>
                    </w:rPr>
                    <m:t xml:space="preserve"> </m:t>
                  </m:r>
                  <m:r>
                    <w:rPr>
                      <w:rFonts w:ascii="Cambria Math" w:hAnsi="Cambria Math" w:cs="Times New Roman"/>
                    </w:rPr>
                    <m:t>height</m:t>
                  </m:r>
                  <m:r>
                    <m:rPr>
                      <m:sty m:val="p"/>
                    </m:rPr>
                    <w:rPr>
                      <w:rFonts w:ascii="Cambria Math" w:hAnsi="Cambria Math" w:cs="Times New Roman"/>
                    </w:rPr>
                    <m:t xml:space="preserve"> </m:t>
                  </m:r>
                  <m:r>
                    <w:rPr>
                      <w:rFonts w:ascii="Cambria Math" w:hAnsi="Cambria Math" w:cs="Times New Roman"/>
                    </w:rPr>
                    <m:t>cured</m:t>
                  </m:r>
                </m:num>
                <m:den>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 xml:space="preserve">1637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num>
                        <m:den>
                          <m:r>
                            <m:rPr>
                              <m:sty m:val="p"/>
                            </m:rPr>
                            <w:rPr>
                              <w:rFonts w:ascii="Cambria Math" w:hAnsi="Cambria Math" w:cs="Times New Roman"/>
                            </w:rPr>
                            <m:t xml:space="preserve">1608 </m:t>
                          </m:r>
                          <m:r>
                            <w:rPr>
                              <w:rFonts w:ascii="Cambria Math" w:hAnsi="Cambria Math" w:cs="Times New Roman"/>
                            </w:rPr>
                            <m:t>c</m:t>
                          </m:r>
                          <m:sSup>
                            <m:sSupPr>
                              <m:ctrlPr>
                                <w:rPr>
                                  <w:rFonts w:ascii="Cambria Math" w:hAnsi="Cambria Math" w:cs="Times New Roman"/>
                                </w:rPr>
                              </m:ctrlPr>
                            </m:sSupPr>
                            <m:e>
                              <m:r>
                                <w:rPr>
                                  <w:rFonts w:ascii="Cambria Math" w:hAnsi="Cambria Math" w:cs="Times New Roman"/>
                                </w:rPr>
                                <m:t>m</m:t>
                              </m:r>
                            </m:e>
                            <m:sup>
                              <m:r>
                                <m:rPr>
                                  <m:sty m:val="p"/>
                                </m:rPr>
                                <w:rPr>
                                  <w:rFonts w:ascii="Cambria Math" w:hAnsi="Cambria Math" w:cs="Times New Roman"/>
                                </w:rPr>
                                <m:t>-1</m:t>
                              </m:r>
                            </m:sup>
                          </m:sSup>
                        </m:den>
                      </m:f>
                    </m:e>
                  </m:d>
                  <m:r>
                    <m:rPr>
                      <m:sty m:val="p"/>
                    </m:rPr>
                    <w:rPr>
                      <w:rFonts w:ascii="Cambria Math" w:hAnsi="Cambria Math" w:cs="Times New Roman"/>
                    </w:rPr>
                    <m:t xml:space="preserve">  </m:t>
                  </m:r>
                  <m:r>
                    <w:rPr>
                      <w:rFonts w:ascii="Cambria Math" w:hAnsi="Cambria Math" w:cs="Times New Roman"/>
                    </w:rPr>
                    <m:t>Peak</m:t>
                  </m:r>
                  <m:r>
                    <m:rPr>
                      <m:sty m:val="p"/>
                    </m:rPr>
                    <w:rPr>
                      <w:rFonts w:ascii="Cambria Math" w:hAnsi="Cambria Math" w:cs="Times New Roman"/>
                    </w:rPr>
                    <m:t xml:space="preserve"> </m:t>
                  </m:r>
                  <m:r>
                    <w:rPr>
                      <w:rFonts w:ascii="Cambria Math" w:hAnsi="Cambria Math" w:cs="Times New Roman"/>
                    </w:rPr>
                    <m:t>height</m:t>
                  </m:r>
                  <m:r>
                    <m:rPr>
                      <m:sty m:val="p"/>
                    </m:rPr>
                    <w:rPr>
                      <w:rFonts w:ascii="Cambria Math" w:hAnsi="Cambria Math" w:cs="Times New Roman"/>
                    </w:rPr>
                    <m:t xml:space="preserve"> </m:t>
                  </m:r>
                  <m:r>
                    <w:rPr>
                      <w:rFonts w:ascii="Cambria Math" w:hAnsi="Cambria Math" w:cs="Times New Roman"/>
                    </w:rPr>
                    <m:t>uncured</m:t>
                  </m:r>
                </m:den>
              </m:f>
            </m:e>
          </m:d>
          <m:r>
            <m:rPr>
              <m:sty m:val="p"/>
            </m:rPr>
            <w:rPr>
              <w:rFonts w:ascii="Cambria Math" w:hAnsi="Cambria Math" w:cs="Times New Roman"/>
            </w:rPr>
            <m:t xml:space="preserve"> </m:t>
          </m:r>
          <m:r>
            <w:rPr>
              <w:rFonts w:ascii="Cambria Math" w:hAnsi="Cambria Math" w:cs="Times New Roman"/>
            </w:rPr>
            <m:t>x</m:t>
          </m:r>
          <m:r>
            <m:rPr>
              <m:sty m:val="p"/>
            </m:rPr>
            <w:rPr>
              <w:rFonts w:ascii="Cambria Math" w:hAnsi="Cambria Math" w:cs="Times New Roman"/>
            </w:rPr>
            <m:t xml:space="preserve"> 100  (4)</m:t>
          </m:r>
        </m:oMath>
      </m:oMathPara>
    </w:p>
    <w:p w14:paraId="1AB234E9" w14:textId="77777777" w:rsidR="004D4393" w:rsidRPr="008B3BCF" w:rsidRDefault="004D4393" w:rsidP="008B3BCF">
      <w:pPr>
        <w:spacing w:line="360" w:lineRule="auto"/>
        <w:rPr>
          <w:rFonts w:ascii="Times New Roman" w:hAnsi="Times New Roman" w:cs="Times New Roman"/>
        </w:rPr>
      </w:pPr>
    </w:p>
    <w:p w14:paraId="516B8BF4"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Peak height was measured using Essential FTIR software, v3.50.203 (Operant LLC, Houston, USA), with DC averaged over a minimum of three specimens. </w:t>
      </w:r>
    </w:p>
    <w:p w14:paraId="047C4783" w14:textId="77777777" w:rsidR="004D4393" w:rsidRDefault="004D4393" w:rsidP="008B3BCF">
      <w:pPr>
        <w:spacing w:line="360" w:lineRule="auto"/>
        <w:rPr>
          <w:rFonts w:ascii="Times New Roman" w:hAnsi="Times New Roman" w:cs="Times New Roman"/>
          <w:b/>
          <w:bCs/>
        </w:rPr>
      </w:pPr>
    </w:p>
    <w:p w14:paraId="38EA1332" w14:textId="51E638AB" w:rsidR="0074122E" w:rsidRPr="00020242" w:rsidRDefault="008B3BCF" w:rsidP="00DB3040">
      <w:pPr>
        <w:pStyle w:val="Heading2"/>
      </w:pPr>
      <w:bookmarkStart w:id="66" w:name="_Toc101701737"/>
      <w:r w:rsidRPr="008B3BCF">
        <w:t>4.0 Results</w:t>
      </w:r>
      <w:bookmarkEnd w:id="66"/>
    </w:p>
    <w:p w14:paraId="5834787F" w14:textId="05850801" w:rsidR="008B3BCF" w:rsidRPr="008B3BCF" w:rsidRDefault="009D46F6" w:rsidP="009D06D1">
      <w:pPr>
        <w:pStyle w:val="Heading3"/>
      </w:pPr>
      <w:r>
        <w:t xml:space="preserve"> </w:t>
      </w:r>
      <w:bookmarkStart w:id="67" w:name="_Toc101701738"/>
      <w:r w:rsidR="008B3BCF" w:rsidRPr="008B3BCF">
        <w:t>4.1 Rheology</w:t>
      </w:r>
      <w:bookmarkEnd w:id="67"/>
      <w:r w:rsidR="008B3BCF" w:rsidRPr="008B3BCF">
        <w:t xml:space="preserve"> </w:t>
      </w:r>
    </w:p>
    <w:p w14:paraId="6FFF75A1" w14:textId="3665A2FA" w:rsidR="008B3BCF" w:rsidRDefault="00822036" w:rsidP="008B3BCF">
      <w:pPr>
        <w:spacing w:line="360" w:lineRule="auto"/>
        <w:rPr>
          <w:rFonts w:ascii="Times New Roman" w:hAnsi="Times New Roman" w:cs="Times New Roman"/>
        </w:rPr>
      </w:pPr>
      <w:r w:rsidRPr="00822036">
        <w:rPr>
          <w:rFonts w:ascii="Times New Roman" w:hAnsi="Times New Roman" w:cs="Times New Roman"/>
        </w:rPr>
        <w:fldChar w:fldCharType="begin"/>
      </w:r>
      <w:r w:rsidRPr="00822036">
        <w:rPr>
          <w:rFonts w:ascii="Times New Roman" w:hAnsi="Times New Roman" w:cs="Times New Roman"/>
        </w:rPr>
        <w:instrText xml:space="preserve"> REF _Ref100922211 \h </w:instrText>
      </w:r>
      <w:r>
        <w:rPr>
          <w:rFonts w:ascii="Times New Roman" w:hAnsi="Times New Roman" w:cs="Times New Roman"/>
        </w:rPr>
        <w:instrText xml:space="preserve"> \* MERGEFORMAT </w:instrText>
      </w:r>
      <w:r w:rsidRPr="00822036">
        <w:rPr>
          <w:rFonts w:ascii="Times New Roman" w:hAnsi="Times New Roman" w:cs="Times New Roman"/>
        </w:rPr>
      </w:r>
      <w:r w:rsidRPr="00822036">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15</w:t>
      </w:r>
      <w:r w:rsidRPr="00822036">
        <w:rPr>
          <w:rFonts w:ascii="Times New Roman" w:hAnsi="Times New Roman" w:cs="Times New Roman"/>
        </w:rPr>
        <w:fldChar w:fldCharType="end"/>
      </w:r>
      <w:r>
        <w:rPr>
          <w:rFonts w:ascii="Times New Roman" w:hAnsi="Times New Roman" w:cs="Times New Roman"/>
        </w:rPr>
        <w:t xml:space="preserve"> </w:t>
      </w:r>
      <w:r w:rsidR="008B3BCF" w:rsidRPr="008B3BCF">
        <w:rPr>
          <w:rFonts w:ascii="Times New Roman" w:hAnsi="Times New Roman" w:cs="Times New Roman"/>
        </w:rPr>
        <w:t xml:space="preserve">confirms a drop in apparent viscosity as PETIA content increases, from 2.38-2.05 Pa-s (2380-2050 cP) for pure Bis-EMA down to 1.74-1.56 Pa-s (1740-1560 cP) for a 50:50 blend of Bis-EMA and PETIA. These results are expected, given the reported viscosities of 1800 cP for Bis-EMA and 700-1500 cP for PETIA. The measured apparent viscosity for Bis-EMA was within the expected range but somewhat higher than the reported value obtained via Brookfield viscometry. </w:t>
      </w:r>
    </w:p>
    <w:p w14:paraId="3B1DE48F" w14:textId="04D60ED4" w:rsidR="00670343" w:rsidRDefault="00670343" w:rsidP="008B3BCF">
      <w:pPr>
        <w:spacing w:line="360" w:lineRule="auto"/>
        <w:rPr>
          <w:rFonts w:ascii="Times New Roman" w:hAnsi="Times New Roman" w:cs="Times New Roman"/>
        </w:rPr>
      </w:pPr>
    </w:p>
    <w:p w14:paraId="5C94F164" w14:textId="5559A9B7" w:rsidR="00670343" w:rsidRDefault="00670343" w:rsidP="00670343">
      <w:pPr>
        <w:spacing w:line="360" w:lineRule="auto"/>
        <w:rPr>
          <w:rFonts w:ascii="Times New Roman" w:hAnsi="Times New Roman" w:cs="Times New Roman"/>
        </w:rPr>
      </w:pPr>
      <w:r w:rsidRPr="008B3BCF">
        <w:rPr>
          <w:rFonts w:ascii="Times New Roman" w:hAnsi="Times New Roman" w:cs="Times New Roman"/>
        </w:rPr>
        <w:t xml:space="preserve">The shear-thinning behavior for each formulation was studied within the shear rate range of 50-250 1/s, which was selected as a suitable range for the conditions present in the nozzle of small-scale and large-scale DIW or extrusion-based AM methods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{"citationItems":[{"id":"ITEM-1","itemData":{"abstract":"This work investigates the use of two semi-crystalline high performance thermoplastics, polyphenylene sulfide (PPS) and poly (ether ketone ketone) (PEKK), as feedstock for fused filament fabrication process. Composites of PPS and PEKK are emerging as viable candidates for several components in aerospace and tooling industries and additive manufacturing of these materials can be extremely beneficial to lower manufacturing costs and lead times. However, these materials pose several challenges for extrusion and deposition due to some of their inherent properties as well as thermal and oxidative responses. To better understand the properties of such systems specific to 3D printing and determine the critical parameters that make them \" printable \" , various rheological and thermal properties have been studied for neat as well as short fiber reinforced PPS and PEKK systems. Attempts were also made to print these materials in a customized high temperature fused filament fabrication system.","author":[{"dropping-particle":"","family":"Kishore","given":"Vidya","non-dropping-particle":"","parse-names":false,"suffix":""},{"dropping-particle":"","family":"Chen","given":"Xun","non-dropping-particle":"","parse-names":false,"suffix":""},{"dropping-particle":"","family":"Ajinjeru","given":"Christine","non-dropping-particle":"","parse-names":false,"suffix":""},{"dropping-particle":"","family":"Hassen","given":"Ahmed Arabi","non-dropping-particle":"","parse-names":false,"suffix":""},{"dropping-particle":"","family":"Lindahl","given":"John","non-dropping-particle":"","parse-names":false,"suffix":""},{"dropping-particle":"","family":"Failla","given":"Jordan","non-dropping-particle":"","parse-names":false,"suffix":""},{"dropping-particle":"","family":"Kunc","given":"Vlastimil","non-dropping-particle":"","parse-names":false,"suffix":""},{"dropping-particle":"","family":"Duty","given":"Chad","non-dropping-particle":"","parse-names":false,"suffix":""}],"id":"ITEM-1","issued":{"date-parts":[["0"]]},"title":"Additive manufacturing of high performance semicrystalline thermoplastics and their composites","type":"article-journal"},"uris":["http://www.mendeley.com/documents/?uuid=d1771211-b474-35f5-bda7-0e2359804083"]},{"id":"ITEM-2","itemData":{"DOI":"10.1002/adma.201401804","ISSN":"09359648","author":[{"dropping-particle":"","family":"Compton","given":"Brett G.","non-dropping-particle":"","parse-names":false,"suffix":""},{"dropping-particle":"","family":"Lewis","given":"Jennifer A.","non-dropping-particle":"","parse-names":false,"suffix":""}],"container-title":"Advanced Materials","id":"ITEM-2","issue":"34","issued":{"date-parts":[["2014","9","1"]]},"page":"5930-5935","title":"3D-Printing of Lightweight Cellular Composites","type":"article-journal","volume":"26"},"uris":["http://www.mendeley.com/documents/?uuid=faf65912-9ca0-3d90-9ca5-85143f7ca4db"]}],"mendeley":{"formattedCitation":"[68], [83]","plainTextFormattedCitation":"[68], [83]","previouslyFormattedCitation":"[68], [83]"},"properties":{"noteIndex":0},"schema":"https://github.com/citation-style-language/schema/raw/master/csl-citation.json"}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[68], [83]</w:t>
      </w:r>
      <w:r w:rsidRPr="008B3BCF">
        <w:rPr>
          <w:rFonts w:ascii="Times New Roman" w:hAnsi="Times New Roman" w:cs="Times New Roman"/>
        </w:rPr>
        <w:fldChar w:fldCharType="end"/>
      </w:r>
      <w:r w:rsidRPr="008B3BCF">
        <w:rPr>
          <w:rFonts w:ascii="Times New Roman" w:hAnsi="Times New Roman" w:cs="Times New Roman"/>
        </w:rPr>
        <w:t xml:space="preserve"> (see </w:t>
      </w:r>
      <w:r w:rsidR="005E00F2">
        <w:rPr>
          <w:rFonts w:ascii="Times New Roman" w:hAnsi="Times New Roman" w:cs="Times New Roman"/>
        </w:rPr>
        <w:t>Appendices</w:t>
      </w:r>
      <w:r w:rsidRPr="008B3BCF">
        <w:rPr>
          <w:rFonts w:ascii="Times New Roman" w:hAnsi="Times New Roman" w:cs="Times New Roman"/>
        </w:rPr>
        <w:t xml:space="preserve">).   The presence of shear-thinning was determined by fitting the apparent viscosity vs. shear rate curves to the power law model (Equation </w:t>
      </w:r>
      <w:r w:rsidR="0082333A">
        <w:rPr>
          <w:rFonts w:ascii="Times New Roman" w:hAnsi="Times New Roman" w:cs="Times New Roman"/>
        </w:rPr>
        <w:t>5</w:t>
      </w:r>
      <w:r w:rsidRPr="008B3BCF">
        <w:rPr>
          <w:rFonts w:ascii="Times New Roman" w:hAnsi="Times New Roman" w:cs="Times New Roman"/>
        </w:rPr>
        <w:t xml:space="preserve">)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Manufacturing","id":"ITEM-1","issued":{"date-parts":[["2020","10","3"]]},"page":"101621","publisher":"Elsevier BV","title":"Linking thermoset ink rheology to the stability of 3D-printed structures","type":"article-journal"},"uris":["http://www.mendeley.com/documents/?uuid=87d00141-30b5-398b-8b12-56270c67b765"]},{"id":"ITEM-2","itemData":{"DOI":"10.1016/j.compscitech.2018.03.008","ISSN":"02663538","abstract":"Clay-based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Technology","id":"ITEM-2","issued":{"date-parts":[["2018","5","26"]]},"page":"9-20","publisher":"Elsevier Ltd","title":"High-strength epoxy nanocomposites for 3D printing","type":"article-journal","volume":"160"},"uris":["http://www.mendeley.com/documents/?uuid=293e55c1-0979-3d8c-b06b-4de96c7cd11a"]},{"id":"ITEM-3","itemData":{"DOI":"10.1016/j.compositesb.2021.109122","abstract":"Fiber-reinforced polymer composites have been extensively utilized in recent years as feedstock materials for material extrusion additive manufacturing (AM) processes to improve strength, stiffness, and functionality of printed parts over unfilled printed polymers. However, the widespread adoption of AM of fiber-reinforced polymer composites requires a deeper understanding of the process-structure-property relationships in printed components, and such relationships are not well understood yet. Fiber length is critically important to the mechanical performance of short fiber composites, but very few studies to-date have focused on how the fiber length distribution (FLD) evolves during processing of composite feedstocks and how this evolution affects printing behavior and mechanical properties in 3D-printed composites. In this work, FLD is measured for carbon fiber reinforced epoxy composites over a wide range of ink compositions and shear mixing times, and the distributions are fit with a Weibull-type distribution function. The effects of FLD on the tradeoff between ink processability, ink rheology, printing behavior and mechanical properties are investigated. Furthermore, the effects of printing parameters (nozzle size and print speed) on mechanical anisotropy and fiber orientation distribution (FOD) in printed composites are explored. Mechanical properties of printed composites are characterized via 3 pt-flexural testing, and microstructure is investigated using optical and scanning electron mi-croscopy (SEM), and x-ray computed tomography. Finally, the fitted Weibull parameters are fed into a composite model that incorporates FLD and FOD, and model predictions are found to be in excellent agreement with experimental observations.","author":[{"dropping-particle":"","family":"Hmeidat","given":"Nadim S","non-dropping-particle":"","parse-names":false,"suffix":""},{"dropping-particle":"","family":"Elkins","given":"Daniel S","non-dropping-particle":"","parse-names":false,"suffix":""},{"dropping-particle":"","family":"Peter","given":"Hutchison R","non-dropping-particle":"","parse-names":false,"suffix":""},{"dropping-particle":"","family":"Kumar","given":"Vipin","non-dropping-particle":"","parse-names":false,"suffix":""},{"dropping-particle":"","family":"Compton","given":"Brett G","non-dropping-particle":"","parse-names":false,"suffix":""}],"container-title":"Composites Part B","id":"ITEM-3","issued":{"date-parts":[["2021"]]},"page":"1359-8368","title":"Processing and mechanical characterization of short carbon fiber-reinforced epoxy composites for material extrusion additive manufacturing ","type":"article-journal","volume":"223"},"uris":["http://www.mendeley.com/documents/?uuid=528842b9-f857-3c12-aad7-0bf373dc33ae"]}],"mendeley":{"formattedCitation":"[82], [86], [87]","plainTextFormattedCitation":"[82], [86], [87]","previouslyFormattedCitation":"[82], [86], [87]"},"properties":{"noteIndex":0},"schema":"https://github.com/citation-style-language/schema/raw/master/csl-citation.json"}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[82], [86], [87]</w:t>
      </w:r>
      <w:r w:rsidRPr="008B3BCF">
        <w:rPr>
          <w:rFonts w:ascii="Times New Roman" w:hAnsi="Times New Roman" w:cs="Times New Roman"/>
        </w:rPr>
        <w:fldChar w:fldCharType="end"/>
      </w:r>
      <w:r w:rsidRPr="008B3BCF">
        <w:rPr>
          <w:rFonts w:ascii="Times New Roman" w:hAnsi="Times New Roman" w:cs="Times New Roman"/>
        </w:rPr>
        <w:t>:</w:t>
      </w:r>
    </w:p>
    <w:p w14:paraId="58FD6377" w14:textId="77777777" w:rsidR="00670343" w:rsidRPr="008B3BCF" w:rsidRDefault="00670343" w:rsidP="00670343">
      <w:pPr>
        <w:spacing w:line="360" w:lineRule="auto"/>
        <w:rPr>
          <w:rFonts w:ascii="Times New Roman" w:hAnsi="Times New Roman" w:cs="Times New Roman"/>
        </w:rPr>
      </w:pPr>
    </w:p>
    <w:p w14:paraId="305EE18D" w14:textId="77777777" w:rsidR="00822036" w:rsidRDefault="008B3BCF" w:rsidP="00822036">
      <w:pPr>
        <w:keepNext/>
        <w:spacing w:line="360" w:lineRule="auto"/>
      </w:pPr>
      <w:r w:rsidRPr="008B3BCF">
        <w:rPr>
          <w:rFonts w:ascii="Times New Roman" w:hAnsi="Times New Roman" w:cs="Times New Roman"/>
          <w:noProof/>
        </w:rPr>
        <w:lastRenderedPageBreak/>
        <w:drawing>
          <wp:inline distT="0" distB="0" distL="0" distR="0" wp14:anchorId="788C1F18" wp14:editId="326E4030">
            <wp:extent cx="4676775" cy="3905583"/>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6899" cy="3914038"/>
                    </a:xfrm>
                    <a:prstGeom prst="rect">
                      <a:avLst/>
                    </a:prstGeom>
                    <a:noFill/>
                    <a:ln>
                      <a:noFill/>
                    </a:ln>
                  </pic:spPr>
                </pic:pic>
              </a:graphicData>
            </a:graphic>
          </wp:inline>
        </w:drawing>
      </w:r>
    </w:p>
    <w:p w14:paraId="365084FE" w14:textId="7A4F5CBD" w:rsidR="008B3BCF" w:rsidRPr="008B3BCF" w:rsidRDefault="00822036" w:rsidP="00F20503">
      <w:pPr>
        <w:pStyle w:val="Caption"/>
      </w:pPr>
      <w:bookmarkStart w:id="68" w:name="_Ref100922211"/>
      <w:bookmarkStart w:id="69" w:name="_Toc101365677"/>
      <w:r>
        <w:t xml:space="preserve">Figure </w:t>
      </w:r>
      <w:r w:rsidR="002F73EC">
        <w:fldChar w:fldCharType="begin"/>
      </w:r>
      <w:r w:rsidR="002F73EC">
        <w:instrText xml:space="preserve"> SEQ Figure \* ARABIC </w:instrText>
      </w:r>
      <w:r w:rsidR="002F73EC">
        <w:fldChar w:fldCharType="separate"/>
      </w:r>
      <w:r w:rsidR="00BF5717">
        <w:rPr>
          <w:noProof/>
        </w:rPr>
        <w:t>15</w:t>
      </w:r>
      <w:r w:rsidR="002F73EC">
        <w:rPr>
          <w:noProof/>
        </w:rPr>
        <w:fldChar w:fldCharType="end"/>
      </w:r>
      <w:bookmarkEnd w:id="68"/>
      <w:r>
        <w:t xml:space="preserve"> </w:t>
      </w:r>
      <w:r w:rsidRPr="008B3BCF">
        <w:t>Apparent viscosity vs. shear rate for neat resin formulations of Bis-EMA with varying PETIA content. In the target shear rate region for large-scale AM, a slight drop in viscosity indicates minimal shear thinning behavior.</w:t>
      </w:r>
      <w:bookmarkEnd w:id="69"/>
    </w:p>
    <w:p w14:paraId="2D5543DC" w14:textId="56467FD0" w:rsidR="00A2593C" w:rsidRDefault="00A2593C" w:rsidP="008B3BCF">
      <w:pPr>
        <w:spacing w:line="360" w:lineRule="auto"/>
        <w:rPr>
          <w:rFonts w:ascii="Times New Roman" w:hAnsi="Times New Roman" w:cs="Times New Roman"/>
        </w:rPr>
      </w:pPr>
    </w:p>
    <w:p w14:paraId="69A23D9B" w14:textId="77777777" w:rsidR="00BA3189" w:rsidRDefault="00BA3189" w:rsidP="008B3BCF">
      <w:pPr>
        <w:spacing w:line="360" w:lineRule="auto"/>
        <w:rPr>
          <w:rFonts w:ascii="Times New Roman" w:hAnsi="Times New Roman" w:cs="Times New Roman"/>
        </w:rPr>
      </w:pPr>
    </w:p>
    <w:p w14:paraId="6FFB7898" w14:textId="305E566A" w:rsidR="00BA3189" w:rsidRDefault="00BA3189" w:rsidP="00F20503">
      <w:pPr>
        <w:pStyle w:val="Caption"/>
      </w:pPr>
      <w:bookmarkStart w:id="70" w:name="_Ref100925858"/>
      <w:bookmarkStart w:id="71" w:name="_Toc101382363"/>
      <w:r>
        <w:t xml:space="preserve">Table </w:t>
      </w:r>
      <w:r w:rsidR="002F73EC">
        <w:fldChar w:fldCharType="begin"/>
      </w:r>
      <w:r w:rsidR="002F73EC">
        <w:instrText xml:space="preserve"> SEQ Table \* ARABIC </w:instrText>
      </w:r>
      <w:r w:rsidR="002F73EC">
        <w:fldChar w:fldCharType="separate"/>
      </w:r>
      <w:r w:rsidR="00B30A2A">
        <w:rPr>
          <w:noProof/>
        </w:rPr>
        <w:t>2</w:t>
      </w:r>
      <w:r w:rsidR="002F73EC">
        <w:rPr>
          <w:noProof/>
        </w:rPr>
        <w:fldChar w:fldCharType="end"/>
      </w:r>
      <w:bookmarkEnd w:id="70"/>
      <w:r>
        <w:t xml:space="preserve"> </w:t>
      </w:r>
      <w:r w:rsidRPr="008B3BCF">
        <w:t>Effect of PETIA content on rheological properties of photopolymer</w:t>
      </w:r>
      <w:bookmarkEnd w:id="71"/>
    </w:p>
    <w:tbl>
      <w:tblPr>
        <w:tblW w:w="3546" w:type="dxa"/>
        <w:tblLook w:val="04A0" w:firstRow="1" w:lastRow="0" w:firstColumn="1" w:lastColumn="0" w:noHBand="0" w:noVBand="1"/>
      </w:tblPr>
      <w:tblGrid>
        <w:gridCol w:w="1440"/>
        <w:gridCol w:w="1350"/>
        <w:gridCol w:w="756"/>
      </w:tblGrid>
      <w:tr w:rsidR="00A2593C" w:rsidRPr="008B3BCF" w14:paraId="380AB89F" w14:textId="77777777" w:rsidTr="00BA3189">
        <w:trPr>
          <w:trHeight w:val="300"/>
        </w:trPr>
        <w:tc>
          <w:tcPr>
            <w:tcW w:w="1440" w:type="dxa"/>
            <w:tcBorders>
              <w:top w:val="nil"/>
              <w:left w:val="nil"/>
              <w:bottom w:val="single" w:sz="4" w:space="0" w:color="auto"/>
              <w:right w:val="nil"/>
            </w:tcBorders>
            <w:shd w:val="clear" w:color="auto" w:fill="FFFFFF"/>
            <w:noWrap/>
            <w:vAlign w:val="bottom"/>
            <w:hideMark/>
          </w:tcPr>
          <w:p w14:paraId="07750707"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wt% PETIA</w:t>
            </w:r>
          </w:p>
        </w:tc>
        <w:tc>
          <w:tcPr>
            <w:tcW w:w="1350" w:type="dxa"/>
            <w:tcBorders>
              <w:top w:val="nil"/>
              <w:left w:val="nil"/>
              <w:bottom w:val="single" w:sz="4" w:space="0" w:color="auto"/>
              <w:right w:val="nil"/>
            </w:tcBorders>
            <w:shd w:val="clear" w:color="auto" w:fill="FFFFFF"/>
            <w:noWrap/>
            <w:vAlign w:val="bottom"/>
            <w:hideMark/>
          </w:tcPr>
          <w:p w14:paraId="2F9B3ECF"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K (Pa-s)</w:t>
            </w:r>
          </w:p>
        </w:tc>
        <w:tc>
          <w:tcPr>
            <w:tcW w:w="756" w:type="dxa"/>
            <w:tcBorders>
              <w:top w:val="nil"/>
              <w:left w:val="nil"/>
              <w:bottom w:val="single" w:sz="4" w:space="0" w:color="auto"/>
              <w:right w:val="nil"/>
            </w:tcBorders>
            <w:shd w:val="clear" w:color="auto" w:fill="FFFFFF"/>
            <w:noWrap/>
            <w:vAlign w:val="bottom"/>
            <w:hideMark/>
          </w:tcPr>
          <w:p w14:paraId="71C54591"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n</w:t>
            </w:r>
          </w:p>
        </w:tc>
      </w:tr>
      <w:tr w:rsidR="00A2593C" w:rsidRPr="008B3BCF" w14:paraId="1CECB2F7" w14:textId="77777777" w:rsidTr="00BA3189">
        <w:trPr>
          <w:trHeight w:val="300"/>
        </w:trPr>
        <w:tc>
          <w:tcPr>
            <w:tcW w:w="1440" w:type="dxa"/>
            <w:shd w:val="clear" w:color="auto" w:fill="FFFFFF"/>
            <w:noWrap/>
            <w:vAlign w:val="bottom"/>
            <w:hideMark/>
          </w:tcPr>
          <w:p w14:paraId="0E5989CD"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w:t>
            </w:r>
          </w:p>
        </w:tc>
        <w:tc>
          <w:tcPr>
            <w:tcW w:w="1350" w:type="dxa"/>
            <w:shd w:val="clear" w:color="auto" w:fill="FFFFFF"/>
            <w:noWrap/>
            <w:vAlign w:val="bottom"/>
            <w:hideMark/>
          </w:tcPr>
          <w:p w14:paraId="1C082F61"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2.706</w:t>
            </w:r>
          </w:p>
        </w:tc>
        <w:tc>
          <w:tcPr>
            <w:tcW w:w="756" w:type="dxa"/>
            <w:shd w:val="clear" w:color="auto" w:fill="FFFFFF"/>
            <w:noWrap/>
            <w:vAlign w:val="bottom"/>
            <w:hideMark/>
          </w:tcPr>
          <w:p w14:paraId="010E4EAB"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0.953</w:t>
            </w:r>
          </w:p>
        </w:tc>
      </w:tr>
      <w:tr w:rsidR="00A2593C" w:rsidRPr="008B3BCF" w14:paraId="29278B04" w14:textId="77777777" w:rsidTr="00BA3189">
        <w:trPr>
          <w:trHeight w:val="300"/>
        </w:trPr>
        <w:tc>
          <w:tcPr>
            <w:tcW w:w="1440" w:type="dxa"/>
            <w:shd w:val="clear" w:color="auto" w:fill="FFFFFF"/>
            <w:noWrap/>
            <w:vAlign w:val="bottom"/>
            <w:hideMark/>
          </w:tcPr>
          <w:p w14:paraId="3F9A7417"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10</w:t>
            </w:r>
          </w:p>
        </w:tc>
        <w:tc>
          <w:tcPr>
            <w:tcW w:w="1350" w:type="dxa"/>
            <w:shd w:val="clear" w:color="auto" w:fill="FFFFFF"/>
            <w:noWrap/>
            <w:vAlign w:val="bottom"/>
            <w:hideMark/>
          </w:tcPr>
          <w:p w14:paraId="23646AD7"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2.825</w:t>
            </w:r>
          </w:p>
        </w:tc>
        <w:tc>
          <w:tcPr>
            <w:tcW w:w="756" w:type="dxa"/>
            <w:shd w:val="clear" w:color="auto" w:fill="FFFFFF"/>
            <w:noWrap/>
            <w:vAlign w:val="bottom"/>
            <w:hideMark/>
          </w:tcPr>
          <w:p w14:paraId="5E63790B"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0.944</w:t>
            </w:r>
          </w:p>
        </w:tc>
      </w:tr>
      <w:tr w:rsidR="00A2593C" w:rsidRPr="008B3BCF" w14:paraId="5948B080" w14:textId="77777777" w:rsidTr="00BA3189">
        <w:trPr>
          <w:trHeight w:val="300"/>
        </w:trPr>
        <w:tc>
          <w:tcPr>
            <w:tcW w:w="1440" w:type="dxa"/>
            <w:shd w:val="clear" w:color="auto" w:fill="FFFFFF"/>
            <w:noWrap/>
            <w:vAlign w:val="bottom"/>
            <w:hideMark/>
          </w:tcPr>
          <w:p w14:paraId="6D0CE122"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20</w:t>
            </w:r>
          </w:p>
        </w:tc>
        <w:tc>
          <w:tcPr>
            <w:tcW w:w="1350" w:type="dxa"/>
            <w:shd w:val="clear" w:color="auto" w:fill="FFFFFF"/>
            <w:noWrap/>
            <w:vAlign w:val="bottom"/>
            <w:hideMark/>
          </w:tcPr>
          <w:p w14:paraId="2225B689"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2.435</w:t>
            </w:r>
          </w:p>
        </w:tc>
        <w:tc>
          <w:tcPr>
            <w:tcW w:w="756" w:type="dxa"/>
            <w:shd w:val="clear" w:color="auto" w:fill="FFFFFF"/>
            <w:noWrap/>
            <w:vAlign w:val="bottom"/>
            <w:hideMark/>
          </w:tcPr>
          <w:p w14:paraId="1BD86FE0"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0.952</w:t>
            </w:r>
          </w:p>
        </w:tc>
      </w:tr>
      <w:tr w:rsidR="00A2593C" w:rsidRPr="008B3BCF" w14:paraId="16A5C614" w14:textId="77777777" w:rsidTr="00BA3189">
        <w:trPr>
          <w:trHeight w:val="300"/>
        </w:trPr>
        <w:tc>
          <w:tcPr>
            <w:tcW w:w="1440" w:type="dxa"/>
            <w:shd w:val="clear" w:color="auto" w:fill="FFFFFF"/>
            <w:noWrap/>
            <w:vAlign w:val="bottom"/>
            <w:hideMark/>
          </w:tcPr>
          <w:p w14:paraId="54A80D51"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30</w:t>
            </w:r>
          </w:p>
        </w:tc>
        <w:tc>
          <w:tcPr>
            <w:tcW w:w="1350" w:type="dxa"/>
            <w:shd w:val="clear" w:color="auto" w:fill="FFFFFF"/>
            <w:noWrap/>
            <w:vAlign w:val="bottom"/>
            <w:hideMark/>
          </w:tcPr>
          <w:p w14:paraId="4E13CF11"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2.237</w:t>
            </w:r>
          </w:p>
        </w:tc>
        <w:tc>
          <w:tcPr>
            <w:tcW w:w="756" w:type="dxa"/>
            <w:shd w:val="clear" w:color="auto" w:fill="FFFFFF"/>
            <w:noWrap/>
            <w:vAlign w:val="bottom"/>
            <w:hideMark/>
          </w:tcPr>
          <w:p w14:paraId="68FB9591"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0.954</w:t>
            </w:r>
          </w:p>
        </w:tc>
      </w:tr>
      <w:tr w:rsidR="00A2593C" w:rsidRPr="008B3BCF" w14:paraId="550547C0" w14:textId="77777777" w:rsidTr="00BA3189">
        <w:trPr>
          <w:trHeight w:val="300"/>
        </w:trPr>
        <w:tc>
          <w:tcPr>
            <w:tcW w:w="1440" w:type="dxa"/>
            <w:shd w:val="clear" w:color="auto" w:fill="FFFFFF"/>
            <w:noWrap/>
            <w:vAlign w:val="bottom"/>
            <w:hideMark/>
          </w:tcPr>
          <w:p w14:paraId="70AC9E0B"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40</w:t>
            </w:r>
          </w:p>
        </w:tc>
        <w:tc>
          <w:tcPr>
            <w:tcW w:w="1350" w:type="dxa"/>
            <w:shd w:val="clear" w:color="auto" w:fill="FFFFFF"/>
            <w:noWrap/>
            <w:vAlign w:val="bottom"/>
            <w:hideMark/>
          </w:tcPr>
          <w:p w14:paraId="2937EF5A"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2.094</w:t>
            </w:r>
          </w:p>
        </w:tc>
        <w:tc>
          <w:tcPr>
            <w:tcW w:w="756" w:type="dxa"/>
            <w:shd w:val="clear" w:color="auto" w:fill="FFFFFF"/>
            <w:noWrap/>
            <w:vAlign w:val="bottom"/>
            <w:hideMark/>
          </w:tcPr>
          <w:p w14:paraId="61E62423"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0.958</w:t>
            </w:r>
          </w:p>
        </w:tc>
      </w:tr>
      <w:tr w:rsidR="00A2593C" w:rsidRPr="008B3BCF" w14:paraId="2D4C3393" w14:textId="77777777" w:rsidTr="00BA3189">
        <w:trPr>
          <w:trHeight w:val="300"/>
        </w:trPr>
        <w:tc>
          <w:tcPr>
            <w:tcW w:w="1440" w:type="dxa"/>
            <w:shd w:val="clear" w:color="auto" w:fill="FFFFFF"/>
            <w:noWrap/>
            <w:vAlign w:val="bottom"/>
            <w:hideMark/>
          </w:tcPr>
          <w:p w14:paraId="469E8650"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50</w:t>
            </w:r>
          </w:p>
        </w:tc>
        <w:tc>
          <w:tcPr>
            <w:tcW w:w="1350" w:type="dxa"/>
            <w:shd w:val="clear" w:color="auto" w:fill="FFFFFF"/>
            <w:noWrap/>
            <w:vAlign w:val="bottom"/>
            <w:hideMark/>
          </w:tcPr>
          <w:p w14:paraId="4A9384AD"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1.956</w:t>
            </w:r>
          </w:p>
        </w:tc>
        <w:tc>
          <w:tcPr>
            <w:tcW w:w="756" w:type="dxa"/>
            <w:shd w:val="clear" w:color="auto" w:fill="FFFFFF"/>
            <w:noWrap/>
            <w:vAlign w:val="bottom"/>
            <w:hideMark/>
          </w:tcPr>
          <w:p w14:paraId="1855C3FB" w14:textId="77777777" w:rsidR="00A2593C" w:rsidRPr="008B3BCF" w:rsidRDefault="00A2593C" w:rsidP="00737D35">
            <w:pPr>
              <w:spacing w:line="360" w:lineRule="auto"/>
              <w:jc w:val="center"/>
              <w:rPr>
                <w:rFonts w:ascii="Times New Roman" w:hAnsi="Times New Roman" w:cs="Times New Roman"/>
              </w:rPr>
            </w:pPr>
            <w:r w:rsidRPr="008B3BCF">
              <w:rPr>
                <w:rFonts w:ascii="Times New Roman" w:hAnsi="Times New Roman" w:cs="Times New Roman"/>
              </w:rPr>
              <w:t>0.961</w:t>
            </w:r>
          </w:p>
        </w:tc>
      </w:tr>
    </w:tbl>
    <w:p w14:paraId="0EB62B4A" w14:textId="46262B75" w:rsidR="00A2593C" w:rsidRDefault="00A2593C" w:rsidP="008B3BCF">
      <w:pPr>
        <w:spacing w:line="360" w:lineRule="auto"/>
        <w:rPr>
          <w:rFonts w:ascii="Times New Roman" w:hAnsi="Times New Roman" w:cs="Times New Roman"/>
        </w:rPr>
      </w:pPr>
    </w:p>
    <w:p w14:paraId="415E0D2F" w14:textId="77777777" w:rsidR="00322976" w:rsidRDefault="00322976" w:rsidP="008B3BCF">
      <w:pPr>
        <w:spacing w:line="360" w:lineRule="auto"/>
        <w:rPr>
          <w:rFonts w:ascii="Times New Roman" w:hAnsi="Times New Roman" w:cs="Times New Roman"/>
        </w:rPr>
      </w:pPr>
    </w:p>
    <w:p w14:paraId="7E5BD6B5" w14:textId="1E754996" w:rsidR="00D3572E" w:rsidRPr="00670343" w:rsidRDefault="00D3572E" w:rsidP="00D3572E">
      <w:pPr>
        <w:spacing w:line="360" w:lineRule="auto"/>
        <w:rPr>
          <w:rFonts w:ascii="Times New Roman" w:eastAsiaTheme="minorEastAsia" w:hAnsi="Times New Roman" w:cs="Times New Roman"/>
        </w:rPr>
      </w:pPr>
      <m:oMathPara>
        <m:oMath>
          <m:r>
            <w:rPr>
              <w:rFonts w:ascii="Cambria Math" w:hAnsi="Cambria Math" w:cs="Times New Roman"/>
            </w:rPr>
            <w:lastRenderedPageBreak/>
            <m:t>η=K</m:t>
          </m:r>
          <m:sSup>
            <m:sSupPr>
              <m:ctrlPr>
                <w:rPr>
                  <w:rFonts w:ascii="Cambria Math" w:hAnsi="Cambria Math" w:cs="Times New Roman"/>
                  <w:i/>
                </w:rPr>
              </m:ctrlPr>
            </m:sSupPr>
            <m:e>
              <m:acc>
                <m:accPr>
                  <m:chr m:val="̇"/>
                  <m:ctrlPr>
                    <w:rPr>
                      <w:rFonts w:ascii="Cambria Math" w:hAnsi="Cambria Math" w:cs="Times New Roman"/>
                      <w:i/>
                    </w:rPr>
                  </m:ctrlPr>
                </m:accPr>
                <m:e>
                  <m:r>
                    <w:rPr>
                      <w:rFonts w:ascii="Cambria Math" w:hAnsi="Cambria Math" w:cs="Times New Roman"/>
                    </w:rPr>
                    <m:t>γ</m:t>
                  </m:r>
                </m:e>
              </m:acc>
            </m:e>
            <m:sup>
              <m:r>
                <w:rPr>
                  <w:rFonts w:ascii="Cambria Math" w:hAnsi="Cambria Math" w:cs="Times New Roman"/>
                </w:rPr>
                <m:t>n-1</m:t>
              </m:r>
            </m:sup>
          </m:sSup>
          <m:r>
            <w:rPr>
              <w:rFonts w:ascii="Cambria Math" w:hAnsi="Cambria Math" w:cs="Times New Roman"/>
            </w:rPr>
            <m:t xml:space="preserve">  (5)</m:t>
          </m:r>
        </m:oMath>
      </m:oMathPara>
    </w:p>
    <w:p w14:paraId="2448D3C5" w14:textId="77777777" w:rsidR="00D3572E" w:rsidRPr="008B3BCF" w:rsidRDefault="00D3572E" w:rsidP="00D3572E">
      <w:pPr>
        <w:spacing w:line="360" w:lineRule="auto"/>
        <w:rPr>
          <w:rFonts w:ascii="Times New Roman" w:eastAsiaTheme="minorEastAsia" w:hAnsi="Times New Roman" w:cs="Times New Roman"/>
        </w:rPr>
      </w:pPr>
    </w:p>
    <w:p w14:paraId="18F0E357" w14:textId="5DE2E147" w:rsidR="00D3572E" w:rsidRPr="00670343" w:rsidRDefault="00D3572E" w:rsidP="00D3572E">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t xml:space="preserve">where </w:t>
      </w:r>
      <m:oMath>
        <m:r>
          <w:rPr>
            <w:rFonts w:ascii="Cambria Math" w:hAnsi="Cambria Math" w:cs="Times New Roman"/>
          </w:rPr>
          <m:t>η</m:t>
        </m:r>
      </m:oMath>
      <w:r w:rsidRPr="008B3BCF">
        <w:rPr>
          <w:rFonts w:ascii="Times New Roman" w:eastAsiaTheme="minorEastAsia" w:hAnsi="Times New Roman" w:cs="Times New Roman"/>
        </w:rPr>
        <w:t xml:space="preserve"> is the apparent viscosity, </w:t>
      </w:r>
      <m:oMath>
        <m:r>
          <w:rPr>
            <w:rFonts w:ascii="Cambria Math" w:hAnsi="Cambria Math" w:cs="Times New Roman"/>
          </w:rPr>
          <m:t>K</m:t>
        </m:r>
      </m:oMath>
      <w:r w:rsidRPr="008B3BCF">
        <w:rPr>
          <w:rFonts w:ascii="Times New Roman" w:eastAsiaTheme="minorEastAsia" w:hAnsi="Times New Roman" w:cs="Times New Roman"/>
        </w:rPr>
        <w:t xml:space="preserve"> is the consistency index, </w:t>
      </w:r>
      <m:oMath>
        <m:acc>
          <m:accPr>
            <m:chr m:val="̇"/>
            <m:ctrlPr>
              <w:rPr>
                <w:rFonts w:ascii="Cambria Math" w:hAnsi="Cambria Math" w:cs="Times New Roman"/>
                <w:i/>
              </w:rPr>
            </m:ctrlPr>
          </m:accPr>
          <m:e>
            <m:r>
              <w:rPr>
                <w:rFonts w:ascii="Cambria Math" w:hAnsi="Cambria Math" w:cs="Times New Roman"/>
              </w:rPr>
              <m:t>γ</m:t>
            </m:r>
          </m:e>
        </m:acc>
      </m:oMath>
      <w:r w:rsidRPr="008B3BCF">
        <w:rPr>
          <w:rFonts w:ascii="Times New Roman" w:eastAsiaTheme="minorEastAsia" w:hAnsi="Times New Roman" w:cs="Times New Roman"/>
        </w:rPr>
        <w:t xml:space="preserve"> is shear rate, and </w:t>
      </w:r>
      <m:oMath>
        <m:r>
          <w:rPr>
            <w:rFonts w:ascii="Cambria Math" w:hAnsi="Cambria Math" w:cs="Times New Roman"/>
          </w:rPr>
          <m:t>n</m:t>
        </m:r>
      </m:oMath>
      <w:r w:rsidRPr="008B3BCF">
        <w:rPr>
          <w:rFonts w:ascii="Times New Roman" w:eastAsiaTheme="minorEastAsia" w:hAnsi="Times New Roman" w:cs="Times New Roman"/>
        </w:rPr>
        <w:t xml:space="preserve"> is the flow index. The </w:t>
      </w:r>
      <m:oMath>
        <m:r>
          <w:rPr>
            <w:rFonts w:ascii="Cambria Math" w:hAnsi="Cambria Math" w:cs="Times New Roman"/>
          </w:rPr>
          <m:t>n</m:t>
        </m:r>
      </m:oMath>
      <w:r w:rsidRPr="008B3BCF">
        <w:rPr>
          <w:rFonts w:ascii="Times New Roman" w:eastAsiaTheme="minorEastAsia" w:hAnsi="Times New Roman" w:cs="Times New Roman"/>
        </w:rPr>
        <w:t xml:space="preserve"> and </w:t>
      </w:r>
      <m:oMath>
        <m:r>
          <w:rPr>
            <w:rFonts w:ascii="Cambria Math" w:hAnsi="Cambria Math" w:cs="Times New Roman"/>
          </w:rPr>
          <m:t>K</m:t>
        </m:r>
      </m:oMath>
      <w:r w:rsidRPr="008B3BCF">
        <w:rPr>
          <w:rFonts w:ascii="Times New Roman" w:eastAsiaTheme="minorEastAsia" w:hAnsi="Times New Roman" w:cs="Times New Roman"/>
        </w:rPr>
        <w:t xml:space="preserve"> values were determined using linear regression, with calculated values for each formula given in</w:t>
      </w:r>
      <w:r w:rsidR="00BA3189">
        <w:rPr>
          <w:rFonts w:ascii="Times New Roman" w:eastAsiaTheme="minorEastAsia" w:hAnsi="Times New Roman" w:cs="Times New Roman"/>
        </w:rPr>
        <w:t xml:space="preserve"> </w:t>
      </w:r>
      <w:r w:rsidR="00BA3189" w:rsidRPr="00BA3189">
        <w:rPr>
          <w:rFonts w:ascii="Times New Roman" w:eastAsiaTheme="minorEastAsia" w:hAnsi="Times New Roman" w:cs="Times New Roman"/>
        </w:rPr>
        <w:fldChar w:fldCharType="begin"/>
      </w:r>
      <w:r w:rsidR="00BA3189" w:rsidRPr="00BA3189">
        <w:rPr>
          <w:rFonts w:ascii="Times New Roman" w:eastAsiaTheme="minorEastAsia" w:hAnsi="Times New Roman" w:cs="Times New Roman"/>
        </w:rPr>
        <w:instrText xml:space="preserve"> REF _Ref100925858 \h </w:instrText>
      </w:r>
      <w:r w:rsidR="00BA3189">
        <w:rPr>
          <w:rFonts w:ascii="Times New Roman" w:eastAsiaTheme="minorEastAsia" w:hAnsi="Times New Roman" w:cs="Times New Roman"/>
        </w:rPr>
        <w:instrText xml:space="preserve"> \* MERGEFORMAT </w:instrText>
      </w:r>
      <w:r w:rsidR="00BA3189" w:rsidRPr="00BA3189">
        <w:rPr>
          <w:rFonts w:ascii="Times New Roman" w:eastAsiaTheme="minorEastAsia" w:hAnsi="Times New Roman" w:cs="Times New Roman"/>
        </w:rPr>
      </w:r>
      <w:r w:rsidR="00BA3189" w:rsidRPr="00BA3189">
        <w:rPr>
          <w:rFonts w:ascii="Times New Roman" w:eastAsiaTheme="minorEastAsia" w:hAnsi="Times New Roman" w:cs="Times New Roman"/>
        </w:rPr>
        <w:fldChar w:fldCharType="separate"/>
      </w:r>
      <w:r w:rsidR="00BA3189" w:rsidRPr="00BA3189">
        <w:rPr>
          <w:rFonts w:ascii="Times New Roman" w:hAnsi="Times New Roman" w:cs="Times New Roman"/>
        </w:rPr>
        <w:t xml:space="preserve">Table </w:t>
      </w:r>
      <w:r w:rsidR="00BA3189" w:rsidRPr="00BA3189">
        <w:rPr>
          <w:rFonts w:ascii="Times New Roman" w:hAnsi="Times New Roman" w:cs="Times New Roman"/>
          <w:noProof/>
        </w:rPr>
        <w:t>2</w:t>
      </w:r>
      <w:r w:rsidR="00BA3189" w:rsidRPr="00BA3189">
        <w:rPr>
          <w:rFonts w:ascii="Times New Roman" w:eastAsiaTheme="minorEastAsia" w:hAnsi="Times New Roman" w:cs="Times New Roman"/>
        </w:rPr>
        <w:fldChar w:fldCharType="end"/>
      </w:r>
      <w:r w:rsidRPr="008B3BCF">
        <w:rPr>
          <w:rFonts w:ascii="Times New Roman" w:eastAsiaTheme="minorEastAsia" w:hAnsi="Times New Roman" w:cs="Times New Roman"/>
        </w:rPr>
        <w:t>.</w:t>
      </w:r>
    </w:p>
    <w:p w14:paraId="12771B37" w14:textId="77777777" w:rsidR="00D3572E" w:rsidRDefault="00D3572E" w:rsidP="008B3BCF">
      <w:pPr>
        <w:spacing w:line="360" w:lineRule="auto"/>
        <w:rPr>
          <w:rFonts w:ascii="Times New Roman" w:hAnsi="Times New Roman" w:cs="Times New Roman"/>
        </w:rPr>
      </w:pPr>
    </w:p>
    <w:p w14:paraId="1CAA005D" w14:textId="0818E55F" w:rsidR="00A2593C" w:rsidRPr="00020242" w:rsidRDefault="008B3BCF" w:rsidP="008B3BCF">
      <w:pPr>
        <w:spacing w:line="360" w:lineRule="auto"/>
        <w:rPr>
          <w:rFonts w:ascii="Times New Roman" w:eastAsiaTheme="minorEastAsia" w:hAnsi="Times New Roman" w:cs="Times New Roman"/>
        </w:rPr>
      </w:pPr>
      <w:r w:rsidRPr="008B3BCF">
        <w:rPr>
          <w:rFonts w:ascii="Times New Roman" w:hAnsi="Times New Roman" w:cs="Times New Roman"/>
        </w:rPr>
        <w:t xml:space="preserve">The calculated </w:t>
      </w:r>
      <m:oMath>
        <m:r>
          <w:rPr>
            <w:rFonts w:ascii="Cambria Math" w:hAnsi="Cambria Math" w:cs="Times New Roman"/>
          </w:rPr>
          <m:t>n</m:t>
        </m:r>
      </m:oMath>
      <w:r w:rsidRPr="008B3BCF">
        <w:rPr>
          <w:rFonts w:ascii="Times New Roman" w:eastAsiaTheme="minorEastAsia" w:hAnsi="Times New Roman" w:cs="Times New Roman"/>
        </w:rPr>
        <w:t xml:space="preserve"> values range from 0.944 to 0.961, with Newtonian behavior indicated by a value of 1. The overall behavior of the formulations can be considered as very near Newtonian, with minimal shear thinning in at the low shear rates expected in large-scale material deposition AM. There is a direct relationship between</w:t>
      </w:r>
      <w:r w:rsidRPr="008B3BCF">
        <w:rPr>
          <w:rFonts w:ascii="Times New Roman" w:hAnsi="Times New Roman" w:cs="Times New Roman"/>
          <w:i/>
        </w:rPr>
        <w:t xml:space="preserve"> </w:t>
      </w:r>
      <m:oMath>
        <m:r>
          <w:rPr>
            <w:rFonts w:ascii="Cambria Math" w:hAnsi="Cambria Math" w:cs="Times New Roman"/>
          </w:rPr>
          <m:t>n</m:t>
        </m:r>
      </m:oMath>
      <w:r w:rsidRPr="008B3BCF">
        <w:rPr>
          <w:rFonts w:ascii="Times New Roman" w:eastAsiaTheme="minorEastAsia" w:hAnsi="Times New Roman" w:cs="Times New Roman"/>
        </w:rPr>
        <w:t xml:space="preserve"> value and PETIA content, indicating a trend towards more Newtonian behavior as PETIA content increases. The exception to this trend is the formulation with 10 wt% PETIA, which has both the lowest</w:t>
      </w:r>
      <w:r w:rsidRPr="008B3BCF">
        <w:rPr>
          <w:rFonts w:ascii="Times New Roman" w:hAnsi="Times New Roman" w:cs="Times New Roman"/>
        </w:rPr>
        <w:t xml:space="preserve"> </w:t>
      </w:r>
      <m:oMath>
        <m:r>
          <w:rPr>
            <w:rFonts w:ascii="Cambria Math" w:hAnsi="Cambria Math" w:cs="Times New Roman"/>
          </w:rPr>
          <m:t>n</m:t>
        </m:r>
      </m:oMath>
      <w:r w:rsidRPr="008B3BCF">
        <w:rPr>
          <w:rFonts w:ascii="Times New Roman" w:hAnsi="Times New Roman" w:cs="Times New Roman"/>
        </w:rPr>
        <w:t xml:space="preserve"> value at 0.944 and an apparent viscosity that is slightly higher than the pure Bis-EMA formula. </w:t>
      </w:r>
    </w:p>
    <w:p w14:paraId="13AB5AF5" w14:textId="4B627EDF" w:rsidR="008B3BCF" w:rsidRPr="008B3BCF" w:rsidRDefault="008B3BCF" w:rsidP="009D06D1">
      <w:pPr>
        <w:pStyle w:val="Heading3"/>
      </w:pPr>
      <w:bookmarkStart w:id="72" w:name="_Toc101701739"/>
      <w:r w:rsidRPr="008B3BCF">
        <w:t>4.3 Cure Response with variation in PETIA content</w:t>
      </w:r>
      <w:bookmarkEnd w:id="72"/>
    </w:p>
    <w:p w14:paraId="0A1B26B5" w14:textId="77777777" w:rsidR="00020242" w:rsidRDefault="00020242" w:rsidP="008B3BCF">
      <w:pPr>
        <w:spacing w:line="360" w:lineRule="auto"/>
        <w:rPr>
          <w:rFonts w:ascii="Times New Roman" w:hAnsi="Times New Roman" w:cs="Times New Roman"/>
          <w:i/>
          <w:iCs/>
        </w:rPr>
      </w:pPr>
    </w:p>
    <w:p w14:paraId="2FCD1B35" w14:textId="3E241A8B" w:rsidR="008B3BCF" w:rsidRPr="008B3BCF" w:rsidRDefault="008B3BCF" w:rsidP="008B3BCF">
      <w:pPr>
        <w:spacing w:line="360" w:lineRule="auto"/>
        <w:rPr>
          <w:rFonts w:ascii="Times New Roman" w:hAnsi="Times New Roman" w:cs="Times New Roman"/>
          <w:i/>
          <w:iCs/>
        </w:rPr>
      </w:pPr>
      <w:r w:rsidRPr="008B3BCF">
        <w:rPr>
          <w:rFonts w:ascii="Times New Roman" w:hAnsi="Times New Roman" w:cs="Times New Roman"/>
          <w:i/>
          <w:iCs/>
        </w:rPr>
        <w:t>Vickers Hardness</w:t>
      </w:r>
    </w:p>
    <w:p w14:paraId="6A998E8D" w14:textId="01386A37" w:rsidR="008B3BCF" w:rsidRDefault="008B3BCF" w:rsidP="00BA3189">
      <w:pPr>
        <w:widowControl w:val="0"/>
        <w:spacing w:line="360" w:lineRule="auto"/>
        <w:rPr>
          <w:rFonts w:ascii="Times New Roman" w:hAnsi="Times New Roman" w:cs="Times New Roman"/>
        </w:rPr>
      </w:pPr>
      <w:r w:rsidRPr="008B3BCF">
        <w:rPr>
          <w:rFonts w:ascii="Times New Roman" w:hAnsi="Times New Roman" w:cs="Times New Roman"/>
        </w:rPr>
        <w:t>The Vickers hardness number (VHN) on the top surface of these specimens showed a consistent upward trend from 22.6 to 25.0 as PETIA content increased from 0 wt% to 50 wt% (see</w:t>
      </w:r>
      <w:r w:rsidR="00903939">
        <w:rPr>
          <w:rFonts w:ascii="Times New Roman" w:hAnsi="Times New Roman" w:cs="Times New Roman"/>
        </w:rPr>
        <w:t xml:space="preserve"> </w:t>
      </w:r>
      <w:r w:rsidR="00903939" w:rsidRPr="00903939">
        <w:rPr>
          <w:rFonts w:ascii="Times New Roman" w:hAnsi="Times New Roman" w:cs="Times New Roman"/>
        </w:rPr>
        <w:fldChar w:fldCharType="begin"/>
      </w:r>
      <w:r w:rsidR="00903939" w:rsidRPr="00903939">
        <w:rPr>
          <w:rFonts w:ascii="Times New Roman" w:hAnsi="Times New Roman" w:cs="Times New Roman"/>
        </w:rPr>
        <w:instrText xml:space="preserve"> REF _Ref100926466 \h </w:instrText>
      </w:r>
      <w:r w:rsidR="00903939">
        <w:rPr>
          <w:rFonts w:ascii="Times New Roman" w:hAnsi="Times New Roman" w:cs="Times New Roman"/>
        </w:rPr>
        <w:instrText xml:space="preserve"> \* MERGEFORMAT </w:instrText>
      </w:r>
      <w:r w:rsidR="00903939" w:rsidRPr="00903939">
        <w:rPr>
          <w:rFonts w:ascii="Times New Roman" w:hAnsi="Times New Roman" w:cs="Times New Roman"/>
        </w:rPr>
      </w:r>
      <w:r w:rsidR="00903939" w:rsidRPr="00903939">
        <w:rPr>
          <w:rFonts w:ascii="Times New Roman"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16</w:t>
      </w:r>
      <w:r w:rsidR="00903939" w:rsidRPr="00903939">
        <w:rPr>
          <w:rFonts w:ascii="Times New Roman" w:hAnsi="Times New Roman" w:cs="Times New Roman"/>
        </w:rPr>
        <w:fldChar w:fldCharType="end"/>
      </w:r>
      <w:r w:rsidRPr="008B3BCF">
        <w:rPr>
          <w:rFonts w:ascii="Times New Roman" w:hAnsi="Times New Roman" w:cs="Times New Roman"/>
        </w:rPr>
        <w:t xml:space="preserve">). The bottom surface hardness showed a more pronounced increase from 14.7 to 22.7 over the same range of PETIA content. Formulas with a PETIA content of 30 wt% or higher achieved full cure, with an average bottom surface hardness at </w:t>
      </w:r>
      <m:oMath>
        <m:r>
          <w:rPr>
            <w:rFonts w:ascii="Cambria Math" w:hAnsi="Cambria Math" w:cs="Times New Roman"/>
          </w:rPr>
          <m:t>≥</m:t>
        </m:r>
      </m:oMath>
      <w:r w:rsidRPr="008B3BCF">
        <w:rPr>
          <w:rFonts w:ascii="Times New Roman" w:hAnsi="Times New Roman" w:cs="Times New Roman"/>
        </w:rPr>
        <w:t>80% of the top surface hardness value. The formula with 20 wt% PETIA content fell just below the full cure standard with 79% of maximum VHN on the bottom surface. A more conservative estimation of full through cure was to apply one-way analysis of variance (ANOVA) of each formulation to determine when the top and bottom hardness were statistically similar. By this measure, only at 50 wt% PETIA did any of the tested specimens achieve P-values above 0.005, indicating that the difference between the top and bottom hardness was not statistically significant.</w:t>
      </w:r>
    </w:p>
    <w:p w14:paraId="395DC74C" w14:textId="77777777" w:rsidR="00BA3189" w:rsidRDefault="00BA3189" w:rsidP="008B3BCF">
      <w:pPr>
        <w:spacing w:line="360" w:lineRule="auto"/>
        <w:rPr>
          <w:rFonts w:ascii="Times New Roman" w:hAnsi="Times New Roman" w:cs="Times New Roman"/>
        </w:rPr>
      </w:pPr>
    </w:p>
    <w:p w14:paraId="6EAFB90D" w14:textId="77777777" w:rsidR="00A2593C" w:rsidRPr="008B3BCF" w:rsidRDefault="00A2593C" w:rsidP="00A2593C">
      <w:pPr>
        <w:spacing w:line="360" w:lineRule="auto"/>
        <w:rPr>
          <w:rFonts w:ascii="Times New Roman" w:hAnsi="Times New Roman" w:cs="Times New Roman"/>
        </w:rPr>
      </w:pPr>
      <w:r w:rsidRPr="008B3BCF">
        <w:rPr>
          <w:rFonts w:ascii="Times New Roman" w:hAnsi="Times New Roman" w:cs="Times New Roman"/>
        </w:rPr>
        <w:t>Tukey’s Honestly Significant Difference Procedure (Tukey HSD) was applied to the data sets for the bottom hardness measurements using MATLAB software (MathWorks, Natick). Multiple comparison of means for one-way ANOVA determined that all formulations except the 20 wt% and 30 wt% PETI</w:t>
      </w:r>
      <w:r w:rsidRPr="008B3BCF">
        <w:rPr>
          <w:rFonts w:ascii="Times New Roman" w:hAnsi="Times New Roman" w:cs="Times New Roman"/>
          <w:caps/>
        </w:rPr>
        <w:t>A</w:t>
      </w:r>
      <w:r w:rsidRPr="008B3BCF">
        <w:rPr>
          <w:rFonts w:ascii="Times New Roman" w:hAnsi="Times New Roman" w:cs="Times New Roman"/>
        </w:rPr>
        <w:t xml:space="preserve"> pair differed significantly from each other. This confirms that all formulations with PETIA exhibited improved hardness on the bottom surface over the Bis-EMA baseline formulation, and that increased PETIA content generally improved the through thickness cure response. </w:t>
      </w:r>
    </w:p>
    <w:p w14:paraId="5C089665" w14:textId="23C5AB7E" w:rsidR="00A2593C" w:rsidRDefault="00A2593C" w:rsidP="008B3BCF">
      <w:pPr>
        <w:spacing w:line="360" w:lineRule="auto"/>
        <w:rPr>
          <w:rFonts w:ascii="Times New Roman" w:hAnsi="Times New Roman" w:cs="Times New Roman"/>
        </w:rPr>
      </w:pPr>
    </w:p>
    <w:p w14:paraId="41677E2E" w14:textId="77777777" w:rsidR="00A2593C" w:rsidRPr="008B3BCF" w:rsidRDefault="00A2593C" w:rsidP="00A2593C">
      <w:pPr>
        <w:spacing w:line="360" w:lineRule="auto"/>
        <w:rPr>
          <w:rFonts w:ascii="Times New Roman" w:hAnsi="Times New Roman" w:cs="Times New Roman"/>
          <w:i/>
          <w:iCs/>
        </w:rPr>
      </w:pPr>
      <w:r w:rsidRPr="008B3BCF">
        <w:rPr>
          <w:rFonts w:ascii="Times New Roman" w:hAnsi="Times New Roman" w:cs="Times New Roman"/>
          <w:i/>
          <w:iCs/>
        </w:rPr>
        <w:t>FTIR-ATR Degree of Conversion</w:t>
      </w:r>
    </w:p>
    <w:p w14:paraId="3A607AA9" w14:textId="3B6E8F4D" w:rsidR="00020242" w:rsidRDefault="00A2593C" w:rsidP="00020242">
      <w:pPr>
        <w:spacing w:line="360" w:lineRule="auto"/>
        <w:rPr>
          <w:rFonts w:ascii="Times New Roman" w:hAnsi="Times New Roman" w:cs="Times New Roman"/>
        </w:rPr>
      </w:pPr>
      <w:r w:rsidRPr="008B3BCF">
        <w:rPr>
          <w:rFonts w:ascii="Times New Roman" w:hAnsi="Times New Roman" w:cs="Times New Roman"/>
        </w:rPr>
        <w:t xml:space="preserve">As shown in </w:t>
      </w:r>
      <w:r w:rsidR="00903939" w:rsidRPr="00903939">
        <w:rPr>
          <w:rFonts w:ascii="Times New Roman" w:hAnsi="Times New Roman" w:cs="Times New Roman"/>
        </w:rPr>
        <w:fldChar w:fldCharType="begin"/>
      </w:r>
      <w:r w:rsidR="00903939" w:rsidRPr="00903939">
        <w:rPr>
          <w:rFonts w:ascii="Times New Roman" w:hAnsi="Times New Roman" w:cs="Times New Roman"/>
        </w:rPr>
        <w:instrText xml:space="preserve"> REF _Ref100926601 \h </w:instrText>
      </w:r>
      <w:r w:rsidR="00903939">
        <w:rPr>
          <w:rFonts w:ascii="Times New Roman" w:hAnsi="Times New Roman" w:cs="Times New Roman"/>
        </w:rPr>
        <w:instrText xml:space="preserve"> \* MERGEFORMAT </w:instrText>
      </w:r>
      <w:r w:rsidR="00903939" w:rsidRPr="00903939">
        <w:rPr>
          <w:rFonts w:ascii="Times New Roman" w:hAnsi="Times New Roman" w:cs="Times New Roman"/>
        </w:rPr>
      </w:r>
      <w:r w:rsidR="00903939" w:rsidRPr="00903939">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17</w:t>
      </w:r>
      <w:r w:rsidR="00903939" w:rsidRPr="00903939">
        <w:rPr>
          <w:rFonts w:ascii="Times New Roman" w:hAnsi="Times New Roman" w:cs="Times New Roman"/>
        </w:rPr>
        <w:fldChar w:fldCharType="end"/>
      </w:r>
      <w:r w:rsidRPr="008B3BCF">
        <w:rPr>
          <w:rFonts w:ascii="Times New Roman" w:hAnsi="Times New Roman" w:cs="Times New Roman"/>
        </w:rPr>
        <w:t>, the range in DC was from 61.5–79.0 % and the 10 wt% PETIA formulation had both the highest standard deviation and lowest average DC.  As with hardness testing, the bottom surface DC was consistently lower than the top surface DC.</w:t>
      </w:r>
      <w:r w:rsidR="00020242">
        <w:rPr>
          <w:rFonts w:ascii="Times New Roman" w:hAnsi="Times New Roman" w:cs="Times New Roman"/>
        </w:rPr>
        <w:t xml:space="preserve"> </w:t>
      </w:r>
    </w:p>
    <w:p w14:paraId="2CB39BCA" w14:textId="77777777" w:rsidR="00A2593C" w:rsidRPr="008B3BCF" w:rsidRDefault="00A2593C" w:rsidP="009D06D1">
      <w:pPr>
        <w:pStyle w:val="Heading3"/>
        <w:numPr>
          <w:ilvl w:val="0"/>
          <w:numId w:val="0"/>
        </w:numPr>
      </w:pPr>
      <w:bookmarkStart w:id="73" w:name="_Toc101701740"/>
      <w:r w:rsidRPr="008B3BCF">
        <w:t>4.4 Tensile Modulus</w:t>
      </w:r>
      <w:bookmarkEnd w:id="73"/>
    </w:p>
    <w:p w14:paraId="016C56C6" w14:textId="0228F23B" w:rsidR="00A2593C" w:rsidRPr="008B3BCF" w:rsidRDefault="00A2593C" w:rsidP="00A2593C">
      <w:pPr>
        <w:spacing w:line="360" w:lineRule="auto"/>
        <w:rPr>
          <w:rFonts w:ascii="Times New Roman" w:hAnsi="Times New Roman" w:cs="Times New Roman"/>
        </w:rPr>
      </w:pPr>
      <w:r w:rsidRPr="008B3BCF">
        <w:rPr>
          <w:rFonts w:ascii="Times New Roman" w:hAnsi="Times New Roman" w:cs="Times New Roman"/>
        </w:rPr>
        <w:t xml:space="preserve">For each of the formulations tested, the tensile stress-strain curve exhibited an initial non-linear region followed by a more linear behavior and a final brittle fracture without a distinct yield point (see </w:t>
      </w:r>
      <w:r w:rsidR="00903939" w:rsidRPr="00903939">
        <w:rPr>
          <w:rFonts w:ascii="Times New Roman" w:hAnsi="Times New Roman" w:cs="Times New Roman"/>
        </w:rPr>
        <w:fldChar w:fldCharType="begin"/>
      </w:r>
      <w:r w:rsidR="00903939" w:rsidRPr="00903939">
        <w:rPr>
          <w:rFonts w:ascii="Times New Roman" w:hAnsi="Times New Roman" w:cs="Times New Roman"/>
        </w:rPr>
        <w:instrText xml:space="preserve"> REF _Ref100926570 \h </w:instrText>
      </w:r>
      <w:r w:rsidR="00903939">
        <w:rPr>
          <w:rFonts w:ascii="Times New Roman" w:hAnsi="Times New Roman" w:cs="Times New Roman"/>
        </w:rPr>
        <w:instrText xml:space="preserve"> \* MERGEFORMAT </w:instrText>
      </w:r>
      <w:r w:rsidR="00903939" w:rsidRPr="00903939">
        <w:rPr>
          <w:rFonts w:ascii="Times New Roman" w:hAnsi="Times New Roman" w:cs="Times New Roman"/>
        </w:rPr>
      </w:r>
      <w:r w:rsidR="00903939" w:rsidRPr="00903939">
        <w:rPr>
          <w:rFonts w:ascii="Times New Roman"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18</w:t>
      </w:r>
      <w:r w:rsidR="00903939" w:rsidRPr="00903939">
        <w:rPr>
          <w:rFonts w:ascii="Times New Roman" w:hAnsi="Times New Roman" w:cs="Times New Roman"/>
        </w:rPr>
        <w:fldChar w:fldCharType="end"/>
      </w:r>
      <w:r w:rsidRPr="008B3BCF">
        <w:rPr>
          <w:rFonts w:ascii="Times New Roman" w:hAnsi="Times New Roman" w:cs="Times New Roman"/>
        </w:rPr>
        <w:t xml:space="preserve">). Because of the two distinct regions, tangent moduli were calculated from the initial slope and from the linear region, reported respectively as the Initial and Second Tensile Modulus in </w:t>
      </w:r>
      <w:r w:rsidR="00754F1D" w:rsidRPr="00754F1D">
        <w:rPr>
          <w:rFonts w:ascii="Times New Roman" w:hAnsi="Times New Roman" w:cs="Times New Roman"/>
        </w:rPr>
        <w:fldChar w:fldCharType="begin"/>
      </w:r>
      <w:r w:rsidR="00754F1D" w:rsidRPr="00754F1D">
        <w:rPr>
          <w:rFonts w:ascii="Times New Roman" w:hAnsi="Times New Roman" w:cs="Times New Roman"/>
        </w:rPr>
        <w:instrText xml:space="preserve"> REF _Ref100926753 \h </w:instrText>
      </w:r>
      <w:r w:rsidR="00754F1D">
        <w:rPr>
          <w:rFonts w:ascii="Times New Roman" w:hAnsi="Times New Roman" w:cs="Times New Roman"/>
        </w:rPr>
        <w:instrText xml:space="preserve"> \* MERGEFORMAT </w:instrText>
      </w:r>
      <w:r w:rsidR="00754F1D" w:rsidRPr="00754F1D">
        <w:rPr>
          <w:rFonts w:ascii="Times New Roman" w:hAnsi="Times New Roman" w:cs="Times New Roman"/>
        </w:rPr>
      </w:r>
      <w:r w:rsidR="00754F1D" w:rsidRPr="00754F1D">
        <w:rPr>
          <w:rFonts w:ascii="Times New Roman" w:hAnsi="Times New Roman" w:cs="Times New Roman"/>
        </w:rPr>
        <w:fldChar w:fldCharType="separate"/>
      </w:r>
      <w:r w:rsidR="00D512E3" w:rsidRPr="00D512E3">
        <w:rPr>
          <w:rFonts w:ascii="Times New Roman" w:hAnsi="Times New Roman" w:cs="Times New Roman"/>
        </w:rPr>
        <w:t xml:space="preserve">Figure </w:t>
      </w:r>
      <w:r w:rsidR="00D512E3" w:rsidRPr="00D512E3">
        <w:rPr>
          <w:rFonts w:ascii="Times New Roman" w:hAnsi="Times New Roman" w:cs="Times New Roman"/>
          <w:noProof/>
        </w:rPr>
        <w:t>19</w:t>
      </w:r>
      <w:r w:rsidR="00754F1D" w:rsidRPr="00754F1D">
        <w:rPr>
          <w:rFonts w:ascii="Times New Roman" w:hAnsi="Times New Roman" w:cs="Times New Roman"/>
        </w:rPr>
        <w:fldChar w:fldCharType="end"/>
      </w:r>
      <w:r w:rsidRPr="008B3BCF">
        <w:rPr>
          <w:rFonts w:ascii="Times New Roman" w:hAnsi="Times New Roman" w:cs="Times New Roman"/>
        </w:rPr>
        <w:t xml:space="preserve">. The average failure stress varied from 25 to 50 MPa and failure strain varied from 1.5 to 3.0%, with no clear trends emerging between the formulations due to high variation in sample failure (see </w:t>
      </w:r>
      <w:r w:rsidR="00754F1D">
        <w:rPr>
          <w:rFonts w:ascii="Times New Roman" w:hAnsi="Times New Roman" w:cs="Times New Roman"/>
        </w:rPr>
        <w:t>Appendices</w:t>
      </w:r>
      <w:r w:rsidRPr="008B3BCF">
        <w:rPr>
          <w:rFonts w:ascii="Times New Roman" w:hAnsi="Times New Roman" w:cs="Times New Roman"/>
        </w:rPr>
        <w:t xml:space="preserve">). </w:t>
      </w:r>
    </w:p>
    <w:p w14:paraId="142D6620" w14:textId="77777777" w:rsidR="00A2593C" w:rsidRDefault="00A2593C" w:rsidP="00A2593C">
      <w:pPr>
        <w:spacing w:line="360" w:lineRule="auto"/>
        <w:rPr>
          <w:rFonts w:ascii="Times New Roman" w:hAnsi="Times New Roman" w:cs="Times New Roman"/>
        </w:rPr>
      </w:pPr>
    </w:p>
    <w:p w14:paraId="6D16CF01" w14:textId="6709CAC4" w:rsidR="002C028A" w:rsidRDefault="00670343" w:rsidP="00BA3189">
      <w:pPr>
        <w:widowControl w:val="0"/>
        <w:spacing w:line="360" w:lineRule="auto"/>
        <w:rPr>
          <w:rFonts w:ascii="Times New Roman" w:hAnsi="Times New Roman" w:cs="Times New Roman"/>
        </w:rPr>
      </w:pPr>
      <w:r w:rsidRPr="008B3BCF">
        <w:rPr>
          <w:rFonts w:ascii="Times New Roman" w:hAnsi="Times New Roman" w:cs="Times New Roman"/>
        </w:rPr>
        <w:t>The tensile modulus decreased with the addition of PETIA, with the largest drop at the addition of 10 wt% PETIA, from an average initial modulus of 2.81 GPa for pure Bis-EMA to 2.07 GPa for the 10 wt% PETIA formulation. The modulus of the second linear portion from each formula was consistently lower than the initial modulus, by an average 10 to 20% reduction.</w:t>
      </w:r>
    </w:p>
    <w:p w14:paraId="6DE5F08B" w14:textId="77777777" w:rsidR="009869D8" w:rsidRDefault="008B3BCF" w:rsidP="009869D8">
      <w:pPr>
        <w:keepNext/>
        <w:spacing w:line="360" w:lineRule="auto"/>
        <w:jc w:val="center"/>
      </w:pPr>
      <w:r w:rsidRPr="008B3BCF">
        <w:rPr>
          <w:rFonts w:ascii="Times New Roman" w:hAnsi="Times New Roman" w:cs="Times New Roman"/>
          <w:noProof/>
        </w:rPr>
        <w:lastRenderedPageBreak/>
        <w:drawing>
          <wp:inline distT="0" distB="0" distL="0" distR="0" wp14:anchorId="20726146" wp14:editId="61D4DBFB">
            <wp:extent cx="4843740" cy="3222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t="7801" b="5370"/>
                    <a:stretch/>
                  </pic:blipFill>
                  <pic:spPr bwMode="auto">
                    <a:xfrm>
                      <a:off x="0" y="0"/>
                      <a:ext cx="4916550" cy="3270606"/>
                    </a:xfrm>
                    <a:prstGeom prst="rect">
                      <a:avLst/>
                    </a:prstGeom>
                    <a:noFill/>
                    <a:ln>
                      <a:noFill/>
                    </a:ln>
                    <a:extLst>
                      <a:ext uri="{53640926-AAD7-44D8-BBD7-CCE9431645EC}">
                        <a14:shadowObscured xmlns:a14="http://schemas.microsoft.com/office/drawing/2010/main"/>
                      </a:ext>
                    </a:extLst>
                  </pic:spPr>
                </pic:pic>
              </a:graphicData>
            </a:graphic>
          </wp:inline>
        </w:drawing>
      </w:r>
    </w:p>
    <w:p w14:paraId="1FFEB04F" w14:textId="6A51165E" w:rsidR="008B3BCF" w:rsidRPr="008B3BCF" w:rsidRDefault="009869D8" w:rsidP="00F20503">
      <w:pPr>
        <w:pStyle w:val="Caption"/>
      </w:pPr>
      <w:bookmarkStart w:id="74" w:name="_Ref100926466"/>
      <w:bookmarkStart w:id="75" w:name="_Toc101365678"/>
      <w:r>
        <w:t xml:space="preserve">Figure </w:t>
      </w:r>
      <w:r w:rsidR="002F73EC">
        <w:fldChar w:fldCharType="begin"/>
      </w:r>
      <w:r w:rsidR="002F73EC">
        <w:instrText xml:space="preserve"> SEQ Figure \* ARABIC </w:instrText>
      </w:r>
      <w:r w:rsidR="002F73EC">
        <w:fldChar w:fldCharType="separate"/>
      </w:r>
      <w:r w:rsidR="00BF5717">
        <w:rPr>
          <w:noProof/>
        </w:rPr>
        <w:t>16</w:t>
      </w:r>
      <w:r w:rsidR="002F73EC">
        <w:rPr>
          <w:noProof/>
        </w:rPr>
        <w:fldChar w:fldCharType="end"/>
      </w:r>
      <w:bookmarkEnd w:id="74"/>
      <w:r>
        <w:t xml:space="preserve"> </w:t>
      </w:r>
      <w:r w:rsidRPr="008B3BCF">
        <w:t>Vickers hardness (VHN) with increasing PETIA level as measured on top (UV incident) and bottom surface (3mm depth). Error bars indicate +/- one standard deviation.</w:t>
      </w:r>
      <w:bookmarkEnd w:id="75"/>
    </w:p>
    <w:p w14:paraId="7AEC8E7E" w14:textId="640613B3" w:rsidR="00BE7625" w:rsidRDefault="00BE7625" w:rsidP="00BE7625"/>
    <w:p w14:paraId="582E948A" w14:textId="77777777" w:rsidR="00737580" w:rsidRPr="00BE7625" w:rsidRDefault="00737580" w:rsidP="00BE7625"/>
    <w:p w14:paraId="070E72FF" w14:textId="77777777" w:rsidR="009869D8" w:rsidRDefault="008B3BCF" w:rsidP="009869D8">
      <w:pPr>
        <w:keepNext/>
        <w:spacing w:line="360" w:lineRule="auto"/>
        <w:jc w:val="center"/>
      </w:pPr>
      <w:r w:rsidRPr="008B3BCF">
        <w:rPr>
          <w:rFonts w:ascii="Times New Roman" w:hAnsi="Times New Roman" w:cs="Times New Roman"/>
          <w:noProof/>
        </w:rPr>
        <w:drawing>
          <wp:inline distT="0" distB="0" distL="0" distR="0" wp14:anchorId="31A526BC" wp14:editId="10277402">
            <wp:extent cx="4766592" cy="3178628"/>
            <wp:effectExtent l="0" t="0" r="0" b="317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rotWithShape="1">
                    <a:blip r:embed="rId25" cstate="print">
                      <a:extLst>
                        <a:ext uri="{28A0092B-C50C-407E-A947-70E740481C1C}">
                          <a14:useLocalDpi xmlns:a14="http://schemas.microsoft.com/office/drawing/2010/main" val="0"/>
                        </a:ext>
                      </a:extLst>
                    </a:blip>
                    <a:srcRect t="8043" b="4806"/>
                    <a:stretch/>
                  </pic:blipFill>
                  <pic:spPr bwMode="auto">
                    <a:xfrm>
                      <a:off x="0" y="0"/>
                      <a:ext cx="4784083" cy="3190292"/>
                    </a:xfrm>
                    <a:prstGeom prst="rect">
                      <a:avLst/>
                    </a:prstGeom>
                    <a:ln>
                      <a:noFill/>
                    </a:ln>
                    <a:extLst>
                      <a:ext uri="{53640926-AAD7-44D8-BBD7-CCE9431645EC}">
                        <a14:shadowObscured xmlns:a14="http://schemas.microsoft.com/office/drawing/2010/main"/>
                      </a:ext>
                    </a:extLst>
                  </pic:spPr>
                </pic:pic>
              </a:graphicData>
            </a:graphic>
          </wp:inline>
        </w:drawing>
      </w:r>
    </w:p>
    <w:p w14:paraId="0602FCCF" w14:textId="4D0C0181" w:rsidR="008B3BCF" w:rsidRPr="008B3BCF" w:rsidRDefault="009869D8" w:rsidP="00F20503">
      <w:pPr>
        <w:pStyle w:val="Caption"/>
      </w:pPr>
      <w:bookmarkStart w:id="76" w:name="_Ref100926601"/>
      <w:bookmarkStart w:id="77" w:name="_Toc101365679"/>
      <w:r>
        <w:t xml:space="preserve">Figure </w:t>
      </w:r>
      <w:r w:rsidR="002F73EC">
        <w:fldChar w:fldCharType="begin"/>
      </w:r>
      <w:r w:rsidR="002F73EC">
        <w:instrText xml:space="preserve"> SEQ Figure \* ARABIC </w:instrText>
      </w:r>
      <w:r w:rsidR="002F73EC">
        <w:fldChar w:fldCharType="separate"/>
      </w:r>
      <w:r w:rsidR="00BF5717">
        <w:rPr>
          <w:noProof/>
        </w:rPr>
        <w:t>17</w:t>
      </w:r>
      <w:r w:rsidR="002F73EC">
        <w:rPr>
          <w:noProof/>
        </w:rPr>
        <w:fldChar w:fldCharType="end"/>
      </w:r>
      <w:bookmarkEnd w:id="76"/>
      <w:r>
        <w:t xml:space="preserve"> </w:t>
      </w:r>
      <w:r w:rsidRPr="008B3BCF">
        <w:t>C=C double bond conversion on the UV irradiated (Top) and non-incident (Bottom) faces of cured Bis-EMA photopolymers with varying concentrations of PETIA.</w:t>
      </w:r>
      <w:bookmarkEnd w:id="77"/>
    </w:p>
    <w:p w14:paraId="59FED124" w14:textId="77777777" w:rsidR="009869D8" w:rsidRDefault="008B3BCF" w:rsidP="009869D8">
      <w:pPr>
        <w:keepNext/>
        <w:spacing w:line="360" w:lineRule="auto"/>
        <w:jc w:val="center"/>
      </w:pPr>
      <w:r w:rsidRPr="008B3BCF">
        <w:rPr>
          <w:rFonts w:ascii="Times New Roman" w:hAnsi="Times New Roman" w:cs="Times New Roman"/>
          <w:b/>
          <w:bCs/>
          <w:noProof/>
        </w:rPr>
        <w:lastRenderedPageBreak/>
        <w:drawing>
          <wp:inline distT="0" distB="0" distL="0" distR="0" wp14:anchorId="4F2C1031" wp14:editId="687604DC">
            <wp:extent cx="3476445" cy="2827583"/>
            <wp:effectExtent l="0" t="0" r="0" b="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9524" cy="2846355"/>
                    </a:xfrm>
                    <a:prstGeom prst="rect">
                      <a:avLst/>
                    </a:prstGeom>
                  </pic:spPr>
                </pic:pic>
              </a:graphicData>
            </a:graphic>
          </wp:inline>
        </w:drawing>
      </w:r>
    </w:p>
    <w:p w14:paraId="7444BBBB" w14:textId="412A34F0" w:rsidR="008B3BCF" w:rsidRPr="008B3BCF" w:rsidRDefault="009869D8" w:rsidP="00F20503">
      <w:pPr>
        <w:pStyle w:val="Caption"/>
      </w:pPr>
      <w:bookmarkStart w:id="78" w:name="_Ref100926570"/>
      <w:bookmarkStart w:id="79" w:name="_Toc101365680"/>
      <w:r>
        <w:t xml:space="preserve">Figure </w:t>
      </w:r>
      <w:r w:rsidR="002F73EC">
        <w:fldChar w:fldCharType="begin"/>
      </w:r>
      <w:r w:rsidR="002F73EC">
        <w:instrText xml:space="preserve"> SEQ Figure \* ARABIC </w:instrText>
      </w:r>
      <w:r w:rsidR="002F73EC">
        <w:fldChar w:fldCharType="separate"/>
      </w:r>
      <w:r w:rsidR="00BF5717">
        <w:rPr>
          <w:noProof/>
        </w:rPr>
        <w:t>18</w:t>
      </w:r>
      <w:r w:rsidR="002F73EC">
        <w:rPr>
          <w:noProof/>
        </w:rPr>
        <w:fldChar w:fldCharType="end"/>
      </w:r>
      <w:bookmarkEnd w:id="78"/>
      <w:r>
        <w:t xml:space="preserve"> </w:t>
      </w:r>
      <w:r w:rsidRPr="008B3BCF">
        <w:t>Tensile stress-strain curves for each formula exhibited two distinct regions, an initial non-linear behavior followed by a linear region.</w:t>
      </w:r>
      <w:bookmarkEnd w:id="79"/>
    </w:p>
    <w:p w14:paraId="352C68C6" w14:textId="03BC430F" w:rsidR="00BE7625" w:rsidRDefault="00BE7625" w:rsidP="00BE7625"/>
    <w:p w14:paraId="7BF6C6BD" w14:textId="77777777" w:rsidR="00737580" w:rsidRPr="00BE7625" w:rsidRDefault="00737580" w:rsidP="00BE7625"/>
    <w:p w14:paraId="3FA2032C" w14:textId="77777777" w:rsidR="00903939" w:rsidRDefault="008B3BCF" w:rsidP="00903939">
      <w:pPr>
        <w:keepNext/>
        <w:spacing w:line="360" w:lineRule="auto"/>
        <w:jc w:val="center"/>
      </w:pPr>
      <w:r w:rsidRPr="008B3BCF">
        <w:rPr>
          <w:rFonts w:ascii="Times New Roman" w:hAnsi="Times New Roman" w:cs="Times New Roman"/>
          <w:b/>
          <w:bCs/>
          <w:noProof/>
        </w:rPr>
        <w:drawing>
          <wp:inline distT="0" distB="0" distL="0" distR="0" wp14:anchorId="12A55CB1" wp14:editId="6CE1B3F0">
            <wp:extent cx="4145838" cy="3342290"/>
            <wp:effectExtent l="0" t="0" r="7620" b="0"/>
            <wp:docPr id="22"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pic:nvPicPr>
                  <pic:blipFill rotWithShape="1">
                    <a:blip r:embed="rId27" cstate="print">
                      <a:extLst>
                        <a:ext uri="{28A0092B-C50C-407E-A947-70E740481C1C}">
                          <a14:useLocalDpi xmlns:a14="http://schemas.microsoft.com/office/drawing/2010/main" val="0"/>
                        </a:ext>
                      </a:extLst>
                    </a:blip>
                    <a:srcRect l="6040" t="7579" r="10365" b="4347"/>
                    <a:stretch/>
                  </pic:blipFill>
                  <pic:spPr bwMode="auto">
                    <a:xfrm>
                      <a:off x="0" y="0"/>
                      <a:ext cx="4159635" cy="3353413"/>
                    </a:xfrm>
                    <a:prstGeom prst="rect">
                      <a:avLst/>
                    </a:prstGeom>
                    <a:ln>
                      <a:noFill/>
                    </a:ln>
                    <a:extLst>
                      <a:ext uri="{53640926-AAD7-44D8-BBD7-CCE9431645EC}">
                        <a14:shadowObscured xmlns:a14="http://schemas.microsoft.com/office/drawing/2010/main"/>
                      </a:ext>
                    </a:extLst>
                  </pic:spPr>
                </pic:pic>
              </a:graphicData>
            </a:graphic>
          </wp:inline>
        </w:drawing>
      </w:r>
    </w:p>
    <w:p w14:paraId="1D02B01E" w14:textId="2FB0DB7C" w:rsidR="008B3BCF" w:rsidRPr="008B3BCF" w:rsidRDefault="00903939" w:rsidP="00F20503">
      <w:pPr>
        <w:pStyle w:val="Caption"/>
      </w:pPr>
      <w:bookmarkStart w:id="80" w:name="_Ref100926753"/>
      <w:bookmarkStart w:id="81" w:name="_Toc101365681"/>
      <w:r>
        <w:t xml:space="preserve">Figure </w:t>
      </w:r>
      <w:r w:rsidR="002F73EC">
        <w:fldChar w:fldCharType="begin"/>
      </w:r>
      <w:r w:rsidR="002F73EC">
        <w:instrText xml:space="preserve"> SEQ Figure \* ARABIC </w:instrText>
      </w:r>
      <w:r w:rsidR="002F73EC">
        <w:fldChar w:fldCharType="separate"/>
      </w:r>
      <w:r w:rsidR="00BF5717">
        <w:rPr>
          <w:noProof/>
        </w:rPr>
        <w:t>19</w:t>
      </w:r>
      <w:r w:rsidR="002F73EC">
        <w:rPr>
          <w:noProof/>
        </w:rPr>
        <w:fldChar w:fldCharType="end"/>
      </w:r>
      <w:bookmarkEnd w:id="80"/>
      <w:r>
        <w:t xml:space="preserve"> </w:t>
      </w:r>
      <w:r w:rsidRPr="008B3BCF">
        <w:t>Tensile modulus variation by PETIA content, with increased PETIA causing a drop in modulus from the pure Bis-EMA baseline. Error bars indicate +/- one standard deviation.</w:t>
      </w:r>
      <w:bookmarkEnd w:id="81"/>
    </w:p>
    <w:p w14:paraId="55825FC2" w14:textId="16CA0791" w:rsidR="002C028A" w:rsidRPr="008B3BCF" w:rsidRDefault="002C028A" w:rsidP="009D06D1">
      <w:pPr>
        <w:pStyle w:val="Heading3"/>
      </w:pPr>
      <w:bookmarkStart w:id="82" w:name="_Toc101701741"/>
      <w:r w:rsidRPr="008B3BCF">
        <w:lastRenderedPageBreak/>
        <w:t>4.5 Glass Transition Temperature</w:t>
      </w:r>
      <w:bookmarkEnd w:id="82"/>
    </w:p>
    <w:p w14:paraId="05A06AC0" w14:textId="281B4D86" w:rsidR="002C028A" w:rsidRDefault="002C028A" w:rsidP="002C028A">
      <w:pPr>
        <w:spacing w:line="360" w:lineRule="auto"/>
        <w:rPr>
          <w:rFonts w:ascii="Times New Roman" w:hAnsi="Times New Roman" w:cs="Times New Roman"/>
        </w:rPr>
      </w:pPr>
      <w:r w:rsidRPr="008B3BCF">
        <w:rPr>
          <w:rFonts w:ascii="Times New Roman" w:hAnsi="Times New Roman" w:cs="Times New Roman"/>
        </w:rPr>
        <w:t xml:space="preserve">The DMA curves with varying concentrations of PETIA are shown in </w:t>
      </w:r>
      <w:r w:rsidRPr="00444E61">
        <w:rPr>
          <w:rFonts w:ascii="Times New Roman" w:hAnsi="Times New Roman" w:cs="Times New Roman"/>
        </w:rPr>
        <w:fldChar w:fldCharType="begin"/>
      </w:r>
      <w:r w:rsidRPr="00444E61">
        <w:rPr>
          <w:rFonts w:ascii="Times New Roman" w:hAnsi="Times New Roman" w:cs="Times New Roman"/>
        </w:rPr>
        <w:instrText xml:space="preserve"> REF _Ref100927075 \h </w:instrText>
      </w:r>
      <w:r>
        <w:rPr>
          <w:rFonts w:ascii="Times New Roman" w:hAnsi="Times New Roman" w:cs="Times New Roman"/>
        </w:rPr>
        <w:instrText xml:space="preserve"> \* MERGEFORMAT </w:instrText>
      </w:r>
      <w:r w:rsidRPr="00444E61">
        <w:rPr>
          <w:rFonts w:ascii="Times New Roman" w:hAnsi="Times New Roman" w:cs="Times New Roman"/>
        </w:rPr>
      </w:r>
      <w:r w:rsidRPr="00444E61">
        <w:rPr>
          <w:rFonts w:ascii="Times New Roman"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20</w:t>
      </w:r>
      <w:r w:rsidRPr="00444E61">
        <w:rPr>
          <w:rFonts w:ascii="Times New Roman" w:hAnsi="Times New Roman" w:cs="Times New Roman"/>
        </w:rPr>
        <w:fldChar w:fldCharType="end"/>
      </w:r>
      <w:r w:rsidRPr="00754F1D">
        <w:rPr>
          <w:rFonts w:ascii="Times New Roman" w:hAnsi="Times New Roman" w:cs="Times New Roman"/>
        </w:rPr>
        <w:fldChar w:fldCharType="begin"/>
      </w:r>
      <w:r w:rsidRPr="00754F1D">
        <w:rPr>
          <w:rFonts w:ascii="Times New Roman" w:hAnsi="Times New Roman" w:cs="Times New Roman"/>
        </w:rPr>
        <w:instrText xml:space="preserve"> REF _Ref100926778 \h </w:instrText>
      </w:r>
      <w:r>
        <w:rPr>
          <w:rFonts w:ascii="Times New Roman" w:hAnsi="Times New Roman" w:cs="Times New Roman"/>
        </w:rPr>
        <w:instrText xml:space="preserve"> \* MERGEFORMAT </w:instrText>
      </w:r>
      <w:r w:rsidRPr="00754F1D">
        <w:rPr>
          <w:rFonts w:ascii="Times New Roman" w:hAnsi="Times New Roman" w:cs="Times New Roman"/>
        </w:rPr>
      </w:r>
      <w:r w:rsidR="002F73EC">
        <w:rPr>
          <w:rFonts w:ascii="Times New Roman" w:hAnsi="Times New Roman" w:cs="Times New Roman"/>
        </w:rPr>
        <w:fldChar w:fldCharType="separate"/>
      </w:r>
      <w:r w:rsidRPr="00754F1D">
        <w:rPr>
          <w:rFonts w:ascii="Times New Roman" w:hAnsi="Times New Roman" w:cs="Times New Roman"/>
        </w:rPr>
        <w:fldChar w:fldCharType="end"/>
      </w:r>
      <w:r w:rsidRPr="008B3BCF">
        <w:rPr>
          <w:rFonts w:ascii="Times New Roman" w:hAnsi="Times New Roman" w:cs="Times New Roman"/>
        </w:rPr>
        <w:t>. The peaks of the tan(δ) curve were used to approximate T</w:t>
      </w:r>
      <w:r w:rsidRPr="008B3BCF">
        <w:rPr>
          <w:rFonts w:ascii="Times New Roman" w:hAnsi="Times New Roman" w:cs="Times New Roman"/>
          <w:vertAlign w:val="subscript"/>
        </w:rPr>
        <w:t>g</w:t>
      </w:r>
      <w:r w:rsidRPr="008B3BCF">
        <w:rPr>
          <w:rFonts w:ascii="Times New Roman" w:hAnsi="Times New Roman" w:cs="Times New Roman"/>
        </w:rPr>
        <w:t xml:space="preserve">, with peak width defining the full range of the glass transition region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Prime","given":"R.B.","non-dropping-particle":"","parse-names":false,"suffix":""},{"dropping-particle":"","family":"Gotro","given":"J.","non-dropping-particle":"","parse-names":false,"suffix":""}],"chapter-number":"15","container-title":"Thermoset Characterization Handbook","edition":"1","id":"ITEM-1","issued":{"date-parts":[["2021"]]},"page":"58-61","publisher":"InnoCentrix, LLC","publisher-place":"Rancho Santa Margarita","title":"Experimental Aspects of Dynamic Mechanical Analysis (DMA)","type":"chapter"},"uris":["http://www.mendeley.com/documents/?uuid=ccfd943d-e634-4359-a2b7-01e34f5daacc"]}],"mendeley":{"formattedCitation":"[94]","plainTextFormattedCitation":"[94]","previouslyFormattedCitation":"[94]"},"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[94]</w:t>
      </w:r>
      <w:r w:rsidRPr="008B3BCF">
        <w:rPr>
          <w:rFonts w:ascii="Times New Roman" w:hAnsi="Times New Roman" w:cs="Times New Roman"/>
        </w:rPr>
        <w:fldChar w:fldCharType="end"/>
      </w:r>
      <w:r w:rsidRPr="008B3BCF">
        <w:rPr>
          <w:rFonts w:ascii="Times New Roman" w:hAnsi="Times New Roman" w:cs="Times New Roman"/>
        </w:rPr>
        <w:t>.  The pure Bis-EMA formulation had a T</w:t>
      </w:r>
      <w:r w:rsidRPr="008B3BCF">
        <w:rPr>
          <w:rFonts w:ascii="Times New Roman" w:hAnsi="Times New Roman" w:cs="Times New Roman"/>
          <w:vertAlign w:val="subscript"/>
        </w:rPr>
        <w:t>g</w:t>
      </w:r>
      <w:r w:rsidRPr="008B3BCF">
        <w:rPr>
          <w:rFonts w:ascii="Times New Roman" w:hAnsi="Times New Roman" w:cs="Times New Roman"/>
        </w:rPr>
        <w:t xml:space="preserve"> of 146 °C, and with 10% PETIA content T</w:t>
      </w:r>
      <w:r w:rsidRPr="008B3BCF">
        <w:rPr>
          <w:rFonts w:ascii="Times New Roman" w:hAnsi="Times New Roman" w:cs="Times New Roman"/>
          <w:vertAlign w:val="subscript"/>
        </w:rPr>
        <w:t>g</w:t>
      </w:r>
      <w:r w:rsidRPr="008B3BCF">
        <w:rPr>
          <w:rFonts w:ascii="Times New Roman" w:hAnsi="Times New Roman" w:cs="Times New Roman"/>
        </w:rPr>
        <w:t xml:space="preserve"> increased to 172 °C while also moderately widening the glass transition region. Higher PETIA content resulted in a reduction in T</w:t>
      </w:r>
      <w:r w:rsidRPr="008B3BCF">
        <w:rPr>
          <w:rFonts w:ascii="Times New Roman" w:hAnsi="Times New Roman" w:cs="Times New Roman"/>
          <w:vertAlign w:val="subscript"/>
        </w:rPr>
        <w:t>g</w:t>
      </w:r>
      <w:r w:rsidRPr="008B3BCF">
        <w:rPr>
          <w:rFonts w:ascii="Times New Roman" w:hAnsi="Times New Roman" w:cs="Times New Roman"/>
        </w:rPr>
        <w:t>, with 20</w:t>
      </w:r>
      <w:r>
        <w:rPr>
          <w:rFonts w:ascii="Times New Roman" w:hAnsi="Times New Roman" w:cs="Times New Roman"/>
        </w:rPr>
        <w:t xml:space="preserve"> </w:t>
      </w:r>
      <w:r w:rsidRPr="008B3BCF">
        <w:rPr>
          <w:rFonts w:ascii="Times New Roman" w:hAnsi="Times New Roman" w:cs="Times New Roman"/>
        </w:rPr>
        <w:t>wt% nearly matching the pure Bis-EMA level and any further PETIA increase dropping the T</w:t>
      </w:r>
      <w:r w:rsidRPr="008B3BCF">
        <w:rPr>
          <w:rFonts w:ascii="Times New Roman" w:hAnsi="Times New Roman" w:cs="Times New Roman"/>
          <w:vertAlign w:val="subscript"/>
        </w:rPr>
        <w:t>g</w:t>
      </w:r>
      <w:r w:rsidRPr="008B3BCF">
        <w:rPr>
          <w:rFonts w:ascii="Times New Roman" w:hAnsi="Times New Roman" w:cs="Times New Roman"/>
        </w:rPr>
        <w:t xml:space="preserve"> below that of pure Bis-EMA. Increasing levels of PETIA also resulted in significant widening of the glass transition region. The lower and wider peaks with higher PETIA content indicate a reduction in the dissipative effects of the Bis-EMA and a shift towards more elastic behavior. Each formulation also exhibited a minor transition at ~60 °C, which could indicate some movement in the Bis-EMA portions of the polymer network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Rudin","given":"A.","non-dropping-particle":"","parse-names":false,"suffix":""},{"dropping-particle":"","family":"Choi","given":"P.","non-dropping-particle":"","parse-names":false,"suffix":""}],"chapter-number":"4","container-title":"The Elements of Polymer Science &amp; Engineering","edition":"3","id":"ITEM-1","issued":{"date-parts":[["2013"]]},"page":"149-229","publisher":"Academic Press","publisher-place":"Cambridge","title":"Mechanical Properties of Polymer Solids and Liquids","type":"chapter"},"uris":["http://www.mendeley.com/documents/?uuid=3604506b-be98-406d-9aec-c7ece7ec4d2d"]}],"mendeley":{"formattedCitation":"[95]","plainTextFormattedCitation":"[95]","previouslyFormattedCitation":"[95]"},"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[95]</w:t>
      </w:r>
      <w:r w:rsidRPr="008B3BCF">
        <w:rPr>
          <w:rFonts w:ascii="Times New Roman" w:hAnsi="Times New Roman" w:cs="Times New Roman"/>
        </w:rPr>
        <w:fldChar w:fldCharType="end"/>
      </w:r>
      <w:r w:rsidRPr="008B3BCF">
        <w:rPr>
          <w:rFonts w:ascii="Times New Roman" w:hAnsi="Times New Roman" w:cs="Times New Roman"/>
        </w:rPr>
        <w:t xml:space="preserve">.  </w:t>
      </w:r>
    </w:p>
    <w:p w14:paraId="762BEFFC" w14:textId="77777777" w:rsidR="002C028A" w:rsidRPr="008B3BCF" w:rsidRDefault="002C028A" w:rsidP="009D06D1">
      <w:pPr>
        <w:pStyle w:val="Heading3"/>
      </w:pPr>
      <w:bookmarkStart w:id="83" w:name="_Toc101701742"/>
      <w:r w:rsidRPr="008B3BCF">
        <w:t>4.6 Volumetric Shrinkage</w:t>
      </w:r>
      <w:bookmarkEnd w:id="83"/>
    </w:p>
    <w:p w14:paraId="0EA28525" w14:textId="77777777" w:rsidR="002C028A" w:rsidRDefault="002C028A" w:rsidP="002C028A">
      <w:pPr>
        <w:spacing w:line="360" w:lineRule="auto"/>
        <w:rPr>
          <w:rFonts w:ascii="Times New Roman" w:hAnsi="Times New Roman" w:cs="Times New Roman"/>
        </w:rPr>
      </w:pPr>
      <w:r w:rsidRPr="008B3BCF">
        <w:rPr>
          <w:rFonts w:ascii="Times New Roman" w:hAnsi="Times New Roman" w:cs="Times New Roman"/>
        </w:rPr>
        <w:t xml:space="preserve">To assess the change in volume accompanied by curing, the liquid density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liquid</m:t>
            </m:r>
          </m:sub>
        </m:sSub>
      </m:oMath>
      <w:r w:rsidRPr="008B3BCF">
        <w:rPr>
          <w:rFonts w:ascii="Times New Roman" w:hAnsi="Times New Roman" w:cs="Times New Roman"/>
        </w:rPr>
        <w:t xml:space="preserve"> of each formulation was compared against the cured polymer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cured</m:t>
            </m:r>
          </m:sub>
        </m:sSub>
      </m:oMath>
      <w:r w:rsidRPr="008B3BCF">
        <w:rPr>
          <w:rFonts w:ascii="Times New Roman" w:hAnsi="Times New Roman" w:cs="Times New Roman"/>
        </w:rPr>
        <w:t xml:space="preserve"> according to Equation </w:t>
      </w:r>
      <w:r>
        <w:rPr>
          <w:rFonts w:ascii="Times New Roman" w:hAnsi="Times New Roman" w:cs="Times New Roman"/>
        </w:rPr>
        <w:t>6</w:t>
      </w:r>
      <w:r w:rsidRPr="008B3BCF">
        <w:rPr>
          <w:rFonts w:ascii="Times New Roman" w:hAnsi="Times New Roman" w:cs="Times New Roman"/>
        </w:rPr>
        <w:t>:</w:t>
      </w:r>
    </w:p>
    <w:p w14:paraId="0BDA93D1" w14:textId="77777777" w:rsidR="002C028A" w:rsidRPr="008B3BCF" w:rsidRDefault="002C028A" w:rsidP="002C028A">
      <w:pPr>
        <w:spacing w:line="360" w:lineRule="auto"/>
        <w:rPr>
          <w:rFonts w:ascii="Times New Roman" w:hAnsi="Times New Roman" w:cs="Times New Roman"/>
        </w:rPr>
      </w:pPr>
    </w:p>
    <w:p w14:paraId="5B657551" w14:textId="77777777" w:rsidR="002C028A" w:rsidRPr="008B3BCF" w:rsidRDefault="002C028A" w:rsidP="002C028A">
      <w:pPr>
        <w:spacing w:line="360" w:lineRule="auto"/>
        <w:rPr>
          <w:rFonts w:ascii="Times New Roman" w:eastAsiaTheme="minorEastAsia" w:hAnsi="Times New Roman" w:cs="Times New Roman"/>
        </w:rPr>
      </w:pPr>
      <m:oMathPara>
        <m:oMath>
          <m:r>
            <w:rPr>
              <w:rFonts w:ascii="Cambria Math" w:hAnsi="Cambria Math" w:cs="Times New Roman"/>
            </w:rPr>
            <m:t>∆V=</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liquid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cured</m:t>
                      </m:r>
                    </m:sub>
                  </m:sSub>
                </m:num>
                <m:den>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liquid</m:t>
                      </m:r>
                    </m:sub>
                  </m:sSub>
                </m:den>
              </m:f>
            </m:e>
          </m:d>
          <m:r>
            <w:rPr>
              <w:rFonts w:ascii="Cambria Math" w:hAnsi="Cambria Math" w:cs="Times New Roman"/>
            </w:rPr>
            <m:t>x 100%  (6)</m:t>
          </m:r>
        </m:oMath>
      </m:oMathPara>
    </w:p>
    <w:p w14:paraId="5E528DB3" w14:textId="77777777" w:rsidR="002C028A" w:rsidRDefault="002C028A" w:rsidP="002C028A">
      <w:pPr>
        <w:spacing w:line="360" w:lineRule="auto"/>
        <w:rPr>
          <w:rFonts w:ascii="Times New Roman" w:hAnsi="Times New Roman" w:cs="Times New Roman"/>
        </w:rPr>
      </w:pPr>
    </w:p>
    <w:p w14:paraId="2012EDBC" w14:textId="47B108A4" w:rsidR="002C028A" w:rsidRPr="00D3572E" w:rsidRDefault="002C028A" w:rsidP="002C028A">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t xml:space="preserve">where volumetric shrinkage </w:t>
      </w:r>
      <m:oMath>
        <m:r>
          <w:rPr>
            <w:rFonts w:ascii="Cambria Math" w:hAnsi="Cambria Math" w:cs="Times New Roman"/>
          </w:rPr>
          <m:t>∆V</m:t>
        </m:r>
      </m:oMath>
      <w:r w:rsidRPr="008B3BCF">
        <w:rPr>
          <w:rFonts w:ascii="Times New Roman" w:eastAsiaTheme="minorEastAsia" w:hAnsi="Times New Roman" w:cs="Times New Roman"/>
        </w:rPr>
        <w:t xml:space="preserve"> is expressed as a percentage reduction from the liquid state. The measured liquid density varied from 1.118 g/cm</w:t>
      </w:r>
      <w:r w:rsidRPr="008B3BCF">
        <w:rPr>
          <w:rFonts w:ascii="Times New Roman" w:eastAsiaTheme="minorEastAsia" w:hAnsi="Times New Roman" w:cs="Times New Roman"/>
          <w:vertAlign w:val="superscript"/>
        </w:rPr>
        <w:t xml:space="preserve">3 </w:t>
      </w:r>
      <w:r w:rsidRPr="008B3BCF">
        <w:rPr>
          <w:rFonts w:ascii="Times New Roman" w:eastAsiaTheme="minorEastAsia" w:hAnsi="Times New Roman" w:cs="Times New Roman"/>
        </w:rPr>
        <w:t>for pure Bis-EMA to 1.149 g/cm</w:t>
      </w:r>
      <w:r w:rsidRPr="008B3BCF">
        <w:rPr>
          <w:rFonts w:ascii="Times New Roman" w:eastAsiaTheme="minorEastAsia" w:hAnsi="Times New Roman" w:cs="Times New Roman"/>
          <w:vertAlign w:val="superscript"/>
        </w:rPr>
        <w:t xml:space="preserve">3 </w:t>
      </w:r>
      <w:r w:rsidRPr="008B3BCF">
        <w:rPr>
          <w:rFonts w:ascii="Times New Roman" w:eastAsiaTheme="minorEastAsia" w:hAnsi="Times New Roman" w:cs="Times New Roman"/>
        </w:rPr>
        <w:t>with 50 wt% PETIA, with density measurements closely matching the values predicted by the rule of mixtures. The cured specimen density also increased with higher PETIA content, ranging from 1.177 g/cm</w:t>
      </w:r>
      <w:r w:rsidRPr="008B3BCF">
        <w:rPr>
          <w:rFonts w:ascii="Times New Roman" w:eastAsiaTheme="minorEastAsia" w:hAnsi="Times New Roman" w:cs="Times New Roman"/>
          <w:vertAlign w:val="superscript"/>
        </w:rPr>
        <w:t>3</w:t>
      </w:r>
      <w:r w:rsidRPr="008B3BCF">
        <w:rPr>
          <w:rFonts w:ascii="Times New Roman" w:eastAsiaTheme="minorEastAsia" w:hAnsi="Times New Roman" w:cs="Times New Roman"/>
        </w:rPr>
        <w:t xml:space="preserve"> for pure Bis-GMA to 1.233 g/cm</w:t>
      </w:r>
      <w:r w:rsidRPr="008B3BCF">
        <w:rPr>
          <w:rFonts w:ascii="Times New Roman" w:eastAsiaTheme="minorEastAsia" w:hAnsi="Times New Roman" w:cs="Times New Roman"/>
          <w:vertAlign w:val="superscript"/>
        </w:rPr>
        <w:t xml:space="preserve">3 </w:t>
      </w:r>
      <w:r w:rsidRPr="008B3BCF">
        <w:rPr>
          <w:rFonts w:ascii="Times New Roman" w:eastAsiaTheme="minorEastAsia" w:hAnsi="Times New Roman" w:cs="Times New Roman"/>
        </w:rPr>
        <w:t>with 50 wt% PETIA. The calculated volumetric change (see</w:t>
      </w:r>
      <w:r>
        <w:rPr>
          <w:rFonts w:ascii="Times New Roman" w:eastAsiaTheme="minorEastAsia" w:hAnsi="Times New Roman" w:cs="Times New Roman"/>
        </w:rPr>
        <w:t xml:space="preserve"> </w:t>
      </w:r>
      <w:r w:rsidRPr="00444E61">
        <w:rPr>
          <w:rFonts w:ascii="Times New Roman" w:eastAsiaTheme="minorEastAsia" w:hAnsi="Times New Roman" w:cs="Times New Roman"/>
        </w:rPr>
        <w:fldChar w:fldCharType="begin"/>
      </w:r>
      <w:r w:rsidRPr="00444E61">
        <w:rPr>
          <w:rFonts w:ascii="Times New Roman" w:eastAsiaTheme="minorEastAsia" w:hAnsi="Times New Roman" w:cs="Times New Roman"/>
        </w:rPr>
        <w:instrText xml:space="preserve"> REF _Ref100927147 \h </w:instrText>
      </w:r>
      <w:r>
        <w:rPr>
          <w:rFonts w:ascii="Times New Roman" w:eastAsiaTheme="minorEastAsia" w:hAnsi="Times New Roman" w:cs="Times New Roman"/>
        </w:rPr>
        <w:instrText xml:space="preserve"> \* MERGEFORMAT </w:instrText>
      </w:r>
      <w:r w:rsidRPr="00444E61">
        <w:rPr>
          <w:rFonts w:ascii="Times New Roman" w:eastAsiaTheme="minorEastAsia" w:hAnsi="Times New Roman" w:cs="Times New Roman"/>
        </w:rPr>
      </w:r>
      <w:r w:rsidRPr="00444E61">
        <w:rPr>
          <w:rFonts w:ascii="Times New Roman" w:eastAsiaTheme="minorEastAsia"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21</w:t>
      </w:r>
      <w:r w:rsidRPr="00444E61">
        <w:rPr>
          <w:rFonts w:ascii="Times New Roman" w:eastAsiaTheme="minorEastAsia" w:hAnsi="Times New Roman" w:cs="Times New Roman"/>
        </w:rPr>
        <w:fldChar w:fldCharType="end"/>
      </w:r>
      <w:r w:rsidRPr="008B3BCF">
        <w:rPr>
          <w:rFonts w:ascii="Times New Roman" w:eastAsiaTheme="minorEastAsia" w:hAnsi="Times New Roman" w:cs="Times New Roman"/>
        </w:rPr>
        <w:t xml:space="preserve">) indicates a steady increase in cure-induced shrinkage with higher PETIA content. Tukey HSD was applied to the data sets, and multiple comparison of means for one-way ANOVA confirmed no statistically significant difference between 0 wt% and 10 wt% PETIA or between 40 wt% and 50 </w:t>
      </w:r>
      <w:r>
        <w:rPr>
          <w:rFonts w:ascii="Times New Roman" w:eastAsiaTheme="minorEastAsia" w:hAnsi="Times New Roman" w:cs="Times New Roman"/>
        </w:rPr>
        <w:t>wt% PETIA.  40 wt% PETIA, however, differed significantly from all other formulations</w:t>
      </w:r>
    </w:p>
    <w:p w14:paraId="0FD8D487" w14:textId="77777777" w:rsidR="002C028A" w:rsidRDefault="002C028A" w:rsidP="008B3BCF">
      <w:pPr>
        <w:spacing w:line="360" w:lineRule="auto"/>
        <w:rPr>
          <w:rFonts w:ascii="Times New Roman" w:eastAsiaTheme="minorEastAsia" w:hAnsi="Times New Roman" w:cs="Times New Roman"/>
        </w:rPr>
      </w:pPr>
      <w:r w:rsidRPr="008B3BCF">
        <w:rPr>
          <w:rFonts w:ascii="Times New Roman" w:hAnsi="Times New Roman" w:cs="Times New Roman"/>
          <w:noProof/>
        </w:rPr>
        <w:lastRenderedPageBreak/>
        <w:drawing>
          <wp:inline distT="0" distB="0" distL="0" distR="0" wp14:anchorId="5B7F6E9F" wp14:editId="42C3A686">
            <wp:extent cx="4876800" cy="4004489"/>
            <wp:effectExtent l="0" t="0" r="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700" t="7049" r="9785" b="2355"/>
                    <a:stretch/>
                  </pic:blipFill>
                  <pic:spPr bwMode="auto">
                    <a:xfrm>
                      <a:off x="0" y="0"/>
                      <a:ext cx="4907622" cy="4029798"/>
                    </a:xfrm>
                    <a:prstGeom prst="rect">
                      <a:avLst/>
                    </a:prstGeom>
                    <a:noFill/>
                    <a:ln>
                      <a:noFill/>
                    </a:ln>
                    <a:extLst>
                      <a:ext uri="{53640926-AAD7-44D8-BBD7-CCE9431645EC}">
                        <a14:shadowObscured xmlns:a14="http://schemas.microsoft.com/office/drawing/2010/main"/>
                      </a:ext>
                    </a:extLst>
                  </pic:spPr>
                </pic:pic>
              </a:graphicData>
            </a:graphic>
          </wp:inline>
        </w:drawing>
      </w:r>
    </w:p>
    <w:p w14:paraId="15C67962" w14:textId="5D526897" w:rsidR="002C028A" w:rsidRPr="008B3BCF" w:rsidRDefault="002C028A" w:rsidP="00F20503">
      <w:pPr>
        <w:pStyle w:val="Caption"/>
      </w:pPr>
      <w:bookmarkStart w:id="84" w:name="_Ref100927075"/>
      <w:bookmarkStart w:id="85" w:name="_Toc101365682"/>
      <w:r>
        <w:t xml:space="preserve">Figure </w:t>
      </w:r>
      <w:r w:rsidR="002F73EC">
        <w:fldChar w:fldCharType="begin"/>
      </w:r>
      <w:r w:rsidR="002F73EC">
        <w:instrText xml:space="preserve"> SEQ Figure \* ARABIC </w:instrText>
      </w:r>
      <w:r w:rsidR="002F73EC">
        <w:fldChar w:fldCharType="separate"/>
      </w:r>
      <w:r w:rsidR="00BF5717">
        <w:rPr>
          <w:noProof/>
        </w:rPr>
        <w:t>20</w:t>
      </w:r>
      <w:r w:rsidR="002F73EC">
        <w:rPr>
          <w:noProof/>
        </w:rPr>
        <w:fldChar w:fldCharType="end"/>
      </w:r>
      <w:bookmarkEnd w:id="84"/>
      <w:r>
        <w:t xml:space="preserve"> </w:t>
      </w:r>
      <w:r w:rsidRPr="008B3BCF">
        <w:t>Tan(δ) curves for Bis-EMA formulations with varying levels of PETIA, indicating a rise and fall of Tg with increasing PETIA content accompanied by a broadening of the Tan(δ) peaks</w:t>
      </w:r>
      <w:r>
        <w:t>.</w:t>
      </w:r>
      <w:bookmarkEnd w:id="85"/>
    </w:p>
    <w:p w14:paraId="0BA0A4D2" w14:textId="77777777" w:rsidR="002C028A" w:rsidRDefault="002C028A" w:rsidP="008B3BCF">
      <w:pPr>
        <w:spacing w:line="360" w:lineRule="auto"/>
        <w:rPr>
          <w:rFonts w:ascii="Times New Roman" w:eastAsiaTheme="minorEastAsia" w:hAnsi="Times New Roman" w:cs="Times New Roman"/>
        </w:rPr>
      </w:pPr>
    </w:p>
    <w:p w14:paraId="1D066850" w14:textId="77777777" w:rsidR="002C028A" w:rsidRDefault="002C028A" w:rsidP="008B3BCF">
      <w:pPr>
        <w:spacing w:line="360" w:lineRule="auto"/>
        <w:rPr>
          <w:rFonts w:ascii="Times New Roman" w:eastAsiaTheme="minorEastAsia" w:hAnsi="Times New Roman" w:cs="Times New Roman"/>
        </w:rPr>
      </w:pPr>
    </w:p>
    <w:p w14:paraId="39CF9A64" w14:textId="77777777" w:rsidR="002C028A" w:rsidRDefault="002C028A" w:rsidP="008B3BCF">
      <w:pPr>
        <w:spacing w:line="360" w:lineRule="auto"/>
        <w:rPr>
          <w:rFonts w:ascii="Times New Roman" w:eastAsiaTheme="minorEastAsia" w:hAnsi="Times New Roman" w:cs="Times New Roman"/>
        </w:rPr>
      </w:pPr>
    </w:p>
    <w:p w14:paraId="256F223E" w14:textId="77777777" w:rsidR="002C028A" w:rsidRDefault="002C028A" w:rsidP="008B3BCF">
      <w:pPr>
        <w:spacing w:line="360" w:lineRule="auto"/>
        <w:rPr>
          <w:rFonts w:ascii="Times New Roman" w:eastAsiaTheme="minorEastAsia" w:hAnsi="Times New Roman" w:cs="Times New Roman"/>
        </w:rPr>
      </w:pPr>
    </w:p>
    <w:p w14:paraId="06CBAAA3" w14:textId="77777777" w:rsidR="002C028A" w:rsidRDefault="002C028A" w:rsidP="008B3BCF">
      <w:pPr>
        <w:spacing w:line="360" w:lineRule="auto"/>
        <w:rPr>
          <w:rFonts w:ascii="Times New Roman" w:eastAsiaTheme="minorEastAsia" w:hAnsi="Times New Roman" w:cs="Times New Roman"/>
        </w:rPr>
      </w:pPr>
    </w:p>
    <w:p w14:paraId="03FF2445" w14:textId="77777777" w:rsidR="002C028A" w:rsidRDefault="002C028A" w:rsidP="008B3BCF">
      <w:pPr>
        <w:spacing w:line="360" w:lineRule="auto"/>
        <w:rPr>
          <w:rFonts w:ascii="Times New Roman" w:eastAsiaTheme="minorEastAsia" w:hAnsi="Times New Roman" w:cs="Times New Roman"/>
        </w:rPr>
      </w:pPr>
    </w:p>
    <w:p w14:paraId="3899268D" w14:textId="77777777" w:rsidR="002C028A" w:rsidRDefault="002C028A" w:rsidP="008B3BCF">
      <w:pPr>
        <w:spacing w:line="360" w:lineRule="auto"/>
        <w:rPr>
          <w:rFonts w:ascii="Times New Roman" w:eastAsiaTheme="minorEastAsia" w:hAnsi="Times New Roman" w:cs="Times New Roman"/>
        </w:rPr>
      </w:pPr>
    </w:p>
    <w:p w14:paraId="5C6C42B1" w14:textId="77777777" w:rsidR="002C028A" w:rsidRDefault="002C028A" w:rsidP="008B3BCF">
      <w:pPr>
        <w:spacing w:line="360" w:lineRule="auto"/>
        <w:rPr>
          <w:rFonts w:ascii="Times New Roman" w:eastAsiaTheme="minorEastAsia" w:hAnsi="Times New Roman" w:cs="Times New Roman"/>
        </w:rPr>
      </w:pPr>
    </w:p>
    <w:p w14:paraId="0D2E9F2F" w14:textId="77777777" w:rsidR="002C028A" w:rsidRDefault="002C028A" w:rsidP="008B3BCF">
      <w:pPr>
        <w:spacing w:line="360" w:lineRule="auto"/>
        <w:rPr>
          <w:rFonts w:ascii="Times New Roman" w:eastAsiaTheme="minorEastAsia" w:hAnsi="Times New Roman" w:cs="Times New Roman"/>
        </w:rPr>
      </w:pPr>
    </w:p>
    <w:p w14:paraId="45B94D4F" w14:textId="77777777" w:rsidR="002C028A" w:rsidRDefault="002C028A" w:rsidP="008B3BCF">
      <w:pPr>
        <w:spacing w:line="360" w:lineRule="auto"/>
        <w:rPr>
          <w:rFonts w:ascii="Times New Roman" w:eastAsiaTheme="minorEastAsia" w:hAnsi="Times New Roman" w:cs="Times New Roman"/>
        </w:rPr>
      </w:pPr>
    </w:p>
    <w:p w14:paraId="1BA42F69" w14:textId="77777777" w:rsidR="002C028A" w:rsidRDefault="002C028A" w:rsidP="008B3BCF">
      <w:pPr>
        <w:spacing w:line="360" w:lineRule="auto"/>
        <w:rPr>
          <w:rFonts w:ascii="Times New Roman" w:eastAsiaTheme="minorEastAsia" w:hAnsi="Times New Roman" w:cs="Times New Roman"/>
        </w:rPr>
      </w:pPr>
    </w:p>
    <w:p w14:paraId="4A8FD36F" w14:textId="77777777" w:rsidR="002C028A" w:rsidRDefault="002C028A" w:rsidP="008B3BCF">
      <w:pPr>
        <w:spacing w:line="360" w:lineRule="auto"/>
        <w:rPr>
          <w:rFonts w:ascii="Times New Roman" w:eastAsiaTheme="minorEastAsia" w:hAnsi="Times New Roman" w:cs="Times New Roman"/>
        </w:rPr>
      </w:pPr>
    </w:p>
    <w:p w14:paraId="044B0F8D" w14:textId="4C57421B" w:rsidR="00670343" w:rsidRPr="0027163B" w:rsidRDefault="00A2593C" w:rsidP="008B3BCF">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lastRenderedPageBreak/>
        <w:t>and had the highest average cure shrinkage.</w:t>
      </w:r>
      <w:r w:rsidR="0027163B">
        <w:rPr>
          <w:rFonts w:ascii="Times New Roman" w:eastAsiaTheme="minorEastAsia" w:hAnsi="Times New Roman" w:cs="Times New Roman"/>
        </w:rPr>
        <w:t xml:space="preserve">  </w:t>
      </w:r>
      <w:r w:rsidR="00670343" w:rsidRPr="008B3BCF">
        <w:rPr>
          <w:rFonts w:ascii="Times New Roman" w:hAnsi="Times New Roman" w:cs="Times New Roman"/>
        </w:rPr>
        <w:t xml:space="preserve">A summary of the UV polymer cure test results is given in </w:t>
      </w:r>
      <w:r w:rsidR="00444E61" w:rsidRPr="00444E61">
        <w:rPr>
          <w:rFonts w:ascii="Times New Roman" w:hAnsi="Times New Roman" w:cs="Times New Roman"/>
          <w:highlight w:val="yellow"/>
        </w:rPr>
        <w:fldChar w:fldCharType="begin"/>
      </w:r>
      <w:r w:rsidR="00444E61" w:rsidRPr="00444E61">
        <w:rPr>
          <w:rFonts w:ascii="Times New Roman" w:hAnsi="Times New Roman" w:cs="Times New Roman"/>
        </w:rPr>
        <w:instrText xml:space="preserve"> REF _Ref100926965 \h </w:instrText>
      </w:r>
      <w:r w:rsidR="00444E61">
        <w:rPr>
          <w:rFonts w:ascii="Times New Roman" w:hAnsi="Times New Roman" w:cs="Times New Roman"/>
          <w:highlight w:val="yellow"/>
        </w:rPr>
        <w:instrText xml:space="preserve"> \* MERGEFORMAT </w:instrText>
      </w:r>
      <w:r w:rsidR="00444E61" w:rsidRPr="00444E61">
        <w:rPr>
          <w:rFonts w:ascii="Times New Roman" w:hAnsi="Times New Roman" w:cs="Times New Roman"/>
          <w:highlight w:val="yellow"/>
        </w:rPr>
      </w:r>
      <w:r w:rsidR="00444E61" w:rsidRPr="00444E61">
        <w:rPr>
          <w:rFonts w:ascii="Times New Roman" w:hAnsi="Times New Roman" w:cs="Times New Roman"/>
          <w:highlight w:val="yellow"/>
        </w:rPr>
        <w:fldChar w:fldCharType="separate"/>
      </w:r>
      <w:r w:rsidR="002C028A" w:rsidRPr="002C028A">
        <w:rPr>
          <w:rFonts w:ascii="Times New Roman" w:hAnsi="Times New Roman" w:cs="Times New Roman"/>
        </w:rPr>
        <w:t xml:space="preserve">Table </w:t>
      </w:r>
      <w:r w:rsidR="002C028A" w:rsidRPr="002C028A">
        <w:rPr>
          <w:rFonts w:ascii="Times New Roman" w:hAnsi="Times New Roman" w:cs="Times New Roman"/>
          <w:noProof/>
        </w:rPr>
        <w:t>3</w:t>
      </w:r>
      <w:r w:rsidR="00444E61" w:rsidRPr="00444E61">
        <w:rPr>
          <w:rFonts w:ascii="Times New Roman" w:hAnsi="Times New Roman" w:cs="Times New Roman"/>
          <w:highlight w:val="yellow"/>
        </w:rPr>
        <w:fldChar w:fldCharType="end"/>
      </w:r>
      <w:r w:rsidR="00670343" w:rsidRPr="008B3BCF">
        <w:rPr>
          <w:rFonts w:ascii="Times New Roman" w:hAnsi="Times New Roman" w:cs="Times New Roman"/>
        </w:rPr>
        <w:t>.</w:t>
      </w:r>
    </w:p>
    <w:p w14:paraId="620EF18B" w14:textId="77777777" w:rsidR="00D3572E" w:rsidRPr="00670343" w:rsidRDefault="00D3572E" w:rsidP="009D06D1">
      <w:pPr>
        <w:pStyle w:val="Heading3"/>
      </w:pPr>
      <w:bookmarkStart w:id="86" w:name="_Toc101701743"/>
      <w:r w:rsidRPr="008B3BCF">
        <w:t>4.7 Formulation down selection and thermal treatment characterization</w:t>
      </w:r>
      <w:bookmarkEnd w:id="86"/>
    </w:p>
    <w:p w14:paraId="72554932" w14:textId="77777777" w:rsidR="00D3572E" w:rsidRPr="008B3BCF" w:rsidRDefault="00D3572E" w:rsidP="00D3572E">
      <w:pPr>
        <w:spacing w:line="360" w:lineRule="auto"/>
        <w:rPr>
          <w:rFonts w:ascii="Times New Roman" w:hAnsi="Times New Roman" w:cs="Times New Roman"/>
        </w:rPr>
      </w:pPr>
      <w:r w:rsidRPr="008B3BCF">
        <w:rPr>
          <w:rFonts w:ascii="Times New Roman" w:hAnsi="Times New Roman" w:cs="Times New Roman"/>
        </w:rPr>
        <w:t>To demonstrate the viability of Bis-EMA/PETIA formulations in a composite tooling application, the 20 wt% PETIA formulation was selected for a tooling case study. Both the 10 and 20 wt% PETIA formulations had a T</w:t>
      </w:r>
      <w:r w:rsidRPr="008B3BCF">
        <w:rPr>
          <w:rFonts w:ascii="Times New Roman" w:hAnsi="Times New Roman" w:cs="Times New Roman"/>
          <w:vertAlign w:val="subscript"/>
        </w:rPr>
        <w:t xml:space="preserve">g </w:t>
      </w:r>
      <w:r w:rsidRPr="008B3BCF">
        <w:rPr>
          <w:rFonts w:ascii="Times New Roman" w:hAnsi="Times New Roman" w:cs="Times New Roman"/>
        </w:rPr>
        <w:t>comparable to or higher than the baseline Bis-EMA, but the 10 wt% PETIA formulation had a lower tensile modulus and lower hardness ratio than the 20 wt% PETIA formulation. The tensile modulus was highest for the baseline Bis-EMA and lowest with 10 wt% PETIA. Because of its improved bottom surface hardness and acceptable T</w:t>
      </w:r>
      <w:r w:rsidRPr="008B3BCF">
        <w:rPr>
          <w:rFonts w:ascii="Times New Roman" w:hAnsi="Times New Roman" w:cs="Times New Roman"/>
          <w:vertAlign w:val="subscript"/>
        </w:rPr>
        <w:t xml:space="preserve">g </w:t>
      </w:r>
      <w:r w:rsidRPr="008B3BCF">
        <w:rPr>
          <w:rFonts w:ascii="Times New Roman" w:hAnsi="Times New Roman" w:cs="Times New Roman"/>
        </w:rPr>
        <w:t>, the 20 wt% PETIA formulation was selected for further study.</w:t>
      </w:r>
    </w:p>
    <w:p w14:paraId="4CE5EBFD" w14:textId="77777777" w:rsidR="00D3572E" w:rsidRDefault="00D3572E" w:rsidP="00D3572E">
      <w:pPr>
        <w:spacing w:line="360" w:lineRule="auto"/>
        <w:rPr>
          <w:rFonts w:ascii="Times New Roman" w:hAnsi="Times New Roman" w:cs="Times New Roman"/>
        </w:rPr>
      </w:pPr>
    </w:p>
    <w:p w14:paraId="2B9B273F" w14:textId="5ECD5F35" w:rsidR="00D3572E" w:rsidRPr="008B3BCF" w:rsidRDefault="00D3572E" w:rsidP="00D3572E">
      <w:pPr>
        <w:spacing w:line="360" w:lineRule="auto"/>
        <w:rPr>
          <w:rFonts w:ascii="Times New Roman" w:hAnsi="Times New Roman" w:cs="Times New Roman"/>
        </w:rPr>
      </w:pPr>
      <w:r w:rsidRPr="008B3BCF">
        <w:rPr>
          <w:rFonts w:ascii="Times New Roman" w:hAnsi="Times New Roman" w:cs="Times New Roman"/>
        </w:rPr>
        <w:t xml:space="preserve">To understand the effects of elevated temperature service on the UV cured polymers, 3mm thick tensile dog bone specimens were prepared from the 20 wt% PETIA formula and subjected to thermal treatment at 135 </w:t>
      </w:r>
      <w:r w:rsidRPr="008B3BCF">
        <w:rPr>
          <w:rFonts w:ascii="Times New Roman" w:hAnsi="Times New Roman" w:cs="Times New Roman"/>
        </w:rPr>
        <w:sym w:font="Symbol" w:char="F0B0"/>
      </w:r>
      <w:r w:rsidRPr="008B3BCF">
        <w:rPr>
          <w:rFonts w:ascii="Times New Roman" w:hAnsi="Times New Roman" w:cs="Times New Roman"/>
        </w:rPr>
        <w:t xml:space="preserve">C (275 °F)  for 10 hours and 20 hours. These specimens were characterized by tensile testing, TGA and FTIR.  In </w:t>
      </w:r>
      <w:r w:rsidR="00855B80" w:rsidRPr="00855B80">
        <w:rPr>
          <w:rFonts w:ascii="Times New Roman" w:hAnsi="Times New Roman" w:cs="Times New Roman"/>
        </w:rPr>
        <w:fldChar w:fldCharType="begin"/>
      </w:r>
      <w:r w:rsidR="00855B80" w:rsidRPr="00855B80">
        <w:rPr>
          <w:rFonts w:ascii="Times New Roman" w:hAnsi="Times New Roman" w:cs="Times New Roman"/>
        </w:rPr>
        <w:instrText xml:space="preserve"> REF _Ref100927360 \h </w:instrText>
      </w:r>
      <w:r w:rsidR="00855B80">
        <w:rPr>
          <w:rFonts w:ascii="Times New Roman" w:hAnsi="Times New Roman" w:cs="Times New Roman"/>
        </w:rPr>
        <w:instrText xml:space="preserve"> \* MERGEFORMAT </w:instrText>
      </w:r>
      <w:r w:rsidR="00855B80" w:rsidRPr="00855B80">
        <w:rPr>
          <w:rFonts w:ascii="Times New Roman" w:hAnsi="Times New Roman" w:cs="Times New Roman"/>
        </w:rPr>
      </w:r>
      <w:r w:rsidR="00855B80" w:rsidRPr="00855B80">
        <w:rPr>
          <w:rFonts w:ascii="Times New Roman" w:hAnsi="Times New Roman" w:cs="Times New Roman"/>
        </w:rPr>
        <w:fldChar w:fldCharType="separate"/>
      </w:r>
      <w:r w:rsidR="002C028A" w:rsidRPr="002C028A">
        <w:rPr>
          <w:rFonts w:ascii="Times New Roman" w:hAnsi="Times New Roman" w:cs="Times New Roman"/>
        </w:rPr>
        <w:t xml:space="preserve">Figure </w:t>
      </w:r>
      <w:r w:rsidR="002C028A" w:rsidRPr="002C028A">
        <w:rPr>
          <w:rFonts w:ascii="Times New Roman" w:hAnsi="Times New Roman" w:cs="Times New Roman"/>
          <w:noProof/>
        </w:rPr>
        <w:t>22</w:t>
      </w:r>
      <w:r w:rsidR="00855B80" w:rsidRPr="00855B80">
        <w:rPr>
          <w:rFonts w:ascii="Times New Roman" w:hAnsi="Times New Roman" w:cs="Times New Roman"/>
        </w:rPr>
        <w:fldChar w:fldCharType="end"/>
      </w:r>
      <w:r w:rsidRPr="008B3BCF">
        <w:rPr>
          <w:rFonts w:ascii="Times New Roman" w:hAnsi="Times New Roman" w:cs="Times New Roman"/>
        </w:rPr>
        <w:t xml:space="preserve">, the TGA results show that the UV only baseline, 10 hr and 20 hr thermal treatment specimens all saw onset of significant mass loss between 370 – 390 </w:t>
      </w:r>
      <w:r w:rsidRPr="008B3BCF">
        <w:rPr>
          <w:rFonts w:ascii="Times New Roman" w:hAnsi="Times New Roman" w:cs="Times New Roman"/>
        </w:rPr>
        <w:sym w:font="Symbol" w:char="F0B0"/>
      </w:r>
      <w:r w:rsidRPr="008B3BCF">
        <w:rPr>
          <w:rFonts w:ascii="Times New Roman" w:hAnsi="Times New Roman" w:cs="Times New Roman"/>
        </w:rPr>
        <w:t xml:space="preserve">C (700 – 735 °F) under a nitrogen atmosphere. </w:t>
      </w:r>
    </w:p>
    <w:p w14:paraId="7A3D69A9" w14:textId="77777777" w:rsidR="00D3572E" w:rsidRDefault="00D3572E" w:rsidP="00D3572E">
      <w:pPr>
        <w:spacing w:line="360" w:lineRule="auto"/>
        <w:rPr>
          <w:rFonts w:ascii="Times New Roman" w:hAnsi="Times New Roman" w:cs="Times New Roman"/>
        </w:rPr>
      </w:pPr>
    </w:p>
    <w:p w14:paraId="210B6711" w14:textId="7951E18D" w:rsidR="00D3572E" w:rsidRDefault="00D3572E" w:rsidP="00D3572E">
      <w:pPr>
        <w:spacing w:line="360" w:lineRule="auto"/>
        <w:rPr>
          <w:rFonts w:ascii="Times New Roman" w:hAnsi="Times New Roman" w:cs="Times New Roman"/>
        </w:rPr>
      </w:pPr>
      <w:r w:rsidRPr="008B3BCF">
        <w:rPr>
          <w:rFonts w:ascii="Times New Roman" w:hAnsi="Times New Roman" w:cs="Times New Roman"/>
        </w:rPr>
        <w:t xml:space="preserve">Tensile and FTIR results are given in </w:t>
      </w:r>
      <w:r w:rsidR="00444E61" w:rsidRPr="00444E61">
        <w:rPr>
          <w:rFonts w:ascii="Times New Roman" w:hAnsi="Times New Roman" w:cs="Times New Roman"/>
          <w:highlight w:val="yellow"/>
        </w:rPr>
        <w:fldChar w:fldCharType="begin"/>
      </w:r>
      <w:r w:rsidR="00444E61" w:rsidRPr="00444E61">
        <w:rPr>
          <w:rFonts w:ascii="Times New Roman" w:hAnsi="Times New Roman" w:cs="Times New Roman"/>
        </w:rPr>
        <w:instrText xml:space="preserve"> REF _Ref100927273 \h </w:instrText>
      </w:r>
      <w:r w:rsidR="00444E61">
        <w:rPr>
          <w:rFonts w:ascii="Times New Roman" w:hAnsi="Times New Roman" w:cs="Times New Roman"/>
          <w:highlight w:val="yellow"/>
        </w:rPr>
        <w:instrText xml:space="preserve"> \* MERGEFORMAT </w:instrText>
      </w:r>
      <w:r w:rsidR="00444E61" w:rsidRPr="00444E61">
        <w:rPr>
          <w:rFonts w:ascii="Times New Roman" w:hAnsi="Times New Roman" w:cs="Times New Roman"/>
          <w:highlight w:val="yellow"/>
        </w:rPr>
      </w:r>
      <w:r w:rsidR="00444E61" w:rsidRPr="00444E61">
        <w:rPr>
          <w:rFonts w:ascii="Times New Roman" w:hAnsi="Times New Roman" w:cs="Times New Roman"/>
          <w:highlight w:val="yellow"/>
        </w:rPr>
        <w:fldChar w:fldCharType="separate"/>
      </w:r>
      <w:r w:rsidR="00F55515" w:rsidRPr="00F55515">
        <w:rPr>
          <w:rFonts w:ascii="Times New Roman" w:hAnsi="Times New Roman" w:cs="Times New Roman"/>
        </w:rPr>
        <w:t xml:space="preserve">Table </w:t>
      </w:r>
      <w:r w:rsidR="00F55515" w:rsidRPr="00F55515">
        <w:rPr>
          <w:rFonts w:ascii="Times New Roman" w:hAnsi="Times New Roman" w:cs="Times New Roman"/>
          <w:noProof/>
        </w:rPr>
        <w:t>4</w:t>
      </w:r>
      <w:r w:rsidR="00444E61" w:rsidRPr="00444E61">
        <w:rPr>
          <w:rFonts w:ascii="Times New Roman" w:hAnsi="Times New Roman" w:cs="Times New Roman"/>
          <w:highlight w:val="yellow"/>
        </w:rPr>
        <w:fldChar w:fldCharType="end"/>
      </w:r>
      <w:r w:rsidRPr="008B3BCF">
        <w:rPr>
          <w:rFonts w:ascii="Times New Roman" w:hAnsi="Times New Roman" w:cs="Times New Roman"/>
        </w:rPr>
        <w:t>. The average initial tangent modulus increased from 2.24 GPa with no thermal treatment to 2.57 GPa after 20 hours of thermal treatment, and multiple comparison of means confirms that this increase is statistically significant. At 10 hours of thermal treatment, the increase to 2.47 GPa did not differ significantly from the baseline 2.24 GPa tensile modulus.</w:t>
      </w:r>
    </w:p>
    <w:p w14:paraId="1D321FDD" w14:textId="000AD072" w:rsidR="00D3572E" w:rsidRDefault="00D3572E" w:rsidP="008B3BCF">
      <w:pPr>
        <w:spacing w:line="360" w:lineRule="auto"/>
        <w:rPr>
          <w:rFonts w:ascii="Times New Roman" w:hAnsi="Times New Roman" w:cs="Times New Roman"/>
        </w:rPr>
      </w:pPr>
    </w:p>
    <w:p w14:paraId="39EB463C" w14:textId="7E3D8758" w:rsidR="00F55515" w:rsidRPr="008B3BCF" w:rsidRDefault="00F55515" w:rsidP="008B3BCF">
      <w:pPr>
        <w:spacing w:line="360" w:lineRule="auto"/>
        <w:rPr>
          <w:rFonts w:ascii="Times New Roman" w:hAnsi="Times New Roman" w:cs="Times New Roman"/>
        </w:rPr>
      </w:pPr>
      <w:r w:rsidRPr="008B3BCF">
        <w:rPr>
          <w:rFonts w:ascii="Times New Roman" w:hAnsi="Times New Roman" w:cs="Times New Roman"/>
        </w:rPr>
        <w:t>The FTIR results provide an indication of the extent of curing in the 20 wt% formula at the different levels of thermal treatment. Note that the DC does not reach 100% at any</w:t>
      </w:r>
      <w:r w:rsidR="00477D75">
        <w:rPr>
          <w:rFonts w:ascii="Times New Roman" w:hAnsi="Times New Roman" w:cs="Times New Roman"/>
        </w:rPr>
        <w:t xml:space="preserve"> </w:t>
      </w:r>
      <w:r w:rsidR="00477D75" w:rsidRPr="008B3BCF">
        <w:rPr>
          <w:rFonts w:ascii="Times New Roman" w:hAnsi="Times New Roman" w:cs="Times New Roman"/>
        </w:rPr>
        <w:t xml:space="preserve">point, which is typical for a glassy polymer system due to vitrification </w:t>
      </w:r>
      <w:r w:rsidR="00477D75" w:rsidRPr="008B3BCF">
        <w:rPr>
          <w:rFonts w:ascii="Times New Roman" w:hAnsi="Times New Roman" w:cs="Times New Roman"/>
        </w:rPr>
        <w:fldChar w:fldCharType="begin" w:fldLock="1"/>
      </w:r>
      <w:r w:rsidR="00477D75">
        <w:rPr>
          <w:rFonts w:ascii="Times New Roman" w:hAnsi="Times New Roman" w:cs="Times New Roman"/>
        </w:rPr>
        <w:instrText>ADDIN CSL_CITATION {"citationItems":[{"id":"ITEM-1","itemData":{"DOI":"10.1002/marc.200290014","ISSN":"10221336","abstract":"Highly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Communications","id":"ITEM-1","issue":"18","issued":{"date-parts":[["2002","12","20"]]},"page":"1067-1093","publisher":"John Wiley &amp; Sons, Ltd","title":"Kinetic study and new applications of UV radiation curing","type":"article-journal","volume":"23"},"uris":["http://www.mendeley.com/documents/?uuid=c60ec8b8-eb0a-3a6c-bb8f-715b6e36c30e"]}],"mendeley":{"formattedCitation":"[40]","plainTextFormattedCitation":"[40]","previouslyFormattedCitation":"[40]"},"properties":{"noteIndex":0},"schema":"https://github.com/citation-style-language/schema/raw/master/csl-citation.json"}</w:instrText>
      </w:r>
      <w:r w:rsidR="00477D75" w:rsidRPr="008B3BCF">
        <w:rPr>
          <w:rFonts w:ascii="Times New Roman" w:hAnsi="Times New Roman" w:cs="Times New Roman"/>
        </w:rPr>
        <w:fldChar w:fldCharType="separate"/>
      </w:r>
      <w:r w:rsidR="00477D75" w:rsidRPr="00BF7344">
        <w:rPr>
          <w:rFonts w:ascii="Times New Roman" w:hAnsi="Times New Roman" w:cs="Times New Roman"/>
          <w:noProof/>
        </w:rPr>
        <w:t>[40]</w:t>
      </w:r>
      <w:r w:rsidR="00477D75" w:rsidRPr="008B3BCF">
        <w:rPr>
          <w:rFonts w:ascii="Times New Roman" w:hAnsi="Times New Roman" w:cs="Times New Roman"/>
        </w:rPr>
        <w:fldChar w:fldCharType="end"/>
      </w:r>
      <w:r w:rsidR="00477D75" w:rsidRPr="008B3BCF">
        <w:rPr>
          <w:rFonts w:ascii="Times New Roman" w:hAnsi="Times New Roman" w:cs="Times New Roman"/>
        </w:rPr>
        <w:t>.  The UV</w:t>
      </w:r>
    </w:p>
    <w:p w14:paraId="3EE4D4D7" w14:textId="4982A8BD" w:rsidR="00444E61" w:rsidRDefault="00444E61" w:rsidP="00444E61">
      <w:pPr>
        <w:keepNext/>
        <w:spacing w:line="360" w:lineRule="auto"/>
        <w:jc w:val="center"/>
      </w:pPr>
    </w:p>
    <w:p w14:paraId="4E59539B" w14:textId="77777777" w:rsidR="00444E61" w:rsidRDefault="008B3BCF" w:rsidP="00444E61">
      <w:pPr>
        <w:keepNext/>
        <w:spacing w:line="360" w:lineRule="auto"/>
        <w:jc w:val="center"/>
      </w:pPr>
      <w:r w:rsidRPr="008B3BCF">
        <w:rPr>
          <w:rFonts w:ascii="Times New Roman" w:hAnsi="Times New Roman" w:cs="Times New Roman"/>
          <w:noProof/>
        </w:rPr>
        <w:drawing>
          <wp:inline distT="0" distB="0" distL="0" distR="0" wp14:anchorId="267806AF" wp14:editId="2E1902B4">
            <wp:extent cx="3990975" cy="3388716"/>
            <wp:effectExtent l="0" t="0" r="0" b="254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936" t="7128" r="10417" b="4403"/>
                    <a:stretch/>
                  </pic:blipFill>
                  <pic:spPr bwMode="auto">
                    <a:xfrm>
                      <a:off x="0" y="0"/>
                      <a:ext cx="4007493" cy="3402741"/>
                    </a:xfrm>
                    <a:prstGeom prst="rect">
                      <a:avLst/>
                    </a:prstGeom>
                    <a:noFill/>
                    <a:ln>
                      <a:noFill/>
                    </a:ln>
                    <a:extLst>
                      <a:ext uri="{53640926-AAD7-44D8-BBD7-CCE9431645EC}">
                        <a14:shadowObscured xmlns:a14="http://schemas.microsoft.com/office/drawing/2010/main"/>
                      </a:ext>
                    </a:extLst>
                  </pic:spPr>
                </pic:pic>
              </a:graphicData>
            </a:graphic>
          </wp:inline>
        </w:drawing>
      </w:r>
    </w:p>
    <w:p w14:paraId="397D83E7" w14:textId="0371FA69" w:rsidR="008B3BCF" w:rsidRPr="008B3BCF" w:rsidRDefault="00444E61" w:rsidP="00F20503">
      <w:pPr>
        <w:pStyle w:val="Caption"/>
      </w:pPr>
      <w:bookmarkStart w:id="87" w:name="_Ref100927147"/>
      <w:bookmarkStart w:id="88" w:name="_Toc101365683"/>
      <w:r>
        <w:t xml:space="preserve">Figure </w:t>
      </w:r>
      <w:r w:rsidR="002F73EC">
        <w:fldChar w:fldCharType="begin"/>
      </w:r>
      <w:r w:rsidR="002F73EC">
        <w:instrText xml:space="preserve"> SEQ Figure \* ARABIC </w:instrText>
      </w:r>
      <w:r w:rsidR="002F73EC">
        <w:fldChar w:fldCharType="separate"/>
      </w:r>
      <w:r w:rsidR="00BF5717">
        <w:rPr>
          <w:noProof/>
        </w:rPr>
        <w:t>21</w:t>
      </w:r>
      <w:r w:rsidR="002F73EC">
        <w:rPr>
          <w:noProof/>
        </w:rPr>
        <w:fldChar w:fldCharType="end"/>
      </w:r>
      <w:bookmarkEnd w:id="87"/>
      <w:r>
        <w:t xml:space="preserve"> </w:t>
      </w:r>
      <w:r w:rsidRPr="008B3BCF">
        <w:t>Change in cure-induced shrinkage with PETIA content, showing a slight increase with higher PETIA levels</w:t>
      </w:r>
      <w:r>
        <w:t>.</w:t>
      </w:r>
      <w:bookmarkEnd w:id="88"/>
    </w:p>
    <w:p w14:paraId="62327051" w14:textId="71AE883A" w:rsidR="00670343" w:rsidRDefault="00670343" w:rsidP="00F20503">
      <w:pPr>
        <w:pStyle w:val="Caption"/>
      </w:pPr>
    </w:p>
    <w:p w14:paraId="1F256F41" w14:textId="31F1DF56" w:rsidR="008B3BCF" w:rsidRPr="008B3BCF" w:rsidRDefault="008B3BCF" w:rsidP="00F20503">
      <w:pPr>
        <w:pStyle w:val="Caption"/>
      </w:pPr>
      <w:r w:rsidRPr="008B3BCF">
        <w:rPr>
          <w:i/>
        </w:rPr>
        <w:fldChar w:fldCharType="begin"/>
      </w:r>
      <w:r w:rsidRPr="008B3BCF">
        <w:instrText xml:space="preserve"> LINK </w:instrText>
      </w:r>
      <w:r w:rsidR="002F73EC">
        <w:instrText xml:space="preserve">Excel.Sheet.12 "P:\\Dissertation\\5.0 Figures\\PETIA Paper\\PETIA_summary of results.xlsx" Sheet1!R4C2:R11C9 </w:instrText>
      </w:r>
      <w:r w:rsidRPr="008B3BCF">
        <w:instrText xml:space="preserve">\a \f 4 \h  \* MERGEFORMAT </w:instrText>
      </w:r>
      <w:r w:rsidRPr="008B3BCF">
        <w:rPr>
          <w:i/>
        </w:rPr>
        <w:fldChar w:fldCharType="separate"/>
      </w:r>
    </w:p>
    <w:p w14:paraId="53BB8894" w14:textId="2377FB9E" w:rsidR="00754F1D" w:rsidRDefault="00754F1D" w:rsidP="00F20503">
      <w:pPr>
        <w:pStyle w:val="Caption"/>
      </w:pPr>
      <w:bookmarkStart w:id="89" w:name="_Ref100926965"/>
      <w:bookmarkStart w:id="90" w:name="_Toc101382364"/>
      <w:r>
        <w:t xml:space="preserve">Table </w:t>
      </w:r>
      <w:r w:rsidR="002F73EC">
        <w:fldChar w:fldCharType="begin"/>
      </w:r>
      <w:r w:rsidR="002F73EC">
        <w:instrText xml:space="preserve"> SEQ Table \* ARABIC </w:instrText>
      </w:r>
      <w:r w:rsidR="002F73EC">
        <w:fldChar w:fldCharType="separate"/>
      </w:r>
      <w:r w:rsidR="00B30A2A">
        <w:rPr>
          <w:noProof/>
        </w:rPr>
        <w:t>3</w:t>
      </w:r>
      <w:r w:rsidR="002F73EC">
        <w:rPr>
          <w:noProof/>
        </w:rPr>
        <w:fldChar w:fldCharType="end"/>
      </w:r>
      <w:bookmarkEnd w:id="89"/>
      <w:r>
        <w:t xml:space="preserve"> </w:t>
      </w:r>
      <w:r w:rsidRPr="008B3BCF">
        <w:t>Summary of UV cured polymer test results. Increasing PETIA content consistently improves through thickness cure response, can improve Tg at low levels and causes some increase in cure-induced shrinkage</w:t>
      </w:r>
      <w:r>
        <w:t>.</w:t>
      </w:r>
      <w:bookmarkEnd w:id="90"/>
    </w:p>
    <w:tbl>
      <w:tblPr>
        <w:tblW w:w="9212" w:type="dxa"/>
        <w:tblLook w:val="04A0" w:firstRow="1" w:lastRow="0" w:firstColumn="1" w:lastColumn="0" w:noHBand="0" w:noVBand="1"/>
      </w:tblPr>
      <w:tblGrid>
        <w:gridCol w:w="1400"/>
        <w:gridCol w:w="276"/>
        <w:gridCol w:w="1402"/>
        <w:gridCol w:w="1402"/>
        <w:gridCol w:w="1256"/>
        <w:gridCol w:w="276"/>
        <w:gridCol w:w="1300"/>
        <w:gridCol w:w="1900"/>
      </w:tblGrid>
      <w:tr w:rsidR="008B3BCF" w:rsidRPr="008B3BCF" w14:paraId="495A0AF5" w14:textId="77777777" w:rsidTr="00754F1D">
        <w:trPr>
          <w:trHeight w:val="288"/>
        </w:trPr>
        <w:tc>
          <w:tcPr>
            <w:tcW w:w="1400" w:type="dxa"/>
            <w:tcBorders>
              <w:top w:val="nil"/>
              <w:left w:val="nil"/>
              <w:bottom w:val="nil"/>
              <w:right w:val="nil"/>
            </w:tcBorders>
            <w:shd w:val="clear" w:color="000000" w:fill="FFFFFF"/>
            <w:noWrap/>
            <w:vAlign w:val="bottom"/>
            <w:hideMark/>
          </w:tcPr>
          <w:p w14:paraId="7A29C98F"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w:t>
            </w:r>
          </w:p>
        </w:tc>
        <w:tc>
          <w:tcPr>
            <w:tcW w:w="276" w:type="dxa"/>
            <w:tcBorders>
              <w:top w:val="nil"/>
              <w:left w:val="nil"/>
              <w:bottom w:val="nil"/>
              <w:right w:val="nil"/>
            </w:tcBorders>
            <w:shd w:val="clear" w:color="000000" w:fill="FFFFFF"/>
            <w:noWrap/>
            <w:vAlign w:val="bottom"/>
            <w:hideMark/>
          </w:tcPr>
          <w:p w14:paraId="30265A17"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w:t>
            </w:r>
          </w:p>
        </w:tc>
        <w:tc>
          <w:tcPr>
            <w:tcW w:w="4060" w:type="dxa"/>
            <w:gridSpan w:val="3"/>
            <w:tcBorders>
              <w:top w:val="nil"/>
              <w:left w:val="nil"/>
              <w:bottom w:val="single" w:sz="4" w:space="0" w:color="auto"/>
              <w:right w:val="nil"/>
            </w:tcBorders>
            <w:shd w:val="clear" w:color="000000" w:fill="FFFFFF"/>
            <w:noWrap/>
            <w:vAlign w:val="bottom"/>
            <w:hideMark/>
          </w:tcPr>
          <w:p w14:paraId="4A5AEC36"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Vickers Hardness</w:t>
            </w:r>
          </w:p>
        </w:tc>
        <w:tc>
          <w:tcPr>
            <w:tcW w:w="276" w:type="dxa"/>
            <w:tcBorders>
              <w:top w:val="nil"/>
              <w:left w:val="nil"/>
              <w:bottom w:val="nil"/>
              <w:right w:val="nil"/>
            </w:tcBorders>
            <w:shd w:val="clear" w:color="000000" w:fill="FFFFFF"/>
            <w:noWrap/>
            <w:vAlign w:val="bottom"/>
            <w:hideMark/>
          </w:tcPr>
          <w:p w14:paraId="1D24B4E0"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243BC660"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900" w:type="dxa"/>
            <w:tcBorders>
              <w:top w:val="nil"/>
              <w:left w:val="nil"/>
              <w:bottom w:val="nil"/>
              <w:right w:val="nil"/>
            </w:tcBorders>
            <w:shd w:val="clear" w:color="000000" w:fill="FFFFFF"/>
            <w:noWrap/>
            <w:vAlign w:val="bottom"/>
            <w:hideMark/>
          </w:tcPr>
          <w:p w14:paraId="243611E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r>
      <w:tr w:rsidR="008B3BCF" w:rsidRPr="008B3BCF" w14:paraId="1FAA6FDD" w14:textId="77777777" w:rsidTr="00754F1D">
        <w:trPr>
          <w:trHeight w:val="300"/>
        </w:trPr>
        <w:tc>
          <w:tcPr>
            <w:tcW w:w="1400" w:type="dxa"/>
            <w:tcBorders>
              <w:top w:val="nil"/>
              <w:left w:val="nil"/>
              <w:bottom w:val="single" w:sz="8" w:space="0" w:color="auto"/>
              <w:right w:val="nil"/>
            </w:tcBorders>
            <w:shd w:val="clear" w:color="000000" w:fill="FFFFFF"/>
            <w:noWrap/>
            <w:vAlign w:val="bottom"/>
            <w:hideMark/>
          </w:tcPr>
          <w:p w14:paraId="1E6347C0"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wt% PETIA</w:t>
            </w:r>
          </w:p>
        </w:tc>
        <w:tc>
          <w:tcPr>
            <w:tcW w:w="276" w:type="dxa"/>
            <w:tcBorders>
              <w:top w:val="nil"/>
              <w:left w:val="nil"/>
              <w:bottom w:val="single" w:sz="8" w:space="0" w:color="auto"/>
              <w:right w:val="nil"/>
            </w:tcBorders>
            <w:shd w:val="clear" w:color="000000" w:fill="FFFFFF"/>
            <w:noWrap/>
            <w:vAlign w:val="bottom"/>
            <w:hideMark/>
          </w:tcPr>
          <w:p w14:paraId="61C4560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single" w:sz="8" w:space="0" w:color="auto"/>
              <w:right w:val="nil"/>
            </w:tcBorders>
            <w:shd w:val="clear" w:color="000000" w:fill="FFFFFF"/>
            <w:noWrap/>
            <w:vAlign w:val="bottom"/>
            <w:hideMark/>
          </w:tcPr>
          <w:p w14:paraId="442657F6"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Top</w:t>
            </w:r>
          </w:p>
        </w:tc>
        <w:tc>
          <w:tcPr>
            <w:tcW w:w="1402" w:type="dxa"/>
            <w:tcBorders>
              <w:top w:val="nil"/>
              <w:left w:val="nil"/>
              <w:bottom w:val="single" w:sz="8" w:space="0" w:color="auto"/>
              <w:right w:val="nil"/>
            </w:tcBorders>
            <w:shd w:val="clear" w:color="000000" w:fill="FFFFFF"/>
            <w:noWrap/>
            <w:vAlign w:val="bottom"/>
            <w:hideMark/>
          </w:tcPr>
          <w:p w14:paraId="0E09626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Bottom</w:t>
            </w:r>
          </w:p>
        </w:tc>
        <w:tc>
          <w:tcPr>
            <w:tcW w:w="1256" w:type="dxa"/>
            <w:tcBorders>
              <w:top w:val="nil"/>
              <w:left w:val="nil"/>
              <w:bottom w:val="single" w:sz="8" w:space="0" w:color="auto"/>
              <w:right w:val="nil"/>
            </w:tcBorders>
            <w:shd w:val="clear" w:color="000000" w:fill="FFFFFF"/>
            <w:noWrap/>
            <w:vAlign w:val="bottom"/>
            <w:hideMark/>
          </w:tcPr>
          <w:p w14:paraId="191070FE"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Ratio (%)</w:t>
            </w:r>
          </w:p>
        </w:tc>
        <w:tc>
          <w:tcPr>
            <w:tcW w:w="276" w:type="dxa"/>
            <w:tcBorders>
              <w:top w:val="nil"/>
              <w:left w:val="nil"/>
              <w:bottom w:val="single" w:sz="8" w:space="0" w:color="auto"/>
              <w:right w:val="nil"/>
            </w:tcBorders>
            <w:shd w:val="clear" w:color="000000" w:fill="FFFFFF"/>
            <w:noWrap/>
            <w:vAlign w:val="bottom"/>
            <w:hideMark/>
          </w:tcPr>
          <w:p w14:paraId="26CB91D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single" w:sz="8" w:space="0" w:color="auto"/>
              <w:right w:val="nil"/>
            </w:tcBorders>
            <w:shd w:val="clear" w:color="000000" w:fill="FFFFFF"/>
            <w:noWrap/>
            <w:vAlign w:val="bottom"/>
            <w:hideMark/>
          </w:tcPr>
          <w:p w14:paraId="6AA7EA6E"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Tg (°C)</w:t>
            </w:r>
          </w:p>
        </w:tc>
        <w:tc>
          <w:tcPr>
            <w:tcW w:w="1900" w:type="dxa"/>
            <w:tcBorders>
              <w:top w:val="nil"/>
              <w:left w:val="nil"/>
              <w:bottom w:val="single" w:sz="8" w:space="0" w:color="auto"/>
              <w:right w:val="nil"/>
            </w:tcBorders>
            <w:shd w:val="clear" w:color="000000" w:fill="FFFFFF"/>
            <w:noWrap/>
            <w:vAlign w:val="bottom"/>
            <w:hideMark/>
          </w:tcPr>
          <w:p w14:paraId="46D976AC"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Cure Shrinkage (%)</w:t>
            </w:r>
          </w:p>
        </w:tc>
      </w:tr>
      <w:tr w:rsidR="008B3BCF" w:rsidRPr="008B3BCF" w14:paraId="7D7B2398" w14:textId="77777777" w:rsidTr="00754F1D">
        <w:trPr>
          <w:trHeight w:val="288"/>
        </w:trPr>
        <w:tc>
          <w:tcPr>
            <w:tcW w:w="1400" w:type="dxa"/>
            <w:tcBorders>
              <w:top w:val="nil"/>
              <w:left w:val="nil"/>
              <w:bottom w:val="nil"/>
              <w:right w:val="nil"/>
            </w:tcBorders>
            <w:shd w:val="clear" w:color="000000" w:fill="FFFFFF"/>
            <w:noWrap/>
            <w:vAlign w:val="bottom"/>
            <w:hideMark/>
          </w:tcPr>
          <w:p w14:paraId="689240C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0</w:t>
            </w:r>
          </w:p>
        </w:tc>
        <w:tc>
          <w:tcPr>
            <w:tcW w:w="276" w:type="dxa"/>
            <w:tcBorders>
              <w:top w:val="nil"/>
              <w:left w:val="nil"/>
              <w:bottom w:val="nil"/>
              <w:right w:val="nil"/>
            </w:tcBorders>
            <w:shd w:val="clear" w:color="000000" w:fill="FFFFFF"/>
            <w:noWrap/>
            <w:vAlign w:val="bottom"/>
            <w:hideMark/>
          </w:tcPr>
          <w:p w14:paraId="4DCC2E2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2D131417"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22.6  [1.6]</w:t>
            </w:r>
          </w:p>
        </w:tc>
        <w:tc>
          <w:tcPr>
            <w:tcW w:w="1402" w:type="dxa"/>
            <w:tcBorders>
              <w:top w:val="nil"/>
              <w:left w:val="nil"/>
              <w:bottom w:val="nil"/>
              <w:right w:val="nil"/>
            </w:tcBorders>
            <w:shd w:val="clear" w:color="000000" w:fill="FFFFFF"/>
            <w:noWrap/>
            <w:vAlign w:val="bottom"/>
            <w:hideMark/>
          </w:tcPr>
          <w:p w14:paraId="4FF6773E"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14.7  [0.8]</w:t>
            </w:r>
          </w:p>
        </w:tc>
        <w:tc>
          <w:tcPr>
            <w:tcW w:w="1256" w:type="dxa"/>
            <w:tcBorders>
              <w:top w:val="nil"/>
              <w:left w:val="nil"/>
              <w:bottom w:val="nil"/>
              <w:right w:val="nil"/>
            </w:tcBorders>
            <w:shd w:val="clear" w:color="000000" w:fill="FFFFFF"/>
            <w:noWrap/>
            <w:vAlign w:val="bottom"/>
            <w:hideMark/>
          </w:tcPr>
          <w:p w14:paraId="3D496AE7"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65%</w:t>
            </w:r>
          </w:p>
        </w:tc>
        <w:tc>
          <w:tcPr>
            <w:tcW w:w="276" w:type="dxa"/>
            <w:tcBorders>
              <w:top w:val="nil"/>
              <w:left w:val="nil"/>
              <w:bottom w:val="nil"/>
              <w:right w:val="nil"/>
            </w:tcBorders>
            <w:shd w:val="clear" w:color="000000" w:fill="FFFFFF"/>
            <w:noWrap/>
            <w:vAlign w:val="bottom"/>
            <w:hideMark/>
          </w:tcPr>
          <w:p w14:paraId="4496F08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6D96C90E"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146</w:t>
            </w:r>
          </w:p>
        </w:tc>
        <w:tc>
          <w:tcPr>
            <w:tcW w:w="1900" w:type="dxa"/>
            <w:tcBorders>
              <w:top w:val="nil"/>
              <w:left w:val="nil"/>
              <w:bottom w:val="nil"/>
              <w:right w:val="nil"/>
            </w:tcBorders>
            <w:shd w:val="clear" w:color="000000" w:fill="FFFFFF"/>
            <w:noWrap/>
            <w:vAlign w:val="bottom"/>
            <w:hideMark/>
          </w:tcPr>
          <w:p w14:paraId="4CABFFA4"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5.3  [0.6]</w:t>
            </w:r>
          </w:p>
        </w:tc>
      </w:tr>
      <w:tr w:rsidR="008B3BCF" w:rsidRPr="008B3BCF" w14:paraId="49CE74A1" w14:textId="77777777" w:rsidTr="00754F1D">
        <w:trPr>
          <w:trHeight w:val="288"/>
        </w:trPr>
        <w:tc>
          <w:tcPr>
            <w:tcW w:w="1400" w:type="dxa"/>
            <w:tcBorders>
              <w:top w:val="nil"/>
              <w:left w:val="nil"/>
              <w:bottom w:val="nil"/>
              <w:right w:val="nil"/>
            </w:tcBorders>
            <w:shd w:val="clear" w:color="000000" w:fill="FFFFFF"/>
            <w:noWrap/>
            <w:vAlign w:val="bottom"/>
            <w:hideMark/>
          </w:tcPr>
          <w:p w14:paraId="7811896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10</w:t>
            </w:r>
          </w:p>
        </w:tc>
        <w:tc>
          <w:tcPr>
            <w:tcW w:w="276" w:type="dxa"/>
            <w:tcBorders>
              <w:top w:val="nil"/>
              <w:left w:val="nil"/>
              <w:bottom w:val="nil"/>
              <w:right w:val="nil"/>
            </w:tcBorders>
            <w:shd w:val="clear" w:color="000000" w:fill="FFFFFF"/>
            <w:noWrap/>
            <w:vAlign w:val="bottom"/>
            <w:hideMark/>
          </w:tcPr>
          <w:p w14:paraId="53D2540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46EF196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23.8  [1.6]</w:t>
            </w:r>
          </w:p>
        </w:tc>
        <w:tc>
          <w:tcPr>
            <w:tcW w:w="1402" w:type="dxa"/>
            <w:tcBorders>
              <w:top w:val="nil"/>
              <w:left w:val="nil"/>
              <w:bottom w:val="nil"/>
              <w:right w:val="nil"/>
            </w:tcBorders>
            <w:shd w:val="clear" w:color="000000" w:fill="FFFFFF"/>
            <w:noWrap/>
            <w:vAlign w:val="bottom"/>
            <w:hideMark/>
          </w:tcPr>
          <w:p w14:paraId="5DAED52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16.8  [1.5]</w:t>
            </w:r>
          </w:p>
        </w:tc>
        <w:tc>
          <w:tcPr>
            <w:tcW w:w="1256" w:type="dxa"/>
            <w:tcBorders>
              <w:top w:val="nil"/>
              <w:left w:val="nil"/>
              <w:bottom w:val="nil"/>
              <w:right w:val="nil"/>
            </w:tcBorders>
            <w:shd w:val="clear" w:color="000000" w:fill="FFFFFF"/>
            <w:noWrap/>
            <w:vAlign w:val="bottom"/>
            <w:hideMark/>
          </w:tcPr>
          <w:p w14:paraId="1734AE69"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71%</w:t>
            </w:r>
          </w:p>
        </w:tc>
        <w:tc>
          <w:tcPr>
            <w:tcW w:w="276" w:type="dxa"/>
            <w:tcBorders>
              <w:top w:val="nil"/>
              <w:left w:val="nil"/>
              <w:bottom w:val="nil"/>
              <w:right w:val="nil"/>
            </w:tcBorders>
            <w:shd w:val="clear" w:color="000000" w:fill="FFFFFF"/>
            <w:noWrap/>
            <w:vAlign w:val="bottom"/>
            <w:hideMark/>
          </w:tcPr>
          <w:p w14:paraId="5B13B92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1EB3D4A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172</w:t>
            </w:r>
          </w:p>
        </w:tc>
        <w:tc>
          <w:tcPr>
            <w:tcW w:w="1900" w:type="dxa"/>
            <w:tcBorders>
              <w:top w:val="nil"/>
              <w:left w:val="nil"/>
              <w:bottom w:val="nil"/>
              <w:right w:val="nil"/>
            </w:tcBorders>
            <w:shd w:val="clear" w:color="000000" w:fill="FFFFFF"/>
            <w:noWrap/>
            <w:vAlign w:val="bottom"/>
            <w:hideMark/>
          </w:tcPr>
          <w:p w14:paraId="73F2EF2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5.2  [0.7]</w:t>
            </w:r>
          </w:p>
        </w:tc>
      </w:tr>
      <w:tr w:rsidR="008B3BCF" w:rsidRPr="008B3BCF" w14:paraId="3528B4D0" w14:textId="77777777" w:rsidTr="00754F1D">
        <w:trPr>
          <w:trHeight w:val="288"/>
        </w:trPr>
        <w:tc>
          <w:tcPr>
            <w:tcW w:w="1400" w:type="dxa"/>
            <w:tcBorders>
              <w:top w:val="nil"/>
              <w:left w:val="nil"/>
              <w:bottom w:val="nil"/>
              <w:right w:val="nil"/>
            </w:tcBorders>
            <w:shd w:val="clear" w:color="000000" w:fill="FFFFFF"/>
            <w:noWrap/>
            <w:vAlign w:val="bottom"/>
            <w:hideMark/>
          </w:tcPr>
          <w:p w14:paraId="105D11E4"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w:t>
            </w:r>
          </w:p>
        </w:tc>
        <w:tc>
          <w:tcPr>
            <w:tcW w:w="276" w:type="dxa"/>
            <w:tcBorders>
              <w:top w:val="nil"/>
              <w:left w:val="nil"/>
              <w:bottom w:val="nil"/>
              <w:right w:val="nil"/>
            </w:tcBorders>
            <w:shd w:val="clear" w:color="000000" w:fill="FFFFFF"/>
            <w:noWrap/>
            <w:vAlign w:val="bottom"/>
            <w:hideMark/>
          </w:tcPr>
          <w:p w14:paraId="5D8423A7"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3158B6F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23.7  [1.0]</w:t>
            </w:r>
          </w:p>
        </w:tc>
        <w:tc>
          <w:tcPr>
            <w:tcW w:w="1402" w:type="dxa"/>
            <w:tcBorders>
              <w:top w:val="nil"/>
              <w:left w:val="nil"/>
              <w:bottom w:val="nil"/>
              <w:right w:val="nil"/>
            </w:tcBorders>
            <w:shd w:val="clear" w:color="000000" w:fill="FFFFFF"/>
            <w:noWrap/>
            <w:vAlign w:val="bottom"/>
            <w:hideMark/>
          </w:tcPr>
          <w:p w14:paraId="3370719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18.6  [1.2]</w:t>
            </w:r>
          </w:p>
        </w:tc>
        <w:tc>
          <w:tcPr>
            <w:tcW w:w="1256" w:type="dxa"/>
            <w:tcBorders>
              <w:top w:val="nil"/>
              <w:left w:val="nil"/>
              <w:bottom w:val="nil"/>
              <w:right w:val="nil"/>
            </w:tcBorders>
            <w:shd w:val="clear" w:color="000000" w:fill="FFFFFF"/>
            <w:noWrap/>
            <w:vAlign w:val="bottom"/>
            <w:hideMark/>
          </w:tcPr>
          <w:p w14:paraId="7BC2360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79%</w:t>
            </w:r>
          </w:p>
        </w:tc>
        <w:tc>
          <w:tcPr>
            <w:tcW w:w="276" w:type="dxa"/>
            <w:tcBorders>
              <w:top w:val="nil"/>
              <w:left w:val="nil"/>
              <w:bottom w:val="nil"/>
              <w:right w:val="nil"/>
            </w:tcBorders>
            <w:shd w:val="clear" w:color="000000" w:fill="FFFFFF"/>
            <w:noWrap/>
            <w:vAlign w:val="bottom"/>
            <w:hideMark/>
          </w:tcPr>
          <w:p w14:paraId="649F564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4FBEA4C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150</w:t>
            </w:r>
          </w:p>
        </w:tc>
        <w:tc>
          <w:tcPr>
            <w:tcW w:w="1900" w:type="dxa"/>
            <w:tcBorders>
              <w:top w:val="nil"/>
              <w:left w:val="nil"/>
              <w:bottom w:val="nil"/>
              <w:right w:val="nil"/>
            </w:tcBorders>
            <w:shd w:val="clear" w:color="000000" w:fill="FFFFFF"/>
            <w:noWrap/>
            <w:vAlign w:val="bottom"/>
            <w:hideMark/>
          </w:tcPr>
          <w:p w14:paraId="5FC5750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7.1  [0.6]</w:t>
            </w:r>
          </w:p>
        </w:tc>
      </w:tr>
      <w:tr w:rsidR="008B3BCF" w:rsidRPr="008B3BCF" w14:paraId="22411B43" w14:textId="77777777" w:rsidTr="00754F1D">
        <w:trPr>
          <w:trHeight w:val="288"/>
        </w:trPr>
        <w:tc>
          <w:tcPr>
            <w:tcW w:w="1400" w:type="dxa"/>
            <w:tcBorders>
              <w:top w:val="nil"/>
              <w:left w:val="nil"/>
              <w:bottom w:val="nil"/>
              <w:right w:val="nil"/>
            </w:tcBorders>
            <w:shd w:val="clear" w:color="000000" w:fill="FFFFFF"/>
            <w:noWrap/>
            <w:vAlign w:val="bottom"/>
            <w:hideMark/>
          </w:tcPr>
          <w:p w14:paraId="75AD6CC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30</w:t>
            </w:r>
          </w:p>
        </w:tc>
        <w:tc>
          <w:tcPr>
            <w:tcW w:w="276" w:type="dxa"/>
            <w:tcBorders>
              <w:top w:val="nil"/>
              <w:left w:val="nil"/>
              <w:bottom w:val="nil"/>
              <w:right w:val="nil"/>
            </w:tcBorders>
            <w:shd w:val="clear" w:color="000000" w:fill="FFFFFF"/>
            <w:noWrap/>
            <w:vAlign w:val="bottom"/>
            <w:hideMark/>
          </w:tcPr>
          <w:p w14:paraId="1932C046"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4B06F6E6"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24.0  [0.6]</w:t>
            </w:r>
          </w:p>
        </w:tc>
        <w:tc>
          <w:tcPr>
            <w:tcW w:w="1402" w:type="dxa"/>
            <w:tcBorders>
              <w:top w:val="nil"/>
              <w:left w:val="nil"/>
              <w:bottom w:val="nil"/>
              <w:right w:val="nil"/>
            </w:tcBorders>
            <w:shd w:val="clear" w:color="000000" w:fill="FFFFFF"/>
            <w:noWrap/>
            <w:vAlign w:val="bottom"/>
            <w:hideMark/>
          </w:tcPr>
          <w:p w14:paraId="653ABB9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19.2  [1.4]</w:t>
            </w:r>
          </w:p>
        </w:tc>
        <w:tc>
          <w:tcPr>
            <w:tcW w:w="1256" w:type="dxa"/>
            <w:tcBorders>
              <w:top w:val="nil"/>
              <w:left w:val="nil"/>
              <w:bottom w:val="nil"/>
              <w:right w:val="nil"/>
            </w:tcBorders>
            <w:shd w:val="clear" w:color="000000" w:fill="FFFFFF"/>
            <w:noWrap/>
            <w:vAlign w:val="bottom"/>
            <w:hideMark/>
          </w:tcPr>
          <w:p w14:paraId="193C1249"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80%</w:t>
            </w:r>
          </w:p>
        </w:tc>
        <w:tc>
          <w:tcPr>
            <w:tcW w:w="276" w:type="dxa"/>
            <w:tcBorders>
              <w:top w:val="nil"/>
              <w:left w:val="nil"/>
              <w:bottom w:val="nil"/>
              <w:right w:val="nil"/>
            </w:tcBorders>
            <w:shd w:val="clear" w:color="000000" w:fill="FFFFFF"/>
            <w:noWrap/>
            <w:vAlign w:val="bottom"/>
            <w:hideMark/>
          </w:tcPr>
          <w:p w14:paraId="3096405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0F2FA1A1"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137</w:t>
            </w:r>
          </w:p>
        </w:tc>
        <w:tc>
          <w:tcPr>
            <w:tcW w:w="1900" w:type="dxa"/>
            <w:tcBorders>
              <w:top w:val="nil"/>
              <w:left w:val="nil"/>
              <w:bottom w:val="nil"/>
              <w:right w:val="nil"/>
            </w:tcBorders>
            <w:shd w:val="clear" w:color="000000" w:fill="FFFFFF"/>
            <w:noWrap/>
            <w:vAlign w:val="bottom"/>
            <w:hideMark/>
          </w:tcPr>
          <w:p w14:paraId="3158444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6.9  [0.4]</w:t>
            </w:r>
          </w:p>
        </w:tc>
      </w:tr>
      <w:tr w:rsidR="008B3BCF" w:rsidRPr="008B3BCF" w14:paraId="4245C489" w14:textId="77777777" w:rsidTr="00754F1D">
        <w:trPr>
          <w:trHeight w:val="288"/>
        </w:trPr>
        <w:tc>
          <w:tcPr>
            <w:tcW w:w="1400" w:type="dxa"/>
            <w:tcBorders>
              <w:top w:val="nil"/>
              <w:left w:val="nil"/>
              <w:bottom w:val="nil"/>
              <w:right w:val="nil"/>
            </w:tcBorders>
            <w:shd w:val="clear" w:color="000000" w:fill="FFFFFF"/>
            <w:noWrap/>
            <w:vAlign w:val="bottom"/>
            <w:hideMark/>
          </w:tcPr>
          <w:p w14:paraId="36BF9249"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40</w:t>
            </w:r>
          </w:p>
        </w:tc>
        <w:tc>
          <w:tcPr>
            <w:tcW w:w="276" w:type="dxa"/>
            <w:tcBorders>
              <w:top w:val="nil"/>
              <w:left w:val="nil"/>
              <w:bottom w:val="nil"/>
              <w:right w:val="nil"/>
            </w:tcBorders>
            <w:shd w:val="clear" w:color="000000" w:fill="FFFFFF"/>
            <w:noWrap/>
            <w:vAlign w:val="bottom"/>
            <w:hideMark/>
          </w:tcPr>
          <w:p w14:paraId="6E5BD62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54339BF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25.0  [1.1]</w:t>
            </w:r>
          </w:p>
        </w:tc>
        <w:tc>
          <w:tcPr>
            <w:tcW w:w="1402" w:type="dxa"/>
            <w:tcBorders>
              <w:top w:val="nil"/>
              <w:left w:val="nil"/>
              <w:bottom w:val="nil"/>
              <w:right w:val="nil"/>
            </w:tcBorders>
            <w:shd w:val="clear" w:color="000000" w:fill="FFFFFF"/>
            <w:noWrap/>
            <w:vAlign w:val="bottom"/>
            <w:hideMark/>
          </w:tcPr>
          <w:p w14:paraId="5AF422A2"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21.3  [1.4]</w:t>
            </w:r>
          </w:p>
        </w:tc>
        <w:tc>
          <w:tcPr>
            <w:tcW w:w="1256" w:type="dxa"/>
            <w:tcBorders>
              <w:top w:val="nil"/>
              <w:left w:val="nil"/>
              <w:bottom w:val="nil"/>
              <w:right w:val="nil"/>
            </w:tcBorders>
            <w:shd w:val="clear" w:color="000000" w:fill="FFFFFF"/>
            <w:noWrap/>
            <w:vAlign w:val="bottom"/>
            <w:hideMark/>
          </w:tcPr>
          <w:p w14:paraId="62E18601"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85%</w:t>
            </w:r>
          </w:p>
        </w:tc>
        <w:tc>
          <w:tcPr>
            <w:tcW w:w="276" w:type="dxa"/>
            <w:tcBorders>
              <w:top w:val="nil"/>
              <w:left w:val="nil"/>
              <w:bottom w:val="nil"/>
              <w:right w:val="nil"/>
            </w:tcBorders>
            <w:shd w:val="clear" w:color="000000" w:fill="FFFFFF"/>
            <w:noWrap/>
            <w:vAlign w:val="bottom"/>
            <w:hideMark/>
          </w:tcPr>
          <w:p w14:paraId="00DEB673"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7B0A045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132</w:t>
            </w:r>
          </w:p>
        </w:tc>
        <w:tc>
          <w:tcPr>
            <w:tcW w:w="1900" w:type="dxa"/>
            <w:tcBorders>
              <w:top w:val="nil"/>
              <w:left w:val="nil"/>
              <w:bottom w:val="nil"/>
              <w:right w:val="nil"/>
            </w:tcBorders>
            <w:shd w:val="clear" w:color="000000" w:fill="FFFFFF"/>
            <w:noWrap/>
            <w:vAlign w:val="bottom"/>
            <w:hideMark/>
          </w:tcPr>
          <w:p w14:paraId="4A5537A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7.8  [0.4]</w:t>
            </w:r>
          </w:p>
        </w:tc>
      </w:tr>
      <w:tr w:rsidR="008B3BCF" w:rsidRPr="008B3BCF" w14:paraId="02E5CFCE" w14:textId="77777777" w:rsidTr="00754F1D">
        <w:trPr>
          <w:trHeight w:val="288"/>
        </w:trPr>
        <w:tc>
          <w:tcPr>
            <w:tcW w:w="1400" w:type="dxa"/>
            <w:tcBorders>
              <w:top w:val="nil"/>
              <w:left w:val="nil"/>
              <w:bottom w:val="nil"/>
              <w:right w:val="nil"/>
            </w:tcBorders>
            <w:shd w:val="clear" w:color="000000" w:fill="FFFFFF"/>
            <w:noWrap/>
            <w:vAlign w:val="bottom"/>
            <w:hideMark/>
          </w:tcPr>
          <w:p w14:paraId="099189B3"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50</w:t>
            </w:r>
          </w:p>
        </w:tc>
        <w:tc>
          <w:tcPr>
            <w:tcW w:w="276" w:type="dxa"/>
            <w:tcBorders>
              <w:top w:val="nil"/>
              <w:left w:val="nil"/>
              <w:bottom w:val="nil"/>
              <w:right w:val="nil"/>
            </w:tcBorders>
            <w:shd w:val="clear" w:color="000000" w:fill="FFFFFF"/>
            <w:noWrap/>
            <w:vAlign w:val="bottom"/>
            <w:hideMark/>
          </w:tcPr>
          <w:p w14:paraId="2F5C47E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402" w:type="dxa"/>
            <w:tcBorders>
              <w:top w:val="nil"/>
              <w:left w:val="nil"/>
              <w:bottom w:val="nil"/>
              <w:right w:val="nil"/>
            </w:tcBorders>
            <w:shd w:val="clear" w:color="000000" w:fill="FFFFFF"/>
            <w:noWrap/>
            <w:vAlign w:val="bottom"/>
            <w:hideMark/>
          </w:tcPr>
          <w:p w14:paraId="023F6BB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25.0  [1.6]</w:t>
            </w:r>
          </w:p>
        </w:tc>
        <w:tc>
          <w:tcPr>
            <w:tcW w:w="1402" w:type="dxa"/>
            <w:tcBorders>
              <w:top w:val="nil"/>
              <w:left w:val="nil"/>
              <w:bottom w:val="nil"/>
              <w:right w:val="nil"/>
            </w:tcBorders>
            <w:shd w:val="clear" w:color="000000" w:fill="FFFFFF"/>
            <w:noWrap/>
            <w:vAlign w:val="bottom"/>
            <w:hideMark/>
          </w:tcPr>
          <w:p w14:paraId="5615376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22.7  [1.4]</w:t>
            </w:r>
          </w:p>
        </w:tc>
        <w:tc>
          <w:tcPr>
            <w:tcW w:w="1256" w:type="dxa"/>
            <w:tcBorders>
              <w:top w:val="nil"/>
              <w:left w:val="nil"/>
              <w:bottom w:val="nil"/>
              <w:right w:val="nil"/>
            </w:tcBorders>
            <w:shd w:val="clear" w:color="000000" w:fill="FFFFFF"/>
            <w:noWrap/>
            <w:vAlign w:val="bottom"/>
            <w:hideMark/>
          </w:tcPr>
          <w:p w14:paraId="06FB736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91%</w:t>
            </w:r>
          </w:p>
        </w:tc>
        <w:tc>
          <w:tcPr>
            <w:tcW w:w="276" w:type="dxa"/>
            <w:tcBorders>
              <w:top w:val="nil"/>
              <w:left w:val="nil"/>
              <w:bottom w:val="nil"/>
              <w:right w:val="nil"/>
            </w:tcBorders>
            <w:shd w:val="clear" w:color="000000" w:fill="FFFFFF"/>
            <w:noWrap/>
            <w:vAlign w:val="bottom"/>
            <w:hideMark/>
          </w:tcPr>
          <w:p w14:paraId="77868F4D"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1300" w:type="dxa"/>
            <w:tcBorders>
              <w:top w:val="nil"/>
              <w:left w:val="nil"/>
              <w:bottom w:val="nil"/>
              <w:right w:val="nil"/>
            </w:tcBorders>
            <w:shd w:val="clear" w:color="000000" w:fill="FFFFFF"/>
            <w:noWrap/>
            <w:vAlign w:val="bottom"/>
            <w:hideMark/>
          </w:tcPr>
          <w:p w14:paraId="00348439"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123</w:t>
            </w:r>
          </w:p>
        </w:tc>
        <w:tc>
          <w:tcPr>
            <w:tcW w:w="1900" w:type="dxa"/>
            <w:tcBorders>
              <w:top w:val="nil"/>
              <w:left w:val="nil"/>
              <w:bottom w:val="nil"/>
              <w:right w:val="nil"/>
            </w:tcBorders>
            <w:shd w:val="clear" w:color="000000" w:fill="FFFFFF"/>
            <w:noWrap/>
            <w:vAlign w:val="bottom"/>
            <w:hideMark/>
          </w:tcPr>
          <w:p w14:paraId="79C12CEF"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7.3  [0.4]</w:t>
            </w:r>
          </w:p>
        </w:tc>
      </w:tr>
    </w:tbl>
    <w:p w14:paraId="0A715DED" w14:textId="77777777" w:rsidR="002C028A" w:rsidRDefault="008B3BCF" w:rsidP="00F20503">
      <w:pPr>
        <w:pStyle w:val="Caption"/>
      </w:pPr>
      <w:r w:rsidRPr="008B3BCF">
        <w:lastRenderedPageBreak/>
        <w:fldChar w:fldCharType="end"/>
      </w:r>
      <w:bookmarkStart w:id="91" w:name="_Ref100927360"/>
      <w:r w:rsidR="002C028A" w:rsidRPr="008B3BCF">
        <w:rPr>
          <w:noProof/>
        </w:rPr>
        <w:drawing>
          <wp:inline distT="0" distB="0" distL="0" distR="0" wp14:anchorId="0734DABC" wp14:editId="11B8050A">
            <wp:extent cx="4552950" cy="3765475"/>
            <wp:effectExtent l="0" t="0" r="0" b="6985"/>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rotWithShape="1">
                    <a:blip r:embed="rId30" cstate="print">
                      <a:extLst>
                        <a:ext uri="{28A0092B-C50C-407E-A947-70E740481C1C}">
                          <a14:useLocalDpi xmlns:a14="http://schemas.microsoft.com/office/drawing/2010/main" val="0"/>
                        </a:ext>
                      </a:extLst>
                    </a:blip>
                    <a:srcRect l="7533" t="7330" r="6730"/>
                    <a:stretch/>
                  </pic:blipFill>
                  <pic:spPr bwMode="auto">
                    <a:xfrm>
                      <a:off x="0" y="0"/>
                      <a:ext cx="4566687" cy="3776836"/>
                    </a:xfrm>
                    <a:prstGeom prst="rect">
                      <a:avLst/>
                    </a:prstGeom>
                    <a:ln>
                      <a:noFill/>
                    </a:ln>
                    <a:extLst>
                      <a:ext uri="{53640926-AAD7-44D8-BBD7-CCE9431645EC}">
                        <a14:shadowObscured xmlns:a14="http://schemas.microsoft.com/office/drawing/2010/main"/>
                      </a:ext>
                    </a:extLst>
                  </pic:spPr>
                </pic:pic>
              </a:graphicData>
            </a:graphic>
          </wp:inline>
        </w:drawing>
      </w:r>
    </w:p>
    <w:p w14:paraId="5F9B8C85" w14:textId="624182F7" w:rsidR="002C028A" w:rsidRPr="008B3BCF" w:rsidRDefault="002C028A" w:rsidP="00F20503">
      <w:pPr>
        <w:pStyle w:val="Caption"/>
      </w:pPr>
      <w:bookmarkStart w:id="92" w:name="_Toc101365684"/>
      <w:r>
        <w:t xml:space="preserve">Figure </w:t>
      </w:r>
      <w:r w:rsidR="002F73EC">
        <w:fldChar w:fldCharType="begin"/>
      </w:r>
      <w:r w:rsidR="002F73EC">
        <w:instrText xml:space="preserve"> SEQ Figure \* ARABIC </w:instrText>
      </w:r>
      <w:r w:rsidR="002F73EC">
        <w:fldChar w:fldCharType="separate"/>
      </w:r>
      <w:r w:rsidR="00BF5717">
        <w:rPr>
          <w:noProof/>
        </w:rPr>
        <w:t>22</w:t>
      </w:r>
      <w:r w:rsidR="002F73EC">
        <w:rPr>
          <w:noProof/>
        </w:rPr>
        <w:fldChar w:fldCharType="end"/>
      </w:r>
      <w:bookmarkEnd w:id="91"/>
      <w:r>
        <w:t xml:space="preserve"> </w:t>
      </w:r>
      <w:r w:rsidRPr="008B3BCF">
        <w:t xml:space="preserve">Thermogravimetric analysis of cured 20 wt% PETIA photopolymers, comparing the effect of varying lengths of thermal treatment at 135 </w:t>
      </w:r>
      <w:r w:rsidRPr="008B3BCF">
        <w:sym w:font="Symbol" w:char="F0B0"/>
      </w:r>
      <w:r w:rsidRPr="008B3BCF">
        <w:t>C (275 °F) post UV irradiation. Negligible change is observed between the different treatment conditions.</w:t>
      </w:r>
      <w:bookmarkEnd w:id="92"/>
    </w:p>
    <w:p w14:paraId="0439B0D4" w14:textId="3A2D01FF" w:rsidR="00322976" w:rsidRDefault="00322976" w:rsidP="00D3572E">
      <w:pPr>
        <w:spacing w:line="360" w:lineRule="auto"/>
        <w:rPr>
          <w:rFonts w:ascii="Times New Roman" w:hAnsi="Times New Roman" w:cs="Times New Roman"/>
        </w:rPr>
      </w:pPr>
    </w:p>
    <w:p w14:paraId="6BB2769D" w14:textId="5C1CE7B8" w:rsidR="002C028A" w:rsidRDefault="002C028A" w:rsidP="00D3572E">
      <w:pPr>
        <w:spacing w:line="360" w:lineRule="auto"/>
        <w:rPr>
          <w:rFonts w:ascii="Times New Roman" w:hAnsi="Times New Roman" w:cs="Times New Roman"/>
        </w:rPr>
      </w:pPr>
    </w:p>
    <w:p w14:paraId="7B1E8B39" w14:textId="77777777" w:rsidR="002C028A" w:rsidRDefault="002C028A" w:rsidP="00F20503">
      <w:pPr>
        <w:pStyle w:val="Caption"/>
      </w:pPr>
      <w:bookmarkStart w:id="93" w:name="_Ref100927273"/>
      <w:bookmarkStart w:id="94" w:name="_Toc101382365"/>
      <w:r>
        <w:t xml:space="preserve">Table </w:t>
      </w:r>
      <w:r w:rsidR="002F73EC">
        <w:fldChar w:fldCharType="begin"/>
      </w:r>
      <w:r w:rsidR="002F73EC">
        <w:instrText xml:space="preserve"> SEQ Ta</w:instrText>
      </w:r>
      <w:r w:rsidR="002F73EC">
        <w:instrText xml:space="preserve">ble \* ARABIC </w:instrText>
      </w:r>
      <w:r w:rsidR="002F73EC">
        <w:fldChar w:fldCharType="separate"/>
      </w:r>
      <w:r>
        <w:rPr>
          <w:noProof/>
        </w:rPr>
        <w:t>4</w:t>
      </w:r>
      <w:r w:rsidR="002F73EC">
        <w:rPr>
          <w:noProof/>
        </w:rPr>
        <w:fldChar w:fldCharType="end"/>
      </w:r>
      <w:bookmarkEnd w:id="93"/>
      <w:r>
        <w:t xml:space="preserve"> </w:t>
      </w:r>
      <w:r w:rsidRPr="008B3BCF">
        <w:t xml:space="preserve">Effect of thermal aging on modulus and degree of conversion (DC) for 20 wt% PETIA </w:t>
      </w:r>
      <w:proofErr w:type="gramStart"/>
      <w:r w:rsidRPr="008B3BCF">
        <w:t>photopolymer</w:t>
      </w:r>
      <w:proofErr w:type="gramEnd"/>
      <w:r w:rsidRPr="008B3BCF">
        <w:t>.</w:t>
      </w:r>
      <w:bookmarkEnd w:id="94"/>
      <w:r w:rsidRPr="008B3BCF">
        <w:t xml:space="preserve">   </w:t>
      </w:r>
    </w:p>
    <w:tbl>
      <w:tblPr>
        <w:tblW w:w="7200" w:type="dxa"/>
        <w:tblLook w:val="04A0" w:firstRow="1" w:lastRow="0" w:firstColumn="1" w:lastColumn="0" w:noHBand="0" w:noVBand="1"/>
      </w:tblPr>
      <w:tblGrid>
        <w:gridCol w:w="2020"/>
        <w:gridCol w:w="1720"/>
        <w:gridCol w:w="380"/>
        <w:gridCol w:w="1340"/>
        <w:gridCol w:w="1740"/>
      </w:tblGrid>
      <w:tr w:rsidR="002C028A" w:rsidRPr="008B3BCF" w14:paraId="7FE4B9AD" w14:textId="77777777" w:rsidTr="006B3419">
        <w:trPr>
          <w:trHeight w:val="300"/>
        </w:trPr>
        <w:tc>
          <w:tcPr>
            <w:tcW w:w="2020" w:type="dxa"/>
            <w:vMerge w:val="restart"/>
            <w:tcBorders>
              <w:top w:val="nil"/>
              <w:left w:val="nil"/>
              <w:bottom w:val="single" w:sz="4" w:space="0" w:color="000000"/>
              <w:right w:val="nil"/>
            </w:tcBorders>
            <w:shd w:val="clear" w:color="000000" w:fill="FFFFFF"/>
            <w:noWrap/>
            <w:vAlign w:val="center"/>
            <w:hideMark/>
          </w:tcPr>
          <w:p w14:paraId="5DCFFFDE"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Thermal History</w:t>
            </w:r>
          </w:p>
        </w:tc>
        <w:tc>
          <w:tcPr>
            <w:tcW w:w="1720" w:type="dxa"/>
            <w:vMerge w:val="restart"/>
            <w:tcBorders>
              <w:top w:val="nil"/>
              <w:left w:val="nil"/>
              <w:bottom w:val="single" w:sz="4" w:space="0" w:color="000000"/>
              <w:right w:val="nil"/>
            </w:tcBorders>
            <w:shd w:val="clear" w:color="000000" w:fill="FFFFFF"/>
            <w:vAlign w:val="center"/>
            <w:hideMark/>
          </w:tcPr>
          <w:p w14:paraId="0F97D2B9"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Initial Tangent Modulus (GPa)</w:t>
            </w:r>
          </w:p>
        </w:tc>
        <w:tc>
          <w:tcPr>
            <w:tcW w:w="380" w:type="dxa"/>
            <w:tcBorders>
              <w:top w:val="nil"/>
              <w:left w:val="nil"/>
              <w:bottom w:val="nil"/>
              <w:right w:val="nil"/>
            </w:tcBorders>
            <w:shd w:val="clear" w:color="000000" w:fill="FFFFFF"/>
            <w:noWrap/>
            <w:vAlign w:val="bottom"/>
            <w:hideMark/>
          </w:tcPr>
          <w:p w14:paraId="4E7BCC56" w14:textId="77777777" w:rsidR="002C028A" w:rsidRPr="008B3BCF" w:rsidRDefault="002C028A" w:rsidP="006B3419">
            <w:pPr>
              <w:spacing w:line="360" w:lineRule="auto"/>
              <w:jc w:val="center"/>
              <w:rPr>
                <w:rFonts w:ascii="Times New Roman" w:hAnsi="Times New Roman" w:cs="Times New Roman"/>
              </w:rPr>
            </w:pPr>
          </w:p>
        </w:tc>
        <w:tc>
          <w:tcPr>
            <w:tcW w:w="3080" w:type="dxa"/>
            <w:gridSpan w:val="2"/>
            <w:tcBorders>
              <w:top w:val="nil"/>
              <w:left w:val="nil"/>
              <w:bottom w:val="single" w:sz="4" w:space="0" w:color="auto"/>
              <w:right w:val="nil"/>
            </w:tcBorders>
            <w:shd w:val="clear" w:color="000000" w:fill="FFFFFF"/>
            <w:noWrap/>
            <w:vAlign w:val="bottom"/>
            <w:hideMark/>
          </w:tcPr>
          <w:p w14:paraId="7E5AE3DE"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Degree of Conversion (%)</w:t>
            </w:r>
          </w:p>
        </w:tc>
      </w:tr>
      <w:tr w:rsidR="002C028A" w:rsidRPr="008B3BCF" w14:paraId="7820193C" w14:textId="77777777" w:rsidTr="006B3419">
        <w:trPr>
          <w:trHeight w:val="300"/>
        </w:trPr>
        <w:tc>
          <w:tcPr>
            <w:tcW w:w="2020" w:type="dxa"/>
            <w:vMerge/>
            <w:tcBorders>
              <w:top w:val="nil"/>
              <w:left w:val="nil"/>
              <w:bottom w:val="single" w:sz="4" w:space="0" w:color="000000"/>
              <w:right w:val="nil"/>
            </w:tcBorders>
            <w:vAlign w:val="center"/>
            <w:hideMark/>
          </w:tcPr>
          <w:p w14:paraId="04B40FC5" w14:textId="77777777" w:rsidR="002C028A" w:rsidRPr="008B3BCF" w:rsidRDefault="002C028A" w:rsidP="006B3419">
            <w:pPr>
              <w:spacing w:line="360" w:lineRule="auto"/>
              <w:jc w:val="center"/>
              <w:rPr>
                <w:rFonts w:ascii="Times New Roman" w:hAnsi="Times New Roman" w:cs="Times New Roman"/>
              </w:rPr>
            </w:pPr>
          </w:p>
        </w:tc>
        <w:tc>
          <w:tcPr>
            <w:tcW w:w="1720" w:type="dxa"/>
            <w:vMerge/>
            <w:tcBorders>
              <w:top w:val="nil"/>
              <w:left w:val="nil"/>
              <w:bottom w:val="single" w:sz="4" w:space="0" w:color="000000"/>
              <w:right w:val="nil"/>
            </w:tcBorders>
            <w:vAlign w:val="center"/>
            <w:hideMark/>
          </w:tcPr>
          <w:p w14:paraId="0ACDBE07" w14:textId="77777777" w:rsidR="002C028A" w:rsidRPr="008B3BCF" w:rsidRDefault="002C028A" w:rsidP="006B3419">
            <w:pPr>
              <w:spacing w:line="360" w:lineRule="auto"/>
              <w:jc w:val="center"/>
              <w:rPr>
                <w:rFonts w:ascii="Times New Roman" w:hAnsi="Times New Roman" w:cs="Times New Roman"/>
              </w:rPr>
            </w:pPr>
          </w:p>
        </w:tc>
        <w:tc>
          <w:tcPr>
            <w:tcW w:w="380" w:type="dxa"/>
            <w:tcBorders>
              <w:top w:val="nil"/>
              <w:left w:val="nil"/>
              <w:bottom w:val="single" w:sz="4" w:space="0" w:color="auto"/>
              <w:right w:val="nil"/>
            </w:tcBorders>
            <w:shd w:val="clear" w:color="000000" w:fill="FFFFFF"/>
            <w:noWrap/>
            <w:vAlign w:val="bottom"/>
            <w:hideMark/>
          </w:tcPr>
          <w:p w14:paraId="11FFD4A2" w14:textId="77777777" w:rsidR="002C028A" w:rsidRPr="008B3BCF" w:rsidRDefault="002C028A" w:rsidP="006B3419">
            <w:pPr>
              <w:spacing w:line="360" w:lineRule="auto"/>
              <w:jc w:val="center"/>
              <w:rPr>
                <w:rFonts w:ascii="Times New Roman" w:hAnsi="Times New Roman" w:cs="Times New Roman"/>
              </w:rPr>
            </w:pPr>
          </w:p>
        </w:tc>
        <w:tc>
          <w:tcPr>
            <w:tcW w:w="1340" w:type="dxa"/>
            <w:tcBorders>
              <w:top w:val="nil"/>
              <w:left w:val="nil"/>
              <w:bottom w:val="single" w:sz="4" w:space="0" w:color="auto"/>
              <w:right w:val="nil"/>
            </w:tcBorders>
            <w:shd w:val="clear" w:color="000000" w:fill="FFFFFF"/>
            <w:noWrap/>
            <w:vAlign w:val="bottom"/>
            <w:hideMark/>
          </w:tcPr>
          <w:p w14:paraId="1E8D0646"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Top</w:t>
            </w:r>
          </w:p>
        </w:tc>
        <w:tc>
          <w:tcPr>
            <w:tcW w:w="1740" w:type="dxa"/>
            <w:tcBorders>
              <w:top w:val="nil"/>
              <w:left w:val="nil"/>
              <w:bottom w:val="single" w:sz="4" w:space="0" w:color="auto"/>
              <w:right w:val="nil"/>
            </w:tcBorders>
            <w:shd w:val="clear" w:color="000000" w:fill="FFFFFF"/>
            <w:noWrap/>
            <w:vAlign w:val="bottom"/>
            <w:hideMark/>
          </w:tcPr>
          <w:p w14:paraId="2336607B"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Bottom</w:t>
            </w:r>
          </w:p>
        </w:tc>
      </w:tr>
      <w:tr w:rsidR="002C028A" w:rsidRPr="008B3BCF" w14:paraId="14AB68FF" w14:textId="77777777" w:rsidTr="006B3419">
        <w:trPr>
          <w:trHeight w:val="300"/>
        </w:trPr>
        <w:tc>
          <w:tcPr>
            <w:tcW w:w="2020" w:type="dxa"/>
            <w:tcBorders>
              <w:top w:val="nil"/>
              <w:left w:val="nil"/>
              <w:bottom w:val="nil"/>
              <w:right w:val="nil"/>
            </w:tcBorders>
            <w:shd w:val="clear" w:color="000000" w:fill="FFFFFF"/>
            <w:noWrap/>
            <w:vAlign w:val="bottom"/>
            <w:hideMark/>
          </w:tcPr>
          <w:p w14:paraId="027508BD"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UV Only</w:t>
            </w:r>
          </w:p>
        </w:tc>
        <w:tc>
          <w:tcPr>
            <w:tcW w:w="1720" w:type="dxa"/>
            <w:tcBorders>
              <w:top w:val="nil"/>
              <w:left w:val="nil"/>
              <w:bottom w:val="nil"/>
              <w:right w:val="nil"/>
            </w:tcBorders>
            <w:shd w:val="clear" w:color="000000" w:fill="FFFFFF"/>
            <w:noWrap/>
            <w:vAlign w:val="bottom"/>
            <w:hideMark/>
          </w:tcPr>
          <w:p w14:paraId="5EDCEA8A"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2.24  [0.22]</w:t>
            </w:r>
          </w:p>
        </w:tc>
        <w:tc>
          <w:tcPr>
            <w:tcW w:w="380" w:type="dxa"/>
            <w:tcBorders>
              <w:top w:val="nil"/>
              <w:left w:val="nil"/>
              <w:bottom w:val="nil"/>
              <w:right w:val="nil"/>
            </w:tcBorders>
            <w:shd w:val="clear" w:color="000000" w:fill="FFFFFF"/>
            <w:noWrap/>
            <w:vAlign w:val="bottom"/>
            <w:hideMark/>
          </w:tcPr>
          <w:p w14:paraId="5C1E8C98" w14:textId="77777777" w:rsidR="002C028A" w:rsidRPr="008B3BCF" w:rsidRDefault="002C028A" w:rsidP="006B3419">
            <w:pPr>
              <w:spacing w:line="360" w:lineRule="auto"/>
              <w:jc w:val="center"/>
              <w:rPr>
                <w:rFonts w:ascii="Times New Roman" w:hAnsi="Times New Roman" w:cs="Times New Roman"/>
              </w:rPr>
            </w:pPr>
          </w:p>
        </w:tc>
        <w:tc>
          <w:tcPr>
            <w:tcW w:w="1340" w:type="dxa"/>
            <w:tcBorders>
              <w:top w:val="nil"/>
              <w:left w:val="nil"/>
              <w:bottom w:val="nil"/>
              <w:right w:val="nil"/>
            </w:tcBorders>
            <w:shd w:val="clear" w:color="000000" w:fill="FFFFFF"/>
            <w:noWrap/>
            <w:vAlign w:val="bottom"/>
            <w:hideMark/>
          </w:tcPr>
          <w:p w14:paraId="1B04999C"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78.7  [1.8]</w:t>
            </w:r>
          </w:p>
        </w:tc>
        <w:tc>
          <w:tcPr>
            <w:tcW w:w="1740" w:type="dxa"/>
            <w:tcBorders>
              <w:top w:val="nil"/>
              <w:left w:val="nil"/>
              <w:bottom w:val="nil"/>
              <w:right w:val="nil"/>
            </w:tcBorders>
            <w:shd w:val="clear" w:color="000000" w:fill="FFFFFF"/>
            <w:noWrap/>
            <w:vAlign w:val="bottom"/>
            <w:hideMark/>
          </w:tcPr>
          <w:p w14:paraId="1A85A8DA"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69.4  [3.2]</w:t>
            </w:r>
          </w:p>
        </w:tc>
      </w:tr>
      <w:tr w:rsidR="002C028A" w:rsidRPr="008B3BCF" w14:paraId="31217DB9" w14:textId="77777777" w:rsidTr="006B3419">
        <w:trPr>
          <w:trHeight w:val="300"/>
        </w:trPr>
        <w:tc>
          <w:tcPr>
            <w:tcW w:w="2020" w:type="dxa"/>
            <w:tcBorders>
              <w:top w:val="nil"/>
              <w:left w:val="nil"/>
              <w:bottom w:val="nil"/>
              <w:right w:val="nil"/>
            </w:tcBorders>
            <w:shd w:val="clear" w:color="000000" w:fill="FFFFFF"/>
            <w:noWrap/>
            <w:vAlign w:val="bottom"/>
            <w:hideMark/>
          </w:tcPr>
          <w:p w14:paraId="0EE7C227"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10 hrs at 135 °C</w:t>
            </w:r>
          </w:p>
        </w:tc>
        <w:tc>
          <w:tcPr>
            <w:tcW w:w="1720" w:type="dxa"/>
            <w:tcBorders>
              <w:top w:val="nil"/>
              <w:left w:val="nil"/>
              <w:bottom w:val="nil"/>
              <w:right w:val="nil"/>
            </w:tcBorders>
            <w:shd w:val="clear" w:color="000000" w:fill="FFFFFF"/>
            <w:noWrap/>
            <w:vAlign w:val="bottom"/>
            <w:hideMark/>
          </w:tcPr>
          <w:p w14:paraId="6C0FF887"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2.47  [0.18]</w:t>
            </w:r>
          </w:p>
        </w:tc>
        <w:tc>
          <w:tcPr>
            <w:tcW w:w="380" w:type="dxa"/>
            <w:tcBorders>
              <w:top w:val="nil"/>
              <w:left w:val="nil"/>
              <w:bottom w:val="nil"/>
              <w:right w:val="nil"/>
            </w:tcBorders>
            <w:shd w:val="clear" w:color="000000" w:fill="FFFFFF"/>
            <w:noWrap/>
            <w:vAlign w:val="bottom"/>
            <w:hideMark/>
          </w:tcPr>
          <w:p w14:paraId="3BBE533F" w14:textId="77777777" w:rsidR="002C028A" w:rsidRPr="008B3BCF" w:rsidRDefault="002C028A" w:rsidP="006B3419">
            <w:pPr>
              <w:spacing w:line="360" w:lineRule="auto"/>
              <w:jc w:val="center"/>
              <w:rPr>
                <w:rFonts w:ascii="Times New Roman" w:hAnsi="Times New Roman" w:cs="Times New Roman"/>
              </w:rPr>
            </w:pPr>
          </w:p>
        </w:tc>
        <w:tc>
          <w:tcPr>
            <w:tcW w:w="1340" w:type="dxa"/>
            <w:tcBorders>
              <w:top w:val="nil"/>
              <w:left w:val="nil"/>
              <w:bottom w:val="nil"/>
              <w:right w:val="nil"/>
            </w:tcBorders>
            <w:shd w:val="clear" w:color="000000" w:fill="FFFFFF"/>
            <w:noWrap/>
            <w:vAlign w:val="bottom"/>
            <w:hideMark/>
          </w:tcPr>
          <w:p w14:paraId="0F8C69A3"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79.3  [1.8]</w:t>
            </w:r>
          </w:p>
        </w:tc>
        <w:tc>
          <w:tcPr>
            <w:tcW w:w="1740" w:type="dxa"/>
            <w:tcBorders>
              <w:top w:val="nil"/>
              <w:left w:val="nil"/>
              <w:bottom w:val="nil"/>
              <w:right w:val="nil"/>
            </w:tcBorders>
            <w:shd w:val="clear" w:color="000000" w:fill="FFFFFF"/>
            <w:noWrap/>
            <w:vAlign w:val="bottom"/>
            <w:hideMark/>
          </w:tcPr>
          <w:p w14:paraId="18BD4C36"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72.8  [1.2]</w:t>
            </w:r>
          </w:p>
        </w:tc>
      </w:tr>
      <w:tr w:rsidR="002C028A" w:rsidRPr="008B3BCF" w14:paraId="01189871" w14:textId="77777777" w:rsidTr="006B3419">
        <w:trPr>
          <w:trHeight w:val="300"/>
        </w:trPr>
        <w:tc>
          <w:tcPr>
            <w:tcW w:w="2020" w:type="dxa"/>
            <w:tcBorders>
              <w:top w:val="nil"/>
              <w:left w:val="nil"/>
              <w:bottom w:val="nil"/>
              <w:right w:val="nil"/>
            </w:tcBorders>
            <w:shd w:val="clear" w:color="000000" w:fill="FFFFFF"/>
            <w:noWrap/>
            <w:vAlign w:val="bottom"/>
            <w:hideMark/>
          </w:tcPr>
          <w:p w14:paraId="6CE0EE55"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20 hrs at 135 °C</w:t>
            </w:r>
          </w:p>
        </w:tc>
        <w:tc>
          <w:tcPr>
            <w:tcW w:w="1720" w:type="dxa"/>
            <w:tcBorders>
              <w:top w:val="nil"/>
              <w:left w:val="nil"/>
              <w:bottom w:val="nil"/>
              <w:right w:val="nil"/>
            </w:tcBorders>
            <w:shd w:val="clear" w:color="000000" w:fill="FFFFFF"/>
            <w:noWrap/>
            <w:vAlign w:val="bottom"/>
            <w:hideMark/>
          </w:tcPr>
          <w:p w14:paraId="0C2421B4"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2.57  [0.10]</w:t>
            </w:r>
          </w:p>
        </w:tc>
        <w:tc>
          <w:tcPr>
            <w:tcW w:w="380" w:type="dxa"/>
            <w:tcBorders>
              <w:top w:val="nil"/>
              <w:left w:val="nil"/>
              <w:bottom w:val="nil"/>
              <w:right w:val="nil"/>
            </w:tcBorders>
            <w:shd w:val="clear" w:color="000000" w:fill="FFFFFF"/>
            <w:noWrap/>
            <w:vAlign w:val="bottom"/>
            <w:hideMark/>
          </w:tcPr>
          <w:p w14:paraId="612D9C61" w14:textId="77777777" w:rsidR="002C028A" w:rsidRPr="008B3BCF" w:rsidRDefault="002C028A" w:rsidP="006B3419">
            <w:pPr>
              <w:spacing w:line="360" w:lineRule="auto"/>
              <w:jc w:val="center"/>
              <w:rPr>
                <w:rFonts w:ascii="Times New Roman" w:hAnsi="Times New Roman" w:cs="Times New Roman"/>
              </w:rPr>
            </w:pPr>
          </w:p>
        </w:tc>
        <w:tc>
          <w:tcPr>
            <w:tcW w:w="1340" w:type="dxa"/>
            <w:tcBorders>
              <w:top w:val="nil"/>
              <w:left w:val="nil"/>
              <w:bottom w:val="nil"/>
              <w:right w:val="nil"/>
            </w:tcBorders>
            <w:shd w:val="clear" w:color="000000" w:fill="FFFFFF"/>
            <w:noWrap/>
            <w:vAlign w:val="bottom"/>
            <w:hideMark/>
          </w:tcPr>
          <w:p w14:paraId="2DD5129A"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79.7  [0.9]</w:t>
            </w:r>
          </w:p>
        </w:tc>
        <w:tc>
          <w:tcPr>
            <w:tcW w:w="1740" w:type="dxa"/>
            <w:tcBorders>
              <w:top w:val="nil"/>
              <w:left w:val="nil"/>
              <w:bottom w:val="nil"/>
              <w:right w:val="nil"/>
            </w:tcBorders>
            <w:shd w:val="clear" w:color="000000" w:fill="FFFFFF"/>
            <w:noWrap/>
            <w:vAlign w:val="bottom"/>
            <w:hideMark/>
          </w:tcPr>
          <w:p w14:paraId="62375DDB" w14:textId="77777777" w:rsidR="002C028A" w:rsidRPr="008B3BCF" w:rsidRDefault="002C028A" w:rsidP="006B3419">
            <w:pPr>
              <w:spacing w:line="360" w:lineRule="auto"/>
              <w:jc w:val="center"/>
              <w:rPr>
                <w:rFonts w:ascii="Times New Roman" w:hAnsi="Times New Roman" w:cs="Times New Roman"/>
              </w:rPr>
            </w:pPr>
            <w:r w:rsidRPr="008B3BCF">
              <w:rPr>
                <w:rFonts w:ascii="Times New Roman" w:hAnsi="Times New Roman" w:cs="Times New Roman"/>
              </w:rPr>
              <w:t>71.9  [4.2]</w:t>
            </w:r>
          </w:p>
        </w:tc>
      </w:tr>
    </w:tbl>
    <w:p w14:paraId="5BF26851" w14:textId="7D98C988" w:rsidR="002C028A" w:rsidRDefault="002C028A" w:rsidP="00D3572E">
      <w:pPr>
        <w:spacing w:line="360" w:lineRule="auto"/>
        <w:rPr>
          <w:rFonts w:ascii="Times New Roman" w:hAnsi="Times New Roman" w:cs="Times New Roman"/>
        </w:rPr>
      </w:pPr>
    </w:p>
    <w:p w14:paraId="69786C00" w14:textId="4BD4371B" w:rsidR="002C028A" w:rsidRDefault="002C028A" w:rsidP="00D3572E">
      <w:pPr>
        <w:spacing w:line="360" w:lineRule="auto"/>
        <w:rPr>
          <w:rFonts w:ascii="Times New Roman" w:hAnsi="Times New Roman" w:cs="Times New Roman"/>
        </w:rPr>
      </w:pPr>
    </w:p>
    <w:p w14:paraId="2752F15C" w14:textId="34021523" w:rsidR="002C028A" w:rsidRDefault="002C028A" w:rsidP="00D3572E">
      <w:pPr>
        <w:spacing w:line="360" w:lineRule="auto"/>
        <w:rPr>
          <w:rFonts w:ascii="Times New Roman" w:hAnsi="Times New Roman" w:cs="Times New Roman"/>
        </w:rPr>
      </w:pPr>
    </w:p>
    <w:p w14:paraId="0D7845EC" w14:textId="77777777" w:rsidR="002C028A" w:rsidRDefault="002C028A" w:rsidP="00D3572E">
      <w:pPr>
        <w:spacing w:line="360" w:lineRule="auto"/>
        <w:rPr>
          <w:rFonts w:ascii="Times New Roman" w:hAnsi="Times New Roman" w:cs="Times New Roman"/>
        </w:rPr>
      </w:pPr>
    </w:p>
    <w:p w14:paraId="0F56E799" w14:textId="197E37F4" w:rsidR="00D3572E" w:rsidRDefault="00670343" w:rsidP="00D3572E">
      <w:pPr>
        <w:spacing w:line="360" w:lineRule="auto"/>
        <w:rPr>
          <w:rFonts w:ascii="Times New Roman" w:hAnsi="Times New Roman" w:cs="Times New Roman"/>
        </w:rPr>
      </w:pPr>
      <w:r w:rsidRPr="008B3BCF">
        <w:rPr>
          <w:rFonts w:ascii="Times New Roman" w:hAnsi="Times New Roman" w:cs="Times New Roman"/>
        </w:rPr>
        <w:lastRenderedPageBreak/>
        <w:t>incident (Top) and non-incident (Bottom) faces of the tensile specimens were measured</w:t>
      </w:r>
      <w:r>
        <w:rPr>
          <w:rFonts w:ascii="Times New Roman" w:hAnsi="Times New Roman" w:cs="Times New Roman"/>
        </w:rPr>
        <w:t xml:space="preserve"> </w:t>
      </w:r>
      <w:r w:rsidRPr="008B3BCF">
        <w:rPr>
          <w:rFonts w:ascii="Times New Roman" w:hAnsi="Times New Roman" w:cs="Times New Roman"/>
        </w:rPr>
        <w:t>for DC, and in all instances the specimens had a lower average DC on the bottom surface</w:t>
      </w:r>
      <w:r>
        <w:rPr>
          <w:rFonts w:ascii="Times New Roman" w:hAnsi="Times New Roman" w:cs="Times New Roman"/>
        </w:rPr>
        <w:t xml:space="preserve"> </w:t>
      </w:r>
      <w:r w:rsidRPr="008B3BCF">
        <w:rPr>
          <w:rFonts w:ascii="Times New Roman" w:hAnsi="Times New Roman" w:cs="Times New Roman"/>
        </w:rPr>
        <w:t>than the top surface. DC ranged from 71.9% to 79.7% across the treatments, and multiple</w:t>
      </w:r>
      <w:r w:rsidR="00D3572E">
        <w:rPr>
          <w:rFonts w:ascii="Times New Roman" w:hAnsi="Times New Roman" w:cs="Times New Roman"/>
        </w:rPr>
        <w:t xml:space="preserve"> </w:t>
      </w:r>
      <w:r w:rsidR="00D3572E" w:rsidRPr="008B3BCF">
        <w:rPr>
          <w:rFonts w:ascii="Times New Roman" w:hAnsi="Times New Roman" w:cs="Times New Roman"/>
        </w:rPr>
        <w:t xml:space="preserve">comparison of means shows that while top and bottom faces differed across nearly all treatments, there was no statistically significant change in DC with increased thermal treatment. </w:t>
      </w:r>
    </w:p>
    <w:p w14:paraId="13FF90C9" w14:textId="77777777" w:rsidR="00D3572E" w:rsidRDefault="00D3572E" w:rsidP="00D3572E">
      <w:pPr>
        <w:spacing w:line="360" w:lineRule="auto"/>
        <w:rPr>
          <w:rFonts w:ascii="Times New Roman" w:hAnsi="Times New Roman" w:cs="Times New Roman"/>
        </w:rPr>
      </w:pPr>
    </w:p>
    <w:p w14:paraId="1E7285E3" w14:textId="6C109536" w:rsidR="00D3572E" w:rsidRDefault="00D3572E" w:rsidP="00D3572E">
      <w:pPr>
        <w:spacing w:line="360" w:lineRule="auto"/>
        <w:rPr>
          <w:rFonts w:ascii="Times New Roman" w:hAnsi="Times New Roman" w:cs="Times New Roman"/>
        </w:rPr>
      </w:pPr>
      <w:r w:rsidRPr="008B3BCF">
        <w:rPr>
          <w:rFonts w:ascii="Times New Roman" w:hAnsi="Times New Roman" w:cs="Times New Roman"/>
        </w:rPr>
        <w:t xml:space="preserve">These findings confirm that the 20 wt% PETIA formulation can withstand 20 hrs of thermal treatment at temperatures comparable to those witnessed by autoclave tooling. FTIR indicates no additional crosslinking is occurring at the measured surfaces under prolonged heating. Tensile testing shows a 15% increase in the modulus after 20 hrs of heating, which may indicate some molecular realignment due to improved mobility at the elevated temperatures. Both DC and VHN indicate that the 20 wt% PETIA formulation has a lower level of cure on the non-incident face at 3 mm thickness. </w:t>
      </w:r>
    </w:p>
    <w:p w14:paraId="2A871754" w14:textId="77777777" w:rsidR="00D3572E" w:rsidRPr="008B3BCF" w:rsidRDefault="00D3572E" w:rsidP="009D06D1">
      <w:pPr>
        <w:pStyle w:val="Heading3"/>
      </w:pPr>
      <w:bookmarkStart w:id="95" w:name="_Toc101701744"/>
      <w:r w:rsidRPr="008B3BCF">
        <w:t>4.8 Proof of concept tooling using layer-based additive processing</w:t>
      </w:r>
      <w:bookmarkEnd w:id="95"/>
    </w:p>
    <w:p w14:paraId="13866206" w14:textId="1B96BE65" w:rsidR="00670343" w:rsidRDefault="00D3572E" w:rsidP="00D3572E">
      <w:pPr>
        <w:spacing w:line="360" w:lineRule="auto"/>
        <w:rPr>
          <w:rFonts w:ascii="Times New Roman" w:hAnsi="Times New Roman" w:cs="Times New Roman"/>
        </w:rPr>
      </w:pPr>
      <w:r w:rsidRPr="008B3BCF">
        <w:rPr>
          <w:rFonts w:ascii="Times New Roman" w:hAnsi="Times New Roman" w:cs="Times New Roman"/>
        </w:rPr>
        <w:t>To demonstrate the viability of Bis-EMA in a composite tooling application, a small tool for pre-preg composite part layup was constructed using a pseudo-additive manufacturing technique. The stock material for the tool measured 100 mm x 150 mm x 9 mm and was made by infusing 20 wt% PETIA formulation into a laminate of nonwoven fiberglass mats under vacuum. Each laminate consisted of twelve layers of chopped strand fiberglass mat at 229 grams per square meter areal mass (F-454 from Composite Envisions, Wausau), and cured laminates measured 3 mm thick. Infused laminates were irradiated through a glass plate using a dynamic lamp setup to scan the Altair 75 UV</w:t>
      </w:r>
    </w:p>
    <w:p w14:paraId="3FC0C48C" w14:textId="488ED284" w:rsidR="00D3572E" w:rsidRDefault="00D3572E" w:rsidP="008B3BCF">
      <w:pPr>
        <w:spacing w:line="360" w:lineRule="auto"/>
        <w:rPr>
          <w:rFonts w:ascii="Times New Roman" w:hAnsi="Times New Roman" w:cs="Times New Roman"/>
        </w:rPr>
      </w:pPr>
      <w:r w:rsidRPr="008B3BCF">
        <w:rPr>
          <w:rFonts w:ascii="Times New Roman" w:hAnsi="Times New Roman" w:cs="Times New Roman"/>
        </w:rPr>
        <w:t>lamp across the laminate at a constant rate of 5 mm/s, equivalent to a static dose of 6.0 J/cm</w:t>
      </w:r>
      <w:r w:rsidRPr="008B3BCF">
        <w:rPr>
          <w:rFonts w:ascii="Times New Roman" w:hAnsi="Times New Roman" w:cs="Times New Roman"/>
          <w:vertAlign w:val="superscript"/>
        </w:rPr>
        <w:t>2</w:t>
      </w:r>
      <w:r w:rsidRPr="008B3BCF">
        <w:rPr>
          <w:rFonts w:ascii="Times New Roman" w:hAnsi="Times New Roman" w:cs="Times New Roman"/>
        </w:rPr>
        <w:t xml:space="preserve"> incident on the laminate surface (see </w:t>
      </w:r>
      <w:r w:rsidR="00855B80" w:rsidRPr="00855B80">
        <w:rPr>
          <w:rFonts w:ascii="Times New Roman" w:hAnsi="Times New Roman" w:cs="Times New Roman"/>
        </w:rPr>
        <w:fldChar w:fldCharType="begin"/>
      </w:r>
      <w:r w:rsidR="00855B80" w:rsidRPr="00855B80">
        <w:rPr>
          <w:rFonts w:ascii="Times New Roman" w:hAnsi="Times New Roman" w:cs="Times New Roman"/>
        </w:rPr>
        <w:instrText xml:space="preserve"> REF _Ref100927475 \h </w:instrText>
      </w:r>
      <w:r w:rsidR="00855B80">
        <w:rPr>
          <w:rFonts w:ascii="Times New Roman" w:hAnsi="Times New Roman" w:cs="Times New Roman"/>
        </w:rPr>
        <w:instrText xml:space="preserve"> \* MERGEFORMAT </w:instrText>
      </w:r>
      <w:r w:rsidR="00855B80" w:rsidRPr="00855B80">
        <w:rPr>
          <w:rFonts w:ascii="Times New Roman" w:hAnsi="Times New Roman" w:cs="Times New Roman"/>
        </w:rPr>
      </w:r>
      <w:r w:rsidR="00855B80" w:rsidRPr="00855B80">
        <w:rPr>
          <w:rFonts w:ascii="Times New Roman"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23</w:t>
      </w:r>
      <w:r w:rsidR="00855B80" w:rsidRPr="00855B80">
        <w:rPr>
          <w:rFonts w:ascii="Times New Roman" w:hAnsi="Times New Roman" w:cs="Times New Roman"/>
        </w:rPr>
        <w:fldChar w:fldCharType="end"/>
      </w:r>
      <w:r w:rsidRPr="008B3BCF">
        <w:rPr>
          <w:rFonts w:ascii="Times New Roman" w:hAnsi="Times New Roman" w:cs="Times New Roman"/>
        </w:rPr>
        <w:t>). The stock material was built up in</w:t>
      </w:r>
    </w:p>
    <w:p w14:paraId="72F80C60" w14:textId="3B514ABE" w:rsidR="00E03371" w:rsidRDefault="00D3572E" w:rsidP="00F55515">
      <w:pPr>
        <w:widowControl w:val="0"/>
        <w:spacing w:line="360" w:lineRule="auto"/>
        <w:rPr>
          <w:rFonts w:ascii="Times New Roman" w:hAnsi="Times New Roman" w:cs="Times New Roman"/>
        </w:rPr>
      </w:pPr>
      <w:r w:rsidRPr="008B3BCF">
        <w:rPr>
          <w:rFonts w:ascii="Times New Roman" w:hAnsi="Times New Roman" w:cs="Times New Roman"/>
        </w:rPr>
        <w:t>three successive laminates cured in separate UV scans, imitating the curing conditions of</w:t>
      </w:r>
      <w:r w:rsidR="00F55515">
        <w:rPr>
          <w:rFonts w:ascii="Times New Roman" w:hAnsi="Times New Roman" w:cs="Times New Roman"/>
        </w:rPr>
        <w:t xml:space="preserve"> </w:t>
      </w:r>
      <w:r w:rsidR="00F55515" w:rsidRPr="008B3BCF">
        <w:rPr>
          <w:rFonts w:ascii="Times New Roman" w:hAnsi="Times New Roman" w:cs="Times New Roman"/>
        </w:rPr>
        <w:t xml:space="preserve">a large-scale additive manufacturing process. Early process testing determined that </w:t>
      </w:r>
    </w:p>
    <w:p w14:paraId="70435195" w14:textId="38AD24C1" w:rsidR="00670343" w:rsidRDefault="00F55515" w:rsidP="00477D75">
      <w:pPr>
        <w:widowControl w:val="0"/>
        <w:spacing w:line="360" w:lineRule="auto"/>
        <w:rPr>
          <w:rFonts w:ascii="Times New Roman" w:hAnsi="Times New Roman" w:cs="Times New Roman"/>
        </w:rPr>
      </w:pPr>
      <w:r w:rsidRPr="008B3BCF">
        <w:rPr>
          <w:rFonts w:ascii="Times New Roman" w:hAnsi="Times New Roman" w:cs="Times New Roman"/>
        </w:rPr>
        <w:t xml:space="preserve">fiberglass was necessary to prevent warping and cracking when curing a relatively large surface area at 3 mm thickness. </w:t>
      </w:r>
    </w:p>
    <w:p w14:paraId="6A02B485" w14:textId="2778634C" w:rsidR="00D3572E" w:rsidRPr="008B3BCF" w:rsidRDefault="00670343" w:rsidP="00D3572E">
      <w:pPr>
        <w:spacing w:line="360" w:lineRule="auto"/>
        <w:rPr>
          <w:rFonts w:ascii="Times New Roman" w:hAnsi="Times New Roman" w:cs="Times New Roman"/>
        </w:rPr>
      </w:pPr>
      <w:r w:rsidRPr="008B3BCF">
        <w:rPr>
          <w:rFonts w:ascii="Times New Roman" w:hAnsi="Times New Roman" w:cs="Times New Roman"/>
        </w:rPr>
        <w:lastRenderedPageBreak/>
        <w:t>The block of photopolymer composite, once irradiated, was then post cured in an oven with the same thermal cycle as the tooling would undergo during pre-preg curing, 90</w:t>
      </w:r>
      <w:r w:rsidR="00D3572E">
        <w:rPr>
          <w:rFonts w:ascii="Times New Roman" w:hAnsi="Times New Roman" w:cs="Times New Roman"/>
        </w:rPr>
        <w:t xml:space="preserve"> </w:t>
      </w:r>
      <w:r w:rsidR="00D3572E" w:rsidRPr="008B3BCF">
        <w:rPr>
          <w:rFonts w:ascii="Times New Roman" w:hAnsi="Times New Roman" w:cs="Times New Roman"/>
        </w:rPr>
        <w:t xml:space="preserve">minutes at 135 °C (275 </w:t>
      </w:r>
      <w:r w:rsidR="00D3572E" w:rsidRPr="008B3BCF">
        <w:rPr>
          <w:rFonts w:ascii="Times New Roman" w:hAnsi="Times New Roman" w:cs="Times New Roman"/>
        </w:rPr>
        <w:sym w:font="Symbol" w:char="F0B0"/>
      </w:r>
      <w:r w:rsidR="00D3572E" w:rsidRPr="008B3BCF">
        <w:rPr>
          <w:rFonts w:ascii="Times New Roman" w:hAnsi="Times New Roman" w:cs="Times New Roman"/>
        </w:rPr>
        <w:t xml:space="preserve">F). Thermal post curing is common for thermosets as a mean of driving the cure reaction further, and can be effective in improving degree of cure in photopolymers </w:t>
      </w:r>
      <w:r w:rsidR="00D3572E" w:rsidRPr="008B3BCF">
        <w:rPr>
          <w:rFonts w:ascii="Times New Roman" w:eastAsiaTheme="minorEastAsia" w:hAnsi="Times New Roman" w:cs="Times New Roman"/>
        </w:rPr>
        <w:fldChar w:fldCharType="begin" w:fldLock="1"/>
      </w:r>
      <w:r w:rsidR="0033427D">
        <w:rPr>
          <w:rFonts w:ascii="Times New Roman" w:eastAsiaTheme="minorEastAsia" w:hAnsi="Times New Roman" w:cs="Times New Roman"/>
        </w:rPr>
        <w:instrText>ADDIN CSL_CITATION {"citationItems":[{"id":"ITEM-1","itemData":{"DOI":"10.1002/pi.821","ISSN":"09598103","abstract":"Light-induced polymerization of multifunctional monomers is a powerful method to transform a liquid resin into a solid polymer almost instantly, selectively in the illuminated areas. The reaction can conveniently be followed by real-time infrared spectroscopy, a technique which records directly conversion versus time curves in photosensitive resins undergoing ultrafast curing upon UV or laser exposure. The photoinitiator was shown to play a key role in laser-induced polymerization because of the monochromatic character of the emitted radiation. By using highly sensitive acrylate photoresists, relief images of micronic size were obtained by fast scanning with a focused laser beam. The laser direct imaging technology makes image transfer obsolete and eliminates the manufacture of photolithographic masks. Polymer networks of different architectures have been obtained by UV irradiation of various monomer blends: acrylate-epoxide, acrylate-vinyl ether, acrylate-polyene, vinyl ether-maleate and thiol-polyene. With monomers polymerizing by different mechanisms, ie radical and cationic types, interpenetrating polymer networks have been generated upon UV exposure in the presence of adequate photoinitiators. The crosslinking reaction was also performed in the solid state on polybutadiene which was plasticized with a multifunctional acrylate or thiol monomer. Thermoplastic elastomers were transformed within a fraction of a second into an insoluble material showing a greatly improved resistance to heat and chemicals, because of the tight polymer network formed. © 2002 Society of Chemical Industry.","author":[{"dropping-particle":"","family":"Decker","given":"Christian","non-dropping-particle":"","parse-names":false,"suffix":""}],"container-title":"Polymer International","id":"ITEM-1","issue":"11","issued":{"date-parts":[["2002","11","1"]]},"page":"1141-1150","publisher":"John Wiley &amp; Sons, Ltd","title":"Light-induced crosslinking polymerization","type":"article-journal","volume":"51"},"uris":["http://www.mendeley.com/documents/?uuid=3d0b4d3a-17fa-39ea-8b2c-c838d10161ac"]},{"id":"ITEM-2","itemData":{"DOI":"10.1002/pola.1987.080250227","ISSN":"0887624X","author":[{"dropping-particle":"","family":"Decker","given":"C.","non-dropping-particle":"","parse-names":false,"suffix":""},{"dropping-particle":"","family":"Moussa","given":"K.","non-dropping-particle":"","parse-names":false,"suffix":""}],"container-title":"Journal of Polymer Science Part A: Polymer Chemistry","id":"ITEM-2","issue":"2","issued":{"date-parts":[["1987","2","1"]]},"page":"739-742","publisher":"John Wiley &amp; Sons, Ltd","title":"Radical trapping in photopolymerized acrylic networks","type":"article-journal","volume":"25"},"uris":["http://www.mendeley.com/documents/?uuid=e2a3dc3b-61bf-310e-a7cd-901577694a41"]}],"mendeley":{"formattedCitation":"[62], [63]","manualFormatting":"[34, 36]","plainTextFormattedCitation":"[62], [63]","previouslyFormattedCitation":"[62], [63]"},"properties":{"noteIndex":0},"schema":"https://github.com/citation-style-language/schema/raw/master/csl-citation.json"}</w:instrText>
      </w:r>
      <w:r w:rsidR="00D3572E" w:rsidRPr="008B3BCF">
        <w:rPr>
          <w:rFonts w:ascii="Times New Roman" w:eastAsiaTheme="minorEastAsia" w:hAnsi="Times New Roman" w:cs="Times New Roman"/>
        </w:rPr>
        <w:fldChar w:fldCharType="separate"/>
      </w:r>
      <w:r w:rsidR="00D3572E" w:rsidRPr="008B3BCF">
        <w:rPr>
          <w:rFonts w:ascii="Times New Roman" w:eastAsiaTheme="minorEastAsia" w:hAnsi="Times New Roman" w:cs="Times New Roman"/>
          <w:noProof/>
        </w:rPr>
        <w:t>[34, 36]</w:t>
      </w:r>
      <w:r w:rsidR="00D3572E" w:rsidRPr="008B3BCF">
        <w:rPr>
          <w:rFonts w:ascii="Times New Roman" w:eastAsiaTheme="minorEastAsia" w:hAnsi="Times New Roman" w:cs="Times New Roman"/>
        </w:rPr>
        <w:fldChar w:fldCharType="end"/>
      </w:r>
      <w:r w:rsidR="00D3572E" w:rsidRPr="008B3BCF">
        <w:rPr>
          <w:rFonts w:ascii="Times New Roman" w:eastAsiaTheme="minorEastAsia" w:hAnsi="Times New Roman" w:cs="Times New Roman"/>
        </w:rPr>
        <w:t>.</w:t>
      </w:r>
      <w:r w:rsidR="00D3572E" w:rsidRPr="008B3BCF">
        <w:rPr>
          <w:rFonts w:ascii="Times New Roman" w:hAnsi="Times New Roman" w:cs="Times New Roman"/>
        </w:rPr>
        <w:t xml:space="preserve">  While FTIR testing of the neat resin indicated no further curing upon additional heating, post curing was performed on the tooling stock as a matter of caution to mitigate any potential warping of the tool geometry due to further polymer changes during thermal cycles.</w:t>
      </w:r>
    </w:p>
    <w:p w14:paraId="2F386DB6" w14:textId="04D43035" w:rsidR="00D3572E" w:rsidRDefault="00D3572E" w:rsidP="008B3BCF">
      <w:pPr>
        <w:spacing w:line="360" w:lineRule="auto"/>
        <w:rPr>
          <w:rFonts w:ascii="Times New Roman" w:hAnsi="Times New Roman" w:cs="Times New Roman"/>
        </w:rPr>
      </w:pPr>
    </w:p>
    <w:p w14:paraId="7A175857" w14:textId="2829D8DE" w:rsidR="00D3572E" w:rsidRDefault="00D3572E" w:rsidP="008B3BCF">
      <w:pPr>
        <w:spacing w:line="360" w:lineRule="auto"/>
        <w:rPr>
          <w:rFonts w:ascii="Times New Roman" w:hAnsi="Times New Roman" w:cs="Times New Roman"/>
        </w:rPr>
      </w:pPr>
      <w:r w:rsidRPr="008B3BCF">
        <w:rPr>
          <w:rFonts w:ascii="Times New Roman" w:hAnsi="Times New Roman" w:cs="Times New Roman"/>
        </w:rPr>
        <w:t xml:space="preserve">After post curing, the photopolymer block was machined to create the tool geometry, which was then further sealed with a polymeric top coating to ensure a smooth finish. Two tools were produced with the same geometry and sealed using distinct top coatings. Tool #1 was coated with TD Seal HT™ (TruDesign, Knoxville), a sprayable thermoset coating developed for 3D printed tooling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{"citationItems":[{"id":"ITEM-1","itemData":{"abstract":"Large scale Additive Manufacturing (AM) can provide significant cost and time savings in production of composite tooling. In this article, we discuss examples of additively manufactured hand layup, vacuum assisted resin transfer, autoclave, compression molding and trim tools. These tools were fabricated using an additive system capable of depositing 50 kg of thermoplastic material per hour in a build volume of 6 m x 2.4 m x 1.8 m. Benefits and disadvantages of using large scale AM for composite tool production are highlighted for each case.","author":[{"dropping-particle":"","family":"Hassen","given":"Ahmed Arabi","non-dropping-particle":"","parse-names":false,"suffix":""},{"dropping-particle":"","family":"Lindahl","given":"John","non-dropping-particle":"","parse-names":false,"suffix":""},{"dropping-particle":"","family":"Kim","given":"Seokpum","non-dropping-particle":"","parse-names":false,"suffix":""}],"id":"ITEM-1","issued":{"date-parts":[["2017"]]},"title":"LARGE SCALE ADDITIVELY MANUFACTURED TOOLING FOR COMPOSITES 15 TH JAPAN INTERNATIONAL SAMPE SYMPOSIUM AND EXHIBITION","type":"article-journal"},"uris":["http://www.mendeley.com/documents/?uuid=a2bbf740-2f8a-36d3-8957-90661300c86c"]}],"mendeley":{"formattedCitation":"[96]","plainTextFormattedCitation":"[96]","previouslyFormattedCitation":"[96]"},"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[96]</w:t>
      </w:r>
      <w:r w:rsidRPr="008B3BCF">
        <w:rPr>
          <w:rFonts w:ascii="Times New Roman" w:hAnsi="Times New Roman" w:cs="Times New Roman"/>
        </w:rPr>
        <w:fldChar w:fldCharType="end"/>
      </w:r>
      <w:r w:rsidRPr="008B3BCF">
        <w:rPr>
          <w:rFonts w:ascii="Times New Roman" w:hAnsi="Times New Roman" w:cs="Times New Roman"/>
        </w:rPr>
        <w:t xml:space="preserve"> with a vinyl ester base chemistry and temperature resistance up to 177 </w:t>
      </w:r>
      <w:r w:rsidRPr="008B3BCF">
        <w:rPr>
          <w:rFonts w:ascii="Times New Roman" w:hAnsi="Times New Roman" w:cs="Times New Roman"/>
        </w:rPr>
        <w:sym w:font="Symbol" w:char="F0B0"/>
      </w:r>
      <w:r w:rsidRPr="008B3BCF">
        <w:rPr>
          <w:rFonts w:ascii="Times New Roman" w:hAnsi="Times New Roman" w:cs="Times New Roman"/>
        </w:rPr>
        <w:t xml:space="preserve">C (350 </w:t>
      </w:r>
      <w:r w:rsidRPr="008B3BCF">
        <w:rPr>
          <w:rFonts w:ascii="Times New Roman" w:hAnsi="Times New Roman" w:cs="Times New Roman"/>
        </w:rPr>
        <w:sym w:font="Symbol" w:char="F0B0"/>
      </w:r>
      <w:r w:rsidRPr="008B3BCF">
        <w:rPr>
          <w:rFonts w:ascii="Times New Roman" w:hAnsi="Times New Roman" w:cs="Times New Roman"/>
        </w:rPr>
        <w:t xml:space="preserve">F). After coating, Tool #1 was post cured for an additional hour at 121 </w:t>
      </w:r>
      <w:r w:rsidRPr="008B3BCF">
        <w:rPr>
          <w:rFonts w:ascii="Times New Roman" w:hAnsi="Times New Roman" w:cs="Times New Roman"/>
        </w:rPr>
        <w:sym w:font="Symbol" w:char="F0B0"/>
      </w:r>
      <w:r w:rsidRPr="008B3BCF">
        <w:rPr>
          <w:rFonts w:ascii="Times New Roman" w:hAnsi="Times New Roman" w:cs="Times New Roman"/>
        </w:rPr>
        <w:t xml:space="preserve">C (250 </w:t>
      </w:r>
      <w:r w:rsidRPr="008B3BCF">
        <w:rPr>
          <w:rFonts w:ascii="Times New Roman" w:hAnsi="Times New Roman" w:cs="Times New Roman"/>
        </w:rPr>
        <w:sym w:font="Symbol" w:char="F0B0"/>
      </w:r>
      <w:r w:rsidRPr="008B3BCF">
        <w:rPr>
          <w:rFonts w:ascii="Times New Roman" w:hAnsi="Times New Roman" w:cs="Times New Roman"/>
        </w:rPr>
        <w:t>F) per manufacturer recommendations. Tool #2 was coated with the same 20 wt% PETIA photopolymer formulation as the stock material and</w:t>
      </w:r>
      <w:r w:rsidRPr="00D3572E">
        <w:rPr>
          <w:rFonts w:ascii="Times New Roman" w:hAnsi="Times New Roman" w:cs="Times New Roman"/>
        </w:rPr>
        <w:t xml:space="preserve"> </w:t>
      </w:r>
      <w:r w:rsidRPr="008B3BCF">
        <w:rPr>
          <w:rFonts w:ascii="Times New Roman" w:hAnsi="Times New Roman" w:cs="Times New Roman"/>
        </w:rPr>
        <w:t xml:space="preserve">cured under UV light. After initial UV cure, Tool #2 was thermally post cured for an additional 90 minutes at 135 °C (275 </w:t>
      </w:r>
      <w:r w:rsidRPr="008B3BCF">
        <w:rPr>
          <w:rFonts w:ascii="Times New Roman" w:hAnsi="Times New Roman" w:cs="Times New Roman"/>
        </w:rPr>
        <w:sym w:font="Symbol" w:char="F0B0"/>
      </w:r>
      <w:r w:rsidRPr="008B3BCF">
        <w:rPr>
          <w:rFonts w:ascii="Times New Roman" w:hAnsi="Times New Roman" w:cs="Times New Roman"/>
        </w:rPr>
        <w:t>F).</w:t>
      </w:r>
    </w:p>
    <w:p w14:paraId="0F3AEB6F" w14:textId="77777777" w:rsidR="00D3572E" w:rsidRDefault="00D3572E" w:rsidP="008B3BCF">
      <w:pPr>
        <w:spacing w:line="360" w:lineRule="auto"/>
        <w:rPr>
          <w:rFonts w:ascii="Times New Roman" w:hAnsi="Times New Roman" w:cs="Times New Roman"/>
        </w:rPr>
      </w:pPr>
    </w:p>
    <w:p w14:paraId="7D9260E0" w14:textId="6BEB9052" w:rsidR="0074122E" w:rsidRPr="008B3BCF" w:rsidRDefault="00D3572E" w:rsidP="00E03371">
      <w:pPr>
        <w:widowControl w:val="0"/>
        <w:spacing w:line="360" w:lineRule="auto"/>
        <w:rPr>
          <w:rFonts w:ascii="Times New Roman" w:hAnsi="Times New Roman" w:cs="Times New Roman"/>
        </w:rPr>
      </w:pPr>
      <w:r w:rsidRPr="008B3BCF">
        <w:rPr>
          <w:rFonts w:ascii="Times New Roman" w:hAnsi="Times New Roman" w:cs="Times New Roman"/>
        </w:rPr>
        <w:t xml:space="preserve">After post curing the coating, both tools were treated with Frekote 770 NC mold release and used to fabricate five carbon fiber composite parts. Each part had a laminate consisting of two layers of 2x2 twill carbon fiber-epoxy pre-preg from Rock West Composites (Salt Lake City). Once the pre-preg was laid up in the tooling, the entire tool was placed under vacuum in an envelope bag, debulked for a minimum of 15 minutes, then oven cured for 90 minutes at 135 °C (275 </w:t>
      </w:r>
      <w:r w:rsidRPr="008B3BCF">
        <w:rPr>
          <w:rFonts w:ascii="Times New Roman" w:hAnsi="Times New Roman" w:cs="Times New Roman"/>
        </w:rPr>
        <w:sym w:font="Symbol" w:char="F0B0"/>
      </w:r>
      <w:r w:rsidRPr="008B3BCF">
        <w:rPr>
          <w:rFonts w:ascii="Times New Roman" w:hAnsi="Times New Roman" w:cs="Times New Roman"/>
        </w:rPr>
        <w:t xml:space="preserve">F). </w:t>
      </w:r>
      <w:r w:rsidR="00855B80" w:rsidRPr="00855B80">
        <w:rPr>
          <w:rFonts w:ascii="Times New Roman" w:hAnsi="Times New Roman" w:cs="Times New Roman"/>
        </w:rPr>
        <w:fldChar w:fldCharType="begin"/>
      </w:r>
      <w:r w:rsidR="00855B80" w:rsidRPr="00855B80">
        <w:rPr>
          <w:rFonts w:ascii="Times New Roman" w:hAnsi="Times New Roman" w:cs="Times New Roman"/>
        </w:rPr>
        <w:instrText xml:space="preserve"> REF _Ref100927554 \h </w:instrText>
      </w:r>
      <w:r w:rsidR="00855B80">
        <w:rPr>
          <w:rFonts w:ascii="Times New Roman" w:hAnsi="Times New Roman" w:cs="Times New Roman"/>
        </w:rPr>
        <w:instrText xml:space="preserve"> \* MERGEFORMAT </w:instrText>
      </w:r>
      <w:r w:rsidR="00855B80" w:rsidRPr="00855B80">
        <w:rPr>
          <w:rFonts w:ascii="Times New Roman" w:hAnsi="Times New Roman" w:cs="Times New Roman"/>
        </w:rPr>
      </w:r>
      <w:r w:rsidR="00855B80" w:rsidRPr="00855B80">
        <w:rPr>
          <w:rFonts w:ascii="Times New Roman" w:hAnsi="Times New Roman" w:cs="Times New Roman"/>
        </w:rPr>
        <w:fldChar w:fldCharType="separate"/>
      </w:r>
      <w:r w:rsidR="00F55515" w:rsidRPr="00F55515">
        <w:rPr>
          <w:rFonts w:ascii="Times New Roman" w:hAnsi="Times New Roman" w:cs="Times New Roman"/>
        </w:rPr>
        <w:t xml:space="preserve">Figure </w:t>
      </w:r>
      <w:r w:rsidR="00F55515" w:rsidRPr="00F55515">
        <w:rPr>
          <w:rFonts w:ascii="Times New Roman" w:hAnsi="Times New Roman" w:cs="Times New Roman"/>
          <w:noProof/>
        </w:rPr>
        <w:t>24</w:t>
      </w:r>
      <w:r w:rsidR="00855B80" w:rsidRPr="00855B80">
        <w:rPr>
          <w:rFonts w:ascii="Times New Roman" w:hAnsi="Times New Roman" w:cs="Times New Roman"/>
        </w:rPr>
        <w:fldChar w:fldCharType="end"/>
      </w:r>
      <w:r w:rsidR="00855B80">
        <w:rPr>
          <w:rFonts w:ascii="Times New Roman" w:hAnsi="Times New Roman" w:cs="Times New Roman"/>
        </w:rPr>
        <w:t xml:space="preserve"> </w:t>
      </w:r>
      <w:r w:rsidRPr="008B3BCF">
        <w:rPr>
          <w:rFonts w:ascii="Times New Roman" w:hAnsi="Times New Roman" w:cs="Times New Roman"/>
        </w:rPr>
        <w:t>outlines the tool</w:t>
      </w:r>
      <w:r w:rsidR="00F55515">
        <w:rPr>
          <w:rFonts w:ascii="Times New Roman" w:hAnsi="Times New Roman" w:cs="Times New Roman"/>
        </w:rPr>
        <w:t xml:space="preserve"> </w:t>
      </w:r>
      <w:r w:rsidR="00477D75" w:rsidRPr="008B3BCF">
        <w:rPr>
          <w:rFonts w:ascii="Times New Roman" w:hAnsi="Times New Roman" w:cs="Times New Roman"/>
        </w:rPr>
        <w:t xml:space="preserve">manufacturing and dimensional analysis steps, </w:t>
      </w:r>
      <w:r w:rsidR="00477D75" w:rsidRPr="0044365D">
        <w:rPr>
          <w:rFonts w:ascii="Times New Roman" w:hAnsi="Times New Roman" w:cs="Times New Roman"/>
        </w:rPr>
        <w:fldChar w:fldCharType="begin"/>
      </w:r>
      <w:r w:rsidR="00477D75" w:rsidRPr="0044365D">
        <w:rPr>
          <w:rFonts w:ascii="Times New Roman" w:hAnsi="Times New Roman" w:cs="Times New Roman"/>
        </w:rPr>
        <w:instrText xml:space="preserve"> REF _Ref100927617 \h </w:instrText>
      </w:r>
      <w:r w:rsidR="00477D75">
        <w:rPr>
          <w:rFonts w:ascii="Times New Roman" w:hAnsi="Times New Roman" w:cs="Times New Roman"/>
        </w:rPr>
        <w:instrText xml:space="preserve"> \* MERGEFORMAT </w:instrText>
      </w:r>
      <w:r w:rsidR="00477D75" w:rsidRPr="0044365D">
        <w:rPr>
          <w:rFonts w:ascii="Times New Roman" w:hAnsi="Times New Roman" w:cs="Times New Roman"/>
        </w:rPr>
      </w:r>
      <w:r w:rsidR="00477D75" w:rsidRPr="0044365D">
        <w:rPr>
          <w:rFonts w:ascii="Times New Roman" w:hAnsi="Times New Roman" w:cs="Times New Roman"/>
        </w:rPr>
        <w:fldChar w:fldCharType="separate"/>
      </w:r>
      <w:r w:rsidR="00477D75" w:rsidRPr="00F55515">
        <w:rPr>
          <w:rFonts w:ascii="Times New Roman" w:hAnsi="Times New Roman" w:cs="Times New Roman"/>
        </w:rPr>
        <w:t xml:space="preserve">Figure </w:t>
      </w:r>
      <w:r w:rsidR="00477D75" w:rsidRPr="00F55515">
        <w:rPr>
          <w:rFonts w:ascii="Times New Roman" w:hAnsi="Times New Roman" w:cs="Times New Roman"/>
          <w:noProof/>
        </w:rPr>
        <w:t>25</w:t>
      </w:r>
      <w:r w:rsidR="00477D75" w:rsidRPr="0044365D">
        <w:rPr>
          <w:rFonts w:ascii="Times New Roman" w:hAnsi="Times New Roman" w:cs="Times New Roman"/>
        </w:rPr>
        <w:fldChar w:fldCharType="end"/>
      </w:r>
      <w:r w:rsidR="00477D75">
        <w:rPr>
          <w:rFonts w:ascii="Times New Roman" w:hAnsi="Times New Roman" w:cs="Times New Roman"/>
        </w:rPr>
        <w:t xml:space="preserve"> </w:t>
      </w:r>
      <w:r w:rsidR="00477D75" w:rsidRPr="008B3BCF">
        <w:rPr>
          <w:rFonts w:ascii="Times New Roman" w:hAnsi="Times New Roman" w:cs="Times New Roman"/>
        </w:rPr>
        <w:t>shows the tools before any part</w:t>
      </w:r>
      <w:r w:rsidR="00477D75">
        <w:rPr>
          <w:rFonts w:ascii="Times New Roman" w:hAnsi="Times New Roman" w:cs="Times New Roman"/>
        </w:rPr>
        <w:t xml:space="preserve"> </w:t>
      </w:r>
      <w:r w:rsidR="00477D75" w:rsidRPr="008B3BCF">
        <w:rPr>
          <w:rFonts w:ascii="Times New Roman" w:hAnsi="Times New Roman" w:cs="Times New Roman"/>
        </w:rPr>
        <w:t xml:space="preserve">cycles, and </w:t>
      </w:r>
      <w:r w:rsidR="00477D75" w:rsidRPr="0044365D">
        <w:rPr>
          <w:rFonts w:ascii="Times New Roman" w:hAnsi="Times New Roman" w:cs="Times New Roman"/>
        </w:rPr>
        <w:fldChar w:fldCharType="begin"/>
      </w:r>
      <w:r w:rsidR="00477D75" w:rsidRPr="0044365D">
        <w:rPr>
          <w:rFonts w:ascii="Times New Roman" w:hAnsi="Times New Roman" w:cs="Times New Roman"/>
        </w:rPr>
        <w:instrText xml:space="preserve"> REF _Ref100927648 \h </w:instrText>
      </w:r>
      <w:r w:rsidR="00477D75">
        <w:rPr>
          <w:rFonts w:ascii="Times New Roman" w:hAnsi="Times New Roman" w:cs="Times New Roman"/>
        </w:rPr>
        <w:instrText xml:space="preserve"> \* MERGEFORMAT </w:instrText>
      </w:r>
      <w:r w:rsidR="00477D75" w:rsidRPr="0044365D">
        <w:rPr>
          <w:rFonts w:ascii="Times New Roman" w:hAnsi="Times New Roman" w:cs="Times New Roman"/>
        </w:rPr>
      </w:r>
      <w:r w:rsidR="00477D75" w:rsidRPr="0044365D">
        <w:rPr>
          <w:rFonts w:ascii="Times New Roman" w:hAnsi="Times New Roman" w:cs="Times New Roman"/>
        </w:rPr>
        <w:fldChar w:fldCharType="separate"/>
      </w:r>
      <w:r w:rsidR="00477D75" w:rsidRPr="00F55515">
        <w:rPr>
          <w:rFonts w:ascii="Times New Roman" w:hAnsi="Times New Roman" w:cs="Times New Roman"/>
        </w:rPr>
        <w:t xml:space="preserve">Figure </w:t>
      </w:r>
      <w:r w:rsidR="00477D75" w:rsidRPr="00F55515">
        <w:rPr>
          <w:rFonts w:ascii="Times New Roman" w:hAnsi="Times New Roman" w:cs="Times New Roman"/>
          <w:noProof/>
        </w:rPr>
        <w:t>26</w:t>
      </w:r>
      <w:r w:rsidR="00477D75" w:rsidRPr="0044365D">
        <w:rPr>
          <w:rFonts w:ascii="Times New Roman" w:hAnsi="Times New Roman" w:cs="Times New Roman"/>
        </w:rPr>
        <w:fldChar w:fldCharType="end"/>
      </w:r>
      <w:r w:rsidR="00477D75">
        <w:rPr>
          <w:rFonts w:ascii="Times New Roman" w:hAnsi="Times New Roman" w:cs="Times New Roman"/>
        </w:rPr>
        <w:t xml:space="preserve"> </w:t>
      </w:r>
      <w:r w:rsidR="00477D75" w:rsidRPr="008B3BCF">
        <w:rPr>
          <w:rFonts w:ascii="Times New Roman" w:hAnsi="Times New Roman" w:cs="Times New Roman"/>
        </w:rPr>
        <w:t>shows the tools after several part cycles with an example carbon fiber composite part. Note that Tool #1 has a darker appearance than Tool #2 because of</w:t>
      </w:r>
    </w:p>
    <w:p w14:paraId="667D2605" w14:textId="77777777" w:rsidR="00855B80" w:rsidRDefault="00670343" w:rsidP="00855B80">
      <w:pPr>
        <w:keepNext/>
        <w:spacing w:line="360" w:lineRule="auto"/>
        <w:jc w:val="center"/>
      </w:pPr>
      <w:r w:rsidRPr="008B3BCF">
        <w:rPr>
          <w:rFonts w:ascii="Times New Roman" w:hAnsi="Times New Roman" w:cs="Times New Roman"/>
          <w:noProof/>
        </w:rPr>
        <w:lastRenderedPageBreak/>
        <w:drawing>
          <wp:inline distT="0" distB="0" distL="0" distR="0" wp14:anchorId="170AE981" wp14:editId="633409CD">
            <wp:extent cx="5220736" cy="3714750"/>
            <wp:effectExtent l="19050" t="19050" r="18415" b="1905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294976" cy="3767574"/>
                    </a:xfrm>
                    <a:prstGeom prst="rect">
                      <a:avLst/>
                    </a:prstGeom>
                    <a:ln>
                      <a:solidFill>
                        <a:schemeClr val="tx1"/>
                      </a:solidFill>
                    </a:ln>
                  </pic:spPr>
                </pic:pic>
              </a:graphicData>
            </a:graphic>
          </wp:inline>
        </w:drawing>
      </w:r>
    </w:p>
    <w:p w14:paraId="3F0DEF1D" w14:textId="1A5D37D5" w:rsidR="00670343" w:rsidRPr="008B3BCF" w:rsidRDefault="00855B80" w:rsidP="00F20503">
      <w:pPr>
        <w:pStyle w:val="Caption"/>
      </w:pPr>
      <w:bookmarkStart w:id="96" w:name="_Ref100927475"/>
      <w:bookmarkStart w:id="97" w:name="_Toc101365685"/>
      <w:r>
        <w:t xml:space="preserve">Figure </w:t>
      </w:r>
      <w:r w:rsidR="002F73EC">
        <w:fldChar w:fldCharType="begin"/>
      </w:r>
      <w:r w:rsidR="002F73EC">
        <w:instrText xml:space="preserve"> SEQ Figure \* ARABIC </w:instrText>
      </w:r>
      <w:r w:rsidR="002F73EC">
        <w:fldChar w:fldCharType="separate"/>
      </w:r>
      <w:r w:rsidR="00BF5717">
        <w:rPr>
          <w:noProof/>
        </w:rPr>
        <w:t>23</w:t>
      </w:r>
      <w:r w:rsidR="002F73EC">
        <w:rPr>
          <w:noProof/>
        </w:rPr>
        <w:fldChar w:fldCharType="end"/>
      </w:r>
      <w:bookmarkEnd w:id="96"/>
      <w:r>
        <w:t xml:space="preserve"> </w:t>
      </w:r>
      <w:r w:rsidRPr="008B3BCF">
        <w:t>Fiberglass laminate curing and pseudo-additive manufacturing process in which new laminates are infused and cured while in direct contact with the previously cured laminate</w:t>
      </w:r>
      <w:r>
        <w:t>.</w:t>
      </w:r>
      <w:bookmarkEnd w:id="97"/>
    </w:p>
    <w:p w14:paraId="45ABE3AE" w14:textId="012C4397" w:rsidR="00670343" w:rsidRDefault="00670343" w:rsidP="008B3BCF">
      <w:pPr>
        <w:spacing w:line="360" w:lineRule="auto"/>
        <w:rPr>
          <w:rFonts w:ascii="Times New Roman" w:hAnsi="Times New Roman" w:cs="Times New Roman"/>
        </w:rPr>
      </w:pPr>
    </w:p>
    <w:p w14:paraId="1A299C93" w14:textId="77777777" w:rsidR="002C028A" w:rsidRDefault="002C028A" w:rsidP="008B3BCF">
      <w:pPr>
        <w:spacing w:line="360" w:lineRule="auto"/>
        <w:rPr>
          <w:rFonts w:ascii="Times New Roman" w:hAnsi="Times New Roman" w:cs="Times New Roman"/>
        </w:rPr>
      </w:pPr>
    </w:p>
    <w:p w14:paraId="39857E1F" w14:textId="77777777" w:rsidR="00855B80" w:rsidRDefault="008B3BCF" w:rsidP="002C028A">
      <w:pPr>
        <w:keepNext/>
        <w:spacing w:line="360" w:lineRule="auto"/>
        <w:jc w:val="center"/>
      </w:pPr>
      <w:r w:rsidRPr="008B3BCF">
        <w:rPr>
          <w:rFonts w:ascii="Times New Roman" w:hAnsi="Times New Roman" w:cs="Times New Roman"/>
          <w:noProof/>
        </w:rPr>
        <w:drawing>
          <wp:inline distT="0" distB="0" distL="0" distR="0" wp14:anchorId="5ADD119E" wp14:editId="2634DFBD">
            <wp:extent cx="5829300" cy="1520849"/>
            <wp:effectExtent l="0" t="0" r="0" b="3175"/>
            <wp:docPr id="2" name="Picture 2" descr="Diagram, 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ext, letter&#10;&#10;Description automatically generated"/>
                    <pic:cNvPicPr/>
                  </pic:nvPicPr>
                  <pic:blipFill>
                    <a:blip r:embed="rId32"/>
                    <a:stretch>
                      <a:fillRect/>
                    </a:stretch>
                  </pic:blipFill>
                  <pic:spPr>
                    <a:xfrm>
                      <a:off x="0" y="0"/>
                      <a:ext cx="5834846" cy="1522296"/>
                    </a:xfrm>
                    <a:prstGeom prst="rect">
                      <a:avLst/>
                    </a:prstGeom>
                  </pic:spPr>
                </pic:pic>
              </a:graphicData>
            </a:graphic>
          </wp:inline>
        </w:drawing>
      </w:r>
    </w:p>
    <w:p w14:paraId="00766535" w14:textId="4E5FEBA0" w:rsidR="008B3BCF" w:rsidRPr="008B3BCF" w:rsidRDefault="00855B80" w:rsidP="00F20503">
      <w:pPr>
        <w:pStyle w:val="Caption"/>
      </w:pPr>
      <w:bookmarkStart w:id="98" w:name="_Ref100927554"/>
      <w:bookmarkStart w:id="99" w:name="_Toc101365686"/>
      <w:r>
        <w:t xml:space="preserve">Figure </w:t>
      </w:r>
      <w:r w:rsidR="002F73EC">
        <w:fldChar w:fldCharType="begin"/>
      </w:r>
      <w:r w:rsidR="002F73EC">
        <w:instrText xml:space="preserve"> SEQ Figure \* ARABIC </w:instrText>
      </w:r>
      <w:r w:rsidR="002F73EC">
        <w:fldChar w:fldCharType="separate"/>
      </w:r>
      <w:r w:rsidR="00BF5717">
        <w:rPr>
          <w:noProof/>
        </w:rPr>
        <w:t>24</w:t>
      </w:r>
      <w:r w:rsidR="002F73EC">
        <w:rPr>
          <w:noProof/>
        </w:rPr>
        <w:fldChar w:fldCharType="end"/>
      </w:r>
      <w:bookmarkEnd w:id="98"/>
      <w:r>
        <w:t xml:space="preserve"> </w:t>
      </w:r>
      <w:r w:rsidRPr="008B3BCF">
        <w:t>Schematic for the design, fabrication and durability analysis of the UV cured tooling</w:t>
      </w:r>
      <w:r>
        <w:t>.</w:t>
      </w:r>
      <w:bookmarkEnd w:id="99"/>
    </w:p>
    <w:p w14:paraId="0F24F7EE" w14:textId="4533418A" w:rsidR="0074122E" w:rsidRDefault="0074122E" w:rsidP="0074122E"/>
    <w:p w14:paraId="5A6625DF" w14:textId="77777777" w:rsidR="00737580" w:rsidRPr="0074122E" w:rsidRDefault="00737580" w:rsidP="0074122E"/>
    <w:p w14:paraId="7D8A540A" w14:textId="470C81CA" w:rsidR="00F55515" w:rsidRPr="00020242" w:rsidRDefault="00F55515" w:rsidP="00F55515">
      <w:pPr>
        <w:spacing w:line="360" w:lineRule="auto"/>
        <w:rPr>
          <w:rFonts w:ascii="Times New Roman" w:hAnsi="Times New Roman" w:cs="Times New Roman"/>
        </w:rPr>
      </w:pPr>
      <w:r w:rsidRPr="008B3BCF">
        <w:rPr>
          <w:rFonts w:ascii="Times New Roman" w:hAnsi="Times New Roman" w:cs="Times New Roman"/>
        </w:rPr>
        <w:lastRenderedPageBreak/>
        <w:t xml:space="preserve">the specialty surface coating on the tool face, and after multiple part cycles the surface finish of Tool #1 became duller. </w:t>
      </w:r>
    </w:p>
    <w:p w14:paraId="3EC6F3F3" w14:textId="77777777" w:rsidR="00F55515" w:rsidRPr="008B3BCF" w:rsidRDefault="00F55515" w:rsidP="009D06D1">
      <w:pPr>
        <w:pStyle w:val="Heading3"/>
      </w:pPr>
      <w:bookmarkStart w:id="100" w:name="_Toc101701745"/>
      <w:r w:rsidRPr="008B3BCF">
        <w:t>4.9 Tooling stock material degradation assessment via hardness testing</w:t>
      </w:r>
      <w:bookmarkEnd w:id="100"/>
    </w:p>
    <w:p w14:paraId="718995E7" w14:textId="799AA215" w:rsidR="00F55515" w:rsidRDefault="00F55515" w:rsidP="00F55515">
      <w:pPr>
        <w:spacing w:line="360" w:lineRule="auto"/>
        <w:rPr>
          <w:rFonts w:ascii="Times New Roman" w:hAnsi="Times New Roman" w:cs="Times New Roman"/>
        </w:rPr>
      </w:pPr>
      <w:r w:rsidRPr="008B3BCF">
        <w:rPr>
          <w:rFonts w:ascii="Times New Roman" w:hAnsi="Times New Roman" w:cs="Times New Roman"/>
        </w:rPr>
        <w:t xml:space="preserve">The photopolymer tooling was first assessed using Vickers hardness to determine the impact of the thermal history on polymer degree of cure. A section of stock material was reserved from both tools and received the same thermal history as the tools themselves. Vickers hardness was measured on the top and bottom stock faces for each tool section. The stock material was kept uncoated to ensure the same polymer was being measured on both faces, and care was taken during measurement to test only resin rich areas and avoid fibers. The “top face” of the stock material was the first cured laminate while the “bottom face” was the third and last cured laminate layer (see </w:t>
      </w:r>
      <w:r w:rsidRPr="0044365D">
        <w:rPr>
          <w:rFonts w:ascii="Times New Roman" w:hAnsi="Times New Roman" w:cs="Times New Roman"/>
        </w:rPr>
        <w:fldChar w:fldCharType="begin"/>
      </w:r>
      <w:r w:rsidRPr="0044365D">
        <w:rPr>
          <w:rFonts w:ascii="Times New Roman" w:hAnsi="Times New Roman" w:cs="Times New Roman"/>
        </w:rPr>
        <w:instrText xml:space="preserve"> REF _Ref100927841 \h </w:instrText>
      </w:r>
      <w:r>
        <w:rPr>
          <w:rFonts w:ascii="Times New Roman" w:hAnsi="Times New Roman" w:cs="Times New Roman"/>
        </w:rPr>
        <w:instrText xml:space="preserve"> \* MERGEFORMAT </w:instrText>
      </w:r>
      <w:r w:rsidRPr="0044365D">
        <w:rPr>
          <w:rFonts w:ascii="Times New Roman" w:hAnsi="Times New Roman" w:cs="Times New Roman"/>
        </w:rPr>
      </w:r>
      <w:r w:rsidRPr="0044365D">
        <w:rPr>
          <w:rFonts w:ascii="Times New Roman" w:hAnsi="Times New Roman" w:cs="Times New Roman"/>
        </w:rPr>
        <w:fldChar w:fldCharType="separate"/>
      </w:r>
      <w:r w:rsidRPr="0044365D">
        <w:rPr>
          <w:rFonts w:ascii="Times New Roman" w:hAnsi="Times New Roman" w:cs="Times New Roman"/>
        </w:rPr>
        <w:t xml:space="preserve">Figure </w:t>
      </w:r>
      <w:r w:rsidRPr="0044365D">
        <w:rPr>
          <w:rFonts w:ascii="Times New Roman" w:hAnsi="Times New Roman" w:cs="Times New Roman"/>
          <w:noProof/>
        </w:rPr>
        <w:t>26</w:t>
      </w:r>
      <w:r w:rsidRPr="0044365D">
        <w:rPr>
          <w:rFonts w:ascii="Times New Roman" w:hAnsi="Times New Roman" w:cs="Times New Roman"/>
        </w:rPr>
        <w:fldChar w:fldCharType="end"/>
      </w:r>
      <w:r w:rsidRPr="008B3BCF">
        <w:rPr>
          <w:rFonts w:ascii="Times New Roman" w:hAnsi="Times New Roman" w:cs="Times New Roman"/>
        </w:rPr>
        <w:t xml:space="preserve">). Measurements were taken after UV irradiation, after machining and post curing, and after </w:t>
      </w:r>
      <w:proofErr w:type="gramStart"/>
      <w:r w:rsidRPr="008B3BCF">
        <w:rPr>
          <w:rFonts w:ascii="Times New Roman" w:hAnsi="Times New Roman" w:cs="Times New Roman"/>
        </w:rPr>
        <w:t>five part</w:t>
      </w:r>
      <w:proofErr w:type="gramEnd"/>
      <w:r w:rsidRPr="008B3BCF">
        <w:rPr>
          <w:rFonts w:ascii="Times New Roman" w:hAnsi="Times New Roman" w:cs="Times New Roman"/>
        </w:rPr>
        <w:t xml:space="preserve"> cycles. The results are shown in </w:t>
      </w:r>
      <w:r w:rsidRPr="0044365D">
        <w:rPr>
          <w:rFonts w:ascii="Times New Roman" w:hAnsi="Times New Roman" w:cs="Times New Roman"/>
          <w:highlight w:val="yellow"/>
        </w:rPr>
        <w:fldChar w:fldCharType="begin"/>
      </w:r>
      <w:r w:rsidRPr="0044365D">
        <w:rPr>
          <w:rFonts w:ascii="Times New Roman" w:hAnsi="Times New Roman" w:cs="Times New Roman"/>
        </w:rPr>
        <w:instrText xml:space="preserve"> REF _Ref100927734 \h </w:instrText>
      </w:r>
      <w:r>
        <w:rPr>
          <w:rFonts w:ascii="Times New Roman" w:hAnsi="Times New Roman" w:cs="Times New Roman"/>
          <w:highlight w:val="yellow"/>
        </w:rPr>
        <w:instrText xml:space="preserve"> \* MERGEFORMAT </w:instrText>
      </w:r>
      <w:r w:rsidRPr="0044365D">
        <w:rPr>
          <w:rFonts w:ascii="Times New Roman" w:hAnsi="Times New Roman" w:cs="Times New Roman"/>
          <w:highlight w:val="yellow"/>
        </w:rPr>
      </w:r>
      <w:r w:rsidRPr="0044365D">
        <w:rPr>
          <w:rFonts w:ascii="Times New Roman" w:hAnsi="Times New Roman" w:cs="Times New Roman"/>
          <w:highlight w:val="yellow"/>
        </w:rPr>
        <w:fldChar w:fldCharType="separate"/>
      </w:r>
      <w:r w:rsidRPr="00F55515">
        <w:rPr>
          <w:rFonts w:ascii="Times New Roman" w:hAnsi="Times New Roman" w:cs="Times New Roman"/>
        </w:rPr>
        <w:t xml:space="preserve">Table </w:t>
      </w:r>
      <w:r w:rsidRPr="00F55515">
        <w:rPr>
          <w:rFonts w:ascii="Times New Roman" w:hAnsi="Times New Roman" w:cs="Times New Roman"/>
          <w:noProof/>
        </w:rPr>
        <w:t>5</w:t>
      </w:r>
      <w:r w:rsidRPr="0044365D">
        <w:rPr>
          <w:rFonts w:ascii="Times New Roman" w:hAnsi="Times New Roman" w:cs="Times New Roman"/>
          <w:highlight w:val="yellow"/>
        </w:rPr>
        <w:fldChar w:fldCharType="end"/>
      </w:r>
      <w:r w:rsidRPr="008B3BCF">
        <w:rPr>
          <w:rFonts w:ascii="Times New Roman" w:hAnsi="Times New Roman" w:cs="Times New Roman"/>
        </w:rPr>
        <w:t>.</w:t>
      </w:r>
    </w:p>
    <w:p w14:paraId="4648BCF3" w14:textId="77777777" w:rsidR="00F55515" w:rsidRDefault="00F55515" w:rsidP="00F55515">
      <w:pPr>
        <w:spacing w:line="360" w:lineRule="auto"/>
        <w:rPr>
          <w:rFonts w:ascii="Times New Roman" w:hAnsi="Times New Roman" w:cs="Times New Roman"/>
        </w:rPr>
      </w:pPr>
    </w:p>
    <w:p w14:paraId="6F857DD5" w14:textId="77777777" w:rsidR="00F55515" w:rsidRDefault="00F55515" w:rsidP="00F55515">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t xml:space="preserve">Tukey HSD was applied to the data sets, and multiple comparison of means for one-way ANOVA confirmed no statistically significant differences over the thermal history. However, there was a statistically significant difference between the third and first laminate layers, which remained consistent throughout the thermal history. When comparing Tool #1 and Tool #2, only data from the third layer could be obtained. Tool #2 had a lower third layer hardness than Tool #1, averaging between 20.6 and 20.7, but this difference was not statistically significant.  </w:t>
      </w:r>
    </w:p>
    <w:p w14:paraId="6F394020" w14:textId="77777777" w:rsidR="00F55515" w:rsidRPr="00020242" w:rsidRDefault="00F55515" w:rsidP="009D06D1">
      <w:pPr>
        <w:pStyle w:val="Heading3"/>
        <w:rPr>
          <w:rFonts w:eastAsiaTheme="minorEastAsia"/>
        </w:rPr>
      </w:pPr>
      <w:bookmarkStart w:id="101" w:name="_Toc101701746"/>
      <w:r w:rsidRPr="008B3BCF">
        <w:t>4.10 Tooling stock material degradation assessment via DMA</w:t>
      </w:r>
      <w:bookmarkEnd w:id="101"/>
    </w:p>
    <w:p w14:paraId="65637CE1" w14:textId="77777777" w:rsidR="00477D75" w:rsidRDefault="00F55515" w:rsidP="00477D75">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t>To assess the impact of multiple thermal cycles on T</w:t>
      </w:r>
      <w:r w:rsidRPr="008B3BCF">
        <w:rPr>
          <w:rFonts w:ascii="Times New Roman" w:eastAsiaTheme="minorEastAsia" w:hAnsi="Times New Roman" w:cs="Times New Roman"/>
          <w:vertAlign w:val="subscript"/>
        </w:rPr>
        <w:t xml:space="preserve">g </w:t>
      </w:r>
      <w:r w:rsidRPr="008B3BCF">
        <w:rPr>
          <w:rFonts w:ascii="Times New Roman" w:eastAsiaTheme="minorEastAsia" w:hAnsi="Times New Roman" w:cs="Times New Roman"/>
        </w:rPr>
        <w:t>and viscoelastic behavior of the fiberglass-photopolymer composite, sections of tooling stock from Tool #2 were machined into 30 mm x 5 mm x 1 mm specimens and tested via DMA using the same parameters as the neat resin testing. Specimens were tested from tool stock with UV cure</w:t>
      </w:r>
      <w:r>
        <w:rPr>
          <w:rFonts w:ascii="Times New Roman" w:eastAsiaTheme="minorEastAsia" w:hAnsi="Times New Roman" w:cs="Times New Roman"/>
        </w:rPr>
        <w:t xml:space="preserve"> </w:t>
      </w:r>
      <w:r w:rsidR="00477D75" w:rsidRPr="008B3BCF">
        <w:rPr>
          <w:rFonts w:ascii="Times New Roman" w:eastAsiaTheme="minorEastAsia" w:hAnsi="Times New Roman" w:cs="Times New Roman"/>
        </w:rPr>
        <w:t>only and from tool stock with post cure and 5 molding cycles, and they were machined</w:t>
      </w:r>
    </w:p>
    <w:p w14:paraId="4CDD5359" w14:textId="09B70315" w:rsidR="00670343" w:rsidRPr="00F55515" w:rsidRDefault="00477D75" w:rsidP="00477D75">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t xml:space="preserve">from the third layer and tested with the UV incident side facing up in the test fixture. DMA results are shown in </w:t>
      </w:r>
      <w:r w:rsidRPr="0044365D">
        <w:rPr>
          <w:rFonts w:ascii="Times New Roman" w:eastAsiaTheme="minorEastAsia" w:hAnsi="Times New Roman" w:cs="Times New Roman"/>
        </w:rPr>
        <w:fldChar w:fldCharType="begin"/>
      </w:r>
      <w:r w:rsidRPr="0044365D">
        <w:rPr>
          <w:rFonts w:ascii="Times New Roman" w:eastAsiaTheme="minorEastAsia" w:hAnsi="Times New Roman" w:cs="Times New Roman"/>
        </w:rPr>
        <w:instrText xml:space="preserve"> REF _Ref100927792 \h </w:instrText>
      </w:r>
      <w:r>
        <w:rPr>
          <w:rFonts w:ascii="Times New Roman" w:eastAsiaTheme="minorEastAsia" w:hAnsi="Times New Roman" w:cs="Times New Roman"/>
        </w:rPr>
        <w:instrText xml:space="preserve"> \* MERGEFORMAT </w:instrText>
      </w:r>
      <w:r w:rsidRPr="0044365D">
        <w:rPr>
          <w:rFonts w:ascii="Times New Roman" w:eastAsiaTheme="minorEastAsia" w:hAnsi="Times New Roman" w:cs="Times New Roman"/>
        </w:rPr>
      </w:r>
      <w:r w:rsidRPr="0044365D">
        <w:rPr>
          <w:rFonts w:ascii="Times New Roman" w:eastAsiaTheme="minorEastAsia" w:hAnsi="Times New Roman" w:cs="Times New Roman"/>
        </w:rPr>
        <w:fldChar w:fldCharType="separate"/>
      </w:r>
      <w:r w:rsidRPr="00F55515">
        <w:rPr>
          <w:rFonts w:ascii="Times New Roman" w:hAnsi="Times New Roman" w:cs="Times New Roman"/>
        </w:rPr>
        <w:t xml:space="preserve">Figure </w:t>
      </w:r>
      <w:r w:rsidRPr="00F55515">
        <w:rPr>
          <w:rFonts w:ascii="Times New Roman" w:hAnsi="Times New Roman" w:cs="Times New Roman"/>
          <w:noProof/>
        </w:rPr>
        <w:t>28</w:t>
      </w:r>
      <w:r w:rsidRPr="0044365D">
        <w:rPr>
          <w:rFonts w:ascii="Times New Roman" w:eastAsiaTheme="minorEastAsia" w:hAnsi="Times New Roman" w:cs="Times New Roman"/>
        </w:rPr>
        <w:fldChar w:fldCharType="end"/>
      </w:r>
      <w:r w:rsidRPr="008B3BCF">
        <w:rPr>
          <w:rFonts w:ascii="Times New Roman" w:eastAsiaTheme="minorEastAsia" w:hAnsi="Times New Roman" w:cs="Times New Roman"/>
        </w:rPr>
        <w:t>.</w:t>
      </w:r>
    </w:p>
    <w:p w14:paraId="1E5BE6C2" w14:textId="77777777" w:rsidR="00855B80" w:rsidRDefault="00670343" w:rsidP="00855B80">
      <w:pPr>
        <w:keepNext/>
        <w:spacing w:line="360" w:lineRule="auto"/>
        <w:jc w:val="center"/>
      </w:pPr>
      <w:r w:rsidRPr="008B3BCF">
        <w:rPr>
          <w:rFonts w:ascii="Times New Roman" w:hAnsi="Times New Roman" w:cs="Times New Roman"/>
          <w:noProof/>
        </w:rPr>
        <w:lastRenderedPageBreak/>
        <w:drawing>
          <wp:inline distT="0" distB="0" distL="0" distR="0" wp14:anchorId="673E44ED" wp14:editId="174B2919">
            <wp:extent cx="5682342" cy="2841171"/>
            <wp:effectExtent l="0" t="0" r="0" b="0"/>
            <wp:docPr id="25" name="Picture 2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indoo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04913" cy="2852457"/>
                    </a:xfrm>
                    <a:prstGeom prst="rect">
                      <a:avLst/>
                    </a:prstGeom>
                  </pic:spPr>
                </pic:pic>
              </a:graphicData>
            </a:graphic>
          </wp:inline>
        </w:drawing>
      </w:r>
    </w:p>
    <w:p w14:paraId="22055E6E" w14:textId="5EAEC29B" w:rsidR="008B3BCF" w:rsidRPr="008B3BCF" w:rsidRDefault="00855B80" w:rsidP="00F20503">
      <w:pPr>
        <w:pStyle w:val="Caption"/>
      </w:pPr>
      <w:bookmarkStart w:id="102" w:name="_Ref100927617"/>
      <w:bookmarkStart w:id="103" w:name="_Toc101365687"/>
      <w:r>
        <w:t xml:space="preserve">Figure </w:t>
      </w:r>
      <w:r w:rsidR="002F73EC">
        <w:fldChar w:fldCharType="begin"/>
      </w:r>
      <w:r w:rsidR="002F73EC">
        <w:instrText xml:space="preserve"> </w:instrText>
      </w:r>
      <w:r w:rsidR="002F73EC">
        <w:instrText xml:space="preserve">SEQ Figure \* ARABIC </w:instrText>
      </w:r>
      <w:r w:rsidR="002F73EC">
        <w:fldChar w:fldCharType="separate"/>
      </w:r>
      <w:r w:rsidR="00BF5717">
        <w:rPr>
          <w:noProof/>
        </w:rPr>
        <w:t>25</w:t>
      </w:r>
      <w:r w:rsidR="002F73EC">
        <w:rPr>
          <w:noProof/>
        </w:rPr>
        <w:fldChar w:fldCharType="end"/>
      </w:r>
      <w:bookmarkEnd w:id="102"/>
      <w:r>
        <w:t xml:space="preserve"> </w:t>
      </w:r>
      <w:r w:rsidRPr="008B3BCF">
        <w:t>Tool #1 was coated with TD Seal HT™, a common coating for autoclave-capable 3D printed tooling, while Tool #2 was coated with the same photopolymer used in the stock material</w:t>
      </w:r>
      <w:r>
        <w:t>.</w:t>
      </w:r>
      <w:bookmarkEnd w:id="103"/>
    </w:p>
    <w:p w14:paraId="6758B34F" w14:textId="77777777" w:rsidR="0044365D" w:rsidRDefault="008B3BCF" w:rsidP="00F55515">
      <w:pPr>
        <w:keepNext/>
        <w:spacing w:line="360" w:lineRule="auto"/>
        <w:jc w:val="center"/>
      </w:pPr>
      <w:r w:rsidRPr="008B3BCF">
        <w:rPr>
          <w:rFonts w:ascii="Times New Roman" w:hAnsi="Times New Roman" w:cs="Times New Roman"/>
          <w:noProof/>
        </w:rPr>
        <w:lastRenderedPageBreak/>
        <w:drawing>
          <wp:inline distT="0" distB="0" distL="0" distR="0" wp14:anchorId="4B66E48D" wp14:editId="5F527BD3">
            <wp:extent cx="5222000" cy="4637314"/>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253848" cy="4665596"/>
                    </a:xfrm>
                    <a:prstGeom prst="rect">
                      <a:avLst/>
                    </a:prstGeom>
                  </pic:spPr>
                </pic:pic>
              </a:graphicData>
            </a:graphic>
          </wp:inline>
        </w:drawing>
      </w:r>
    </w:p>
    <w:p w14:paraId="4AECF708" w14:textId="08B2E4BE" w:rsidR="008B3BCF" w:rsidRPr="008B3BCF" w:rsidRDefault="0044365D" w:rsidP="00F20503">
      <w:pPr>
        <w:pStyle w:val="Caption"/>
      </w:pPr>
      <w:bookmarkStart w:id="104" w:name="_Ref100927648"/>
      <w:bookmarkStart w:id="105" w:name="_Toc101365688"/>
      <w:r>
        <w:t xml:space="preserve">Figure </w:t>
      </w:r>
      <w:r w:rsidR="002F73EC">
        <w:fldChar w:fldCharType="begin"/>
      </w:r>
      <w:r w:rsidR="002F73EC">
        <w:instrText xml:space="preserve"> SEQ Figure \* ARABIC </w:instrText>
      </w:r>
      <w:r w:rsidR="002F73EC">
        <w:fldChar w:fldCharType="separate"/>
      </w:r>
      <w:r w:rsidR="00BF5717">
        <w:rPr>
          <w:noProof/>
        </w:rPr>
        <w:t>26</w:t>
      </w:r>
      <w:r w:rsidR="002F73EC">
        <w:rPr>
          <w:noProof/>
        </w:rPr>
        <w:fldChar w:fldCharType="end"/>
      </w:r>
      <w:bookmarkEnd w:id="104"/>
      <w:r>
        <w:t xml:space="preserve"> </w:t>
      </w:r>
      <w:r w:rsidRPr="008B3BCF">
        <w:t>Tool #1 and Tool #2 after multiple part cycles and an example part produced using the tooling.  The finish on Tool #1 had become matte in texture, while Tool #2 remained glossy.</w:t>
      </w:r>
      <w:bookmarkEnd w:id="105"/>
    </w:p>
    <w:p w14:paraId="16324804" w14:textId="3AA8A311" w:rsidR="008B3BCF" w:rsidRDefault="008B3BCF" w:rsidP="008B3BCF">
      <w:pPr>
        <w:spacing w:line="360" w:lineRule="auto"/>
        <w:rPr>
          <w:rFonts w:ascii="Times New Roman" w:hAnsi="Times New Roman" w:cs="Times New Roman"/>
        </w:rPr>
      </w:pPr>
    </w:p>
    <w:p w14:paraId="728486D5" w14:textId="61359A67" w:rsidR="00670343" w:rsidRDefault="00670343" w:rsidP="008B3BCF">
      <w:pPr>
        <w:spacing w:line="360" w:lineRule="auto"/>
        <w:rPr>
          <w:rFonts w:ascii="Times New Roman" w:hAnsi="Times New Roman" w:cs="Times New Roman"/>
        </w:rPr>
      </w:pPr>
    </w:p>
    <w:p w14:paraId="60715987" w14:textId="47D6D580" w:rsidR="00670343" w:rsidRDefault="00670343" w:rsidP="008B3BCF">
      <w:pPr>
        <w:spacing w:line="360" w:lineRule="auto"/>
        <w:rPr>
          <w:rFonts w:ascii="Times New Roman" w:hAnsi="Times New Roman" w:cs="Times New Roman"/>
        </w:rPr>
      </w:pPr>
    </w:p>
    <w:p w14:paraId="17C95BA1" w14:textId="22CCF7F2" w:rsidR="00F55515" w:rsidRDefault="00F55515" w:rsidP="008B3BCF">
      <w:pPr>
        <w:spacing w:line="360" w:lineRule="auto"/>
        <w:rPr>
          <w:rFonts w:ascii="Times New Roman" w:hAnsi="Times New Roman" w:cs="Times New Roman"/>
        </w:rPr>
      </w:pPr>
    </w:p>
    <w:p w14:paraId="2C50CB31" w14:textId="328FED32" w:rsidR="00F55515" w:rsidRDefault="00F55515" w:rsidP="008B3BCF">
      <w:pPr>
        <w:spacing w:line="360" w:lineRule="auto"/>
        <w:rPr>
          <w:rFonts w:ascii="Times New Roman" w:hAnsi="Times New Roman" w:cs="Times New Roman"/>
        </w:rPr>
      </w:pPr>
    </w:p>
    <w:p w14:paraId="568B5B33" w14:textId="77777777" w:rsidR="00F55515" w:rsidRDefault="00F55515" w:rsidP="008B3BCF">
      <w:pPr>
        <w:spacing w:line="360" w:lineRule="auto"/>
        <w:rPr>
          <w:rFonts w:ascii="Times New Roman" w:hAnsi="Times New Roman" w:cs="Times New Roman"/>
        </w:rPr>
      </w:pPr>
    </w:p>
    <w:p w14:paraId="2ED8E986" w14:textId="528385E2" w:rsidR="00670343" w:rsidRDefault="00670343" w:rsidP="008B3BCF">
      <w:pPr>
        <w:spacing w:line="360" w:lineRule="auto"/>
        <w:rPr>
          <w:rFonts w:ascii="Times New Roman" w:hAnsi="Times New Roman" w:cs="Times New Roman"/>
        </w:rPr>
      </w:pPr>
    </w:p>
    <w:p w14:paraId="1AB3FE87" w14:textId="06384934" w:rsidR="00670343" w:rsidRDefault="00670343" w:rsidP="008B3BCF">
      <w:pPr>
        <w:spacing w:line="360" w:lineRule="auto"/>
        <w:rPr>
          <w:rFonts w:ascii="Times New Roman" w:hAnsi="Times New Roman" w:cs="Times New Roman"/>
        </w:rPr>
      </w:pPr>
    </w:p>
    <w:p w14:paraId="6B9C6262" w14:textId="697743BC" w:rsidR="00670343" w:rsidRDefault="00670343" w:rsidP="008B3BCF">
      <w:pPr>
        <w:spacing w:line="360" w:lineRule="auto"/>
        <w:rPr>
          <w:rFonts w:ascii="Times New Roman" w:hAnsi="Times New Roman" w:cs="Times New Roman"/>
        </w:rPr>
      </w:pPr>
    </w:p>
    <w:p w14:paraId="78C519EC" w14:textId="77777777" w:rsidR="0044365D" w:rsidRDefault="008B3BCF" w:rsidP="0044365D">
      <w:pPr>
        <w:keepNext/>
        <w:spacing w:line="360" w:lineRule="auto"/>
      </w:pPr>
      <w:r w:rsidRPr="008B3BCF">
        <w:rPr>
          <w:rFonts w:ascii="Times New Roman" w:hAnsi="Times New Roman" w:cs="Times New Roman"/>
          <w:noProof/>
        </w:rPr>
        <w:lastRenderedPageBreak/>
        <w:drawing>
          <wp:inline distT="0" distB="0" distL="0" distR="0" wp14:anchorId="49309A30" wp14:editId="68980EA8">
            <wp:extent cx="5517931" cy="2405252"/>
            <wp:effectExtent l="0" t="0" r="698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529877" cy="2410459"/>
                    </a:xfrm>
                    <a:prstGeom prst="rect">
                      <a:avLst/>
                    </a:prstGeom>
                  </pic:spPr>
                </pic:pic>
              </a:graphicData>
            </a:graphic>
          </wp:inline>
        </w:drawing>
      </w:r>
    </w:p>
    <w:p w14:paraId="73BB0AB7" w14:textId="6232A6AC" w:rsidR="008B3BCF" w:rsidRPr="008B3BCF" w:rsidRDefault="0044365D" w:rsidP="00F20503">
      <w:pPr>
        <w:pStyle w:val="Caption"/>
      </w:pPr>
      <w:bookmarkStart w:id="106" w:name="_Ref100927841"/>
      <w:bookmarkStart w:id="107" w:name="_Toc101365689"/>
      <w:r>
        <w:t xml:space="preserve">Figure </w:t>
      </w:r>
      <w:r w:rsidR="002F73EC">
        <w:fldChar w:fldCharType="begin"/>
      </w:r>
      <w:r w:rsidR="002F73EC">
        <w:instrText xml:space="preserve"> SEQ Figure \* ARABIC </w:instrText>
      </w:r>
      <w:r w:rsidR="002F73EC">
        <w:fldChar w:fldCharType="separate"/>
      </w:r>
      <w:r w:rsidR="00BF5717">
        <w:rPr>
          <w:noProof/>
        </w:rPr>
        <w:t>27</w:t>
      </w:r>
      <w:r w:rsidR="002F73EC">
        <w:rPr>
          <w:noProof/>
        </w:rPr>
        <w:fldChar w:fldCharType="end"/>
      </w:r>
      <w:bookmarkEnd w:id="106"/>
      <w:r>
        <w:t xml:space="preserve"> </w:t>
      </w:r>
      <w:r w:rsidRPr="008B3BCF">
        <w:t>Vickers hardness measured from the top and bottom stock faces, as indicated relative to the machined tooling geometry. Note that the tooling mold face (Power T) primarily consists of the 1st and 2nd cured laminate layers</w:t>
      </w:r>
      <w:bookmarkEnd w:id="107"/>
    </w:p>
    <w:p w14:paraId="5FA2E95B" w14:textId="1518FFD4" w:rsidR="008B3BCF" w:rsidRDefault="008B3BCF" w:rsidP="008B3BCF">
      <w:pPr>
        <w:spacing w:line="360" w:lineRule="auto"/>
        <w:rPr>
          <w:rFonts w:ascii="Times New Roman" w:hAnsi="Times New Roman" w:cs="Times New Roman"/>
        </w:rPr>
      </w:pPr>
    </w:p>
    <w:p w14:paraId="07DF36CE" w14:textId="37EE4E12" w:rsidR="008B3BCF" w:rsidRPr="008B3BCF" w:rsidRDefault="008B3BCF" w:rsidP="00F20503">
      <w:pPr>
        <w:pStyle w:val="Caption"/>
      </w:pPr>
      <w:r w:rsidRPr="008B3BCF">
        <w:rPr>
          <w:i/>
        </w:rPr>
        <w:fldChar w:fldCharType="begin"/>
      </w:r>
      <w:r w:rsidRPr="008B3BCF">
        <w:instrText xml:space="preserve"> LINK </w:instrText>
      </w:r>
      <w:r w:rsidR="002F73EC">
        <w:instrText xml:space="preserve">Excel.Sheet.12 "P:\\Dissertation\\0.0 Experiments\\Chapter 1 Testing\\Vickers\\VHN_06112021_PowerT molds.xlsx" "Figures for paper!R1C34:R5C39" </w:instrText>
      </w:r>
      <w:r w:rsidRPr="008B3BCF">
        <w:instrText xml:space="preserve">\a \f 4 \h  \* MERGEFORMAT </w:instrText>
      </w:r>
      <w:r w:rsidRPr="008B3BCF">
        <w:rPr>
          <w:i/>
        </w:rPr>
        <w:fldChar w:fldCharType="separate"/>
      </w:r>
    </w:p>
    <w:p w14:paraId="3F995AE4" w14:textId="6233567B" w:rsidR="0044365D" w:rsidRDefault="0044365D" w:rsidP="00F20503">
      <w:pPr>
        <w:pStyle w:val="Caption"/>
      </w:pPr>
      <w:bookmarkStart w:id="108" w:name="_Ref100927734"/>
      <w:bookmarkStart w:id="109" w:name="_Toc101382366"/>
      <w:r>
        <w:t xml:space="preserve">Table </w:t>
      </w:r>
      <w:r w:rsidR="002F73EC">
        <w:fldChar w:fldCharType="begin"/>
      </w:r>
      <w:r w:rsidR="002F73EC">
        <w:instrText xml:space="preserve"> SEQ Table \* ARABIC </w:instrText>
      </w:r>
      <w:r w:rsidR="002F73EC">
        <w:fldChar w:fldCharType="separate"/>
      </w:r>
      <w:r w:rsidR="00B30A2A">
        <w:rPr>
          <w:noProof/>
        </w:rPr>
        <w:t>5</w:t>
      </w:r>
      <w:r w:rsidR="002F73EC">
        <w:rPr>
          <w:noProof/>
        </w:rPr>
        <w:fldChar w:fldCharType="end"/>
      </w:r>
      <w:bookmarkEnd w:id="108"/>
      <w:r>
        <w:t xml:space="preserve"> </w:t>
      </w:r>
      <w:r w:rsidRPr="008B3BCF">
        <w:t>Average VHN from top stock face (First) and bottom stock face (Third) of the tool stock at varying thermal aging. The third laminate layer was measured at the UV incident face for its respective cure cycle.</w:t>
      </w:r>
      <w:bookmarkEnd w:id="109"/>
    </w:p>
    <w:tbl>
      <w:tblPr>
        <w:tblW w:w="7720" w:type="dxa"/>
        <w:tblLook w:val="04A0" w:firstRow="1" w:lastRow="0" w:firstColumn="1" w:lastColumn="0" w:noHBand="0" w:noVBand="1"/>
      </w:tblPr>
      <w:tblGrid>
        <w:gridCol w:w="2080"/>
        <w:gridCol w:w="1340"/>
        <w:gridCol w:w="1340"/>
        <w:gridCol w:w="280"/>
        <w:gridCol w:w="877"/>
        <w:gridCol w:w="1803"/>
      </w:tblGrid>
      <w:tr w:rsidR="008B3BCF" w:rsidRPr="008B3BCF" w14:paraId="5B9A29D4" w14:textId="77777777" w:rsidTr="00BB0F8E">
        <w:trPr>
          <w:trHeight w:val="300"/>
        </w:trPr>
        <w:tc>
          <w:tcPr>
            <w:tcW w:w="2080" w:type="dxa"/>
            <w:tcBorders>
              <w:top w:val="nil"/>
              <w:left w:val="nil"/>
              <w:bottom w:val="nil"/>
              <w:right w:val="nil"/>
            </w:tcBorders>
            <w:shd w:val="clear" w:color="000000" w:fill="FFFFFF"/>
            <w:noWrap/>
            <w:vAlign w:val="bottom"/>
            <w:hideMark/>
          </w:tcPr>
          <w:p w14:paraId="19464226"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w:t>
            </w:r>
          </w:p>
        </w:tc>
        <w:tc>
          <w:tcPr>
            <w:tcW w:w="2680" w:type="dxa"/>
            <w:gridSpan w:val="2"/>
            <w:tcBorders>
              <w:top w:val="nil"/>
              <w:left w:val="nil"/>
              <w:bottom w:val="single" w:sz="4" w:space="0" w:color="auto"/>
              <w:right w:val="nil"/>
            </w:tcBorders>
            <w:shd w:val="clear" w:color="000000" w:fill="FFFFFF"/>
            <w:noWrap/>
            <w:vAlign w:val="bottom"/>
            <w:hideMark/>
          </w:tcPr>
          <w:p w14:paraId="37645FF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Tool #1</w:t>
            </w:r>
          </w:p>
        </w:tc>
        <w:tc>
          <w:tcPr>
            <w:tcW w:w="280" w:type="dxa"/>
            <w:tcBorders>
              <w:top w:val="nil"/>
              <w:left w:val="nil"/>
              <w:bottom w:val="nil"/>
              <w:right w:val="nil"/>
            </w:tcBorders>
            <w:shd w:val="clear" w:color="000000" w:fill="FFFFFF"/>
            <w:noWrap/>
            <w:vAlign w:val="bottom"/>
            <w:hideMark/>
          </w:tcPr>
          <w:p w14:paraId="20C1FDA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2680" w:type="dxa"/>
            <w:gridSpan w:val="2"/>
            <w:tcBorders>
              <w:top w:val="nil"/>
              <w:left w:val="nil"/>
              <w:bottom w:val="single" w:sz="4" w:space="0" w:color="auto"/>
              <w:right w:val="nil"/>
            </w:tcBorders>
            <w:shd w:val="clear" w:color="000000" w:fill="FFFFFF"/>
            <w:noWrap/>
            <w:vAlign w:val="bottom"/>
            <w:hideMark/>
          </w:tcPr>
          <w:p w14:paraId="4D2D3D6C"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Tool #2</w:t>
            </w:r>
          </w:p>
        </w:tc>
      </w:tr>
      <w:tr w:rsidR="008B3BCF" w:rsidRPr="008B3BCF" w14:paraId="4D6678D4" w14:textId="77777777" w:rsidTr="00BB0F8E">
        <w:trPr>
          <w:trHeight w:val="300"/>
        </w:trPr>
        <w:tc>
          <w:tcPr>
            <w:tcW w:w="2080" w:type="dxa"/>
            <w:tcBorders>
              <w:top w:val="nil"/>
              <w:left w:val="nil"/>
              <w:bottom w:val="single" w:sz="4" w:space="0" w:color="auto"/>
              <w:right w:val="nil"/>
            </w:tcBorders>
            <w:shd w:val="clear" w:color="000000" w:fill="FFFFFF"/>
            <w:noWrap/>
            <w:vAlign w:val="bottom"/>
            <w:hideMark/>
          </w:tcPr>
          <w:p w14:paraId="4443A2CD"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Thermal History</w:t>
            </w:r>
          </w:p>
        </w:tc>
        <w:tc>
          <w:tcPr>
            <w:tcW w:w="1340" w:type="dxa"/>
            <w:tcBorders>
              <w:top w:val="nil"/>
              <w:left w:val="nil"/>
              <w:bottom w:val="single" w:sz="4" w:space="0" w:color="auto"/>
              <w:right w:val="nil"/>
            </w:tcBorders>
            <w:shd w:val="clear" w:color="000000" w:fill="FFFFFF"/>
            <w:noWrap/>
            <w:vAlign w:val="bottom"/>
            <w:hideMark/>
          </w:tcPr>
          <w:p w14:paraId="71C964D1"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xml:space="preserve">First </w:t>
            </w:r>
          </w:p>
        </w:tc>
        <w:tc>
          <w:tcPr>
            <w:tcW w:w="1340" w:type="dxa"/>
            <w:tcBorders>
              <w:top w:val="nil"/>
              <w:left w:val="nil"/>
              <w:bottom w:val="single" w:sz="4" w:space="0" w:color="auto"/>
              <w:right w:val="nil"/>
            </w:tcBorders>
            <w:shd w:val="clear" w:color="000000" w:fill="FFFFFF"/>
            <w:noWrap/>
            <w:vAlign w:val="bottom"/>
            <w:hideMark/>
          </w:tcPr>
          <w:p w14:paraId="562D97A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Third</w:t>
            </w:r>
          </w:p>
        </w:tc>
        <w:tc>
          <w:tcPr>
            <w:tcW w:w="280" w:type="dxa"/>
            <w:tcBorders>
              <w:top w:val="nil"/>
              <w:left w:val="nil"/>
              <w:bottom w:val="single" w:sz="4" w:space="0" w:color="auto"/>
              <w:right w:val="nil"/>
            </w:tcBorders>
            <w:shd w:val="clear" w:color="000000" w:fill="FFFFFF"/>
            <w:noWrap/>
            <w:vAlign w:val="bottom"/>
            <w:hideMark/>
          </w:tcPr>
          <w:p w14:paraId="2E204AC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877" w:type="dxa"/>
            <w:tcBorders>
              <w:top w:val="nil"/>
              <w:left w:val="nil"/>
              <w:bottom w:val="single" w:sz="4" w:space="0" w:color="auto"/>
              <w:right w:val="nil"/>
            </w:tcBorders>
            <w:shd w:val="clear" w:color="000000" w:fill="FFFFFF"/>
            <w:noWrap/>
            <w:vAlign w:val="bottom"/>
            <w:hideMark/>
          </w:tcPr>
          <w:p w14:paraId="27E144A1"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First</w:t>
            </w:r>
          </w:p>
        </w:tc>
        <w:tc>
          <w:tcPr>
            <w:tcW w:w="1803" w:type="dxa"/>
            <w:tcBorders>
              <w:top w:val="nil"/>
              <w:left w:val="nil"/>
              <w:bottom w:val="single" w:sz="4" w:space="0" w:color="auto"/>
              <w:right w:val="nil"/>
            </w:tcBorders>
            <w:shd w:val="clear" w:color="000000" w:fill="FFFFFF"/>
            <w:noWrap/>
            <w:vAlign w:val="bottom"/>
            <w:hideMark/>
          </w:tcPr>
          <w:p w14:paraId="08129EE5"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Third</w:t>
            </w:r>
          </w:p>
        </w:tc>
      </w:tr>
      <w:tr w:rsidR="008B3BCF" w:rsidRPr="008B3BCF" w14:paraId="7E960BA2" w14:textId="77777777" w:rsidTr="00BB0F8E">
        <w:trPr>
          <w:trHeight w:val="300"/>
        </w:trPr>
        <w:tc>
          <w:tcPr>
            <w:tcW w:w="2080" w:type="dxa"/>
            <w:tcBorders>
              <w:top w:val="nil"/>
              <w:left w:val="nil"/>
              <w:bottom w:val="nil"/>
              <w:right w:val="nil"/>
            </w:tcBorders>
            <w:shd w:val="clear" w:color="000000" w:fill="FFFFFF"/>
            <w:noWrap/>
            <w:vAlign w:val="bottom"/>
            <w:hideMark/>
          </w:tcPr>
          <w:p w14:paraId="6F363B59"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UV Only</w:t>
            </w:r>
          </w:p>
        </w:tc>
        <w:tc>
          <w:tcPr>
            <w:tcW w:w="1340" w:type="dxa"/>
            <w:tcBorders>
              <w:top w:val="nil"/>
              <w:left w:val="nil"/>
              <w:bottom w:val="nil"/>
              <w:right w:val="nil"/>
            </w:tcBorders>
            <w:shd w:val="clear" w:color="000000" w:fill="FFFFFF"/>
            <w:noWrap/>
            <w:vAlign w:val="bottom"/>
            <w:hideMark/>
          </w:tcPr>
          <w:p w14:paraId="0E8FB979"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20.1 [2.1]</w:t>
            </w:r>
          </w:p>
        </w:tc>
        <w:tc>
          <w:tcPr>
            <w:tcW w:w="1340" w:type="dxa"/>
            <w:tcBorders>
              <w:top w:val="nil"/>
              <w:left w:val="nil"/>
              <w:bottom w:val="nil"/>
              <w:right w:val="nil"/>
            </w:tcBorders>
            <w:shd w:val="clear" w:color="000000" w:fill="FFFFFF"/>
            <w:noWrap/>
            <w:vAlign w:val="bottom"/>
            <w:hideMark/>
          </w:tcPr>
          <w:p w14:paraId="3ACB1F6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22.3 [2.8]</w:t>
            </w:r>
          </w:p>
        </w:tc>
        <w:tc>
          <w:tcPr>
            <w:tcW w:w="280" w:type="dxa"/>
            <w:tcBorders>
              <w:top w:val="nil"/>
              <w:left w:val="nil"/>
              <w:bottom w:val="nil"/>
              <w:right w:val="nil"/>
            </w:tcBorders>
            <w:shd w:val="clear" w:color="000000" w:fill="FFFFFF"/>
            <w:noWrap/>
            <w:vAlign w:val="bottom"/>
            <w:hideMark/>
          </w:tcPr>
          <w:p w14:paraId="1D80F1CA"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877" w:type="dxa"/>
            <w:tcBorders>
              <w:top w:val="nil"/>
              <w:left w:val="nil"/>
              <w:bottom w:val="nil"/>
              <w:right w:val="nil"/>
            </w:tcBorders>
            <w:shd w:val="clear" w:color="000000" w:fill="FFFFFF"/>
            <w:noWrap/>
            <w:vAlign w:val="bottom"/>
            <w:hideMark/>
          </w:tcPr>
          <w:p w14:paraId="76C88269" w14:textId="77777777" w:rsidR="008B3BCF" w:rsidRPr="008B3BCF" w:rsidRDefault="008B3BCF" w:rsidP="008B3BCF">
            <w:pPr>
              <w:spacing w:line="360" w:lineRule="auto"/>
              <w:jc w:val="center"/>
              <w:rPr>
                <w:rFonts w:ascii="Times New Roman" w:hAnsi="Times New Roman" w:cs="Times New Roman"/>
                <w:b/>
                <w:bCs/>
              </w:rPr>
            </w:pPr>
            <w:r w:rsidRPr="008B3BCF">
              <w:rPr>
                <w:rFonts w:ascii="Times New Roman" w:hAnsi="Times New Roman" w:cs="Times New Roman"/>
                <w:b/>
                <w:bCs/>
              </w:rPr>
              <w:t>-</w:t>
            </w:r>
          </w:p>
        </w:tc>
        <w:tc>
          <w:tcPr>
            <w:tcW w:w="1803" w:type="dxa"/>
            <w:tcBorders>
              <w:top w:val="nil"/>
              <w:left w:val="nil"/>
              <w:bottom w:val="nil"/>
              <w:right w:val="nil"/>
            </w:tcBorders>
            <w:shd w:val="clear" w:color="000000" w:fill="FFFFFF"/>
            <w:noWrap/>
            <w:vAlign w:val="bottom"/>
            <w:hideMark/>
          </w:tcPr>
          <w:p w14:paraId="053FE08C"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20.6 [0.6]</w:t>
            </w:r>
          </w:p>
        </w:tc>
      </w:tr>
      <w:tr w:rsidR="008B3BCF" w:rsidRPr="008B3BCF" w14:paraId="6C8A82EE" w14:textId="77777777" w:rsidTr="00BB0F8E">
        <w:trPr>
          <w:trHeight w:val="300"/>
        </w:trPr>
        <w:tc>
          <w:tcPr>
            <w:tcW w:w="2080" w:type="dxa"/>
            <w:tcBorders>
              <w:top w:val="nil"/>
              <w:left w:val="nil"/>
              <w:bottom w:val="nil"/>
              <w:right w:val="nil"/>
            </w:tcBorders>
            <w:shd w:val="clear" w:color="000000" w:fill="FFFFFF"/>
            <w:noWrap/>
            <w:vAlign w:val="bottom"/>
            <w:hideMark/>
          </w:tcPr>
          <w:p w14:paraId="5D494F91"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Post Cured</w:t>
            </w:r>
          </w:p>
        </w:tc>
        <w:tc>
          <w:tcPr>
            <w:tcW w:w="1340" w:type="dxa"/>
            <w:tcBorders>
              <w:top w:val="nil"/>
              <w:left w:val="nil"/>
              <w:bottom w:val="nil"/>
              <w:right w:val="nil"/>
            </w:tcBorders>
            <w:shd w:val="clear" w:color="000000" w:fill="FFFFFF"/>
            <w:noWrap/>
            <w:vAlign w:val="bottom"/>
            <w:hideMark/>
          </w:tcPr>
          <w:p w14:paraId="607E687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20.2 [1.6]</w:t>
            </w:r>
          </w:p>
        </w:tc>
        <w:tc>
          <w:tcPr>
            <w:tcW w:w="1340" w:type="dxa"/>
            <w:tcBorders>
              <w:top w:val="nil"/>
              <w:left w:val="nil"/>
              <w:bottom w:val="nil"/>
              <w:right w:val="nil"/>
            </w:tcBorders>
            <w:shd w:val="clear" w:color="000000" w:fill="FFFFFF"/>
            <w:noWrap/>
            <w:vAlign w:val="bottom"/>
            <w:hideMark/>
          </w:tcPr>
          <w:p w14:paraId="6C7B2BB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22.4 [2.1]</w:t>
            </w:r>
          </w:p>
        </w:tc>
        <w:tc>
          <w:tcPr>
            <w:tcW w:w="280" w:type="dxa"/>
            <w:tcBorders>
              <w:top w:val="nil"/>
              <w:left w:val="nil"/>
              <w:bottom w:val="nil"/>
              <w:right w:val="nil"/>
            </w:tcBorders>
            <w:shd w:val="clear" w:color="000000" w:fill="FFFFFF"/>
            <w:noWrap/>
            <w:vAlign w:val="bottom"/>
            <w:hideMark/>
          </w:tcPr>
          <w:p w14:paraId="4C492768"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877" w:type="dxa"/>
            <w:tcBorders>
              <w:top w:val="nil"/>
              <w:left w:val="nil"/>
              <w:bottom w:val="nil"/>
              <w:right w:val="nil"/>
            </w:tcBorders>
            <w:shd w:val="clear" w:color="000000" w:fill="FFFFFF"/>
            <w:noWrap/>
            <w:vAlign w:val="bottom"/>
            <w:hideMark/>
          </w:tcPr>
          <w:p w14:paraId="2D799A79" w14:textId="77777777" w:rsidR="008B3BCF" w:rsidRPr="008B3BCF" w:rsidRDefault="008B3BCF" w:rsidP="008B3BCF">
            <w:pPr>
              <w:spacing w:line="360" w:lineRule="auto"/>
              <w:jc w:val="center"/>
              <w:rPr>
                <w:rFonts w:ascii="Times New Roman" w:hAnsi="Times New Roman" w:cs="Times New Roman"/>
                <w:b/>
                <w:bCs/>
              </w:rPr>
            </w:pPr>
            <w:r w:rsidRPr="008B3BCF">
              <w:rPr>
                <w:rFonts w:ascii="Times New Roman" w:hAnsi="Times New Roman" w:cs="Times New Roman"/>
                <w:b/>
                <w:bCs/>
              </w:rPr>
              <w:t>-</w:t>
            </w:r>
          </w:p>
        </w:tc>
        <w:tc>
          <w:tcPr>
            <w:tcW w:w="1803" w:type="dxa"/>
            <w:tcBorders>
              <w:top w:val="nil"/>
              <w:left w:val="nil"/>
              <w:bottom w:val="nil"/>
              <w:right w:val="nil"/>
            </w:tcBorders>
            <w:shd w:val="clear" w:color="000000" w:fill="FFFFFF"/>
            <w:noWrap/>
            <w:vAlign w:val="bottom"/>
            <w:hideMark/>
          </w:tcPr>
          <w:p w14:paraId="2D27D7B2"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20.7 [1.1]</w:t>
            </w:r>
          </w:p>
        </w:tc>
      </w:tr>
      <w:tr w:rsidR="008B3BCF" w:rsidRPr="008B3BCF" w14:paraId="6277292C" w14:textId="77777777" w:rsidTr="00BB0F8E">
        <w:trPr>
          <w:trHeight w:val="300"/>
        </w:trPr>
        <w:tc>
          <w:tcPr>
            <w:tcW w:w="2080" w:type="dxa"/>
            <w:tcBorders>
              <w:top w:val="nil"/>
              <w:left w:val="nil"/>
              <w:bottom w:val="nil"/>
              <w:right w:val="nil"/>
            </w:tcBorders>
            <w:shd w:val="clear" w:color="000000" w:fill="FFFFFF"/>
            <w:noWrap/>
            <w:vAlign w:val="bottom"/>
            <w:hideMark/>
          </w:tcPr>
          <w:p w14:paraId="18CDD84E" w14:textId="77777777" w:rsidR="008B3BCF"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5 Molding Cycles</w:t>
            </w:r>
          </w:p>
        </w:tc>
        <w:tc>
          <w:tcPr>
            <w:tcW w:w="1340" w:type="dxa"/>
            <w:tcBorders>
              <w:top w:val="nil"/>
              <w:left w:val="nil"/>
              <w:bottom w:val="nil"/>
              <w:right w:val="nil"/>
            </w:tcBorders>
            <w:shd w:val="clear" w:color="000000" w:fill="FFFFFF"/>
            <w:noWrap/>
            <w:vAlign w:val="bottom"/>
            <w:hideMark/>
          </w:tcPr>
          <w:p w14:paraId="2BEFD4EB"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18.7 [1.0]</w:t>
            </w:r>
          </w:p>
        </w:tc>
        <w:tc>
          <w:tcPr>
            <w:tcW w:w="1340" w:type="dxa"/>
            <w:tcBorders>
              <w:top w:val="nil"/>
              <w:left w:val="nil"/>
              <w:bottom w:val="nil"/>
              <w:right w:val="nil"/>
            </w:tcBorders>
            <w:shd w:val="clear" w:color="000000" w:fill="FFFFFF"/>
            <w:noWrap/>
            <w:vAlign w:val="bottom"/>
            <w:hideMark/>
          </w:tcPr>
          <w:p w14:paraId="2AC81822"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22.3 [1.0]</w:t>
            </w:r>
          </w:p>
        </w:tc>
        <w:tc>
          <w:tcPr>
            <w:tcW w:w="280" w:type="dxa"/>
            <w:tcBorders>
              <w:top w:val="nil"/>
              <w:left w:val="nil"/>
              <w:bottom w:val="nil"/>
              <w:right w:val="nil"/>
            </w:tcBorders>
            <w:shd w:val="clear" w:color="000000" w:fill="FFFFFF"/>
            <w:noWrap/>
            <w:vAlign w:val="bottom"/>
            <w:hideMark/>
          </w:tcPr>
          <w:p w14:paraId="5952A53E"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 </w:t>
            </w:r>
          </w:p>
        </w:tc>
        <w:tc>
          <w:tcPr>
            <w:tcW w:w="877" w:type="dxa"/>
            <w:tcBorders>
              <w:top w:val="nil"/>
              <w:left w:val="nil"/>
              <w:bottom w:val="nil"/>
              <w:right w:val="nil"/>
            </w:tcBorders>
            <w:shd w:val="clear" w:color="000000" w:fill="FFFFFF"/>
            <w:noWrap/>
            <w:vAlign w:val="bottom"/>
            <w:hideMark/>
          </w:tcPr>
          <w:p w14:paraId="529A3402" w14:textId="77777777" w:rsidR="008B3BCF" w:rsidRPr="008B3BCF" w:rsidRDefault="008B3BCF" w:rsidP="008B3BCF">
            <w:pPr>
              <w:spacing w:line="360" w:lineRule="auto"/>
              <w:jc w:val="center"/>
              <w:rPr>
                <w:rFonts w:ascii="Times New Roman" w:hAnsi="Times New Roman" w:cs="Times New Roman"/>
                <w:b/>
                <w:bCs/>
              </w:rPr>
            </w:pPr>
            <w:r w:rsidRPr="008B3BCF">
              <w:rPr>
                <w:rFonts w:ascii="Times New Roman" w:hAnsi="Times New Roman" w:cs="Times New Roman"/>
                <w:b/>
                <w:bCs/>
              </w:rPr>
              <w:t>-</w:t>
            </w:r>
          </w:p>
        </w:tc>
        <w:tc>
          <w:tcPr>
            <w:tcW w:w="1803" w:type="dxa"/>
            <w:tcBorders>
              <w:top w:val="nil"/>
              <w:left w:val="nil"/>
              <w:bottom w:val="nil"/>
              <w:right w:val="nil"/>
            </w:tcBorders>
            <w:shd w:val="clear" w:color="000000" w:fill="FFFFFF"/>
            <w:noWrap/>
            <w:vAlign w:val="bottom"/>
            <w:hideMark/>
          </w:tcPr>
          <w:p w14:paraId="00CA0D91" w14:textId="77777777" w:rsidR="008B3BCF" w:rsidRPr="008B3BCF" w:rsidRDefault="008B3BCF" w:rsidP="008B3BCF">
            <w:pPr>
              <w:spacing w:line="360" w:lineRule="auto"/>
              <w:jc w:val="center"/>
              <w:rPr>
                <w:rFonts w:ascii="Times New Roman" w:hAnsi="Times New Roman" w:cs="Times New Roman"/>
              </w:rPr>
            </w:pPr>
            <w:r w:rsidRPr="008B3BCF">
              <w:rPr>
                <w:rFonts w:ascii="Times New Roman" w:hAnsi="Times New Roman" w:cs="Times New Roman"/>
              </w:rPr>
              <w:t>20.6 [1.4]</w:t>
            </w:r>
          </w:p>
        </w:tc>
      </w:tr>
    </w:tbl>
    <w:p w14:paraId="0889D011" w14:textId="77777777" w:rsidR="00F55515" w:rsidRDefault="008B3BCF" w:rsidP="00F55515">
      <w:pPr>
        <w:spacing w:line="360" w:lineRule="auto"/>
        <w:rPr>
          <w:rFonts w:ascii="Times New Roman" w:eastAsiaTheme="minorEastAsia" w:hAnsi="Times New Roman" w:cs="Times New Roman"/>
        </w:rPr>
      </w:pPr>
      <w:r w:rsidRPr="008B3BCF">
        <w:rPr>
          <w:rFonts w:ascii="Times New Roman" w:hAnsi="Times New Roman" w:cs="Times New Roman"/>
        </w:rPr>
        <w:fldChar w:fldCharType="end"/>
      </w:r>
    </w:p>
    <w:p w14:paraId="55FEE924" w14:textId="77777777" w:rsidR="00F55515" w:rsidRDefault="00F55515" w:rsidP="00F55515">
      <w:pPr>
        <w:spacing w:line="360" w:lineRule="auto"/>
        <w:rPr>
          <w:rFonts w:ascii="Times New Roman" w:eastAsiaTheme="minorEastAsia" w:hAnsi="Times New Roman" w:cs="Times New Roman"/>
        </w:rPr>
      </w:pPr>
    </w:p>
    <w:p w14:paraId="351D154F" w14:textId="77777777" w:rsidR="00F55515" w:rsidRDefault="00F55515" w:rsidP="00F55515">
      <w:pPr>
        <w:spacing w:line="360" w:lineRule="auto"/>
        <w:rPr>
          <w:rFonts w:ascii="Times New Roman" w:eastAsiaTheme="minorEastAsia" w:hAnsi="Times New Roman" w:cs="Times New Roman"/>
        </w:rPr>
      </w:pPr>
    </w:p>
    <w:p w14:paraId="74FA4804" w14:textId="77777777" w:rsidR="00F55515" w:rsidRDefault="00F55515" w:rsidP="00F55515">
      <w:pPr>
        <w:spacing w:line="360" w:lineRule="auto"/>
        <w:rPr>
          <w:rFonts w:ascii="Times New Roman" w:eastAsiaTheme="minorEastAsia" w:hAnsi="Times New Roman" w:cs="Times New Roman"/>
        </w:rPr>
      </w:pPr>
    </w:p>
    <w:p w14:paraId="6CCDF65E" w14:textId="77777777" w:rsidR="00682254" w:rsidRDefault="00682254" w:rsidP="00F55515">
      <w:pPr>
        <w:spacing w:line="360" w:lineRule="auto"/>
        <w:rPr>
          <w:rFonts w:ascii="Times New Roman" w:eastAsiaTheme="minorEastAsia" w:hAnsi="Times New Roman" w:cs="Times New Roman"/>
        </w:rPr>
      </w:pPr>
    </w:p>
    <w:p w14:paraId="7EC8DB07" w14:textId="77777777" w:rsidR="00682254" w:rsidRDefault="00682254" w:rsidP="00F55515">
      <w:pPr>
        <w:spacing w:line="360" w:lineRule="auto"/>
        <w:rPr>
          <w:rFonts w:ascii="Times New Roman" w:eastAsiaTheme="minorEastAsia" w:hAnsi="Times New Roman" w:cs="Times New Roman"/>
        </w:rPr>
      </w:pPr>
    </w:p>
    <w:p w14:paraId="69822D89" w14:textId="77777777" w:rsidR="00F55515" w:rsidRDefault="00F55515" w:rsidP="00F55515">
      <w:pPr>
        <w:spacing w:line="360" w:lineRule="auto"/>
        <w:rPr>
          <w:rFonts w:ascii="Times New Roman" w:eastAsiaTheme="minorEastAsia" w:hAnsi="Times New Roman" w:cs="Times New Roman"/>
        </w:rPr>
      </w:pPr>
    </w:p>
    <w:p w14:paraId="4219E22C" w14:textId="77777777" w:rsidR="00F55515" w:rsidRPr="008B3BCF" w:rsidRDefault="00F55515" w:rsidP="00F55515">
      <w:pPr>
        <w:spacing w:line="360" w:lineRule="auto"/>
        <w:rPr>
          <w:rFonts w:ascii="Times New Roman" w:eastAsiaTheme="minorEastAsia" w:hAnsi="Times New Roman" w:cs="Times New Roman"/>
        </w:rPr>
      </w:pPr>
      <w:r w:rsidRPr="008B3BCF">
        <w:rPr>
          <w:rFonts w:ascii="Times New Roman" w:eastAsiaTheme="minorEastAsia" w:hAnsi="Times New Roman" w:cs="Times New Roman"/>
        </w:rPr>
        <w:lastRenderedPageBreak/>
        <w:t>The tan delta curve of the “UV Only” baseline closely matches that of the unreinforced 20 wt% PETIA formulation, with a T</w:t>
      </w:r>
      <w:r w:rsidRPr="008B3BCF">
        <w:rPr>
          <w:rFonts w:ascii="Times New Roman" w:eastAsiaTheme="minorEastAsia" w:hAnsi="Times New Roman" w:cs="Times New Roman"/>
          <w:vertAlign w:val="subscript"/>
        </w:rPr>
        <w:t xml:space="preserve">g </w:t>
      </w:r>
      <w:r w:rsidRPr="008B3BCF">
        <w:rPr>
          <w:rFonts w:ascii="Times New Roman" w:eastAsiaTheme="minorEastAsia" w:hAnsi="Times New Roman" w:cs="Times New Roman"/>
        </w:rPr>
        <w:t>of 154 °C. After multiple thermal cycles, however, the T</w:t>
      </w:r>
      <w:r w:rsidRPr="008B3BCF">
        <w:rPr>
          <w:rFonts w:ascii="Times New Roman" w:eastAsiaTheme="minorEastAsia" w:hAnsi="Times New Roman" w:cs="Times New Roman"/>
          <w:vertAlign w:val="subscript"/>
        </w:rPr>
        <w:t xml:space="preserve">g </w:t>
      </w:r>
      <w:r w:rsidRPr="008B3BCF">
        <w:rPr>
          <w:rFonts w:ascii="Times New Roman" w:eastAsiaTheme="minorEastAsia" w:hAnsi="Times New Roman" w:cs="Times New Roman"/>
        </w:rPr>
        <w:t>shifts up to 172 °C, which is equivalent to the highest reported T</w:t>
      </w:r>
      <w:r w:rsidRPr="008B3BCF">
        <w:rPr>
          <w:rFonts w:ascii="Times New Roman" w:eastAsiaTheme="minorEastAsia" w:hAnsi="Times New Roman" w:cs="Times New Roman"/>
          <w:vertAlign w:val="subscript"/>
        </w:rPr>
        <w:t>g</w:t>
      </w:r>
      <w:r w:rsidRPr="008B3BCF">
        <w:rPr>
          <w:rFonts w:ascii="Times New Roman" w:eastAsiaTheme="minorEastAsia" w:hAnsi="Times New Roman" w:cs="Times New Roman"/>
        </w:rPr>
        <w:t xml:space="preserve"> for the neat resin formulations. The peak also narrows and drops in amplitude, which could indicate a shift towards more elastic behavior.</w:t>
      </w:r>
    </w:p>
    <w:p w14:paraId="7606800F" w14:textId="77777777" w:rsidR="00F55515" w:rsidRPr="008B3BCF" w:rsidRDefault="00F55515" w:rsidP="009D06D1">
      <w:pPr>
        <w:pStyle w:val="Heading3"/>
      </w:pPr>
      <w:bookmarkStart w:id="110" w:name="_Toc101701747"/>
      <w:r w:rsidRPr="008B3BCF">
        <w:t>4.11 Tooling degradation assessment via laser scanning</w:t>
      </w:r>
      <w:bookmarkEnd w:id="110"/>
    </w:p>
    <w:p w14:paraId="1FA6EDF7" w14:textId="1C0943B3" w:rsidR="00682254" w:rsidRDefault="00F55515" w:rsidP="00F55515">
      <w:pPr>
        <w:spacing w:line="360" w:lineRule="auto"/>
        <w:rPr>
          <w:rFonts w:ascii="Times New Roman" w:hAnsi="Times New Roman" w:cs="Times New Roman"/>
        </w:rPr>
      </w:pPr>
      <w:r w:rsidRPr="008B3BCF">
        <w:rPr>
          <w:rFonts w:ascii="Times New Roman" w:hAnsi="Times New Roman" w:cs="Times New Roman"/>
        </w:rPr>
        <w:t xml:space="preserve">A baseline high resolution 3D model of the tool surface was generated for both tools using a FaroArm portable coordinate measuring machine (CMM) equipped with Laser Line Probe (FARO Technologies Inc., Lake Mary). After composite part fabrication, a second scan was performed on each tool and the scans were analyzed for geometric deviation using Geomagic Control X software (3D Systems, Rock Hill). Tool #1 showed an average deviation of +0.03 mm/-0.03 mm (+0.001”/-0.001”) while Tool #2 had an average deviation of +0.05 mm/-0.02 mm (+0.002”/-0.001”). For comparison, Kunc et al. found that autoclavable PPS 3D printed tooling showed deformations not exceeding 0.1 mm (0.004”) after one cure cycle of a larger tool with simple geometry </w:t>
      </w:r>
      <w:r w:rsidRPr="008B3BCF">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unc","given":"Vlastimil","non-dropping-particle":"","parse-names":false,"suffix":""},{"dropping-particle":"","family":"Lindahl","given":"John","non-dropping-particle":"","parse-names":false,"suffix":""},{"dropping-particle":"","family":"Dinwiddie","given":"Ralph","non-dropping-particle":"","parse-names":false,"suffix":""},{"dropping-particle":"","family":"Post","given":"Brian","non-dropping-particle":"","parse-names":false,"suffix":""}],"container-title":"CAMX Anaheim","id":"ITEM-1","issued":{"date-parts":[["2016"]]},"title":"Investigation of In-Autoclave Additive Manufacturing Composite Tooling","type":"paper-conference"},"uris":["http://www.mendeley.com/documents/?uuid=fdf9fc57-adee-3ddd-90c1-dce4a06a89d4"]}],"mendeley":{"formattedCitation":"[67]","plainTextFormattedCitation":"[67]","previouslyFormattedCitation":"[67]"},"properties":{"noteIndex":0},"schema":"https://github.com/citation-style-language/schema/raw/master/csl-citation.json"}</w:instrText>
      </w:r>
      <w:r w:rsidRPr="008B3BCF">
        <w:rPr>
          <w:rFonts w:ascii="Times New Roman" w:hAnsi="Times New Roman" w:cs="Times New Roman"/>
        </w:rPr>
        <w:fldChar w:fldCharType="separate"/>
      </w:r>
      <w:r w:rsidRPr="00115FB0">
        <w:rPr>
          <w:rFonts w:ascii="Times New Roman" w:hAnsi="Times New Roman" w:cs="Times New Roman"/>
          <w:noProof/>
        </w:rPr>
        <w:t>[67]</w:t>
      </w:r>
      <w:r w:rsidRPr="008B3BCF">
        <w:rPr>
          <w:rFonts w:ascii="Times New Roman" w:hAnsi="Times New Roman" w:cs="Times New Roman"/>
        </w:rPr>
        <w:fldChar w:fldCharType="end"/>
      </w:r>
      <w:r w:rsidRPr="008B3BCF">
        <w:rPr>
          <w:rFonts w:ascii="Times New Roman" w:hAnsi="Times New Roman" w:cs="Times New Roman"/>
        </w:rPr>
        <w:t xml:space="preserve">.  As shown in </w:t>
      </w:r>
      <w:r w:rsidRPr="0044365D">
        <w:rPr>
          <w:rFonts w:ascii="Times New Roman" w:hAnsi="Times New Roman" w:cs="Times New Roman"/>
        </w:rPr>
        <w:fldChar w:fldCharType="begin"/>
      </w:r>
      <w:r w:rsidRPr="0044365D">
        <w:rPr>
          <w:rFonts w:ascii="Times New Roman" w:hAnsi="Times New Roman" w:cs="Times New Roman"/>
        </w:rPr>
        <w:instrText xml:space="preserve"> REF _Ref100927913 \h </w:instrText>
      </w:r>
      <w:r>
        <w:rPr>
          <w:rFonts w:ascii="Times New Roman" w:hAnsi="Times New Roman" w:cs="Times New Roman"/>
        </w:rPr>
        <w:instrText xml:space="preserve"> \* MERGEFORMAT </w:instrText>
      </w:r>
      <w:r w:rsidRPr="0044365D">
        <w:rPr>
          <w:rFonts w:ascii="Times New Roman" w:hAnsi="Times New Roman" w:cs="Times New Roman"/>
        </w:rPr>
      </w:r>
      <w:r w:rsidRPr="0044365D">
        <w:rPr>
          <w:rFonts w:ascii="Times New Roman" w:hAnsi="Times New Roman" w:cs="Times New Roman"/>
        </w:rPr>
        <w:fldChar w:fldCharType="separate"/>
      </w:r>
      <w:r w:rsidRPr="00F55515">
        <w:rPr>
          <w:rFonts w:ascii="Times New Roman" w:hAnsi="Times New Roman" w:cs="Times New Roman"/>
        </w:rPr>
        <w:t xml:space="preserve">Figure </w:t>
      </w:r>
      <w:r w:rsidRPr="00F55515">
        <w:rPr>
          <w:rFonts w:ascii="Times New Roman" w:hAnsi="Times New Roman" w:cs="Times New Roman"/>
          <w:noProof/>
        </w:rPr>
        <w:t>29</w:t>
      </w:r>
      <w:r w:rsidRPr="0044365D">
        <w:rPr>
          <w:rFonts w:ascii="Times New Roman" w:hAnsi="Times New Roman" w:cs="Times New Roman"/>
        </w:rPr>
        <w:fldChar w:fldCharType="end"/>
      </w:r>
      <w:r w:rsidRPr="008B3BCF">
        <w:rPr>
          <w:rFonts w:ascii="Times New Roman" w:hAnsi="Times New Roman" w:cs="Times New Roman"/>
        </w:rPr>
        <w:t xml:space="preserve">, both tools exhibit a positive deviation around the perimeter of the T shape, an area more prone to residue build-up after part demolding. Tool #1 had more visible residue build up at this perimeter region than Tool #2, but </w:t>
      </w:r>
      <w:proofErr w:type="gramStart"/>
      <w:r w:rsidRPr="008B3BCF">
        <w:rPr>
          <w:rFonts w:ascii="Times New Roman" w:hAnsi="Times New Roman" w:cs="Times New Roman"/>
        </w:rPr>
        <w:t>overall</w:t>
      </w:r>
      <w:proofErr w:type="gramEnd"/>
      <w:r w:rsidRPr="008B3BCF">
        <w:rPr>
          <w:rFonts w:ascii="Times New Roman" w:hAnsi="Times New Roman" w:cs="Times New Roman"/>
        </w:rPr>
        <w:t xml:space="preserve"> Tool #1 had a lower average deviation. The low average deviation of both tools indicates that this polymer formulation and the 3mm layer pseudo-additive manufacturing process are suitable for creating tooling durable and stable enough to oven cure multiple composite parts.</w:t>
      </w:r>
    </w:p>
    <w:p w14:paraId="0111C42E" w14:textId="77777777" w:rsidR="00682254" w:rsidRPr="00020242" w:rsidRDefault="00682254" w:rsidP="00DB3040">
      <w:pPr>
        <w:pStyle w:val="Heading2"/>
      </w:pPr>
      <w:bookmarkStart w:id="111" w:name="_Toc101701748"/>
      <w:r w:rsidRPr="008B3BCF">
        <w:t>5.0 Discussion</w:t>
      </w:r>
      <w:bookmarkEnd w:id="111"/>
    </w:p>
    <w:p w14:paraId="219FBC9B" w14:textId="77777777" w:rsidR="00682254" w:rsidRPr="008B3BCF" w:rsidRDefault="00682254" w:rsidP="009D06D1">
      <w:pPr>
        <w:pStyle w:val="Heading3"/>
      </w:pPr>
      <w:bookmarkStart w:id="112" w:name="_Toc101701749"/>
      <w:r w:rsidRPr="008B3BCF">
        <w:t>5.1 Viscosity and process suitability</w:t>
      </w:r>
      <w:bookmarkEnd w:id="112"/>
    </w:p>
    <w:p w14:paraId="7047AAEC" w14:textId="77777777" w:rsidR="00477D75" w:rsidRPr="00C52232" w:rsidRDefault="00682254" w:rsidP="00477D75">
      <w:pPr>
        <w:spacing w:line="360" w:lineRule="auto"/>
        <w:rPr>
          <w:rFonts w:ascii="Times New Roman" w:hAnsi="Times New Roman" w:cs="Times New Roman"/>
        </w:rPr>
      </w:pPr>
      <w:bookmarkStart w:id="113" w:name="_Hlk101469884"/>
      <w:r w:rsidRPr="008B3BCF">
        <w:rPr>
          <w:rFonts w:ascii="Times New Roman" w:hAnsi="Times New Roman" w:cs="Times New Roman"/>
        </w:rPr>
        <w:t>The measured viscosity of the various Bis-EMA/PETIA formulations ranged from 2.38-</w:t>
      </w:r>
      <w:r w:rsidR="00477D75" w:rsidRPr="008B3BCF">
        <w:rPr>
          <w:rFonts w:ascii="Times New Roman" w:hAnsi="Times New Roman" w:cs="Times New Roman"/>
        </w:rPr>
        <w:t xml:space="preserve">2.05 Pa-s at low shear, which is too high for </w:t>
      </w:r>
      <w:r w:rsidR="00477D75" w:rsidRPr="00C52232">
        <w:rPr>
          <w:rFonts w:ascii="Times New Roman" w:hAnsi="Times New Roman" w:cs="Times New Roman"/>
        </w:rPr>
        <w:t>inkjet printing at ambient conditions but falls</w:t>
      </w:r>
    </w:p>
    <w:p w14:paraId="4668B697" w14:textId="77777777" w:rsidR="00477D75" w:rsidRPr="008F2960" w:rsidRDefault="00477D75" w:rsidP="00477D75">
      <w:pPr>
        <w:spacing w:line="360" w:lineRule="auto"/>
        <w:rPr>
          <w:rFonts w:ascii="Times New Roman" w:hAnsi="Times New Roman" w:cs="Times New Roman"/>
        </w:rPr>
      </w:pPr>
      <w:r w:rsidRPr="00C52232">
        <w:rPr>
          <w:rFonts w:ascii="Times New Roman" w:hAnsi="Times New Roman" w:cs="Times New Roman"/>
        </w:rPr>
        <w:t>within an acceptable range for SLA, DLP and cDLP</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{"citationItems":[{"id":"ITEM-1","itemData":{"DOI":"10.1016/J.JEURCERAMSOC.2012.01.010","ISSN":"0955-2219","abstract":"UV laser stereolithography is a rather new shaping technique that makes it possible the fabrication of complex 3D ceramic structures with a high dimensional accuracy. The green part is built through layer by layer photopolymerization of a light sensitive suspension. Polymerization is thus a critical step to control in this shaping technique. Photopolymerization, with the initiation, propagation and termination reactions, involves the mobility of reactive species and is then sensible to the rheology of the media. This study investigated the influence of the rheology of suspensions of silica particles in an acrylate oligomer and of the intergranular curable organic phase on the UV polymerization. In this respect, the effects of the powder concentration, the state of dispersion and of the dilution of the reactive oligomer on polymerization, are measured. In addition, the influence of the powder loading on the cure depth and cure width, which are respectively pertinent indicators of the reactivity of the suspension and of the dimensional accuracy of the green part, is evaluated. © 2012 Elsevier Ltd.","author":[{"dropping-particle":"","family":"Chartier","given":"T.","non-dropping-particle":"","parse-names":false,"suffix":""},{"dropping-particle":"","family":"Badev","given":"A.","non-dropping-particle":"","parse-names":false,"suffix":""},{"dropping-particle":"","family":"Abouliatim","given":"Y.","non-dropping-particle":"","parse-names":false,"suffix":""},{"dropping-particle":"","family":"Lebaudy","given":"P.","non-dropping-particle":"","parse-names":false,"suffix":""},{"dropping-particle":"","family":"Lecamp","given":"L.","non-dropping-particle":"","parse-names":false,"suffix":""}],"container-title":"Journal of the European Ceramic Society","id":"ITEM-1","issue":"8","issued":{"date-parts":[["2012","7","1"]]},"page":"1625-1634","publisher":"Elsevier","title":"Stereolithography process: Influence of the rheology of silica suspensions and of the medium on polymerization kinetics – Cured depth and width","type":"article-journal","volume":"32"},"uris":["http://www.mendeley.com/documents/?uuid=4371ada1-2514-39d6-9b9d-b034749930ae"]},{"id":"ITEM-2","itemData":{"DOI":"10.1021/ACS.BIOMAC.9B00076/SUPPL_FILE/BM9B00076_SI_001.PDF","ISSN":"15264602","PMID":"30807696","abstract":"Complex three-dimensional (3D) pore geometries, useful for tissue engineering scaffolds, can be fabricated via photo-crosslinking of resorbable poly(propylene fumarate) (PPF) resins using stereolithography (SLA) and/or continuous digital light processing (cDLP) methods. Physico-chemical parameters inherent to 3D printable resin design, include viscosity, polymer concentration, degree of polymerization, and resin printing temperature. We report here on our study of these parameters and their influence the cDLP 3D printing process and the resulting mechanical properties. A series of PPF oligomers were synthesized by the ring-opening copolymerization (ROCOP) of maleic anhydride and propylene oxide followed by a base-catalyzed isomerization. The resin viscosities were measured as a function of number-average molecular mass (Mn) of the PPF oligomers (1.1, 1.7 and 2.0 kDa), concentrations of PPF in the reactive diluent diethyl fumarate (DEF) (50 and 75 wt %) and resin temperature (25 to 55 °C). The zero-shear viscosity (η 0 ) of the resins was found to be temperature-dependent and follow a linear Arrhenius relationship. Tensile tests demonstrated mechanical properties within the range of trabecular bone, with the ultimate strength at break above 15 MPa and elastic moduli between 178 and 199 MPa.","author":[{"dropping-particle":"","family":"Luo","given":"Yuanyuan","non-dropping-particle":"","parse-names":false,"suffix":""},{"dropping-particle":"","family":"Fer","given":"Gaëlle","non-dropping-particle":"Le","parse-names":false,"suffix":""},{"dropping-particle":"","family":"Dean","given":"David","non-dropping-particle":"","parse-names":false,"suffix":""},{"dropping-particle":"","family":"Becker","given":"Matthew L.","non-dropping-particle":"","parse-names":false,"suffix":""}],"container-title":"Biomacromolecules","id":"ITEM-2","issue":"4","issued":{"date-parts":[["2019","4","8"]]},"page":"1699-1708","publisher":"American Chemical Society","title":"3D Printing of Poly(propylene fumarate) Oligomers: Evaluation of Resin Viscosity, Printing Characteristics and Mechanical Properties","type":"article-journal","volume":"20"},"uris":["http://www.mendeley.com/documents/?uuid=de666731-2556-3330-90a3-1a56f236bad8"]},{"id":"ITEM-3","itemData":{"DOI":"10.1016/J.ADDMA.2017.08.011","ISSN":"2214-8604","abstract":"3D printing has gained significant research interest recently for directly manufacturing 3D components and structures for use in a variety of applications. In this paper, a digital light processing (DLP ® ) based 3D printing technique was explored to manufacture electrically conductive objects of polymer nanocomposites. Here, the ink was made of a mixture of photocurable resin with multi-walled carbon nanotubes (MWCNTs). The concentrations of MWCNT as well as the printing parameters were investigated to yield optimal conductivity and printing quality. We found that 0.3 wt% loading of MWCNT in the resin matrix can provide the maximum electrical conductivity of 0.027S/m under the resin viscosity limit that allows high printing quality. With electric conductivity, the printed MWCNT nanocomposites can be used as smart materials and structures with strain sensitivity and shape memory effect. We demonstrate that the printed conductive complex structures as hollow capacitive sensor, electrically activated shape memory composites, stretchable circuits, showing the versatility of DLP ® 3D printing for conductive complex structures. In addition, mechanical tests showed that the addition of MWCNT could slightly increase the modulus and ultimate tensile stress while decreasing slightly the ultimate stretch, indicating that the new functionality is not obtained at the price of sacrificing mechanical properties.","author":[{"dropping-particle":"","family":"Mu","given":"Quanyi","non-dropping-particle":"","parse-names":false,"suffix":""},{"dropping-particle":"","family":"Wang","given":"Lei","non-dropping-particle":"","parse-names":false,"suffix":""},{"dropping-particle":"","family":"Dunn","given":"Conner K.","non-dropping-particle":"","parse-names":false,"suffix":""},{"dropping-particle":"","family":"Kuang","given":"Xiao","non-dropping-particle":"","parse-names":false,"suffix":""},{"dropping-particle":"","family":"Duan","given":"Feng","non-dropping-particle":"","parse-names":false,"suffix":""},{"dropping-particle":"","family":"Zhang","given":"Zhong","non-dropping-particle":"","parse-names":false,"suffix":""},{"dropping-particle":"","family":"Qi","given":"H. Jerry","non-dropping-particle":"","parse-names":false,"suffix":""},{"dropping-particle":"","family":"Wang","given":"Tiejun","non-dropping-particle":"","parse-names":false,"suffix":""}],"container-title":"Additive Manufacturing","id":"ITEM-3","issued":{"date-parts":[["2017","12","1"]]},"page":"74-83","publisher":"Elsevier","title":"Digital light processing 3D printing of conductive complex structures","type":"article-journal","volume":"18"},"uris":["http://www.mendeley.com/documents/?uuid=b20c547f-280c-3097-a296-6a2c20e88e8f"]},{"id":"ITEM-4","itemData":{"DOI":"10.1016/J.JMATPROTEC.2009.05.004","ISSN":"0924-0136","abstract":"Microstereolithography (μSL) technology can fabricate three-dimensional (3D) tissue engineered scaffolds with controlled biochemical and mechanical micro-architectures. A μSL system for tissue engineering was developed using a Digital Micromirror Device (DMD™) for dynamic pattern generation and an ultraviolet (UV) lamp filtered at 365 nm for crosslinking the photoreactive polymer solution. The μSL system was designed with x-y resolution of </w:instrText>
      </w:r>
      <w:r>
        <w:rPr>
          <w:rFonts w:ascii="Cambria Math" w:hAnsi="Cambria Math" w:cs="Cambria Math"/>
        </w:rPr>
        <w:instrText>∼</w:instrText>
      </w:r>
      <w:r>
        <w:rPr>
          <w:rFonts w:ascii="Times New Roman" w:hAnsi="Times New Roman" w:cs="Times New Roman"/>
        </w:rPr>
        <w:instrText xml:space="preserve">2 μm and a vertical (z) resolution of </w:instrText>
      </w:r>
      <w:r>
        <w:rPr>
          <w:rFonts w:ascii="Cambria Math" w:hAnsi="Cambria Math" w:cs="Cambria Math"/>
        </w:rPr>
        <w:instrText>∼</w:instrText>
      </w:r>
      <w:r>
        <w:rPr>
          <w:rFonts w:ascii="Times New Roman" w:hAnsi="Times New Roman" w:cs="Times New Roman"/>
        </w:rPr>
        <w:instrText xml:space="preserve">1 μm. To demonstrate the use of μSL in tissue engineering, poly(propylene fumarate) (PPF) was synthesized with a molecular weight of </w:instrText>
      </w:r>
      <w:r>
        <w:rPr>
          <w:rFonts w:ascii="Cambria Math" w:hAnsi="Cambria Math" w:cs="Cambria Math"/>
        </w:rPr>
        <w:instrText>∼</w:instrText>
      </w:r>
      <w:r>
        <w:rPr>
          <w:rFonts w:ascii="Times New Roman" w:hAnsi="Times New Roman" w:cs="Times New Roman"/>
        </w:rPr>
        <w:instrText xml:space="preserve">1200 Da. The viscosity of the PPF was reduced to </w:instrText>
      </w:r>
      <w:r>
        <w:rPr>
          <w:rFonts w:ascii="Cambria Math" w:hAnsi="Cambria Math" w:cs="Cambria Math"/>
        </w:rPr>
        <w:instrText>∼</w:instrText>
      </w:r>
      <w:r>
        <w:rPr>
          <w:rFonts w:ascii="Times New Roman" w:hAnsi="Times New Roman" w:cs="Times New Roman"/>
        </w:rPr>
        <w:instrText xml:space="preserve">150 cP (at 50 °C) by mixing with diethyl fumarate (DEF) in the ratio of 7:3 (w/w). Finally, </w:instrText>
      </w:r>
      <w:r>
        <w:rPr>
          <w:rFonts w:ascii="Cambria Math" w:hAnsi="Cambria Math" w:cs="Cambria Math"/>
        </w:rPr>
        <w:instrText>∼</w:instrText>
      </w:r>
      <w:r>
        <w:rPr>
          <w:rFonts w:ascii="Times New Roman" w:hAnsi="Times New Roman" w:cs="Times New Roman"/>
        </w:rPr>
        <w:instrText xml:space="preserve">2% (w/w) of bis(2,4,6-trimethylbenzoyl) phenylphosphine oxide (BAPO) was added to the solution to serve as a photoinitiator. Cure depth experiments were performed to determine the curing characteristics of the synthesized PPF, and the resulting system and prepolymer were used to construct a 3D porous scaffold with interconnected pores of </w:instrText>
      </w:r>
      <w:r>
        <w:rPr>
          <w:rFonts w:ascii="Cambria Math" w:hAnsi="Cambria Math" w:cs="Cambria Math"/>
        </w:rPr>
        <w:instrText>∼</w:instrText>
      </w:r>
      <w:r>
        <w:rPr>
          <w:rFonts w:ascii="Times New Roman" w:hAnsi="Times New Roman" w:cs="Times New Roman"/>
        </w:rPr>
        <w:instrText>100 μm. Scanning electron microscopy (SEM), and micro-computed tomography (μCT) images of the micro-architecture illustrate that the developed μSL system is a promising technology for producing biodegradable and biocompatible 3D micro-scaffolds with fully interconnected pores. © 2009 Elsevier B.V. All rights reserved.","author":[{"dropping-particle":"","family":"Choi","given":"Jae Won","non-dropping-particle":"","parse-names":false,"suffix":""},{"dropping-particle":"","family":"Wicker","given":"Ryan","non-dropping-particle":"","parse-names":false,"suffix":""},{"dropping-particle":"","family":"Lee","given":"Seok Hee","non-dropping-particle":"","parse-names":false,"suffix":""},{"dropping-particle":"","family":"Choi","given":"Kyung Hyun","non-dropping-particle":"","parse-names":false,"suffix":""},{"dropping-particle":"","family":"Ha","given":"Chang Sik","non-dropping-particle":"","parse-names":false,"suffix":""},{"dropping-particle":"","family":"Chung","given":"Ildoo","non-dropping-particle":"","parse-names":false,"suffix":""}],"container-title":"Journal of Materials Processing Technology","id":"ITEM-4","issue":"15-16","issued":{"date-parts":[["2009","8","1"]]},"page":"5494-5503","publisher":"Elsevier","title":"Fabrication of 3D biocompatible/biodegradable micro-scaffolds using dynamic mask projection microstereolithography","type":"article-journal","volume":"209"},"uris":["http://www.mendeley.com/documents/?uuid=995c7a95-26f4-3e31-8488-96c372b464fd"]}],"mendeley":{"formattedCitation":"[74], [75], [77], [78]","plainTextFormattedCitation":"[74], [75], [77], [78]","previouslyFormattedCitation":"[74], [75], [77], [78]"},"properties":{"noteIndex":0},"schema":"https://github.com/citation-style-language/schema/raw/master/csl-citation.json"}</w:instrText>
      </w:r>
      <w:r>
        <w:rPr>
          <w:rFonts w:ascii="Times New Roman" w:hAnsi="Times New Roman" w:cs="Times New Roman"/>
        </w:rPr>
        <w:fldChar w:fldCharType="separate"/>
      </w:r>
      <w:r w:rsidRPr="00EC2668">
        <w:rPr>
          <w:rFonts w:ascii="Times New Roman" w:hAnsi="Times New Roman" w:cs="Times New Roman"/>
          <w:noProof/>
        </w:rPr>
        <w:t>[74], [75], [77], [78]</w:t>
      </w:r>
      <w:r>
        <w:rPr>
          <w:rFonts w:ascii="Times New Roman" w:hAnsi="Times New Roman" w:cs="Times New Roman"/>
        </w:rPr>
        <w:fldChar w:fldCharType="end"/>
      </w:r>
      <w:r>
        <w:rPr>
          <w:rFonts w:ascii="Times New Roman" w:hAnsi="Times New Roman" w:cs="Times New Roman"/>
        </w:rPr>
        <w:t>.</w:t>
      </w:r>
      <w:r w:rsidRPr="00C52232">
        <w:rPr>
          <w:rFonts w:ascii="Times New Roman" w:hAnsi="Times New Roman" w:cs="Times New Roman"/>
        </w:rPr>
        <w:t xml:space="preserve"> While some vat polymerization printers exist with build areas greater than 2 m</w:t>
      </w:r>
      <w:r w:rsidRPr="00C52232">
        <w:rPr>
          <w:rFonts w:ascii="Times New Roman" w:hAnsi="Times New Roman" w:cs="Times New Roman"/>
          <w:vertAlign w:val="superscript"/>
        </w:rPr>
        <w:t>2</w:t>
      </w:r>
      <w:r w:rsidRPr="00C52232">
        <w:rPr>
          <w:rFonts w:ascii="Times New Roman" w:hAnsi="Times New Roman" w:cs="Times New Roman"/>
        </w:rPr>
        <w:t xml:space="preserve"> </w:t>
      </w:r>
      <w:r w:rsidRPr="00C52232">
        <w:rPr>
          <w:rFonts w:ascii="Times New Roman" w:hAnsi="Times New Roman" w:cs="Times New Roman"/>
        </w:rPr>
        <w:fldChar w:fldCharType="begin" w:fldLock="1"/>
      </w:r>
      <w:r>
        <w:rPr>
          <w:rFonts w:ascii="Times New Roman" w:hAnsi="Times New Roman" w:cs="Times New Roman"/>
        </w:rPr>
        <w:instrText>ADDIN CSL_CITATION {"citationItems":[{"id":"ITEM-1","itemData":{"URL":"https://www.materialise.com/en/blog/materialises-mammoth-stereolithography-3d-printing-on-a-grand-scale","accessed":{"date-parts":[["2021","11","16"]]},"id":"ITEM-1","issued":{"date-parts":[["0"]]},"title":"Materialise’s Mammoth Stereolithography – 3D Printing on a Grand Scale! | Materialise - Innovators you can count on","type":"webpage"},"uris":["http://www.mendeley.com/documents/?uuid=84d3b530-6a7b-3e69-a69a-94044772472c"]}],"mendeley":{"formattedCitation":"[97]","plainTextFormattedCitation":"[97]","previouslyFormattedCitation":"[97]"},"properties":{"noteIndex":0},"schema":"https://github.com/citation-style-language/schema/raw/master/csl-citation.json"}</w:instrText>
      </w:r>
      <w:r w:rsidRPr="00C52232">
        <w:rPr>
          <w:rFonts w:ascii="Times New Roman" w:hAnsi="Times New Roman" w:cs="Times New Roman"/>
        </w:rPr>
        <w:fldChar w:fldCharType="separate"/>
      </w:r>
      <w:r w:rsidRPr="00280E34">
        <w:rPr>
          <w:rFonts w:ascii="Times New Roman" w:hAnsi="Times New Roman" w:cs="Times New Roman"/>
          <w:noProof/>
        </w:rPr>
        <w:t>[97]</w:t>
      </w:r>
      <w:r w:rsidRPr="00C52232">
        <w:rPr>
          <w:rFonts w:ascii="Times New Roman" w:hAnsi="Times New Roman" w:cs="Times New Roman"/>
        </w:rPr>
        <w:fldChar w:fldCharType="end"/>
      </w:r>
      <w:r w:rsidRPr="00C52232">
        <w:rPr>
          <w:rFonts w:ascii="Times New Roman" w:hAnsi="Times New Roman" w:cs="Times New Roman"/>
        </w:rPr>
        <w:t>, the 3mm layer</w:t>
      </w:r>
      <w:r>
        <w:rPr>
          <w:rFonts w:ascii="Times New Roman" w:hAnsi="Times New Roman" w:cs="Times New Roman"/>
        </w:rPr>
        <w:t xml:space="preserve"> </w:t>
      </w:r>
      <w:r w:rsidRPr="008B3BCF">
        <w:rPr>
          <w:rFonts w:ascii="Times New Roman" w:hAnsi="Times New Roman" w:cs="Times New Roman"/>
        </w:rPr>
        <w:t>height targeted in the present study is best suited for material extrusion methods such as</w:t>
      </w:r>
    </w:p>
    <w:p w14:paraId="1073715A" w14:textId="3A319E3D" w:rsidR="008B3BCF" w:rsidRPr="008B3BCF" w:rsidRDefault="00477D75" w:rsidP="00477D75">
      <w:pPr>
        <w:spacing w:line="360" w:lineRule="auto"/>
        <w:rPr>
          <w:rFonts w:ascii="Times New Roman" w:hAnsi="Times New Roman" w:cs="Times New Roman"/>
        </w:rPr>
      </w:pPr>
      <w:r w:rsidRPr="008B3BCF">
        <w:rPr>
          <w:rFonts w:ascii="Times New Roman" w:hAnsi="Times New Roman" w:cs="Times New Roman"/>
        </w:rPr>
        <w:t>UV-DIW.  The measured viscosity falls below the 100-10,000 Pa-s range reported for</w:t>
      </w:r>
    </w:p>
    <w:p w14:paraId="79617234" w14:textId="77777777" w:rsidR="0044365D" w:rsidRDefault="008B3BCF" w:rsidP="0044365D">
      <w:pPr>
        <w:keepNext/>
        <w:spacing w:line="360" w:lineRule="auto"/>
      </w:pPr>
      <w:r w:rsidRPr="008B3BCF">
        <w:rPr>
          <w:rFonts w:ascii="Times New Roman" w:hAnsi="Times New Roman" w:cs="Times New Roman"/>
          <w:noProof/>
        </w:rPr>
        <w:lastRenderedPageBreak/>
        <w:drawing>
          <wp:inline distT="0" distB="0" distL="0" distR="0" wp14:anchorId="2C774076" wp14:editId="3FF244A7">
            <wp:extent cx="4095750" cy="3241198"/>
            <wp:effectExtent l="0" t="0" r="0" b="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rotWithShape="1">
                    <a:blip r:embed="rId36" cstate="print">
                      <a:extLst>
                        <a:ext uri="{28A0092B-C50C-407E-A947-70E740481C1C}">
                          <a14:useLocalDpi xmlns:a14="http://schemas.microsoft.com/office/drawing/2010/main" val="0"/>
                        </a:ext>
                      </a:extLst>
                    </a:blip>
                    <a:srcRect l="5385" t="7875" r="8589" b="3156"/>
                    <a:stretch/>
                  </pic:blipFill>
                  <pic:spPr bwMode="auto">
                    <a:xfrm>
                      <a:off x="0" y="0"/>
                      <a:ext cx="4130258" cy="3268506"/>
                    </a:xfrm>
                    <a:prstGeom prst="rect">
                      <a:avLst/>
                    </a:prstGeom>
                    <a:ln>
                      <a:noFill/>
                    </a:ln>
                    <a:extLst>
                      <a:ext uri="{53640926-AAD7-44D8-BBD7-CCE9431645EC}">
                        <a14:shadowObscured xmlns:a14="http://schemas.microsoft.com/office/drawing/2010/main"/>
                      </a:ext>
                    </a:extLst>
                  </pic:spPr>
                </pic:pic>
              </a:graphicData>
            </a:graphic>
          </wp:inline>
        </w:drawing>
      </w:r>
    </w:p>
    <w:p w14:paraId="588876E1" w14:textId="04032D75" w:rsidR="0044365D" w:rsidRDefault="0044365D" w:rsidP="00F20503">
      <w:pPr>
        <w:pStyle w:val="Caption"/>
      </w:pPr>
      <w:bookmarkStart w:id="114" w:name="_Ref100927792"/>
      <w:bookmarkStart w:id="115" w:name="_Toc101365690"/>
      <w:r>
        <w:t xml:space="preserve">Figure </w:t>
      </w:r>
      <w:r w:rsidR="002F73EC">
        <w:fldChar w:fldCharType="begin"/>
      </w:r>
      <w:r w:rsidR="002F73EC">
        <w:instrText xml:space="preserve"> SEQ Figure \* ARABIC </w:instrText>
      </w:r>
      <w:r w:rsidR="002F73EC">
        <w:fldChar w:fldCharType="separate"/>
      </w:r>
      <w:r w:rsidR="00BF5717">
        <w:rPr>
          <w:noProof/>
        </w:rPr>
        <w:t>28</w:t>
      </w:r>
      <w:r w:rsidR="002F73EC">
        <w:rPr>
          <w:noProof/>
        </w:rPr>
        <w:fldChar w:fldCharType="end"/>
      </w:r>
      <w:bookmarkEnd w:id="114"/>
      <w:r>
        <w:t xml:space="preserve"> </w:t>
      </w:r>
      <w:r w:rsidRPr="008B3BCF">
        <w:t>Tan delta response for samples extracted from tooling stock show an increase in T</w:t>
      </w:r>
      <w:r w:rsidRPr="008B3BCF">
        <w:rPr>
          <w:vertAlign w:val="subscript"/>
        </w:rPr>
        <w:t>g</w:t>
      </w:r>
      <w:r w:rsidRPr="008B3BCF">
        <w:t xml:space="preserve"> after thermal post cure and </w:t>
      </w:r>
      <w:proofErr w:type="gramStart"/>
      <w:r w:rsidRPr="008B3BCF">
        <w:t>five part</w:t>
      </w:r>
      <w:proofErr w:type="gramEnd"/>
      <w:r w:rsidRPr="008B3BCF">
        <w:t xml:space="preserve"> molding cycles.</w:t>
      </w:r>
      <w:bookmarkEnd w:id="115"/>
      <w:r w:rsidRPr="008B3BCF">
        <w:t xml:space="preserve"> </w:t>
      </w:r>
    </w:p>
    <w:p w14:paraId="49C2C569" w14:textId="501C2E67" w:rsidR="00737580" w:rsidRDefault="00737580" w:rsidP="00737580"/>
    <w:p w14:paraId="642CF66A" w14:textId="77777777" w:rsidR="00737580" w:rsidRPr="00737580" w:rsidRDefault="00737580" w:rsidP="00737580"/>
    <w:p w14:paraId="70811B28" w14:textId="77777777" w:rsidR="0044365D" w:rsidRDefault="008F2960" w:rsidP="0044365D">
      <w:pPr>
        <w:keepNext/>
        <w:spacing w:line="360" w:lineRule="auto"/>
      </w:pPr>
      <w:r w:rsidRPr="008B3BCF">
        <w:rPr>
          <w:rFonts w:ascii="Times New Roman" w:hAnsi="Times New Roman" w:cs="Times New Roman"/>
          <w:noProof/>
        </w:rPr>
        <w:drawing>
          <wp:inline distT="0" distB="0" distL="0" distR="0" wp14:anchorId="6EF96C3C" wp14:editId="71BA3A85">
            <wp:extent cx="5930551" cy="2886075"/>
            <wp:effectExtent l="0" t="0" r="0" b="0"/>
            <wp:docPr id="28" name="Picture 28" descr="A picture containing tex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icture fram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52251" cy="2896635"/>
                    </a:xfrm>
                    <a:prstGeom prst="rect">
                      <a:avLst/>
                    </a:prstGeom>
                  </pic:spPr>
                </pic:pic>
              </a:graphicData>
            </a:graphic>
          </wp:inline>
        </w:drawing>
      </w:r>
    </w:p>
    <w:p w14:paraId="06C50B4A" w14:textId="64F81592" w:rsidR="008F2960" w:rsidRDefault="0044365D" w:rsidP="00F20503">
      <w:pPr>
        <w:pStyle w:val="Caption"/>
      </w:pPr>
      <w:bookmarkStart w:id="116" w:name="_Ref100927913"/>
      <w:bookmarkStart w:id="117" w:name="_Toc101365691"/>
      <w:r>
        <w:t xml:space="preserve">Figure </w:t>
      </w:r>
      <w:r w:rsidR="002F73EC">
        <w:fldChar w:fldCharType="begin"/>
      </w:r>
      <w:r w:rsidR="002F73EC">
        <w:instrText xml:space="preserve"> SEQ Figure \* ARABIC </w:instrText>
      </w:r>
      <w:r w:rsidR="002F73EC">
        <w:fldChar w:fldCharType="separate"/>
      </w:r>
      <w:r w:rsidR="00BF5717">
        <w:rPr>
          <w:noProof/>
        </w:rPr>
        <w:t>29</w:t>
      </w:r>
      <w:r w:rsidR="002F73EC">
        <w:rPr>
          <w:noProof/>
        </w:rPr>
        <w:fldChar w:fldCharType="end"/>
      </w:r>
      <w:bookmarkEnd w:id="116"/>
      <w:r>
        <w:t xml:space="preserve"> </w:t>
      </w:r>
      <w:r w:rsidRPr="008B3BCF">
        <w:t xml:space="preserve">Deviation analysis for the scan performed after </w:t>
      </w:r>
      <w:proofErr w:type="gramStart"/>
      <w:r w:rsidRPr="008B3BCF">
        <w:t>five part</w:t>
      </w:r>
      <w:proofErr w:type="gramEnd"/>
      <w:r w:rsidRPr="008B3BCF">
        <w:t xml:space="preserve"> cure cycles in comparison to the baseline scan. Tool #1 was coated with TD Seal HT™ and Tool #2 coated with 20 wt% PETIA/ 80 wt% Bis-EMA photopolymer.</w:t>
      </w:r>
      <w:bookmarkEnd w:id="117"/>
    </w:p>
    <w:bookmarkEnd w:id="113"/>
    <w:p w14:paraId="279B20A9" w14:textId="1C906CC5" w:rsidR="00670343" w:rsidRPr="00020242" w:rsidRDefault="008B3BCF" w:rsidP="00020242">
      <w:pPr>
        <w:spacing w:line="360" w:lineRule="auto"/>
        <w:rPr>
          <w:rFonts w:ascii="Times New Roman" w:hAnsi="Times New Roman" w:cs="Times New Roman"/>
        </w:rPr>
      </w:pPr>
      <w:r w:rsidRPr="008B3BCF">
        <w:rPr>
          <w:rFonts w:ascii="Times New Roman" w:hAnsi="Times New Roman" w:cs="Times New Roman"/>
        </w:rPr>
        <w:lastRenderedPageBreak/>
        <w:t xml:space="preserve">UV-DIW photopolymer inks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Composites","type":"article-journal","volume":"9"},"uris":["http://www.mendeley.com/documents/?uuid=4ad7fb45-507e-3879-bee7-7f5073003a76"]},{"id":"ITEM-2","itemData":{"DOI":"10.1088/0957-4484/23/8/085502","author":[{"dropping-particle":"","family":"Farahani","given":"Rouhollah Dermanaki","non-dropping-particle":"","parse-names":false,"suffix":""},{"dropping-particle":"","family":"Dalir","given":"Hamid","non-dropping-particle":"","parse-names":false,"suffix":""},{"dropping-particle":"","family":"Borgne","given":"Vincent","non-dropping-particle":"Le","parse-names":false,"suffix":""},{"dropping-particle":"","family":"Gautier","given":"Loick A.","non-dropping-particle":"","parse-names":false,"suffix":""},{"dropping-particle":"","family":"Khakani","given":"My Ali","non-dropping-particle":"El","parse-names":false,"suffix":""},{"dropping-particle":"","family":"Levesque","given":"Martin","non-dropping-particle":"","parse-names":false,"suffix":""},{"dropping-particle":"","family":"Therriault","given":"Daniel","non-dropping-particle":"","parse-names":false,"suffix":""}],"container-title":"Nanotechnology","id":"ITEM-2","issued":{"date-parts":[["2012"]]},"title":"Direct-write fabrication of freestanding nanocomposite strain sensors","type":"article-journal","volume":"23"},"uris":["http://www.mendeley.com/documents/?uuid=98f55222-f0b3-33c6-b837-e2b85efd7dfd"]}],"mendeley":{"formattedCitation":"[70], [88]","plainTextFormattedCitation":"[70], [88]","previouslyFormattedCitation":"[70], [88]"},"properties":{"noteIndex":0},"schema":"https://github.com/citation-style-language/schema/raw/master/csl-citation.json"}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[70], [88]</w:t>
      </w:r>
      <w:r w:rsidRPr="008B3BCF">
        <w:rPr>
          <w:rFonts w:ascii="Times New Roman" w:hAnsi="Times New Roman" w:cs="Times New Roman"/>
        </w:rPr>
        <w:fldChar w:fldCharType="end"/>
      </w:r>
      <w:r w:rsidRPr="008B3BCF">
        <w:rPr>
          <w:rFonts w:ascii="Times New Roman" w:hAnsi="Times New Roman" w:cs="Times New Roman"/>
        </w:rPr>
        <w:t xml:space="preserve">.  It is anticipated that future ink development work can develop suitable viscosities and shear-thinning behavior in Bis-EMA/PETIA formulations by incorporating fillers such as fumed silica, fiberglass, silica, carbon fiber and carbon nanotubes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Composites","type":"article-journal","volume":"9"},"uris":["http://www.mendeley.com/documents/?uuid=4ad7fb45-507e-3879-bee7-7f5073003a76"]},{"id":"ITEM-2","itemData":{"DOI":"10.1016/j.polymer.2016.03.048","abstract":"a b s t r a c t In this work a sequential interpenetrating polymer network (IPN) obtained by co-formulation of a photocurable acrylic resin with a thermocurable epoxy resin is presented and proposed as matrix for the fabrication of carbon-fiber reinforced (CFR) composite structures by means of 3D-printing technology. This approach combines the advantages of the easy free-form fabrication typical of the 3D-printing technology with the purposely customized features of the newly developed IPN material. Photo-calorimetric and dynamic-mechanical analyses were performed in order to investigate the photo-and thermal-crosslinking reactions and their effect on the development of the IPN system. The IPN resin was finally loaded with carbon fibers and successfully ultraviolet-assisted (UV)-3D printed, demonstrating the possibility of fabricating CFR composite materials in 3D with excellent mechanical properties. Being the first example of direct fabrication of IPN-based composites by 3D printing, this study clearly shows the great potential of this additive manufacturing technology for advanced industrial applications.","author":[{"dropping-particle":"","family":"Griffini","given":"Gianmarco","non-dropping-particle":"","parse-names":false,"suffix":""},{"dropping-particle":"","family":"Invernizzi","given":"Marta","non-dropping-particle":"","parse-names":false,"suffix":""},{"dropping-particle":"","family":"Levi","given":"Marinella","non-dropping-particle":"","parse-names":false,"suffix":""},{"dropping-particle":"","family":"Natale","given":"Gabriele","non-dropping-particle":"","parse-names":false,"suffix":""},{"dropping-particle":"","family":"Postiglione","given":"Giovanni","non-dropping-particle":"","parse-names":false,"suffix":""},{"dropping-particle":"","family":"Turri","given":"Stefano","non-dropping-particle":"","parse-names":false,"suffix":""}],"id":"ITEM-2","issued":{"date-parts":[["2016"]]},"title":"3D-printable CFR polymer composites with dual-cure sequential IPNs","type":"article-journal"},"uris":["http://www.mendeley.com/documents/?uuid=bd9f932f-0dfb-370d-be90-06f61247fc19"]},{"id":"ITEM-3","itemData":{"DOI":"10.1088/0960-1317/24/5/055020","ISSN":"0960-1317","author":[{"dropping-particle":"","family":"Farahani","given":"R D","non-dropping-particle":"","parse-names":false,"suffix":""},{"dropping-particle":"","family":"Lebel","given":"L L","non-dropping-particle":"","parse-names":false,"suffix":""},{"dropping-particle":"","family":"Therriault","given":"D","non-dropping-particle":"","parse-names":false,"suffix":""}],"container-title":"Journal of Micromechanics and Microengineering","id":"ITEM-3","issue":"5","issued":{"date-parts":[["2014","5","1"]]},"page":"055020","publisher":"IOP Publishing","title":"Processing parameters investigation for the fabrication of self-supported and freeform polymeric microstructures using ultraviolet-assisted three-dimensional printing","type":"article-journal","volume":"24"},"uris":["http://www.mendeley.com/documents/?uuid=f73b5613-a3b1-37d0-811a-037bdc0bc130"]}],"mendeley":{"formattedCitation":"[70], [84], [85]","plainTextFormattedCitation":"[70], [84], [85]","previouslyFormattedCitation":"[70], [84], [85]"},"properties":{"noteIndex":0},"schema":"https://github.com/citation-style-language/schema/raw/master/csl-citation.json"}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[70], [84], [85]</w:t>
      </w:r>
      <w:r w:rsidRPr="008B3BCF">
        <w:rPr>
          <w:rFonts w:ascii="Times New Roman" w:hAnsi="Times New Roman" w:cs="Times New Roman"/>
        </w:rPr>
        <w:fldChar w:fldCharType="end"/>
      </w:r>
      <w:r w:rsidRPr="008B3BCF">
        <w:rPr>
          <w:rFonts w:ascii="Times New Roman" w:hAnsi="Times New Roman" w:cs="Times New Roman"/>
        </w:rPr>
        <w:t xml:space="preserve">.  </w:t>
      </w:r>
    </w:p>
    <w:p w14:paraId="78E6167A" w14:textId="77777777" w:rsidR="008B3BCF" w:rsidRPr="008B3BCF" w:rsidRDefault="008B3BCF" w:rsidP="009D06D1">
      <w:pPr>
        <w:pStyle w:val="Heading3"/>
      </w:pPr>
      <w:bookmarkStart w:id="118" w:name="_Toc101701750"/>
      <w:r w:rsidRPr="008B3BCF">
        <w:t>5.2 Improvement in Cure Response with PETIA</w:t>
      </w:r>
      <w:bookmarkEnd w:id="118"/>
    </w:p>
    <w:p w14:paraId="2DF93D28" w14:textId="0540BE07" w:rsid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By combining Bis-EMA with PETIA, it was hypothesized that the through thickness cure response would improve for a given UV dose. Hardness testing results show a consistent trend of improved through cure with higher levels of PETIA in the formulations, with the bottom surface hardness and hardness ratio improving from 65% for pure Bis-EMA to 91% with a 50:50 blend of Bis-EMA and PETIA. However, FTIR analysis showed no statistically significant difference in the bottom surface DC for all formulas except at 10 wt% PETIA, which was lower in both top and bottom surface hardness than all other formulas. </w:t>
      </w:r>
    </w:p>
    <w:p w14:paraId="1FC6C2B9" w14:textId="77777777" w:rsidR="00670343" w:rsidRPr="008B3BCF" w:rsidRDefault="00670343" w:rsidP="008B3BCF">
      <w:pPr>
        <w:spacing w:line="360" w:lineRule="auto"/>
        <w:rPr>
          <w:rFonts w:ascii="Times New Roman" w:hAnsi="Times New Roman" w:cs="Times New Roman"/>
        </w:rPr>
      </w:pPr>
    </w:p>
    <w:p w14:paraId="7C2867EF" w14:textId="47508A4E" w:rsidR="00670343"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 xml:space="preserve">This initial hypothesis was that PETIA would improve cure reaction rates because the acrylate pendant groups cause less steric hindrance than methacrylate groups and acrylate-based photopolymers generally have a higher polymerization rate than methacrylate-based photopolymers </w:t>
      </w:r>
      <w:r w:rsidR="00B86B05">
        <w:rPr>
          <w:rFonts w:ascii="Times New Roman" w:hAnsi="Times New Roman" w:cs="Times New Roman"/>
        </w:rPr>
        <w:fldChar w:fldCharType="begin" w:fldLock="1"/>
      </w:r>
      <w:r w:rsidR="00EC2668">
        <w:rPr>
          <w:rFonts w:ascii="Times New Roman" w:hAnsi="Times New Roman" w:cs="Times New Roman"/>
        </w:rPr>
        <w:instrText>ADDIN CSL_CITATION {"citationItems":[{"id":"ITEM-1","itemData":{"author":[{"dropping-particle":"","family":"Arceneaux","given":"Jo Ann","non-dropping-particle":"","parse-names":false,"suffix":""}],"container-title":"RadTech UV&amp;EB 2014","id":"ITEM-1","issued":{"date-parts":[["2014"]]},"publisher":"RadTech","title":"Mitigation of Oxygen Inhibition in UV LED, UVA, and Low Intensity UV Cure","type":"paper-conference"},"uris":["http://www.mendeley.com/documents/?uuid=7531d6fd-9a8d-3e6f-aa30-2829a817d6ab"]},{"id":"ITEM-2","itemData":{"DOI":"10.1016/0032-3861(94)90129-5","ISSN":"0032-3861","abstract":"The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N.","non-dropping-particle":"","parse-names":false,"suffix":""}],"container-title":"Polymer","id":"ITEM-2","issue":"15","issued":{"date-parts":[["1994","7","1"]]},"page":"3243-3250","publisher":"Elsevier","title":"Reaction behaviour and kinetic constants for photopolymerizations of multi(meth)acrylate monomers","type":"article-journal","volume":"35"},"uris":["http://www.mendeley.com/documents/?uuid=adf33ef0-b2aa-3fad-8127-8015fea71433"]}],"mendeley":{"formattedCitation":"[47], [90]","plainTextFormattedCitation":"[47], [90]","previouslyFormattedCitation":"[47], [90]"},"properties":{"noteIndex":0},"schema":"https://github.com/citation-style-language/schema/raw/master/csl-citation.json"}</w:instrText>
      </w:r>
      <w:r w:rsidR="00B86B05">
        <w:rPr>
          <w:rFonts w:ascii="Times New Roman" w:hAnsi="Times New Roman" w:cs="Times New Roman"/>
        </w:rPr>
        <w:fldChar w:fldCharType="separate"/>
      </w:r>
      <w:r w:rsidR="00280E34" w:rsidRPr="00280E34">
        <w:rPr>
          <w:rFonts w:ascii="Times New Roman" w:hAnsi="Times New Roman" w:cs="Times New Roman"/>
          <w:noProof/>
        </w:rPr>
        <w:t>[47], [90]</w:t>
      </w:r>
      <w:r w:rsidR="00B86B05">
        <w:rPr>
          <w:rFonts w:ascii="Times New Roman" w:hAnsi="Times New Roman" w:cs="Times New Roman"/>
        </w:rPr>
        <w:fldChar w:fldCharType="end"/>
      </w:r>
      <w:r w:rsidR="00B86B05">
        <w:rPr>
          <w:rFonts w:ascii="Times New Roman" w:hAnsi="Times New Roman" w:cs="Times New Roman"/>
        </w:rPr>
        <w:t>.</w:t>
      </w:r>
      <w:r w:rsidRPr="008B3BCF">
        <w:rPr>
          <w:rFonts w:ascii="Times New Roman" w:hAnsi="Times New Roman" w:cs="Times New Roman"/>
        </w:rPr>
        <w:t xml:space="preserve">  PETIA also has higher overall reactivity than Bis-EMA, with three to four carbon double bonds available to react with a free-radical while Bis-EMA has two. The higher bottom surface hardness appears to indicate an increase in crosslink density linked to the increased functionality of PETIA </w:t>
      </w:r>
      <w:r w:rsidRPr="008B3B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Photoinitiators","type":"book"},"uris":["http://www.mendeley.com/documents/?uuid=65ca02a4-58fe-44a4-9fc5-70da5083d62a"]},{"id":"ITEM-2","itemData":{"author":[{"dropping-particle":"","family":"Arceneaux","given":"Jo Ann","non-dropping-particle":"","parse-names":false,"suffix":""}],"container-title":"RadTech UV&amp;EB 2014","id":"ITEM-2","issued":{"date-parts":[["2014"]]},"publisher":"RadTech","title":"Mitigation of Oxygen Inhibition in UV LED, UVA, and Low Intensity UV Cure","type":"paper-conference"},"uris":["http://www.mendeley.com/documents/?uuid=7531d6fd-9a8d-3e6f-aa30-2829a817d6ab"]},{"id":"ITEM-3","itemData":{"abstract":"Radiation curable coatings based on urethane acrylates offer a broad spectrum of performance providing a range from highly elastic to very hard coatings with high toughness and abrasion resistance. Furthermore, aliphatic urethane acrylates show good weather resistance. However, the application of urethane acrylates is limited due to relatively high viscosity resulting from hydrogen bridge bonding between functional urethane groups which is on the other hand responsible for superior mechanical properties. The viscosity of a given formulation can be adjusted by adding solvent or reactive thinner which influence the crosslinking density of the coating. New low viscous urethane acrylates based on a novel type of isocyanate containing acrylate functionality via allophanate are presented. Potential outdoor applications in automotive coatings providing highly scratch resistant clear coats are discussed.","author":[{"dropping-particle":"","family":"Heischkel","given":"Yvonne","non-dropping-particle":"","parse-names":false,"suffix":""},{"dropping-particle":"","family":"Schwalm","given":"Reinhold","non-dropping-particle":"","parse-names":false,"suffix":""},{"dropping-particle":"","family":"Kutschera","given":"Michael","non-dropping-particle":"","parse-names":false,"suffix":""},{"dropping-particle":"","family":"Schrof","given":"Wolgang","non-dropping-particle":"","parse-names":false,"suffix":""},{"dropping-particle":"","family":"Koltzenburg","given":"Sebastian","non-dropping-particle":"","parse-names":false,"suffix":""},{"dropping-particle":"","family":"Beck","given":"Erich","non-dropping-particle":"","parse-names":false,"suffix":""},{"dropping-particle":"","family":"Larbig","given":"Harald","non-dropping-particle":"","parse-names":false,"suffix":""},{"dropping-particle":"","family":"Menzel","given":"Klaus","non-dropping-particle":"","parse-names":false,"suffix":""},{"dropping-particle":"","family":"Gruber","given":"Nick","non-dropping-particle":"","parse-names":false,"suffix":""}],"id":"ITEM-3","issued":{"date-parts":[["0"]]},"title":"Influence of Crosslinking Density of Radiation Curable Coatings on Scratch Resistance, Hardness and Flexibility","type":"article-journal"},"uris":["http://www.mendeley.com/documents/?uuid=ae0229e2-58be-3f01-a044-7c79143c2a46"]}],"mendeley":{"formattedCitation":"[23], [90], [98]","plainTextFormattedCitation":"[23], [90], [98]","previouslyFormattedCitation":"[23], [90], [98]"},"properties":{"noteIndex":0},"schema":"https://github.com/citation-style-language/schema/raw/master/csl-citation.json"}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[23], [90], [98]</w:t>
      </w:r>
      <w:r w:rsidRPr="008B3BCF">
        <w:rPr>
          <w:rFonts w:ascii="Times New Roman" w:hAnsi="Times New Roman" w:cs="Times New Roman"/>
        </w:rPr>
        <w:fldChar w:fldCharType="end"/>
      </w:r>
      <w:r w:rsidRPr="008B3BCF">
        <w:rPr>
          <w:rFonts w:ascii="Times New Roman" w:hAnsi="Times New Roman" w:cs="Times New Roman"/>
        </w:rPr>
        <w:t>. The FTIR results appear to indicate that PETIA has limited influence on the overall degree of conversion for a given dose. However, since both PETIA and Bis-EMA influence the 1637 cm</w:t>
      </w:r>
      <w:r w:rsidRPr="008B3BCF">
        <w:rPr>
          <w:rFonts w:ascii="Times New Roman" w:hAnsi="Times New Roman" w:cs="Times New Roman"/>
          <w:vertAlign w:val="superscript"/>
        </w:rPr>
        <w:t>-1</w:t>
      </w:r>
      <w:r w:rsidRPr="008B3BCF">
        <w:rPr>
          <w:rFonts w:ascii="Times New Roman" w:hAnsi="Times New Roman" w:cs="Times New Roman"/>
        </w:rPr>
        <w:t xml:space="preserve"> peak, it is difficult to determine if one polymer component is achieving higher double bond conversion than the other.</w:t>
      </w:r>
    </w:p>
    <w:p w14:paraId="5B3BE57E" w14:textId="77777777" w:rsidR="008B3BCF" w:rsidRPr="008B3BCF" w:rsidRDefault="008B3BCF" w:rsidP="009D06D1">
      <w:pPr>
        <w:pStyle w:val="Heading3"/>
      </w:pPr>
      <w:bookmarkStart w:id="119" w:name="_Toc101701751"/>
      <w:r w:rsidRPr="008B3BCF">
        <w:t>5.3 Influence of PETIA content on T</w:t>
      </w:r>
      <w:r w:rsidRPr="008B3BCF">
        <w:rPr>
          <w:vertAlign w:val="subscript"/>
        </w:rPr>
        <w:t>g</w:t>
      </w:r>
      <w:bookmarkEnd w:id="119"/>
    </w:p>
    <w:p w14:paraId="63E70676" w14:textId="5AEB87BB" w:rsidR="00670343"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t>As the level of PETIA present in the formulation increased, the measured T</w:t>
      </w:r>
      <w:r w:rsidRPr="008B3BCF">
        <w:rPr>
          <w:rFonts w:ascii="Times New Roman" w:hAnsi="Times New Roman" w:cs="Times New Roman"/>
          <w:vertAlign w:val="subscript"/>
        </w:rPr>
        <w:t xml:space="preserve">g </w:t>
      </w:r>
      <w:r w:rsidRPr="008B3BCF">
        <w:rPr>
          <w:rFonts w:ascii="Times New Roman" w:hAnsi="Times New Roman" w:cs="Times New Roman"/>
        </w:rPr>
        <w:t xml:space="preserve">increased at 10 wt% but decreased with higher PETIA content. Increased functionality typically results in a higher crosslink density, which in turn can yield a polymer network with </w:t>
      </w:r>
      <w:r w:rsidRPr="008B3BCF">
        <w:rPr>
          <w:rFonts w:ascii="Times New Roman" w:hAnsi="Times New Roman" w:cs="Times New Roman"/>
        </w:rPr>
        <w:lastRenderedPageBreak/>
        <w:t>lower mobility and a higher T</w:t>
      </w:r>
      <w:r w:rsidRPr="008B3BCF">
        <w:rPr>
          <w:rFonts w:ascii="Times New Roman" w:hAnsi="Times New Roman" w:cs="Times New Roman"/>
          <w:vertAlign w:val="subscript"/>
        </w:rPr>
        <w:t>g</w:t>
      </w:r>
      <w:r w:rsidR="00262174">
        <w:rPr>
          <w:rFonts w:ascii="Times New Roman" w:hAnsi="Times New Roman" w:cs="Times New Roman"/>
          <w:vertAlign w:val="subscript"/>
        </w:rPr>
        <w:t xml:space="preserve"> </w:t>
      </w:r>
      <w:r w:rsidR="00262174">
        <w:rPr>
          <w:rFonts w:ascii="Times New Roman" w:hAnsi="Times New Roman" w:cs="Times New Roman"/>
          <w:vertAlign w:val="subscript"/>
        </w:rPr>
        <w:fldChar w:fldCharType="begin" w:fldLock="1"/>
      </w:r>
      <w:r w:rsidR="00EC2668">
        <w:rPr>
          <w:rFonts w:ascii="Times New Roman" w:hAnsi="Times New Roman" w:cs="Times New Roman"/>
          <w:vertAlign w:val="subscript"/>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Photoinitiators","type":"book"},"uris":["http://www.mendeley.com/documents/?uuid=65ca02a4-58fe-44a4-9fc5-70da5083d62a"]},{"id":"ITEM-2","itemData":{"DOI":"10.1016/0032-3861(90)90364-5","ISSN":"00323861","abstract":"Polymers of ethylene glycol dimethacrylate, diethylene glycol dimethacrylate, triethylene glycol dimethacrylate and tetraethylene glycol dimethacrylate were produced by photopolymerization using the photoinitiator 2,2-dimethoxy-2-phenyl-acetophenone. These polymerization reactions and the resulting materials were examined as to their feasibility for production of laser video discs using the 2p process. The volume shrinkage during polymerization, swelling characteristics, molecular weight between crosslinks and the glass transition temperature of the polymeric networks were determined and compared with the characteristics of polymers presently used in laser video disc production. The networks produced by the polymerization of these monomers were highly crosslinked with glass transition temperatures greater than 200°C. They swelled little in any of four solvents used with a maximum volume fraction of the solvent at equilibrium lower than 10%. © 1990.","author":[{"dropping-particle":"","family":"Bowman","given":"Christopher N.","non-dropping-particle":"","parse-names":false,"suffix":""},{"dropping-particle":"","family":"Carver","given":"Amy L.","non-dropping-particle":"","parse-names":false,"suffix":""},{"dropping-particle":"","family":"Kennett","given":"Shari N.","non-dropping-particle":"","parse-names":false,"suffix":""},{"dropping-particle":"","family":"Williams","given":"Michele M.","non-dropping-particle":"","parse-names":false,"suffix":""},{"dropping-particle":"","family":"Peppas","given":"Nikolaos A.","non-dropping-particle":"","parse-names":false,"suffix":""}],"container-title":"Polymer","id":"ITEM-2","issue":"1","issued":{"date-parts":[["1990","1","1"]]},"page":"135-139","publisher":"Elsevier","title":"Polymers for information storage systems III. Crosslinked structure of polydimethacrylates","type":"article-journal","volume":"31"},"uris":["http://www.mendeley.com/documents/?uuid=7446727f-58a6-333a-9973-caf2461f3894"]}],"mendeley":{"formattedCitation":"[23], [93]","plainTextFormattedCitation":"[23], [93]","previouslyFormattedCitation":"[23], [93]"},"properties":{"noteIndex":0},"schema":"https://github.com/citation-style-language/schema/raw/master/csl-citation.json"}</w:instrText>
      </w:r>
      <w:r w:rsidR="00262174">
        <w:rPr>
          <w:rFonts w:ascii="Times New Roman" w:hAnsi="Times New Roman" w:cs="Times New Roman"/>
          <w:vertAlign w:val="subscript"/>
        </w:rPr>
        <w:fldChar w:fldCharType="separate"/>
      </w:r>
      <w:r w:rsidR="00280E34" w:rsidRPr="00280E34">
        <w:rPr>
          <w:rFonts w:ascii="Times New Roman" w:hAnsi="Times New Roman" w:cs="Times New Roman"/>
          <w:noProof/>
        </w:rPr>
        <w:t>[23], [93]</w:t>
      </w:r>
      <w:r w:rsidR="00262174">
        <w:rPr>
          <w:rFonts w:ascii="Times New Roman" w:hAnsi="Times New Roman" w:cs="Times New Roman"/>
          <w:vertAlign w:val="subscript"/>
        </w:rPr>
        <w:fldChar w:fldCharType="end"/>
      </w:r>
      <w:r w:rsidRPr="008B3BCF">
        <w:rPr>
          <w:rFonts w:ascii="Times New Roman" w:hAnsi="Times New Roman" w:cs="Times New Roman"/>
          <w:vertAlign w:val="subscript"/>
        </w:rPr>
        <w:t xml:space="preserve">. </w:t>
      </w:r>
      <w:r w:rsidRPr="008B3BCF">
        <w:rPr>
          <w:rFonts w:ascii="Times New Roman" w:hAnsi="Times New Roman" w:cs="Times New Roman"/>
        </w:rPr>
        <w:t xml:space="preserve"> Higher cure shrinkage, specimen fracture during curing at the highest PETIA loadings, and increasing rigidity of the polymer corresponding with the lower and wider glass transition regions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Rudin","given":"A.","non-dropping-particle":"","parse-names":false,"suffix":""},{"dropping-particle":"","family":"Choi","given":"P.","non-dropping-particle":"","parse-names":false,"suffix":""}],"chapter-number":"4","container-title":"The Elements of Polymer Science &amp; Engineering","edition":"3","id":"ITEM-1","issued":{"date-parts":[["2013"]]},"page":"149-229","publisher":"Academic Press","publisher-place":"Cambridge","title":"Mechanical Properties of Polymer Solids and Liquids","type":"chapter"},"uris":["http://www.mendeley.com/documents/?uuid=3604506b-be98-406d-9aec-c7ece7ec4d2d"]},{"id":"ITEM-2","itemData":{"DOI":"10.17077/etd.ptj5w2kq","author":[{"dropping-particle":"","family":"Scholte","given":"Jon Paul","non-dropping-particle":"","parse-names":false,"suffix":""}],"id":"ITEM-2","issued":{"date-parts":[["2017"]]},"title":"Effects of prepolymer structure on photopolymer network Effects of prepolymer structure on photopolymer network formation and thermomechanical properties formation and thermomechanical properties","type":"article-journal"},"uris":["http://www.mendeley.com/documents/?uuid=8b9ea090-7116-3ef9-b372-ae29545bc16d"]}],"mendeley":{"formattedCitation":"[95], [99]","plainTextFormattedCitation":"[95], [99]","previouslyFormattedCitation":"[95], [99]"},"properties":{"noteIndex":0},"schema":"https://github.com/citation-style-language/schema/raw/master/csl-citation.json"}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[95], [99]</w:t>
      </w:r>
      <w:r w:rsidRPr="008B3BCF">
        <w:rPr>
          <w:rFonts w:ascii="Times New Roman" w:hAnsi="Times New Roman" w:cs="Times New Roman"/>
        </w:rPr>
        <w:fldChar w:fldCharType="end"/>
      </w:r>
      <w:r w:rsidRPr="008B3BCF">
        <w:rPr>
          <w:rFonts w:ascii="Times New Roman" w:hAnsi="Times New Roman" w:cs="Times New Roman"/>
        </w:rPr>
        <w:t>.  Increasing PETIA content has a two-fold effect:  it reduces the number of aromatic groups in the formulation from Bis-EMA, while increasing the number of carbon double bonds from PETIA. Aromatic groups are a key component in the backbone of high T</w:t>
      </w:r>
      <w:r w:rsidRPr="008B3BCF">
        <w:rPr>
          <w:rFonts w:ascii="Times New Roman" w:hAnsi="Times New Roman" w:cs="Times New Roman"/>
          <w:vertAlign w:val="subscript"/>
        </w:rPr>
        <w:t>g</w:t>
      </w:r>
      <w:r w:rsidRPr="008B3BCF">
        <w:rPr>
          <w:rFonts w:ascii="Times New Roman" w:hAnsi="Times New Roman" w:cs="Times New Roman"/>
        </w:rPr>
        <w:t xml:space="preserve"> thermosets such as epoxy novolac resins</w:t>
      </w:r>
      <w:r w:rsidR="00BB116E">
        <w:rPr>
          <w:rFonts w:ascii="Times New Roman" w:hAnsi="Times New Roman" w:cs="Times New Roman"/>
        </w:rPr>
        <w:t xml:space="preserve"> </w:t>
      </w:r>
      <w:r w:rsidR="00BB116E">
        <w:rPr>
          <w:rFonts w:ascii="Times New Roman" w:hAnsi="Times New Roman" w:cs="Times New Roman"/>
        </w:rPr>
        <w:fldChar w:fldCharType="begin" w:fldLock="1"/>
      </w:r>
      <w:r w:rsidR="00280E34">
        <w:rPr>
          <w:rFonts w:ascii="Times New Roman" w:hAnsi="Times New Roman" w:cs="Times New Roman"/>
        </w:rPr>
        <w:instrText>ADDIN CSL_CITATION {"citationItems":[{"id":"ITEM-1","itemData":{"ISBN":"0872638545","abstract":"2nd ed. Introduction to composites -- Matrices and their properties -- Unsaturated polyesters -- Epoxies -- Specialty and high-performance thermosets -- Thermoplastic composites -- Ceramic and metal matrix composites -- Reinforcements -- Reinforcement forms -- Quality and testing -- Composite design -- Sandwich structures, joints, and post-processing operations -- Open molding of engineering composites -- Open modeling of advanced composites -- Compression molding -- Resin infusion technologies -- Filament winding and fiber placement -- Pultrusion -- Thermoplastic composites processing -- Damage prevention and repair -- Factory issues -- The business of composites -- Composites applications.","author":[{"dropping-particle":"","family":"Strong","given":"A. Brent.","non-dropping-particle":"","parse-names":false,"suffix":""}],"id":"ITEM-1","issued":{"date-parts":[["2008"]]},"number-of-pages":"620","publisher":"Society of Manufacturing Engineers","title":"Fundamentals of composites manufacturing : materials, methods and applications","type":"book"},"uris":["http://www.mendeley.com/documents/?uuid=ea66bb0f-84e3-38f1-82c1-0c57ee40e82b"]},{"id":"ITEM-2","itemData":{"DOI":"10.1177/09673911211002046","abstract":"New thermoset composite material made from cardanol-based resin blended with microfibrillar cellulose was compared to petroleum-based vinyl ester and glass-fiber-reinforced unsaturated polyester in terms of mechanical, thermal, rheo-logical and surface properties of produced polymers and composites. The bio-sourced material was less resistant than the commercial vinyl ester but comparable to the unsaturated polyester resin. Microfibrillar cellulose increased the tensile strength and modulus but increased the resin viscosity and decreased the mixture homogeneity. The bio-sourced and commercial resins displayed similar hydrophobic behavior, and cellulose slightly decreased composite hydrophobicity. The glass transition temperature of the bio-sourced material was comparable to that of the unsaturated polyester. Thermal decompositions of composites and thermoset polymers were also similar. Cellulose and cardanol thus may be adequate as sustainable components in the composite materials industry.","author":[{"dropping-particle":"","family":"Desnoes","given":"Eric","non-dropping-particle":"","parse-names":false,"suffix":""},{"dropping-particle":"","family":"Toubal","given":"Lotfi","non-dropping-particle":"","parse-names":false,"suffix":""},{"dropping-particle":"","family":"Thibeault","given":"Dominic","non-dropping-particle":"","parse-names":false,"suffix":""},{"dropping-particle":"","family":"Bouazza","given":"Amel Hadj","non-dropping-particle":"","parse-names":false,"suffix":""},{"dropping-particle":"","family":"Montplaisir","given":"Daniel","non-dropping-particle":"","parse-names":false,"suffix":""}],"id":"ITEM-2","issued":{"date-parts":[["0"]]},"title":"Bio-sourced vinyl ester resin reinforced with microfibrillar cellulose: Mechanical and thermal properties","type":"article-journal"},"uris":["http://www.mendeley.com/documents/?uuid=263d6428-c565-36e1-90b8-7ac267f7c4a2"]},{"id":"ITEM-3","itemData":{"ISBN":"9781455731077","abstract":"3rd ed. Includes index. Thermosetting plastics are a distinct category of plastics whose high performance, durability and reliability at high temperatures makes them suitable for specialty applications ranging from automotive and aerospace through to electronic packaging and consumer products (your melamine kitchen worktop is a thermoset resin!). Recent developments in thermoset plastics technology and processes has broadened their use exponentially over recent years, and these developments continue: in November 2011, French scientists created a new lightweight thermoset that is as strong and stable as previous materials yet can be easily reworked and reshaped when heated which makes it unique amongst thermosets and allows for repair and recycling. The Handbook of Thermoset Plastics, now in its 3rd edition, provides a comprehensive survey of the chemical processes, manufacturing techniques and design properties of each polymer, along with their applications. Written by a team of highly experienced practitioners, the practical implications of using thermoset plastics are presented - both their strengths and weaknesses. The data and descriptions presented here enable engineers, scientists and technicians to form judgments and take action on the basis of informed analysis. The aim of the book is to help the reader to make the right decision and take the correct action - avoiding the pitfalls the authors' experience has uncovered. The new edition has been updated throughout to reflect current practice in manufacturing and processing, featuring: Case Studies to demonstrate how particular properties make different polymers suitable for different applications, as well as covering end-use and safety considerations. A new chapter on using nanoparticles to enhance thermal and mechanical properties. A new chapter describing new materials based on renewable resources (such as soy-based thermoset plastics). A new chapter covering recent developments and potential future technologies such as new catalysts for Controlled Radical Polymerization. Goodman and Dodiuk-Kenig provide a comprehensive reference guide to the chemistry, manufacturing and applications of thermosets. Updated to include recent developments in manufacturing - from biopolymers to nanocomposites. Case Studies illustrate applications of key thermoset plastics. 1. Introduction / Hanna Dodiuk and Sidney H. Goodman -- 2. Phenol-formaldehydes / A. Pizzi and C.C. Ibeh -- 3 Polybenzoxazine -- new generation …","author":[{"dropping-particle":"","family":"Goodman","given":"Sidney H.","non-dropping-particle":"","parse-names":false,"suffix":""},{"dropping-particle":"","family":"Hanna","given":"Dodiuk.","non-dropping-particle":"","parse-names":false,"suffix":""}],"id":"ITEM-3","issued":{"date-parts":[["2014"]]},"publisher":"William Andrew","title":"Handbook of thermoset plastics","type":"book"},"uris":["http://www.mendeley.com/documents/?uuid=f71dbeeb-01b1-343c-98ca-3a89ac320f44"]},{"id":"ITEM-4","itemData":{"DOI":"10.1002/marc.200290014","ISSN":"10221336","abstract":"Highly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Communications","id":"ITEM-4","issue":"18","issued":{"date-parts":[["2002","12","20"]]},"page":"1067-1093","publisher":"John Wiley &amp; Sons, Ltd","title":"Kinetic study and new applications of UV radiation curing","type":"article-journal","volume":"23"},"uris":["http://www.mendeley.com/documents/?uuid=c60ec8b8-eb0a-3a6c-bb8f-715b6e36c30e"]}],"mendeley":{"formattedCitation":"[24], [25], [40], [100]","plainTextFormattedCitation":"[24], [25], [40], [100]","previouslyFormattedCitation":"[24], [25], [40], [100]"},"properties":{"noteIndex":0},"schema":"https://github.com/citation-style-language/schema/raw/master/csl-citation.json"}</w:instrText>
      </w:r>
      <w:r w:rsidR="00BB116E">
        <w:rPr>
          <w:rFonts w:ascii="Times New Roman" w:hAnsi="Times New Roman" w:cs="Times New Roman"/>
        </w:rPr>
        <w:fldChar w:fldCharType="separate"/>
      </w:r>
      <w:r w:rsidR="00280E34" w:rsidRPr="00280E34">
        <w:rPr>
          <w:rFonts w:ascii="Times New Roman" w:hAnsi="Times New Roman" w:cs="Times New Roman"/>
          <w:noProof/>
        </w:rPr>
        <w:t>[24], [25], [40], [100]</w:t>
      </w:r>
      <w:r w:rsidR="00BB116E">
        <w:rPr>
          <w:rFonts w:ascii="Times New Roman" w:hAnsi="Times New Roman" w:cs="Times New Roman"/>
        </w:rPr>
        <w:fldChar w:fldCharType="end"/>
      </w:r>
      <w:r w:rsidRPr="008B3BCF">
        <w:rPr>
          <w:rFonts w:ascii="Times New Roman" w:hAnsi="Times New Roman" w:cs="Times New Roman"/>
        </w:rPr>
        <w:t xml:space="preserve"> and a reduction in the aromatic content of the formulations may contribute to the observed drop in T</w:t>
      </w:r>
      <w:r w:rsidRPr="008B3BCF">
        <w:rPr>
          <w:rFonts w:ascii="Times New Roman" w:hAnsi="Times New Roman" w:cs="Times New Roman"/>
          <w:vertAlign w:val="subscript"/>
        </w:rPr>
        <w:t>g</w:t>
      </w:r>
      <w:r w:rsidRPr="008B3BCF">
        <w:rPr>
          <w:rFonts w:ascii="Times New Roman" w:hAnsi="Times New Roman" w:cs="Times New Roman"/>
        </w:rPr>
        <w:t>.  The increase in carbon double bonds may also reduce T</w:t>
      </w:r>
      <w:r w:rsidRPr="008B3BCF">
        <w:rPr>
          <w:rFonts w:ascii="Times New Roman" w:hAnsi="Times New Roman" w:cs="Times New Roman"/>
          <w:vertAlign w:val="subscript"/>
        </w:rPr>
        <w:t>g</w:t>
      </w:r>
      <w:r w:rsidRPr="008B3BCF">
        <w:rPr>
          <w:rFonts w:ascii="Times New Roman" w:hAnsi="Times New Roman" w:cs="Times New Roman"/>
        </w:rPr>
        <w:t xml:space="preserve"> due to the cage effect, and higher functionality acrylates have been reported to leave more unreacted double bonds available after irradiation as free radicals become trapped or “caged” in the vitrified polymer network, reducing the degree of double bond conversion and </w:t>
      </w:r>
      <w:r w:rsidRPr="00C048C5">
        <w:rPr>
          <w:rFonts w:ascii="Times New Roman" w:hAnsi="Times New Roman" w:cs="Times New Roman"/>
        </w:rPr>
        <w:t>T</w:t>
      </w:r>
      <w:r w:rsidRPr="00C048C5">
        <w:rPr>
          <w:rFonts w:ascii="Times New Roman" w:hAnsi="Times New Roman" w:cs="Times New Roman"/>
          <w:vertAlign w:val="subscript"/>
        </w:rPr>
        <w:t>g</w:t>
      </w:r>
      <w:r w:rsidRPr="00C048C5">
        <w:rPr>
          <w:rFonts w:ascii="Times New Roman" w:hAnsi="Times New Roman" w:cs="Times New Roman"/>
        </w:rPr>
        <w:t xml:space="preserve"> </w:t>
      </w:r>
      <w:r w:rsidR="00C048C5" w:rsidRPr="00C048C5">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{"citationItems":[{"id":"ITEM-1","itemData":{"DOI":"10.1007/BF00329970","ISSN":"01700839","abstract":"The glass transition temperatures of the highly crosslinked networks formed from photopolymerizing-the multifunctional monomers trimethylol propane triacrylate (TrMP TrA), pentaerythritol tetraacrylate (PETeA), and dipentaerythritol monohydroxy pentaacrylate (DPEMHP eA) were determined using a dynamic viscoelastometer. All glass transition temperatures, Tg, were in excess of 150°C indicating the highly crosslinked structure of the resulting networks. The curves of the damping factor as a function of temperature were broadened peaks spanning up to 100°C due to the extreme heterogeneity of these structures. Evidence of trapped radicals was also observed as cured samples subjected to a thermal pretreatment had higher Tg than those without the thermal pretreatment. © 1993 Springer-Verlag.","author":[{"dropping-particle":"","family":"Anseth","given":"Kristi S.","non-dropping-particle":"","parse-names":false,"suffix":""},{"dropping-particle":"","family":"Bowman","given":"Christopher N.","non-dropping-particle":"","parse-names":false,"suffix":""},{"dropping-particle":"","family":"Peppas","given":"Nikolaos A.","non-dropping-particle":"","parse-names":false,"suffix":""}],"container-title":"Polymer Bulletin","id":"ITEM-1","issue":"2","issued":{"date-parts":[["1993","8"]]},"page":"229-233","publisher":"Springer-Verlag","title":"Dynamic mechanical studies of the glass transition temperature of photopolymerized multifunctional acrylates","type":"article-journal","volume":"31"},"uris":["http://www.mendeley.com/documents/?uuid=6c24812d-4c49-3e3f-aa57-7070584b7cf9"]},{"id":"ITEM-2","itemData":{"DOI":"10.1002/marc.200290014","ISSN":"10221336","abstract":"Highly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Communications","id":"ITEM-2","issue":"18","issued":{"date-parts":[["2002","12","20"]]},"page":"1067-1093","publisher":"John Wiley &amp; Sons, Ltd","title":"Kinetic study and new applications of UV radiation curing","type":"article-journal","volume":"23"},"uris":["http://www.mendeley.com/documents/?uuid=c60ec8b8-eb0a-3a6c-bb8f-715b6e36c30e"]}],"mendeley":{"formattedCitation":"[40], [92]","plainTextFormattedCitation":"[40], [92]","previouslyFormattedCitation":"[40], [92]"},"properties":{"noteIndex":0},"schema":"https://github.com/citation-style-language/schema/raw/master/csl-citation.json"}</w:instrText>
      </w:r>
      <w:r w:rsidR="00C048C5" w:rsidRPr="00C048C5">
        <w:rPr>
          <w:rFonts w:ascii="Times New Roman" w:hAnsi="Times New Roman" w:cs="Times New Roman"/>
        </w:rPr>
        <w:fldChar w:fldCharType="separate"/>
      </w:r>
      <w:r w:rsidR="00280E34" w:rsidRPr="00280E34">
        <w:rPr>
          <w:rFonts w:ascii="Times New Roman" w:hAnsi="Times New Roman" w:cs="Times New Roman"/>
          <w:noProof/>
        </w:rPr>
        <w:t>[40], [92]</w:t>
      </w:r>
      <w:r w:rsidR="00C048C5" w:rsidRPr="00C048C5">
        <w:rPr>
          <w:rFonts w:ascii="Times New Roman" w:hAnsi="Times New Roman" w:cs="Times New Roman"/>
        </w:rPr>
        <w:fldChar w:fldCharType="end"/>
      </w:r>
      <w:r w:rsidRPr="00C048C5">
        <w:rPr>
          <w:rFonts w:ascii="Times New Roman" w:hAnsi="Times New Roman" w:cs="Times New Roman"/>
        </w:rPr>
        <w:t>.</w:t>
      </w:r>
      <w:r w:rsidRPr="008B3BCF">
        <w:rPr>
          <w:rFonts w:ascii="Times New Roman" w:hAnsi="Times New Roman" w:cs="Times New Roman"/>
        </w:rPr>
        <w:t xml:space="preserve">  PETIA may improve cure response and crosslink density over Bis-EMA while also reducing the T</w:t>
      </w:r>
      <w:r w:rsidRPr="008B3BCF">
        <w:rPr>
          <w:rFonts w:ascii="Times New Roman" w:hAnsi="Times New Roman" w:cs="Times New Roman"/>
          <w:vertAlign w:val="subscript"/>
        </w:rPr>
        <w:t>g</w:t>
      </w:r>
      <w:r w:rsidRPr="008B3BCF">
        <w:rPr>
          <w:rFonts w:ascii="Times New Roman" w:hAnsi="Times New Roman" w:cs="Times New Roman"/>
        </w:rPr>
        <w:t>. Future studies can investigate methods of alleviating the cage effect and increasing T</w:t>
      </w:r>
      <w:r w:rsidRPr="008B3BCF">
        <w:rPr>
          <w:rFonts w:ascii="Times New Roman" w:hAnsi="Times New Roman" w:cs="Times New Roman"/>
          <w:vertAlign w:val="subscript"/>
        </w:rPr>
        <w:t>g</w:t>
      </w:r>
      <w:r w:rsidRPr="008B3BCF">
        <w:rPr>
          <w:rFonts w:ascii="Times New Roman" w:hAnsi="Times New Roman" w:cs="Times New Roman"/>
        </w:rPr>
        <w:t xml:space="preserve"> in Bis-EMA/PETIA formulations by heating the irradiated polymer above its T</w:t>
      </w:r>
      <w:r w:rsidRPr="008B3BCF">
        <w:rPr>
          <w:rFonts w:ascii="Times New Roman" w:hAnsi="Times New Roman" w:cs="Times New Roman"/>
          <w:vertAlign w:val="subscript"/>
        </w:rPr>
        <w:t>g</w:t>
      </w:r>
      <w:r w:rsidRPr="008B3BCF">
        <w:rPr>
          <w:rFonts w:ascii="Times New Roman" w:hAnsi="Times New Roman" w:cs="Times New Roman"/>
        </w:rPr>
        <w:t xml:space="preserve"> </w:t>
      </w:r>
      <w:r w:rsidR="00C048C5" w:rsidRPr="00C048C5">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10.1002/pola.1987.080250227","ISSN":"0887624X","author":[{"dropping-particle":"","family":"Decker","given":"C.","non-dropping-particle":"","parse-names":false,"suffix":""},{"dropping-particle":"","family":"Moussa","given":"K.","non-dropping-particle":"","parse-names":false,"suffix":""}],"container-title":"Journal of Polymer Science Part A: Polymer Chemistry","id":"ITEM-1","issue":"2","issued":{"date-parts":[["1987","2","1"]]},"page":"739-742","publisher":"John Wiley &amp; Sons, Ltd","title":"Radical trapping in photopolymerized acrylic networks","type":"article-journal","volume":"25"},"uris":["http://www.mendeley.com/documents/?uuid=e2a3dc3b-61bf-310e-a7cd-901577694a41"]},{"id":"ITEM-2","itemData":{"DOI":"10.1016/0032-3861(94)90129-5","ISSN":"0032-3861","abstract":"The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N.","non-dropping-particle":"","parse-names":false,"suffix":""}],"container-title":"Polymer","id":"ITEM-2","issue":"15","issued":{"date-parts":[["1994","7","1"]]},"page":"3243-3250","publisher":"Elsevier","title":"Reaction behaviour and kinetic constants for photopolymerizations of multi(meth)acrylate monomers","type":"article-journal","volume":"35"},"uris":["http://www.mendeley.com/documents/?uuid=adf33ef0-b2aa-3fad-8127-8015fea71433"]}],"mendeley":{"formattedCitation":"[47], [62]","plainTextFormattedCitation":"[47], [62]","previouslyFormattedCitation":"[47], [62]"},"properties":{"noteIndex":0},"schema":"https://github.com/citation-style-language/schema/raw/master/csl-citation.json"}</w:instrText>
      </w:r>
      <w:r w:rsidR="00C048C5" w:rsidRPr="00C048C5">
        <w:rPr>
          <w:rFonts w:ascii="Times New Roman" w:hAnsi="Times New Roman" w:cs="Times New Roman"/>
        </w:rPr>
        <w:fldChar w:fldCharType="separate"/>
      </w:r>
      <w:r w:rsidR="00115FB0" w:rsidRPr="00115FB0">
        <w:rPr>
          <w:rFonts w:ascii="Times New Roman" w:hAnsi="Times New Roman" w:cs="Times New Roman"/>
          <w:noProof/>
        </w:rPr>
        <w:t>[47], [62]</w:t>
      </w:r>
      <w:r w:rsidR="00C048C5" w:rsidRPr="00C048C5">
        <w:rPr>
          <w:rFonts w:ascii="Times New Roman" w:hAnsi="Times New Roman" w:cs="Times New Roman"/>
        </w:rPr>
        <w:fldChar w:fldCharType="end"/>
      </w:r>
      <w:r w:rsidRPr="008B3BCF">
        <w:rPr>
          <w:rFonts w:ascii="Times New Roman" w:hAnsi="Times New Roman" w:cs="Times New Roman"/>
        </w:rPr>
        <w:t xml:space="preserve"> or irradiating at elevated temperature </w:t>
      </w:r>
      <w:r w:rsidRPr="008B3BCF">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{"citationItems":[{"id":"ITEM-1","itemData":{"DOI":"10.1016/S0032-3861(97)00184-5","ISSN":"00323861","abstract":"The photoinitiated polymerization of dimethacrylate oligomer with 2,2-dimethyl-2-hydroxy acetophenone (Darocur 1173) as radical photoinitiator was studied by using isothermal photocalorimetry. The effect of temperature, light intensity and photoinitiator concentration on reaction was investigated. The maximum conversion was obtained at temperature near 90°C. This temperature is above the glass transition temperature of the resulting material and below the thermal polymerization temperature of the reacting system. Above 90°C, thermal polymerization interferes on photocalorimetric measures. Assuming that glass transition temperature of the final polymer and conversion are connected, we have estimated thermal conversion. A maximum conversion was obtained for a photoinitiator concentration of 1 % (w/w) and for the highest light intensity studied (2.7 mW cm-2). © 1997 Elsevier Science Ltd.","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-1","issue":"25","issued":{"date-parts":[["1997","1","1"]]},"page":"6089-6096","publisher":"Elsevier BV","title":"Photoinitiated polymerization of a dimethacrylate oligomer: 1. Influence of photoinitiator concentration, temperature and light intensity","type":"article-journal","volume":"38"},"uris":["http://www.mendeley.com/documents/?uuid=b6a3e6c5-9113-392e-9916-b54352b8c0b3"]}],"mendeley":{"formattedCitation":"[49]","plainTextFormattedCitation":"[49]","previouslyFormattedCitation":"[49]"},"properties":{"noteIndex":0},"schema":"https://github.com/citation-style-language/schema/raw/master/csl-citation.json"}</w:instrText>
      </w:r>
      <w:r w:rsidRPr="008B3BCF">
        <w:rPr>
          <w:rFonts w:ascii="Times New Roman" w:hAnsi="Times New Roman" w:cs="Times New Roman"/>
        </w:rPr>
        <w:fldChar w:fldCharType="separate"/>
      </w:r>
      <w:r w:rsidR="00115FB0" w:rsidRPr="00115FB0">
        <w:rPr>
          <w:rFonts w:ascii="Times New Roman" w:hAnsi="Times New Roman" w:cs="Times New Roman"/>
          <w:noProof/>
        </w:rPr>
        <w:t>[49]</w:t>
      </w:r>
      <w:r w:rsidRPr="008B3BCF">
        <w:rPr>
          <w:rFonts w:ascii="Times New Roman" w:hAnsi="Times New Roman" w:cs="Times New Roman"/>
        </w:rPr>
        <w:fldChar w:fldCharType="end"/>
      </w:r>
      <w:r w:rsidRPr="008B3BCF">
        <w:rPr>
          <w:rFonts w:ascii="Times New Roman" w:hAnsi="Times New Roman" w:cs="Times New Roman"/>
        </w:rPr>
        <w:t xml:space="preserve">.   </w:t>
      </w:r>
    </w:p>
    <w:p w14:paraId="62064360" w14:textId="77777777" w:rsidR="008B3BCF" w:rsidRPr="008B3BCF" w:rsidRDefault="008B3BCF" w:rsidP="009D06D1">
      <w:pPr>
        <w:pStyle w:val="Heading3"/>
      </w:pPr>
      <w:bookmarkStart w:id="120" w:name="_Toc101701752"/>
      <w:r w:rsidRPr="008B3BCF">
        <w:t>5.4 Mechanical properties and cure-induced shrinkage</w:t>
      </w:r>
      <w:bookmarkEnd w:id="120"/>
    </w:p>
    <w:p w14:paraId="2553AA7F" w14:textId="4FFBEB78" w:rsidR="008B3BCF" w:rsidRDefault="008B3BCF" w:rsidP="00670343">
      <w:pPr>
        <w:spacing w:line="360" w:lineRule="auto"/>
        <w:rPr>
          <w:rFonts w:ascii="Times New Roman" w:hAnsi="Times New Roman" w:cs="Times New Roman"/>
        </w:rPr>
      </w:pPr>
      <w:r w:rsidRPr="008B3BCF">
        <w:rPr>
          <w:rFonts w:ascii="Times New Roman" w:hAnsi="Times New Roman" w:cs="Times New Roman"/>
        </w:rPr>
        <w:t xml:space="preserve">Increasing PETIA content decreased the tensile modulus of the polymer blend. All formulations exhibited a bi-modal tensile behavior, which may indicate initial stretching in the amorphous chains between crosslinks in the polymer regions with lower crosslink density followed by more elastic behavior under higher loading. The modulus of 2.07 to 2.81 GPa is within the same 2.2-2.3 GPa range as the unfilled ABS base polymer used in the BAAM printer </w:t>
      </w:r>
      <w:r w:rsidRPr="008B3BCF">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{"citationItems":[{"id":"ITEM-1","itemData":{"DOI":"10.1108/RPJ-12-2015-0183","ISSN":"1355-2546","author":[{"dropping-particle":"","family":"Duty","given":"Chad E.","non-dropping-particle":"","parse-names":false,"suffix":""},{"dropping-particle":"","family":"Kunc","given":"Vlastimil","non-dropping-particle":"","parse-names":false,"suffix":""},{"dropping-particle":"","family":"Compton","given":"Brett","non-dropping-particle":"","parse-names":false,"suffix":""},{"dropping-particle":"","family":"Post","given":"Brian","non-dropping-particle":"","parse-names":false,"suffix":""},{"dropping-particle":"","family":"Erdman","given":"Donald","non-dropping-particle":"","parse-names":false,"suffix":""},{"dropping-particle":"","family":"Smith","given":"Rachel","non-dropping-particle":"","parse-names":false,"suffix":""},{"dropping-particle":"","family":"Lind","given":"Randall","non-dropping-particle":"","parse-names":false,"suffix":""},{"dropping-particle":"","family":"Lloyd","given":"Peter","non-dropping-particle":"","parse-names":false,"suffix":""},{"dropping-particle":"","family":"Love","given":"Lonnie","non-dropping-particle":"","parse-names":false,"suffix":""}],"container-title":"Rapid Prototyping Journal","id":"ITEM-1","issue":"1","issued":{"date-parts":[["2017","1","16"]]},"page":"181-189","title":"Structure and mechanical behavior of Big Area Additive Manufacturing (BAAM) materials","type":"article-journal","volume":"23"},"uris":["http://www.mendeley.com/documents/?uuid=5c5efab5-f69e-33d0-830f-c95bd1c91664"]}],"mendeley":{"formattedCitation":"[13]","plainTextFormattedCitation":"[13]","previouslyFormattedCitation":"[13]"},"properties":{"noteIndex":0},"schema":"https://github.com/citation-style-language/schema/raw/master/csl-citation.json"}</w:instrText>
      </w:r>
      <w:r w:rsidRPr="008B3BCF">
        <w:rPr>
          <w:rFonts w:ascii="Times New Roman" w:hAnsi="Times New Roman" w:cs="Times New Roman"/>
        </w:rPr>
        <w:fldChar w:fldCharType="separate"/>
      </w:r>
      <w:r w:rsidR="004502D6" w:rsidRPr="004502D6">
        <w:rPr>
          <w:rFonts w:ascii="Times New Roman" w:hAnsi="Times New Roman" w:cs="Times New Roman"/>
          <w:noProof/>
        </w:rPr>
        <w:t>[13]</w:t>
      </w:r>
      <w:r w:rsidRPr="008B3BCF">
        <w:rPr>
          <w:rFonts w:ascii="Times New Roman" w:hAnsi="Times New Roman" w:cs="Times New Roman"/>
        </w:rPr>
        <w:fldChar w:fldCharType="end"/>
      </w:r>
      <w:r w:rsidRPr="008B3BCF">
        <w:rPr>
          <w:rFonts w:ascii="Times New Roman" w:hAnsi="Times New Roman" w:cs="Times New Roman"/>
        </w:rPr>
        <w:t xml:space="preserve">.  The reported modulus for the Bis-EMA used in the present study is 3.5 GPa when formulated as a thermoset and post cured. Thermal aging increased the tensile modulus of the 20 wt% PETIA formulation, and future work can investigate the potential influence of thermal post cure temperature on improving Bis-EMA/PETIA photopolymer mechanical properties. </w:t>
      </w:r>
    </w:p>
    <w:p w14:paraId="7C45F59D" w14:textId="77777777" w:rsidR="00670343" w:rsidRPr="008B3BCF" w:rsidRDefault="00670343" w:rsidP="00670343">
      <w:pPr>
        <w:spacing w:line="360" w:lineRule="auto"/>
        <w:rPr>
          <w:rFonts w:ascii="Times New Roman" w:hAnsi="Times New Roman" w:cs="Times New Roman"/>
        </w:rPr>
      </w:pPr>
    </w:p>
    <w:p w14:paraId="67083FC5" w14:textId="313A4B40" w:rsidR="00670343" w:rsidRPr="008B3BCF" w:rsidRDefault="008B3BCF" w:rsidP="008B3BCF">
      <w:pPr>
        <w:spacing w:line="360" w:lineRule="auto"/>
        <w:rPr>
          <w:rFonts w:ascii="Times New Roman" w:hAnsi="Times New Roman" w:cs="Times New Roman"/>
        </w:rPr>
      </w:pPr>
      <w:r w:rsidRPr="008B3BCF">
        <w:rPr>
          <w:rFonts w:ascii="Times New Roman" w:hAnsi="Times New Roman" w:cs="Times New Roman"/>
        </w:rPr>
        <w:lastRenderedPageBreak/>
        <w:t xml:space="preserve">The cure-induced shrinkage steadily increases with higher PETIA loadings from 5.3% to 7.7%, which is expected due to an increase in the number of acrylate functional groups present in the polymer. As these functional groups react and form crosslinks, the long-distance Van der Waals forces within the liquid monomer are replaced with short covalent bonds between monomer units, causing shrinkage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{"citationItems":[{"id":"ITEM-1","itemData":{"author":[{"dropping-particle":"","family":"Moeck","given":"Andreas","non-dropping-particle":"","parse-names":false,"suffix":""},{"dropping-particle":"","family":"Roberto Bianchi","given":"Switzerland","non-dropping-particle":"","parse-names":false,"suffix":""},{"dropping-particle":"","family":"Helsby","given":"David","non-dropping-particle":"","parse-names":false,"suffix":""}],"id":"ITEM-1","issued":{"date-parts":[["0"]]},"title":"Shrinkage of UV Oligomers and Monomers","type":"article-journal"},"uris":["http://www.mendeley.com/documents/?uuid=955f1372-f4ad-3656-afb8-8d961c5f040b"]}],"mendeley":{"formattedCitation":"[101]","plainTextFormattedCitation":"[101]","previouslyFormattedCitation":"[101]"},"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[101]</w:t>
      </w:r>
      <w:r w:rsidRPr="008B3BCF">
        <w:rPr>
          <w:rFonts w:ascii="Times New Roman" w:hAnsi="Times New Roman" w:cs="Times New Roman"/>
        </w:rPr>
        <w:fldChar w:fldCharType="end"/>
      </w:r>
      <w:r w:rsidRPr="008B3BCF">
        <w:rPr>
          <w:rFonts w:ascii="Times New Roman" w:hAnsi="Times New Roman" w:cs="Times New Roman"/>
        </w:rPr>
        <w:t xml:space="preserve">.  The incorporation of fillers such as ceramics and/or blending in non-acrylate chemistries such as epoxies can reduce this shrinkage by reducing the number of methacrylate and acrylate functional groups present in a given volume </w:t>
      </w:r>
      <w:r w:rsidRPr="008B3B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Fouassier","given":"JP","non-dropping-particle":"","parse-names":false,"suffix":""},{"dropping-particle":"","family":"Rabek","given":"JF","non-dropping-particle":"","parse-names":false,"suffix":""}],"container-title":"Radiation curing in polymer science and technology","edition":"1","id":"ITEM-1","issued":{"date-parts":[["1993"]]},"publisher":"Elsevier Applied Science","publisher-place":"London","title":"An introduction to the basic principles in UV curing","type":"chapter"},"uris":["http://www.mendeley.com/documents/?uuid=ba9831f6-bed0-4c34-b0c4-c37c20272c92"]}],"mendeley":{"formattedCitation":"[102]","plainTextFormattedCitation":"[102]","previouslyFormattedCitation":"[102]"},"properties":{"noteIndex":0},"schema":"https://github.com/citation-style-language/schema/raw/master/csl-citation.json"}</w:instrText>
      </w:r>
      <w:r w:rsidRPr="008B3BCF">
        <w:rPr>
          <w:rFonts w:ascii="Times New Roman" w:hAnsi="Times New Roman" w:cs="Times New Roman"/>
        </w:rPr>
        <w:fldChar w:fldCharType="separate"/>
      </w:r>
      <w:r w:rsidR="00280E34" w:rsidRPr="00280E34">
        <w:rPr>
          <w:rFonts w:ascii="Times New Roman" w:hAnsi="Times New Roman" w:cs="Times New Roman"/>
          <w:noProof/>
        </w:rPr>
        <w:t>[102]</w:t>
      </w:r>
      <w:r w:rsidRPr="008B3BCF">
        <w:rPr>
          <w:rFonts w:ascii="Times New Roman" w:hAnsi="Times New Roman" w:cs="Times New Roman"/>
        </w:rPr>
        <w:fldChar w:fldCharType="end"/>
      </w:r>
      <w:r w:rsidRPr="008B3BCF">
        <w:rPr>
          <w:rFonts w:ascii="Times New Roman" w:hAnsi="Times New Roman" w:cs="Times New Roman"/>
        </w:rPr>
        <w:t xml:space="preserve">.        </w:t>
      </w:r>
    </w:p>
    <w:p w14:paraId="14A86152" w14:textId="77777777" w:rsidR="008B3BCF" w:rsidRPr="00670343" w:rsidRDefault="008B3BCF" w:rsidP="009D06D1">
      <w:pPr>
        <w:pStyle w:val="Heading3"/>
      </w:pPr>
      <w:bookmarkStart w:id="121" w:name="_Toc101701753"/>
      <w:r w:rsidRPr="00670343">
        <w:t>5.5 Tooling Study</w:t>
      </w:r>
      <w:bookmarkEnd w:id="121"/>
      <w:r w:rsidRPr="00670343">
        <w:t xml:space="preserve"> </w:t>
      </w:r>
    </w:p>
    <w:p w14:paraId="1AAA53D1" w14:textId="3C8AC072" w:rsidR="008B3BCF" w:rsidRDefault="008B3BCF" w:rsidP="00F55515">
      <w:pPr>
        <w:widowControl w:val="0"/>
        <w:spacing w:line="360" w:lineRule="auto"/>
        <w:rPr>
          <w:rFonts w:ascii="Times New Roman" w:eastAsiaTheme="minorEastAsia" w:hAnsi="Times New Roman" w:cs="Times New Roman"/>
        </w:rPr>
      </w:pPr>
      <w:r w:rsidRPr="00670343">
        <w:rPr>
          <w:rFonts w:ascii="Times New Roman" w:eastAsiaTheme="minorEastAsia" w:hAnsi="Times New Roman" w:cs="Times New Roman"/>
        </w:rPr>
        <w:t>The purpose of the thermal post cure after machining was to improve the degree of cure or help homogenize degree of cure across the laminate and prevent tooling warp. Hardness testing indicated that the thermal cycles had no measurable effect on the hardness of the tooling stock and failed to improve the cure gradient, although the T</w:t>
      </w:r>
      <w:r w:rsidRPr="00670343">
        <w:rPr>
          <w:rFonts w:ascii="Times New Roman" w:eastAsiaTheme="minorEastAsia" w:hAnsi="Times New Roman" w:cs="Times New Roman"/>
          <w:vertAlign w:val="subscript"/>
        </w:rPr>
        <w:t>g</w:t>
      </w:r>
      <w:r w:rsidRPr="00670343">
        <w:rPr>
          <w:rFonts w:ascii="Times New Roman" w:eastAsiaTheme="minorEastAsia" w:hAnsi="Times New Roman" w:cs="Times New Roman"/>
        </w:rPr>
        <w:t xml:space="preserve"> did increase. </w:t>
      </w:r>
      <w:r w:rsidRPr="00670343">
        <w:rPr>
          <w:rFonts w:ascii="Times New Roman" w:hAnsi="Times New Roman" w:cs="Times New Roman"/>
        </w:rPr>
        <w:t xml:space="preserve">Thermal post cure cycles do not generate additional free radicals in a photopolymer, but Decker et al. found that when vitrified photopolymers are raised above </w:t>
      </w:r>
      <w:r w:rsidRPr="00670343">
        <w:rPr>
          <w:rFonts w:ascii="Times New Roman" w:eastAsiaTheme="minorEastAsia" w:hAnsi="Times New Roman" w:cs="Times New Roman"/>
        </w:rPr>
        <w:t>their T</w:t>
      </w:r>
      <w:r w:rsidRPr="00670343">
        <w:rPr>
          <w:rFonts w:ascii="Times New Roman" w:eastAsiaTheme="minorEastAsia" w:hAnsi="Times New Roman" w:cs="Times New Roman"/>
          <w:vertAlign w:val="subscript"/>
        </w:rPr>
        <w:t>g</w:t>
      </w:r>
      <w:r w:rsidRPr="00670343">
        <w:rPr>
          <w:rFonts w:ascii="Times New Roman" w:hAnsi="Times New Roman" w:cs="Times New Roman"/>
        </w:rPr>
        <w:t xml:space="preserve"> some chain mobility is restored and trapped free radicals are able to react, enhancing the</w:t>
      </w:r>
      <w:r w:rsidRPr="00670343">
        <w:rPr>
          <w:rFonts w:ascii="Times New Roman" w:eastAsiaTheme="minorEastAsia" w:hAnsi="Times New Roman" w:cs="Times New Roman"/>
        </w:rPr>
        <w:t xml:space="preserve"> degree of cur</w:t>
      </w:r>
      <w:r w:rsidR="002216E7">
        <w:rPr>
          <w:rFonts w:ascii="Times New Roman" w:eastAsiaTheme="minorEastAsia" w:hAnsi="Times New Roman" w:cs="Times New Roman"/>
        </w:rPr>
        <w:t xml:space="preserve">e </w:t>
      </w:r>
      <w:r w:rsidR="002216E7">
        <w:rPr>
          <w:rFonts w:ascii="Times New Roman" w:eastAsiaTheme="minorEastAsia" w:hAnsi="Times New Roman" w:cs="Times New Roman"/>
        </w:rPr>
        <w:fldChar w:fldCharType="begin" w:fldLock="1"/>
      </w:r>
      <w:r w:rsidR="0033427D">
        <w:rPr>
          <w:rFonts w:ascii="Times New Roman" w:eastAsiaTheme="minorEastAsia" w:hAnsi="Times New Roman" w:cs="Times New Roman"/>
        </w:rPr>
        <w:instrText>ADDIN CSL_CITATION {"citationItems":[{"id":"ITEM-1","itemData":{"DOI":"10.1002/pola.1987.080250227","ISSN":"0887624X","author":[{"dropping-particle":"","family":"Decker","given":"C.","non-dropping-particle":"","parse-names":false,"suffix":""},{"dropping-particle":"","family":"Moussa","given":"K.","non-dropping-particle":"","parse-names":false,"suffix":""}],"container-title":"Journal of Polymer Science Part A: Polymer Chemistry","id":"ITEM-1","issue":"2","issued":{"date-parts":[["1987","2","1"]]},"page":"739-742","publisher":"John Wiley &amp; Sons, Ltd","title":"Radical trapping in photopolymerized acrylic networks","type":"article-journal","volume":"25"},"uris":["http://www.mendeley.com/documents/?uuid=e2a3dc3b-61bf-310e-a7cd-901577694a41"]},{"id":"ITEM-2","itemData":{"DOI":"10.1002/pi.821","ISSN":"09598103","abstract":"Light-induced polymerization of multifunctional monomers is a powerful method to transform a liquid resin into a solid polymer almost instantly, selectively in the illuminated areas. The reaction can conveniently be followed by real-time infrared spectroscopy, a technique which records directly conversion versus time curves in photosensitive resins undergoing ultrafast curing upon UV or laser exposure. The photoinitiator was shown to play a key role in laser-induced polymerization because of the monochromatic character of the emitted radiation. By using highly sensitive acrylate photoresists, relief images of micronic size were obtained by fast scanning with a focused laser beam. The laser direct imaging technology makes image transfer obsolete and eliminates the manufacture of photolithographic masks. Polymer networks of different architectures have been obtained by UV irradiation of various monomer blends: acrylate-epoxide, acrylate-vinyl ether, acrylate-polyene, vinyl ether-maleate and thiol-polyene. With monomers polymerizing by different mechanisms, ie radical and cationic types, interpenetrating polymer networks have been generated upon UV exposure in the presence of adequate photoinitiators. The crosslinking reaction was also performed in the solid state on polybutadiene which was plasticized with a multifunctional acrylate or thiol monomer. Thermoplastic elastomers were transformed within a fraction of a second into an insoluble material showing a greatly improved resistance to heat and chemicals, because of the tight polymer network formed. © 2002 Society of Chemical Industry.","author":[{"dropping-particle":"","family":"Decker","given":"Christian","non-dropping-particle":"","parse-names":false,"suffix":""}],"container-title":"Polymer International","id":"ITEM-2","issue":"11","issued":{"date-parts":[["2002","11","1"]]},"page":"1141-1150","publisher":"John Wiley &amp; Sons, Ltd","title":"Light-induced crosslinking polymerization","type":"article-journal","volume":"51"},"uris":["http://www.mendeley.com/documents/?uuid=3d0b4d3a-17fa-39ea-8b2c-c838d10161ac"]}],"mendeley":{"formattedCitation":"[62], [63]","plainTextFormattedCitation":"[62], [63]","previouslyFormattedCitation":"[62], [63]"},"properties":{"noteIndex":0},"schema":"https://github.com/citation-style-language/schema/raw/master/csl-citation.json"}</w:instrText>
      </w:r>
      <w:r w:rsidR="002216E7">
        <w:rPr>
          <w:rFonts w:ascii="Times New Roman" w:eastAsiaTheme="minorEastAsia" w:hAnsi="Times New Roman" w:cs="Times New Roman"/>
        </w:rPr>
        <w:fldChar w:fldCharType="separate"/>
      </w:r>
      <w:r w:rsidR="00115FB0" w:rsidRPr="00115FB0">
        <w:rPr>
          <w:rFonts w:ascii="Times New Roman" w:eastAsiaTheme="minorEastAsia" w:hAnsi="Times New Roman" w:cs="Times New Roman"/>
          <w:noProof/>
        </w:rPr>
        <w:t>[62], [63]</w:t>
      </w:r>
      <w:r w:rsidR="002216E7">
        <w:rPr>
          <w:rFonts w:ascii="Times New Roman" w:eastAsiaTheme="minorEastAsia" w:hAnsi="Times New Roman" w:cs="Times New Roman"/>
        </w:rPr>
        <w:fldChar w:fldCharType="end"/>
      </w:r>
      <w:r w:rsidRPr="00670343">
        <w:rPr>
          <w:rFonts w:ascii="Times New Roman" w:eastAsiaTheme="minorEastAsia" w:hAnsi="Times New Roman" w:cs="Times New Roman"/>
        </w:rPr>
        <w:t>.  DMA testing of 1 mm thick specimens found that the tooling stock could achieve a T</w:t>
      </w:r>
      <w:r w:rsidRPr="00670343">
        <w:rPr>
          <w:rFonts w:ascii="Times New Roman" w:eastAsiaTheme="minorEastAsia" w:hAnsi="Times New Roman" w:cs="Times New Roman"/>
          <w:vertAlign w:val="subscript"/>
        </w:rPr>
        <w:t>g</w:t>
      </w:r>
      <w:r w:rsidRPr="00670343">
        <w:rPr>
          <w:rFonts w:ascii="Times New Roman" w:eastAsiaTheme="minorEastAsia" w:hAnsi="Times New Roman" w:cs="Times New Roman"/>
        </w:rPr>
        <w:t xml:space="preserve"> &gt;150 </w:t>
      </w:r>
      <w:r w:rsidRPr="00670343">
        <w:rPr>
          <w:rFonts w:ascii="Times New Roman" w:eastAsiaTheme="minorEastAsia" w:hAnsi="Times New Roman" w:cs="Times New Roman"/>
        </w:rPr>
        <w:sym w:font="Symbol" w:char="F0B0"/>
      </w:r>
      <w:r w:rsidRPr="00670343">
        <w:rPr>
          <w:rFonts w:ascii="Times New Roman" w:eastAsiaTheme="minorEastAsia" w:hAnsi="Times New Roman" w:cs="Times New Roman"/>
        </w:rPr>
        <w:t xml:space="preserve">C without any post curing, and it is possible that the subsequent thermal cure cycles of 135 </w:t>
      </w:r>
      <w:r w:rsidRPr="00670343">
        <w:rPr>
          <w:rFonts w:ascii="Times New Roman" w:eastAsiaTheme="minorEastAsia" w:hAnsi="Times New Roman" w:cs="Times New Roman"/>
        </w:rPr>
        <w:sym w:font="Symbol" w:char="F0B0"/>
      </w:r>
      <w:r w:rsidRPr="00670343">
        <w:rPr>
          <w:rFonts w:ascii="Times New Roman" w:eastAsiaTheme="minorEastAsia" w:hAnsi="Times New Roman" w:cs="Times New Roman"/>
        </w:rPr>
        <w:t>C were at too low of a temperature to restore chain mobility and improve curing. Because the tooling stock achieved a T</w:t>
      </w:r>
      <w:r w:rsidRPr="00670343">
        <w:rPr>
          <w:rFonts w:ascii="Times New Roman" w:eastAsiaTheme="minorEastAsia" w:hAnsi="Times New Roman" w:cs="Times New Roman"/>
          <w:vertAlign w:val="subscript"/>
        </w:rPr>
        <w:t>g</w:t>
      </w:r>
      <w:r w:rsidRPr="00670343">
        <w:rPr>
          <w:rFonts w:ascii="Times New Roman" w:eastAsiaTheme="minorEastAsia" w:hAnsi="Times New Roman" w:cs="Times New Roman"/>
        </w:rPr>
        <w:t xml:space="preserve"> &gt; 135 </w:t>
      </w:r>
      <w:r w:rsidRPr="00670343">
        <w:rPr>
          <w:rFonts w:ascii="Times New Roman" w:eastAsiaTheme="minorEastAsia" w:hAnsi="Times New Roman" w:cs="Times New Roman"/>
        </w:rPr>
        <w:sym w:font="Symbol" w:char="F0B0"/>
      </w:r>
      <w:r w:rsidRPr="00670343">
        <w:rPr>
          <w:rFonts w:ascii="Times New Roman" w:eastAsiaTheme="minorEastAsia" w:hAnsi="Times New Roman" w:cs="Times New Roman"/>
        </w:rPr>
        <w:t>C through a 3 mm laminate with only UV irradiation, thermal post</w:t>
      </w:r>
      <w:r w:rsidR="00737580">
        <w:rPr>
          <w:rFonts w:ascii="Times New Roman" w:eastAsiaTheme="minorEastAsia" w:hAnsi="Times New Roman" w:cs="Times New Roman"/>
        </w:rPr>
        <w:t xml:space="preserve"> </w:t>
      </w:r>
      <w:r w:rsidRPr="00670343">
        <w:rPr>
          <w:rFonts w:ascii="Times New Roman" w:eastAsiaTheme="minorEastAsia" w:hAnsi="Times New Roman" w:cs="Times New Roman"/>
        </w:rPr>
        <w:t>cure steps may be unnecessary to achieve the final part properties needed for autoclave/oven-cure tooling.</w:t>
      </w:r>
    </w:p>
    <w:p w14:paraId="1D68DB7E" w14:textId="77777777" w:rsidR="00737580" w:rsidRPr="00670343" w:rsidRDefault="00737580" w:rsidP="00670343">
      <w:pPr>
        <w:spacing w:line="360" w:lineRule="auto"/>
        <w:rPr>
          <w:rFonts w:ascii="Times New Roman" w:eastAsiaTheme="minorEastAsia" w:hAnsi="Times New Roman" w:cs="Times New Roman"/>
        </w:rPr>
      </w:pPr>
    </w:p>
    <w:p w14:paraId="347C0154" w14:textId="750C94A4" w:rsidR="00670343" w:rsidRDefault="008B3BCF" w:rsidP="00670343">
      <w:pPr>
        <w:spacing w:line="360" w:lineRule="auto"/>
        <w:rPr>
          <w:rFonts w:ascii="Times New Roman" w:eastAsiaTheme="minorEastAsia" w:hAnsi="Times New Roman" w:cs="Times New Roman"/>
        </w:rPr>
      </w:pPr>
      <w:r w:rsidRPr="00670343">
        <w:rPr>
          <w:rFonts w:ascii="Times New Roman" w:eastAsiaTheme="minorEastAsia" w:hAnsi="Times New Roman" w:cs="Times New Roman"/>
        </w:rPr>
        <w:t xml:space="preserve">One interesting observation is the significant difference between the first and third cured layers in the tooling stock (see </w:t>
      </w:r>
      <w:r w:rsidR="006E65C7" w:rsidRPr="006E65C7">
        <w:rPr>
          <w:rFonts w:ascii="Times New Roman" w:eastAsiaTheme="minorEastAsia" w:hAnsi="Times New Roman" w:cs="Times New Roman"/>
        </w:rPr>
        <w:fldChar w:fldCharType="begin"/>
      </w:r>
      <w:r w:rsidR="006E65C7" w:rsidRPr="006E65C7">
        <w:rPr>
          <w:rFonts w:ascii="Times New Roman" w:eastAsiaTheme="minorEastAsia" w:hAnsi="Times New Roman" w:cs="Times New Roman"/>
        </w:rPr>
        <w:instrText xml:space="preserve"> REF _Ref100927841 \h </w:instrText>
      </w:r>
      <w:r w:rsidR="006E65C7">
        <w:rPr>
          <w:rFonts w:ascii="Times New Roman" w:eastAsiaTheme="minorEastAsia" w:hAnsi="Times New Roman" w:cs="Times New Roman"/>
        </w:rPr>
        <w:instrText xml:space="preserve"> \* MERGEFORMAT </w:instrText>
      </w:r>
      <w:r w:rsidR="006E65C7" w:rsidRPr="006E65C7">
        <w:rPr>
          <w:rFonts w:ascii="Times New Roman" w:eastAsiaTheme="minorEastAsia" w:hAnsi="Times New Roman" w:cs="Times New Roman"/>
        </w:rPr>
      </w:r>
      <w:r w:rsidR="006E65C7" w:rsidRPr="006E65C7">
        <w:rPr>
          <w:rFonts w:ascii="Times New Roman" w:eastAsiaTheme="minorEastAsia" w:hAnsi="Times New Roman" w:cs="Times New Roman"/>
        </w:rPr>
        <w:fldChar w:fldCharType="separate"/>
      </w:r>
      <w:r w:rsidR="00682254" w:rsidRPr="00682254">
        <w:rPr>
          <w:rFonts w:ascii="Times New Roman" w:hAnsi="Times New Roman" w:cs="Times New Roman"/>
        </w:rPr>
        <w:t xml:space="preserve">Figure </w:t>
      </w:r>
      <w:r w:rsidR="00682254" w:rsidRPr="00682254">
        <w:rPr>
          <w:rFonts w:ascii="Times New Roman" w:hAnsi="Times New Roman" w:cs="Times New Roman"/>
          <w:noProof/>
        </w:rPr>
        <w:t>27</w:t>
      </w:r>
      <w:r w:rsidR="006E65C7" w:rsidRPr="006E65C7">
        <w:rPr>
          <w:rFonts w:ascii="Times New Roman" w:eastAsiaTheme="minorEastAsia" w:hAnsi="Times New Roman" w:cs="Times New Roman"/>
        </w:rPr>
        <w:fldChar w:fldCharType="end"/>
      </w:r>
      <w:r w:rsidRPr="00670343">
        <w:rPr>
          <w:rFonts w:ascii="Times New Roman" w:eastAsiaTheme="minorEastAsia" w:hAnsi="Times New Roman" w:cs="Times New Roman"/>
        </w:rPr>
        <w:t>). In previous layer-by-layer studies of fiberglass-reinforced photopolymer</w:t>
      </w:r>
      <w:r w:rsidR="00E468B8">
        <w:rPr>
          <w:rFonts w:ascii="Times New Roman" w:eastAsiaTheme="minorEastAsia" w:hAnsi="Times New Roman" w:cs="Times New Roman"/>
        </w:rPr>
        <w:t xml:space="preserve"> </w:t>
      </w:r>
      <w:r w:rsidRPr="00670343">
        <w:rPr>
          <w:rFonts w:ascii="Times New Roman" w:eastAsiaTheme="minorEastAsia" w:hAnsi="Times New Roman" w:cs="Times New Roman"/>
        </w:rPr>
        <w:t xml:space="preserve">s, the bottom layer of a laminate was found to increase degree of cure with additional layers, up to a thickness of 1 mm </w:t>
      </w:r>
      <w:r w:rsidR="00B86B05">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10.1002/app.34909","ISSN":"00218995","author":[{"dropping-particle":"","family":"Duan","given":"Yugang","non-dropping-particle":"","parse-names":false,"suffix":""},{"dropping-particle":"","family":"Li","given":"Jia","non-dropping-particle":"","parse-names":false,"suffix":""},{"dropping-particle":"","family":"Zhong","given":"Weihong","non-dropping-particle":"","parse-names":false,"suffix":""},{"dropping-particle":"","family":"Maguire","given":"Russell G.","non-dropping-particle":"","parse-names":false,"suffix":""},{"dropping-particle":"","family":"Zhao","given":"Guoqiang","non-dropping-particle":"","parse-names":false,"suffix":""},{"dropping-particle":"","family":"Xie","given":"Hong","non-dropping-particle":"","parse-names":false,"suffix":""},{"dropping-particle":"","family":"Li","given":"Dichen","non-dropping-particle":"","parse-names":false,"suffix":""},{"dropping-particle":"","family":"Lu","given":"Bingheng","non-dropping-particle":"","parse-names":false,"suffix":""}],"container-title":"Journal of Applied Polymer Science","id":"ITEM-1","issue":"6","issued":{"date-parts":[["2012","3","15"]]},"page":"3799-3805","publisher":"Wiley Subscription Services, Inc., A Wiley Company","title":"Effects of compaction and UV exposure on performance of acrylate/glass-fiber composites cured layer by layer","type":"article-journal","volume":"123"},"uris":["http://www.mendeley.com/documents/?uuid=d6f1a150-791d-34bf-a67a-3ef12fa4f501"]},{"id":"ITEM-2","itemData":{"DOI":"10.1177/0021998315592004","ISSN":"0021-9983","abstract":"To determine the quality of composites cured with UV light ply by ply, the effects of exposure dose on the cure uniformity and interlaminar shear strength of composite laminates were investigated. This was done by using UV power meter, differential scanning calorimetry, and the fiber optic strain sensors. According to differential photocalorimety results, the accumulative curing effect is remarkable in the stepwise UV-curing process, which results in gradual improvement of the degree of cure of the underlying ply. The cure uniformity increased with increasing exposure dose, but higher exposure dose led to a decrease of the interlaminar shear strength. This was due to increased shrinking strain and residual stress according to the results from the fiber optic strain sensors.","author":[{"dropping-particle":"","family":"Zhang","given":"Xiaohui","non-dropping-particle":"","parse-names":false,"suffix":""},{"dropping-particle":"","family":"Duan","given":"Yugang","non-dropping-particle":"","parse-names":false,"suffix":""},{"dropping-particle":"","family":"Zhao","given":"Xinming","non-dropping-particle":"","parse-names":false,"suffix":""},{"dropping-particle":"","family":"Li","given":"Dichen","non-dropping-particle":"","parse-names":false,"suffix":""}],"container-title":"Journal of Composite Materials","id":"ITEM-2","issue":"10","issued":{"date-parts":[["2016","5","30"]]},"page":"1395-1401","publisher":"SAGE Publications Ltd","title":"UV stepwise cured fabrication of glass fiber/acrylate composites: Effects of exposure dose on curing uniformity and interlaminar shear strength","type":"article-journal","volume":"50"},"uris":["http://www.mendeley.com/documents/?uuid=d3c6cfa2-5729-3a4e-ac5f-4912484f9e0c"]}],"mendeley":{"formattedCitation":"[103], [104]","plainTextFormattedCitation":"[103], [104]","previouslyFormattedCitation":"[103], [104]"},"properties":{"noteIndex":0},"schema":"https://github.com/citation-style-language/schema/raw/master/csl-citation.json"}</w:instrText>
      </w:r>
      <w:r w:rsidR="00B86B05">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[103], [104]</w:t>
      </w:r>
      <w:r w:rsidR="00B86B05">
        <w:rPr>
          <w:rFonts w:ascii="Times New Roman" w:eastAsiaTheme="minorEastAsia" w:hAnsi="Times New Roman" w:cs="Times New Roman"/>
        </w:rPr>
        <w:fldChar w:fldCharType="end"/>
      </w:r>
      <w:r w:rsidRPr="00670343">
        <w:rPr>
          <w:rFonts w:ascii="Times New Roman" w:eastAsiaTheme="minorEastAsia" w:hAnsi="Times New Roman" w:cs="Times New Roman"/>
        </w:rPr>
        <w:t xml:space="preserve">.  UV light transmission through any photopolymer decreases with increased thickness </w:t>
      </w:r>
      <w:r w:rsidRPr="00670343">
        <w:rPr>
          <w:rFonts w:ascii="Times New Roman" w:eastAsiaTheme="minorEastAsia" w:hAnsi="Times New Roman" w:cs="Times New Roman"/>
        </w:rPr>
        <w:lastRenderedPageBreak/>
        <w:t xml:space="preserve">according to the Beer-Lambert law </w:t>
      </w:r>
      <w:r w:rsidRPr="00670343">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Engineering","id":"ITEM-1","issued":{"date-parts":[["2020","6","15"]]},"publisher":"Elsevier Ltd","title":"An analytical model of through-thickness photopolymerisation of composites: Ultraviolet light transmission and curing kinetics","type":"article-journal","volume":"191"},"uris":["http://www.mendeley.com/documents/?uuid=5126f3a3-780b-3d9a-822f-3cadb9967a9a"]},{"id":"ITEM-2","itemData":{"DOI":"10.1016/j.polymer.2012.03.025","ISSN":"00323861","abstract":"A difunctional cycloaliphatic epoxy monomer was cationically photo-polymerized in the presence of a diaryliodonium salt photoinitiator and an isopropyl thioxanthone photosensitizer at different temperatures and UV intensities. The photo-polymerization kinetics and structure formation were analysed using photo-DSC, IR spectroscopy and photo-rheology. An autocatalytic relation was used to model the conversion state with Arrhenius and power-law relationships for temperature and light intensity dependence. Conversion was found to depend on sample thickness, following the Beer-Lambert law. Photo-rheology measurements showed that the system vitrified before gelation at ambient temperature, and after gelation at high temperature under intense UV illumination. Time temperature transformation and time intensity transformation diagrams were built. Moreover, isothermal dark-curing enabled significant conversion increases up to the occurrence of vitrification, while thermal post-curing above Tg led to conversion as high as 71%. Thermo-mechanical measurements enabled to quantify Tg and the effects of the increase in conversion provided by thermal post-curing. © 2012 Elsevier Inc. All rights reserved.","author":[{"dropping-particle":"","family":"Golaz","given":"B.","non-dropping-particle":"","parse-names":false,"suffix":""},{"dropping-particle":"","family":"Michaud","given":"V.","non-dropping-particle":"","parse-names":false,"suffix":""},{"dropping-particle":"","family":"Leterrier","given":"Y.","non-dropping-particle":"","parse-names":false,"suffix":""},{"dropping-particle":"","family":"Mnson","given":"J. A.E.","non-dropping-particle":"","parse-names":false,"suffix":""}],"container-title":"Polymer","id":"ITEM-2","issue":"10","issued":{"date-parts":[["2012","4","25"]]},"page":"2038-2048","publisher":"Elsevier Ltd","title":"UV intensity, temperature and dark-curing effects in cationic photo-polymerization of a cycloaliphatic epoxy resin","type":"article-journal","volume":"53"},"uris":["http://www.mendeley.com/documents/?uuid=99cdff2c-0258-3933-bd0a-64dad27e1f60"]},{"id":"ITEM-3","itemData":{"DOI":"10.1016/0032-3861(90)90356-4","ISSN":"00323861","abstract":"When the glass transition temperature Tg of a completely polymerized system is considerably higher than the temperature of polymerization, the reaction usually stops before completion. With step reactions the difference between Tg and Tcure rarely exceeds 35K. We have found that in the chain crosslinking photopolymerization of 1,6-hexanediol diacrylate a difference of more than 70K can be observed. Photopolymerization continues in the glassy state, albeit at a self-decelerating rate. Possible causes of this continuation are (i) the presence of a significant amount of unreacted monomer up to high conversions and (ii) the persistence of a localized mobility of radical sites in the glassy state through tertiary hydrogen abstraction. It is proposed that the continuation of the reaction is not limited by vitrification but by freezing of secondary relaxations. The initial, fast part of the photopolymerization process was monitored with differential scanning calorimetry (d.s.c.), the slow continuation in the glassy state with Fourier-transform infra-red spectroscopy (FTi.r.). By using thin silicon substrates the same samples could be used with both techniques. In the range of conversions accessible with d.s.c., a perfect correlation with FTi.r. results was obtained. This proves that Beer's law applies to the i.r. data. © 1990.","author":[{"dropping-particle":"","family":"Kloosterboer","given":"J. G.","non-dropping-particle":"","parse-names":false,"suffix":""},{"dropping-particle":"","family":"Lijten","given":"G. F.C.M.","non-dropping-particle":"","parse-names":false,"suffix":""}],"container-title":"Polymer","id":"ITEM-3","issue":"1","issued":{"date-parts":[["1990","1","1"]]},"page":"95-101","publisher":"Elsevier","title":"Photopolymers exhibiting a large difference between glass transition and curing temperatures","type":"article-journal","volume":"31"},"uris":["http://www.mendeley.com/documents/?uuid=df6e47a5-3b41-3032-acdf-95dfe4e153e4"]}],"mendeley":{"formattedCitation":"[38], [105], [106]","plainTextFormattedCitation":"[38], [105], [106]","previouslyFormattedCitation":"[38], [105], [106]"},"properties":{"noteIndex":0},"schema":"https://github.com/citation-style-language/schema/raw/master/csl-citation.json"}</w:instrText>
      </w:r>
      <w:r w:rsidRPr="00670343">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[38], [105], [106]</w:t>
      </w:r>
      <w:r w:rsidRPr="00670343">
        <w:rPr>
          <w:rFonts w:ascii="Times New Roman" w:eastAsiaTheme="minorEastAsia" w:hAnsi="Times New Roman" w:cs="Times New Roman"/>
        </w:rPr>
        <w:fldChar w:fldCharType="end"/>
      </w:r>
      <w:r w:rsidRPr="00670343">
        <w:rPr>
          <w:rFonts w:ascii="Times New Roman" w:eastAsiaTheme="minorEastAsia" w:hAnsi="Times New Roman" w:cs="Times New Roman"/>
        </w:rPr>
        <w:t xml:space="preserve">, and photoinitiators such as BDMB have photoproducts that absorb some UV light </w:t>
      </w:r>
      <w:r w:rsidRPr="00670343">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mendeley":{"formattedCitation":"[107]","plainTextFormattedCitation":"[107]","previouslyFormattedCitation":"[107]"},"properties":{"noteIndex":0},"schema":"https://github.com/citation-style-language/schema/raw/master/csl-citation.json"}</w:instrText>
      </w:r>
      <w:r w:rsidRPr="00670343">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[107]</w:t>
      </w:r>
      <w:r w:rsidRPr="00670343">
        <w:rPr>
          <w:rFonts w:ascii="Times New Roman" w:eastAsiaTheme="minorEastAsia" w:hAnsi="Times New Roman" w:cs="Times New Roman"/>
        </w:rPr>
        <w:fldChar w:fldCharType="end"/>
      </w:r>
      <w:r w:rsidRPr="00670343">
        <w:rPr>
          <w:rFonts w:ascii="Times New Roman" w:eastAsiaTheme="minorEastAsia" w:hAnsi="Times New Roman" w:cs="Times New Roman"/>
        </w:rPr>
        <w:t xml:space="preserve">, further impeding UV transmission through thick layers.  The tooling hardness data for this study indicate that, at 3 mm layer thicknesses with the 20 wt% PETIA formula, the beneficial effect of multiple UV doses appears to be limited. Instead, at large layer thickness a similar cure gradient appears to exist within each laminate layer as was found in the neat resin static cure testing. </w:t>
      </w:r>
    </w:p>
    <w:p w14:paraId="23078CFC" w14:textId="27279496" w:rsidR="008B3BCF" w:rsidRPr="008B3BCF" w:rsidRDefault="008B3BCF" w:rsidP="009D06D1">
      <w:pPr>
        <w:pStyle w:val="Heading3"/>
      </w:pPr>
      <w:bookmarkStart w:id="122" w:name="_Toc101701754"/>
      <w:r w:rsidRPr="008B3BCF">
        <w:t>5.6 Optimal Formulation for Large Scale AM</w:t>
      </w:r>
      <w:bookmarkEnd w:id="122"/>
    </w:p>
    <w:p w14:paraId="017E1D0C" w14:textId="3C65C79A" w:rsidR="008B3BCF" w:rsidRPr="00020242" w:rsidRDefault="008B3BCF" w:rsidP="00020242">
      <w:pPr>
        <w:spacing w:line="360" w:lineRule="auto"/>
        <w:rPr>
          <w:rFonts w:ascii="Times New Roman" w:eastAsiaTheme="minorEastAsia" w:hAnsi="Times New Roman" w:cs="Times New Roman"/>
        </w:rPr>
      </w:pPr>
      <w:r w:rsidRPr="008B3BCF">
        <w:rPr>
          <w:rFonts w:ascii="Times New Roman" w:hAnsi="Times New Roman" w:cs="Times New Roman"/>
        </w:rPr>
        <w:t>The 80 wt% Bis-EMA, 20 wt% PETIA formula tested in this study was selected for striking the best balance of improved cure response while maintaining T</w:t>
      </w:r>
      <w:r w:rsidRPr="008B3BCF">
        <w:rPr>
          <w:rFonts w:ascii="Times New Roman" w:hAnsi="Times New Roman" w:cs="Times New Roman"/>
          <w:vertAlign w:val="subscript"/>
        </w:rPr>
        <w:t>g</w:t>
      </w:r>
      <w:r w:rsidRPr="008B3BCF">
        <w:rPr>
          <w:rFonts w:ascii="Times New Roman" w:hAnsi="Times New Roman" w:cs="Times New Roman"/>
        </w:rPr>
        <w:t xml:space="preserve"> from the base resin. From hardness measurements, this formula achieved near complete through cure at a 36% lower UV dose than the Bis-EMA control formulation. Other formulation adjustments may further enhance through-thickness cure.  For example, the fiberglass-reinforced tooling stock achieved</w:t>
      </w:r>
      <w:r w:rsidRPr="008B3BCF">
        <w:rPr>
          <w:rFonts w:ascii="Times New Roman" w:eastAsiaTheme="minorEastAsia" w:hAnsi="Times New Roman" w:cs="Times New Roman"/>
        </w:rPr>
        <w:t xml:space="preserve"> a higher hardness ratio than the equivalent neat resin formulation (84-90% vs. 79%) and a comparable T</w:t>
      </w:r>
      <w:r w:rsidRPr="008B3BCF">
        <w:rPr>
          <w:rFonts w:ascii="Times New Roman" w:eastAsiaTheme="minorEastAsia" w:hAnsi="Times New Roman" w:cs="Times New Roman"/>
          <w:vertAlign w:val="subscript"/>
        </w:rPr>
        <w:t>g</w:t>
      </w:r>
      <w:r w:rsidRPr="008B3BCF">
        <w:rPr>
          <w:rFonts w:ascii="Times New Roman" w:eastAsiaTheme="minorEastAsia" w:hAnsi="Times New Roman" w:cs="Times New Roman"/>
        </w:rPr>
        <w:t xml:space="preserve"> at a lower UV dose.</w:t>
      </w:r>
      <w:r w:rsidRPr="008B3BCF">
        <w:rPr>
          <w:rFonts w:ascii="Times New Roman" w:hAnsi="Times New Roman" w:cs="Times New Roman"/>
        </w:rPr>
        <w:t xml:space="preserve"> This further improvement </w:t>
      </w:r>
      <w:r w:rsidRPr="008B3BCF">
        <w:rPr>
          <w:rFonts w:ascii="Times New Roman" w:eastAsiaTheme="minorEastAsia" w:hAnsi="Times New Roman" w:cs="Times New Roman"/>
        </w:rPr>
        <w:t xml:space="preserve">may indicate some beneficial effect from multiple UV exposures, or faster cure response due to the presence of fiberglass </w:t>
      </w:r>
      <w:r w:rsidRPr="008B3BCF">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{"citationItems":[{"id":"ITEM-1","itemData":{"abstract":"Novel fiberglass-reinforced composites were fabricated by the ultraviolet and visible (solar) irradiation of epoxidized vegetable oils in the presence of onium salt cationic photoinitiators. A variety of layup techniques and experimental conditions were explored to optimize composite fabrication. It was demonstrated that composites prepared by wet layup techniques containing up to five plies of glass cloth could be cured by a direct, 25-min exposure to solar irradiation. A series of composite samples were prepared using mixtures of epoxidized vegetable oils and synthetic epoxy resins, and their mechanical properties were evaluated. Based on these measurements, it may be concluded that photochemical routes to the fabrication of composites derived from epoxidized vegetable oils provide a simple, direct, and inexpensive route to the fabrication of composites with many potential low-performance applications.","author":[{"dropping-particle":"V","family":"Crivello","given":"J","non-dropping-particle":"","parse-names":false,"suffix":""},{"dropping-particle":"","family":"Narayan","given":"R","non-dropping-particle":"","parse-names":false,"suffix":""},{"dropping-particle":"","family":"Sternstein","given":"S S","non-dropping-particle":"","parse-names":false,"suffix":""}],"container-title":"John Wi-ley &amp; Sons, Inc. J Appl Polym Sci","id":"ITEM-1","issued":{"date-parts":[["1997"]]},"page":"2073-2087","title":"Fabrication and Mechanical Characterization of Glass Fiber Reinforced UV-Cured Composites from Epoxidized Vegetable Oils","type":"article-journal","volume":"64"},"uris":["http://www.mendeley.com/documents/?uuid=53f5e580-b546-307d-841b-abe81cfb4f2c"]}],"mendeley":{"formattedCitation":"[108]","plainTextFormattedCitation":"[108]","previouslyFormattedCitation":"[108]"},"properties":{"noteIndex":0},"schema":"https://github.com/citation-style-language/schema/raw/master/csl-citation.json"}</w:instrText>
      </w:r>
      <w:r w:rsidRPr="008B3BCF">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[108]</w:t>
      </w:r>
      <w:r w:rsidRPr="008B3BCF">
        <w:rPr>
          <w:rFonts w:ascii="Times New Roman" w:eastAsiaTheme="minorEastAsia" w:hAnsi="Times New Roman" w:cs="Times New Roman"/>
        </w:rPr>
        <w:fldChar w:fldCharType="end"/>
      </w:r>
      <w:r w:rsidRPr="008B3BCF">
        <w:rPr>
          <w:rFonts w:ascii="Times New Roman" w:eastAsiaTheme="minorEastAsia" w:hAnsi="Times New Roman" w:cs="Times New Roman"/>
        </w:rPr>
        <w:t xml:space="preserve">.  </w:t>
      </w:r>
    </w:p>
    <w:p w14:paraId="5E2CF50D" w14:textId="77777777" w:rsidR="008B3BCF" w:rsidRPr="008B3BCF" w:rsidRDefault="008B3BCF" w:rsidP="00DB3040">
      <w:pPr>
        <w:pStyle w:val="Heading2"/>
      </w:pPr>
      <w:bookmarkStart w:id="123" w:name="_Toc101701755"/>
      <w:r w:rsidRPr="008B3BCF">
        <w:t>6.0 Conclusions</w:t>
      </w:r>
      <w:bookmarkEnd w:id="123"/>
    </w:p>
    <w:p w14:paraId="6240AB6B" w14:textId="3B0B7E73" w:rsidR="00670343" w:rsidRDefault="008B3BCF" w:rsidP="008B3BCF">
      <w:pPr>
        <w:spacing w:line="360" w:lineRule="auto"/>
        <w:rPr>
          <w:rFonts w:ascii="Times New Roman" w:hAnsi="Times New Roman" w:cs="Times New Roman"/>
        </w:rPr>
      </w:pPr>
      <w:bookmarkStart w:id="124" w:name="_Hlk96962517"/>
      <w:r w:rsidRPr="008B3BCF">
        <w:rPr>
          <w:rFonts w:ascii="Times New Roman" w:hAnsi="Times New Roman" w:cs="Times New Roman"/>
        </w:rPr>
        <w:t xml:space="preserve">This study investigated the effect of adding PETIA, a highly reactive acrylate, to Bis-EMA in concentrations up to 50 wt%. 3 mm thick specimens were irradiated on the top surface with a 5 second burst of monochromatic UV light, and Vickers hardness was measured on top and bottom surfaces to assess cure response. PETIA was found to consistently improve the bottom surface hardness at increasing concentrations, but FTIR results indicated no significant change in bottom surface DC with increasing PETIA content. DMA testing indicated that PETIA content initially raised the Tg at 10 wt% but reduced the Tg below Bis-EMA baseline at concentrations above 20 wt%. Likewise, cure shrinkage did not change with a 10 wt% loading of PETIA, but steadily increased with higher PETIA loadings from 5.3% to 7.7%.  At a constant UV dose, the addition of 20 wt% PETIA to Bis-EMA appears to have the best balance of improved through-thickness hardness while retaining autoclave temperature resistance. Post-irradiation thermal </w:t>
      </w:r>
      <w:r w:rsidRPr="008B3BCF">
        <w:rPr>
          <w:rFonts w:ascii="Times New Roman" w:hAnsi="Times New Roman" w:cs="Times New Roman"/>
        </w:rPr>
        <w:lastRenderedPageBreak/>
        <w:t>treatment of the 20 wt% PETIA formula increased the tensile modulus by 15%, but FTIR indicated no significant change in DC.  Tooling was produced using the 20 wt% PETIA formulation in 3 mm layers via a pseudo-additive process and used to manufacture five composite parts with cure cycles at 135 °C (275 °F). Hardness testing of the tooling stock material indicated no change after these thermal cycles, but DMA indicated an increase in T</w:t>
      </w:r>
      <w:r w:rsidRPr="008B3BCF">
        <w:rPr>
          <w:rFonts w:ascii="Times New Roman" w:hAnsi="Times New Roman" w:cs="Times New Roman"/>
          <w:vertAlign w:val="subscript"/>
        </w:rPr>
        <w:t>g</w:t>
      </w:r>
      <w:r w:rsidRPr="008B3BCF">
        <w:rPr>
          <w:rFonts w:ascii="Times New Roman" w:hAnsi="Times New Roman" w:cs="Times New Roman"/>
        </w:rPr>
        <w:t xml:space="preserve"> from 154 °C (309 °F) to 172 °C (342 °F).  3D scans of the photopolymer tooling showed average dimensional changes &lt; 0.1 mm (0.004”).  While other formulation and process adjustments may be made to further improve cure response, this study confirms 1) PETIA can provide significant improvements in Bis-EMA formulations when curing thick sections under UV LED, and 2) UV only cure of a Bis-EMA/PETIA photopolymer at ambient temperatures can produce durable oven-cure composite tooling with layer thicknesses matching those of other large-scale AM methods</w:t>
      </w:r>
      <w:bookmarkEnd w:id="124"/>
      <w:r w:rsidRPr="008B3BCF">
        <w:rPr>
          <w:rFonts w:ascii="Times New Roman" w:hAnsi="Times New Roman" w:cs="Times New Roman"/>
        </w:rPr>
        <w:t xml:space="preserve">. </w:t>
      </w:r>
    </w:p>
    <w:p w14:paraId="13C3533B" w14:textId="21AC18D0" w:rsidR="008B3BCF" w:rsidRPr="008B3BCF" w:rsidRDefault="008B3BCF" w:rsidP="00DB3040">
      <w:pPr>
        <w:pStyle w:val="Heading2"/>
      </w:pPr>
      <w:bookmarkStart w:id="125" w:name="_Toc101701756"/>
      <w:r w:rsidRPr="008B3BCF">
        <w:t>Acknowledgements</w:t>
      </w:r>
      <w:bookmarkEnd w:id="125"/>
    </w:p>
    <w:p w14:paraId="475CAE9D" w14:textId="77777777" w:rsidR="008B3BCF" w:rsidRPr="008B3BCF" w:rsidRDefault="008B3BCF" w:rsidP="00F55515">
      <w:pPr>
        <w:widowControl w:val="0"/>
        <w:spacing w:line="360" w:lineRule="auto"/>
        <w:jc w:val="both"/>
        <w:rPr>
          <w:rFonts w:ascii="Times New Roman" w:hAnsi="Times New Roman" w:cs="Times New Roman"/>
          <w:b/>
        </w:rPr>
      </w:pPr>
      <w:r w:rsidRPr="008B3BCF">
        <w:rPr>
          <w:rFonts w:ascii="Times New Roman" w:hAnsi="Times New Roman" w:cs="Times New Roman"/>
          <w:iCs/>
          <w:color w:val="000000"/>
        </w:rPr>
        <w:t xml:space="preserve">The authors would like to thank Alex Allen, Zachary Papiez, Liam Pruitt, and Jacob Williams for their contributions to this work as undergraduate student interns at the Fibers and Composites Manufacturing Facility at the University of Tennessee, Knoxville. They would also like to thank Ryan Spencer for his help in proofreading the manuscript, and Stian Romberg for rheology training. The funding for this work was provided in part by the Office of Energy Efficiency and Renewable Energy (EERE), U.S. Department of Energy, under Award Number DE-EE0006926 and gratefully acknowledged. </w:t>
      </w:r>
      <w:r w:rsidRPr="008B3BCF">
        <w:rPr>
          <w:rFonts w:ascii="Times New Roman" w:hAnsi="Times New Roman" w:cs="Times New Roman"/>
        </w:rPr>
        <w:t>We thank the Institute of Advanced Composites Manufacturing Innovation (IACMI), Knoxville, TN, USA for partial support of this work, as well as Polynt Composites USA and Lambson for donating materials.</w:t>
      </w:r>
    </w:p>
    <w:p w14:paraId="40D3252C" w14:textId="2748280B" w:rsidR="008B3BCF" w:rsidRPr="008B3BCF" w:rsidRDefault="008B3BCF" w:rsidP="008B3BCF">
      <w:pPr>
        <w:spacing w:line="360" w:lineRule="auto"/>
        <w:rPr>
          <w:rFonts w:ascii="Times New Roman" w:hAnsi="Times New Roman" w:cs="Times New Roman"/>
        </w:rPr>
      </w:pPr>
    </w:p>
    <w:p w14:paraId="5AC1FA81" w14:textId="63F53261" w:rsidR="00492ADF" w:rsidRPr="00913500" w:rsidRDefault="00236E6D" w:rsidP="00BF3517">
      <w:pPr>
        <w:pStyle w:val="Heading1"/>
      </w:pPr>
      <w:r w:rsidRPr="008B3BCF">
        <w:br w:type="page"/>
      </w:r>
      <w:bookmarkStart w:id="126" w:name="_Toc101701757"/>
      <w:r w:rsidR="00492ADF" w:rsidRPr="00492ADF">
        <w:lastRenderedPageBreak/>
        <w:t>CHAPTER II</w:t>
      </w:r>
      <w:bookmarkEnd w:id="126"/>
    </w:p>
    <w:p w14:paraId="3E689E93" w14:textId="56A2E564" w:rsidR="00492ADF" w:rsidRPr="00C1521B" w:rsidRDefault="00DF312D" w:rsidP="00BF3517">
      <w:pPr>
        <w:pStyle w:val="Heading1"/>
      </w:pPr>
      <w:bookmarkStart w:id="127" w:name="_Toc101701758"/>
      <w:r>
        <w:t>Photoinitiator selection and concentration in photopolymer formulations towards large format additive manufacturing</w:t>
      </w:r>
      <w:bookmarkEnd w:id="127"/>
      <w:r w:rsidR="00492ADF" w:rsidRPr="00C1521B">
        <w:t xml:space="preserve"> </w:t>
      </w:r>
    </w:p>
    <w:p w14:paraId="25DF82EC" w14:textId="0AAE5AB9" w:rsidR="00492ADF" w:rsidRDefault="00492ADF" w:rsidP="00492ADF">
      <w:pPr>
        <w:rPr>
          <w:rFonts w:ascii="Times New Roman" w:hAnsi="Times New Roman" w:cs="Times New Roman"/>
          <w:b/>
          <w:bCs/>
        </w:rPr>
      </w:pPr>
    </w:p>
    <w:p w14:paraId="5DDB2D84" w14:textId="3C6E17A4" w:rsidR="00492ADF" w:rsidRDefault="00492ADF" w:rsidP="00492ADF">
      <w:pPr>
        <w:rPr>
          <w:rFonts w:ascii="Times New Roman" w:hAnsi="Times New Roman" w:cs="Times New Roman"/>
          <w:b/>
          <w:bCs/>
        </w:rPr>
      </w:pPr>
    </w:p>
    <w:p w14:paraId="668DBDA0" w14:textId="66B0952A" w:rsidR="00492ADF" w:rsidRDefault="00492ADF" w:rsidP="00492ADF">
      <w:pPr>
        <w:rPr>
          <w:rFonts w:ascii="Times New Roman" w:hAnsi="Times New Roman" w:cs="Times New Roman"/>
          <w:b/>
          <w:bCs/>
        </w:rPr>
      </w:pPr>
    </w:p>
    <w:p w14:paraId="1F5757A2" w14:textId="74C9A07D" w:rsidR="00492ADF" w:rsidRDefault="00492ADF" w:rsidP="00492ADF">
      <w:pPr>
        <w:rPr>
          <w:rFonts w:ascii="Times New Roman" w:hAnsi="Times New Roman" w:cs="Times New Roman"/>
          <w:b/>
          <w:bCs/>
        </w:rPr>
      </w:pPr>
    </w:p>
    <w:p w14:paraId="761ED5EA" w14:textId="1801719D" w:rsidR="00492ADF" w:rsidRDefault="00492ADF" w:rsidP="00492ADF">
      <w:pPr>
        <w:rPr>
          <w:rFonts w:ascii="Times New Roman" w:hAnsi="Times New Roman" w:cs="Times New Roman"/>
          <w:b/>
          <w:bCs/>
        </w:rPr>
      </w:pPr>
    </w:p>
    <w:p w14:paraId="0A705467" w14:textId="1262A805" w:rsidR="00492ADF" w:rsidRDefault="00492ADF" w:rsidP="00492ADF">
      <w:pPr>
        <w:rPr>
          <w:rFonts w:ascii="Times New Roman" w:hAnsi="Times New Roman" w:cs="Times New Roman"/>
          <w:b/>
          <w:bCs/>
        </w:rPr>
      </w:pPr>
    </w:p>
    <w:p w14:paraId="6DD48EEC" w14:textId="0E7BDC0A" w:rsidR="00492ADF" w:rsidRDefault="00492ADF" w:rsidP="00492ADF">
      <w:pPr>
        <w:rPr>
          <w:rFonts w:ascii="Times New Roman" w:hAnsi="Times New Roman" w:cs="Times New Roman"/>
          <w:b/>
          <w:bCs/>
        </w:rPr>
      </w:pPr>
    </w:p>
    <w:p w14:paraId="40B5191D" w14:textId="7E915130" w:rsidR="00492ADF" w:rsidRDefault="00492ADF" w:rsidP="00492ADF">
      <w:pPr>
        <w:rPr>
          <w:rFonts w:ascii="Times New Roman" w:hAnsi="Times New Roman" w:cs="Times New Roman"/>
          <w:b/>
          <w:bCs/>
        </w:rPr>
      </w:pPr>
    </w:p>
    <w:p w14:paraId="27E48E9B" w14:textId="063FA701" w:rsidR="00492ADF" w:rsidRDefault="00492ADF" w:rsidP="00492ADF">
      <w:pPr>
        <w:rPr>
          <w:rFonts w:ascii="Times New Roman" w:hAnsi="Times New Roman" w:cs="Times New Roman"/>
          <w:b/>
          <w:bCs/>
        </w:rPr>
      </w:pPr>
    </w:p>
    <w:p w14:paraId="52F68AE8" w14:textId="573BD34D" w:rsidR="00492ADF" w:rsidRDefault="00492ADF" w:rsidP="00492ADF">
      <w:pPr>
        <w:rPr>
          <w:rFonts w:ascii="Times New Roman" w:hAnsi="Times New Roman" w:cs="Times New Roman"/>
          <w:b/>
          <w:bCs/>
        </w:rPr>
      </w:pPr>
    </w:p>
    <w:p w14:paraId="2D2615D4" w14:textId="29202C3A" w:rsidR="00492ADF" w:rsidRDefault="00492ADF" w:rsidP="00492ADF">
      <w:pPr>
        <w:rPr>
          <w:rFonts w:ascii="Times New Roman" w:hAnsi="Times New Roman" w:cs="Times New Roman"/>
          <w:b/>
          <w:bCs/>
        </w:rPr>
      </w:pPr>
    </w:p>
    <w:p w14:paraId="524D681D" w14:textId="7E9FFF77" w:rsidR="00492ADF" w:rsidRDefault="00492ADF" w:rsidP="00492ADF">
      <w:pPr>
        <w:rPr>
          <w:rFonts w:ascii="Times New Roman" w:hAnsi="Times New Roman" w:cs="Times New Roman"/>
          <w:b/>
          <w:bCs/>
        </w:rPr>
      </w:pPr>
    </w:p>
    <w:p w14:paraId="5B187DC0" w14:textId="559D22F6" w:rsidR="00492ADF" w:rsidRDefault="00492ADF" w:rsidP="00492ADF">
      <w:pPr>
        <w:rPr>
          <w:rFonts w:ascii="Times New Roman" w:hAnsi="Times New Roman" w:cs="Times New Roman"/>
          <w:b/>
          <w:bCs/>
        </w:rPr>
      </w:pPr>
    </w:p>
    <w:p w14:paraId="08532D02" w14:textId="79F25FF1" w:rsidR="00492ADF" w:rsidRDefault="00492ADF" w:rsidP="00492ADF">
      <w:pPr>
        <w:rPr>
          <w:rFonts w:ascii="Times New Roman" w:hAnsi="Times New Roman" w:cs="Times New Roman"/>
          <w:b/>
          <w:bCs/>
        </w:rPr>
      </w:pPr>
    </w:p>
    <w:p w14:paraId="6257A5EC" w14:textId="578534DC" w:rsidR="00492ADF" w:rsidRDefault="00492ADF" w:rsidP="00492ADF">
      <w:pPr>
        <w:rPr>
          <w:rFonts w:ascii="Times New Roman" w:hAnsi="Times New Roman" w:cs="Times New Roman"/>
          <w:b/>
          <w:bCs/>
        </w:rPr>
      </w:pPr>
    </w:p>
    <w:p w14:paraId="2C49CBDE" w14:textId="261EC55D" w:rsidR="00492ADF" w:rsidRDefault="00492ADF" w:rsidP="00492ADF">
      <w:pPr>
        <w:rPr>
          <w:rFonts w:ascii="Times New Roman" w:hAnsi="Times New Roman" w:cs="Times New Roman"/>
          <w:b/>
          <w:bCs/>
        </w:rPr>
      </w:pPr>
    </w:p>
    <w:p w14:paraId="05863FBB" w14:textId="0A478C3A" w:rsidR="00492ADF" w:rsidRDefault="00492ADF" w:rsidP="00492ADF">
      <w:pPr>
        <w:rPr>
          <w:rFonts w:ascii="Times New Roman" w:hAnsi="Times New Roman" w:cs="Times New Roman"/>
          <w:b/>
          <w:bCs/>
        </w:rPr>
      </w:pPr>
    </w:p>
    <w:p w14:paraId="75DB55BF" w14:textId="7A7587EE" w:rsidR="00492ADF" w:rsidRDefault="00492ADF" w:rsidP="00492ADF">
      <w:pPr>
        <w:rPr>
          <w:rFonts w:ascii="Times New Roman" w:hAnsi="Times New Roman" w:cs="Times New Roman"/>
          <w:b/>
          <w:bCs/>
        </w:rPr>
      </w:pPr>
    </w:p>
    <w:p w14:paraId="09ECA5EF" w14:textId="56A667A9" w:rsidR="00492ADF" w:rsidRDefault="00492ADF" w:rsidP="00492ADF">
      <w:pPr>
        <w:rPr>
          <w:rFonts w:ascii="Times New Roman" w:hAnsi="Times New Roman" w:cs="Times New Roman"/>
          <w:b/>
          <w:bCs/>
        </w:rPr>
      </w:pPr>
    </w:p>
    <w:p w14:paraId="48E3B42E" w14:textId="6284373A" w:rsidR="00492ADF" w:rsidRDefault="00492ADF" w:rsidP="00492ADF">
      <w:pPr>
        <w:rPr>
          <w:rFonts w:ascii="Times New Roman" w:hAnsi="Times New Roman" w:cs="Times New Roman"/>
          <w:b/>
          <w:bCs/>
        </w:rPr>
      </w:pPr>
    </w:p>
    <w:p w14:paraId="0547A934" w14:textId="2932F068" w:rsidR="00492ADF" w:rsidRDefault="00492ADF" w:rsidP="00492ADF">
      <w:pPr>
        <w:rPr>
          <w:rFonts w:ascii="Times New Roman" w:hAnsi="Times New Roman" w:cs="Times New Roman"/>
          <w:b/>
          <w:bCs/>
        </w:rPr>
      </w:pPr>
    </w:p>
    <w:p w14:paraId="223D8852" w14:textId="2DA370A8" w:rsidR="00492ADF" w:rsidRDefault="00492ADF" w:rsidP="00492ADF">
      <w:pPr>
        <w:rPr>
          <w:rFonts w:ascii="Times New Roman" w:hAnsi="Times New Roman" w:cs="Times New Roman"/>
          <w:b/>
          <w:bCs/>
        </w:rPr>
      </w:pPr>
    </w:p>
    <w:p w14:paraId="72259FB7" w14:textId="286D22A6" w:rsidR="00492ADF" w:rsidRDefault="00492ADF" w:rsidP="00492ADF">
      <w:pPr>
        <w:rPr>
          <w:rFonts w:ascii="Times New Roman" w:hAnsi="Times New Roman" w:cs="Times New Roman"/>
          <w:b/>
          <w:bCs/>
        </w:rPr>
      </w:pPr>
    </w:p>
    <w:p w14:paraId="7DD6F4D2" w14:textId="3A7B172C" w:rsidR="00492ADF" w:rsidRDefault="00492ADF" w:rsidP="00492ADF">
      <w:pPr>
        <w:rPr>
          <w:rFonts w:ascii="Times New Roman" w:hAnsi="Times New Roman" w:cs="Times New Roman"/>
          <w:b/>
          <w:bCs/>
        </w:rPr>
      </w:pPr>
    </w:p>
    <w:p w14:paraId="1F34C8A1" w14:textId="47019391" w:rsidR="00492ADF" w:rsidRDefault="00492ADF" w:rsidP="00492ADF">
      <w:pPr>
        <w:rPr>
          <w:rFonts w:ascii="Times New Roman" w:hAnsi="Times New Roman" w:cs="Times New Roman"/>
          <w:b/>
          <w:bCs/>
        </w:rPr>
      </w:pPr>
    </w:p>
    <w:p w14:paraId="2286FBAB" w14:textId="2F71885E" w:rsidR="00492ADF" w:rsidRDefault="00492ADF" w:rsidP="00492ADF">
      <w:pPr>
        <w:rPr>
          <w:rFonts w:ascii="Times New Roman" w:hAnsi="Times New Roman" w:cs="Times New Roman"/>
          <w:b/>
          <w:bCs/>
        </w:rPr>
      </w:pPr>
    </w:p>
    <w:p w14:paraId="31894F4C" w14:textId="7BB3E595" w:rsidR="00492ADF" w:rsidRDefault="00492ADF" w:rsidP="00492ADF">
      <w:pPr>
        <w:rPr>
          <w:rFonts w:ascii="Times New Roman" w:hAnsi="Times New Roman" w:cs="Times New Roman"/>
          <w:b/>
          <w:bCs/>
        </w:rPr>
      </w:pPr>
    </w:p>
    <w:p w14:paraId="3F7B7034" w14:textId="7D8C4418" w:rsidR="00492ADF" w:rsidRDefault="00492ADF" w:rsidP="00492ADF">
      <w:pPr>
        <w:rPr>
          <w:rFonts w:ascii="Times New Roman" w:hAnsi="Times New Roman" w:cs="Times New Roman"/>
          <w:b/>
          <w:bCs/>
        </w:rPr>
      </w:pPr>
    </w:p>
    <w:p w14:paraId="091D3852" w14:textId="41064EF9" w:rsidR="00492ADF" w:rsidRDefault="00492ADF" w:rsidP="00492ADF">
      <w:pPr>
        <w:rPr>
          <w:rFonts w:ascii="Times New Roman" w:hAnsi="Times New Roman" w:cs="Times New Roman"/>
          <w:b/>
          <w:bCs/>
        </w:rPr>
      </w:pPr>
    </w:p>
    <w:p w14:paraId="2A106E3D" w14:textId="5361F473" w:rsidR="00492ADF" w:rsidRDefault="00492ADF" w:rsidP="00492ADF">
      <w:pPr>
        <w:rPr>
          <w:rFonts w:ascii="Times New Roman" w:hAnsi="Times New Roman" w:cs="Times New Roman"/>
          <w:b/>
          <w:bCs/>
        </w:rPr>
      </w:pPr>
    </w:p>
    <w:p w14:paraId="6FEBB4E5" w14:textId="40879C38" w:rsidR="00492ADF" w:rsidRDefault="00492ADF" w:rsidP="00492ADF">
      <w:pPr>
        <w:rPr>
          <w:rFonts w:ascii="Times New Roman" w:hAnsi="Times New Roman" w:cs="Times New Roman"/>
          <w:b/>
          <w:bCs/>
        </w:rPr>
      </w:pPr>
    </w:p>
    <w:p w14:paraId="2D80E0E5" w14:textId="44406EC8" w:rsidR="00492ADF" w:rsidRDefault="00492ADF" w:rsidP="00492ADF">
      <w:pPr>
        <w:rPr>
          <w:rFonts w:ascii="Times New Roman" w:hAnsi="Times New Roman" w:cs="Times New Roman"/>
          <w:b/>
          <w:bCs/>
        </w:rPr>
      </w:pPr>
    </w:p>
    <w:p w14:paraId="76E6D455" w14:textId="106CAD61" w:rsidR="00492ADF" w:rsidRDefault="00492ADF" w:rsidP="00492ADF">
      <w:pPr>
        <w:rPr>
          <w:rFonts w:ascii="Times New Roman" w:hAnsi="Times New Roman" w:cs="Times New Roman"/>
          <w:b/>
          <w:bCs/>
        </w:rPr>
      </w:pPr>
    </w:p>
    <w:p w14:paraId="34441651" w14:textId="3318DE1E" w:rsidR="00492ADF" w:rsidRDefault="00492ADF" w:rsidP="00492ADF">
      <w:pPr>
        <w:rPr>
          <w:rFonts w:ascii="Times New Roman" w:hAnsi="Times New Roman" w:cs="Times New Roman"/>
          <w:b/>
          <w:bCs/>
        </w:rPr>
      </w:pPr>
    </w:p>
    <w:p w14:paraId="5C0E03AE" w14:textId="20B021CC" w:rsidR="00492ADF" w:rsidRDefault="00492ADF" w:rsidP="00492ADF">
      <w:pPr>
        <w:rPr>
          <w:rFonts w:ascii="Times New Roman" w:hAnsi="Times New Roman" w:cs="Times New Roman"/>
          <w:b/>
          <w:bCs/>
        </w:rPr>
      </w:pPr>
    </w:p>
    <w:p w14:paraId="200D650E" w14:textId="3CEA8AAD" w:rsidR="00492ADF" w:rsidRDefault="00492ADF" w:rsidP="00492ADF">
      <w:pPr>
        <w:rPr>
          <w:rFonts w:ascii="Times New Roman" w:hAnsi="Times New Roman" w:cs="Times New Roman"/>
          <w:b/>
          <w:bCs/>
        </w:rPr>
      </w:pPr>
    </w:p>
    <w:p w14:paraId="0CD6D85B" w14:textId="2936D5CE" w:rsidR="00492ADF" w:rsidRDefault="00492ADF" w:rsidP="00492ADF">
      <w:pPr>
        <w:rPr>
          <w:rFonts w:ascii="Times New Roman" w:hAnsi="Times New Roman" w:cs="Times New Roman"/>
          <w:b/>
          <w:bCs/>
        </w:rPr>
      </w:pPr>
    </w:p>
    <w:p w14:paraId="37B502E6" w14:textId="363CFAD6" w:rsidR="00492ADF" w:rsidRDefault="00492ADF" w:rsidP="00492ADF">
      <w:pPr>
        <w:rPr>
          <w:rFonts w:ascii="Times New Roman" w:hAnsi="Times New Roman" w:cs="Times New Roman"/>
          <w:b/>
          <w:bCs/>
        </w:rPr>
      </w:pPr>
    </w:p>
    <w:p w14:paraId="693A62C8" w14:textId="44B9AB07" w:rsidR="00913500" w:rsidRPr="00DF7C87" w:rsidRDefault="00913500" w:rsidP="00913500">
      <w:pPr>
        <w:spacing w:line="360" w:lineRule="auto"/>
        <w:rPr>
          <w:rFonts w:ascii="Times New Roman" w:hAnsi="Times New Roman" w:cs="Times New Roman"/>
        </w:rPr>
      </w:pPr>
      <w:r w:rsidRPr="00DF7C87">
        <w:rPr>
          <w:rFonts w:ascii="Times New Roman" w:hAnsi="Times New Roman" w:cs="Times New Roman"/>
        </w:rPr>
        <w:lastRenderedPageBreak/>
        <w:t xml:space="preserve">A version of this chapter was originally </w:t>
      </w:r>
      <w:r w:rsidR="00AE3DDA">
        <w:rPr>
          <w:rFonts w:ascii="Times New Roman" w:hAnsi="Times New Roman" w:cs="Times New Roman"/>
        </w:rPr>
        <w:t>prepared for publication</w:t>
      </w:r>
      <w:r w:rsidRPr="00DF7C87">
        <w:rPr>
          <w:rFonts w:ascii="Times New Roman" w:hAnsi="Times New Roman" w:cs="Times New Roman"/>
        </w:rPr>
        <w:t xml:space="preserve"> by </w:t>
      </w:r>
      <w:r>
        <w:rPr>
          <w:rFonts w:ascii="Times New Roman" w:hAnsi="Times New Roman" w:cs="Times New Roman"/>
        </w:rPr>
        <w:t>Alexander Stiles, Thomas-Allen Tison, Liam Pruitt, and Uday Vaidya</w:t>
      </w:r>
      <w:r w:rsidRPr="00DF7C87">
        <w:rPr>
          <w:rFonts w:ascii="Times New Roman" w:hAnsi="Times New Roman" w:cs="Times New Roman"/>
        </w:rPr>
        <w:t>:</w:t>
      </w:r>
    </w:p>
    <w:p w14:paraId="7FEC7290" w14:textId="77777777" w:rsidR="00913500" w:rsidRDefault="00913500" w:rsidP="00913500">
      <w:pPr>
        <w:spacing w:line="360" w:lineRule="auto"/>
        <w:rPr>
          <w:rFonts w:ascii="Times New Roman" w:hAnsi="Times New Roman" w:cs="Times New Roman"/>
        </w:rPr>
      </w:pPr>
    </w:p>
    <w:p w14:paraId="2CF3EB56" w14:textId="1E3ADF34" w:rsidR="00913500" w:rsidRPr="00DF7C87" w:rsidRDefault="00AE3DDA" w:rsidP="00913500">
      <w:pPr>
        <w:spacing w:line="360" w:lineRule="auto"/>
        <w:rPr>
          <w:rFonts w:ascii="Times New Roman" w:hAnsi="Times New Roman" w:cs="Times New Roman"/>
        </w:rPr>
      </w:pPr>
      <w:r>
        <w:rPr>
          <w:rFonts w:ascii="Times New Roman" w:hAnsi="Times New Roman" w:cs="Times New Roman"/>
        </w:rPr>
        <w:t>This manuscript was submitted as</w:t>
      </w:r>
      <w:r w:rsidR="00913500" w:rsidRPr="00DF7C87">
        <w:rPr>
          <w:rFonts w:ascii="Times New Roman" w:hAnsi="Times New Roman" w:cs="Times New Roman"/>
        </w:rPr>
        <w:t xml:space="preserve"> “</w:t>
      </w:r>
      <w:r>
        <w:rPr>
          <w:rFonts w:ascii="Times New Roman" w:hAnsi="Times New Roman" w:cs="Times New Roman"/>
        </w:rPr>
        <w:t>Photoinitiator selection and concentration in photopolymer formulations towards large format additive manufacturing</w:t>
      </w:r>
      <w:r w:rsidR="00913500" w:rsidRPr="00DF7C87">
        <w:rPr>
          <w:rFonts w:ascii="Times New Roman" w:hAnsi="Times New Roman" w:cs="Times New Roman"/>
        </w:rPr>
        <w:t xml:space="preserve">” </w:t>
      </w:r>
      <w:r>
        <w:rPr>
          <w:rFonts w:ascii="Times New Roman" w:hAnsi="Times New Roman" w:cs="Times New Roman"/>
        </w:rPr>
        <w:t>to the ACS Applied Polymer Materials journal</w:t>
      </w:r>
      <w:r w:rsidR="003A0FAF">
        <w:rPr>
          <w:rFonts w:ascii="Times New Roman" w:hAnsi="Times New Roman" w:cs="Times New Roman"/>
        </w:rPr>
        <w:t xml:space="preserve"> (ISSN 2637-6105) on February 26, 2022. The Manuscript ID is ap-2022-00349y.</w:t>
      </w:r>
    </w:p>
    <w:p w14:paraId="249800CF" w14:textId="0865DB9E" w:rsidR="00913500" w:rsidRPr="00B00A40" w:rsidRDefault="00913500" w:rsidP="00913500">
      <w:pPr>
        <w:shd w:val="clear" w:color="auto" w:fill="FFFFFF"/>
        <w:spacing w:beforeAutospacing="1" w:afterAutospacing="1" w:line="360" w:lineRule="auto"/>
        <w:textAlignment w:val="baseline"/>
        <w:rPr>
          <w:rFonts w:ascii="Times New Roman" w:hAnsi="Times New Roman" w:cs="Times New Roman"/>
        </w:rPr>
      </w:pPr>
      <w:r w:rsidRPr="00B00A40">
        <w:rPr>
          <w:rFonts w:ascii="Times New Roman" w:hAnsi="Times New Roman" w:cs="Times New Roman"/>
        </w:rPr>
        <w:t>Alex</w:t>
      </w:r>
      <w:r>
        <w:rPr>
          <w:rFonts w:ascii="Times New Roman" w:hAnsi="Times New Roman" w:cs="Times New Roman"/>
        </w:rPr>
        <w:t>ander</w:t>
      </w:r>
      <w:r w:rsidRPr="00B00A40">
        <w:rPr>
          <w:rFonts w:ascii="Times New Roman" w:hAnsi="Times New Roman" w:cs="Times New Roman"/>
        </w:rPr>
        <w:t xml:space="preserve"> Stiles </w:t>
      </w:r>
      <w:r>
        <w:rPr>
          <w:rFonts w:ascii="Times New Roman" w:hAnsi="Times New Roman" w:cs="Times New Roman"/>
        </w:rPr>
        <w:t>was the involved in the c</w:t>
      </w:r>
      <w:r w:rsidRPr="00B00A40">
        <w:rPr>
          <w:rFonts w:ascii="Times New Roman" w:hAnsi="Times New Roman" w:cs="Times New Roman"/>
        </w:rPr>
        <w:t xml:space="preserve">onceptualization, </w:t>
      </w:r>
      <w:r>
        <w:rPr>
          <w:rFonts w:ascii="Times New Roman" w:hAnsi="Times New Roman" w:cs="Times New Roman"/>
        </w:rPr>
        <w:t>i</w:t>
      </w:r>
      <w:r w:rsidRPr="00B00A40">
        <w:rPr>
          <w:rFonts w:ascii="Times New Roman" w:hAnsi="Times New Roman" w:cs="Times New Roman"/>
        </w:rPr>
        <w:t xml:space="preserve">nvestigation, </w:t>
      </w:r>
      <w:r>
        <w:rPr>
          <w:rFonts w:ascii="Times New Roman" w:hAnsi="Times New Roman" w:cs="Times New Roman"/>
        </w:rPr>
        <w:t>f</w:t>
      </w:r>
      <w:r w:rsidRPr="00B00A40">
        <w:rPr>
          <w:rFonts w:ascii="Times New Roman" w:hAnsi="Times New Roman" w:cs="Times New Roman"/>
        </w:rPr>
        <w:t xml:space="preserve">ormal </w:t>
      </w:r>
      <w:r>
        <w:rPr>
          <w:rFonts w:ascii="Times New Roman" w:hAnsi="Times New Roman" w:cs="Times New Roman"/>
        </w:rPr>
        <w:t>a</w:t>
      </w:r>
      <w:r w:rsidRPr="00B00A40">
        <w:rPr>
          <w:rFonts w:ascii="Times New Roman" w:hAnsi="Times New Roman" w:cs="Times New Roman"/>
        </w:rPr>
        <w:t xml:space="preserve">nalysis, </w:t>
      </w:r>
      <w:r>
        <w:rPr>
          <w:rFonts w:ascii="Times New Roman" w:hAnsi="Times New Roman" w:cs="Times New Roman"/>
        </w:rPr>
        <w:t>v</w:t>
      </w:r>
      <w:r w:rsidRPr="00B00A40">
        <w:rPr>
          <w:rFonts w:ascii="Times New Roman" w:hAnsi="Times New Roman" w:cs="Times New Roman"/>
        </w:rPr>
        <w:t xml:space="preserve">isualization, </w:t>
      </w:r>
      <w:r>
        <w:rPr>
          <w:rFonts w:ascii="Times New Roman" w:hAnsi="Times New Roman" w:cs="Times New Roman"/>
        </w:rPr>
        <w:t>and w</w:t>
      </w:r>
      <w:r w:rsidRPr="00B00A40">
        <w:rPr>
          <w:rFonts w:ascii="Times New Roman" w:hAnsi="Times New Roman" w:cs="Times New Roman"/>
        </w:rPr>
        <w:t>riting</w:t>
      </w:r>
      <w:r>
        <w:rPr>
          <w:rFonts w:ascii="Times New Roman" w:hAnsi="Times New Roman" w:cs="Times New Roman"/>
        </w:rPr>
        <w:t xml:space="preserve"> of this publication.  He wrote the</w:t>
      </w:r>
      <w:r w:rsidRPr="00B00A40">
        <w:rPr>
          <w:rFonts w:ascii="Times New Roman" w:hAnsi="Times New Roman" w:cs="Times New Roman"/>
        </w:rPr>
        <w:t xml:space="preserve"> </w:t>
      </w:r>
      <w:r>
        <w:rPr>
          <w:rFonts w:ascii="Times New Roman" w:hAnsi="Times New Roman" w:cs="Times New Roman"/>
        </w:rPr>
        <w:t>o</w:t>
      </w:r>
      <w:r w:rsidRPr="00B00A40">
        <w:rPr>
          <w:rFonts w:ascii="Times New Roman" w:hAnsi="Times New Roman" w:cs="Times New Roman"/>
        </w:rPr>
        <w:t xml:space="preserve">riginal </w:t>
      </w:r>
      <w:r>
        <w:rPr>
          <w:rFonts w:ascii="Times New Roman" w:hAnsi="Times New Roman" w:cs="Times New Roman"/>
        </w:rPr>
        <w:t>d</w:t>
      </w:r>
      <w:r w:rsidRPr="00B00A40">
        <w:rPr>
          <w:rFonts w:ascii="Times New Roman" w:hAnsi="Times New Roman" w:cs="Times New Roman"/>
        </w:rPr>
        <w:t>raft,</w:t>
      </w:r>
      <w:r>
        <w:rPr>
          <w:rFonts w:ascii="Times New Roman" w:hAnsi="Times New Roman" w:cs="Times New Roman"/>
        </w:rPr>
        <w:t xml:space="preserve"> as well as reviewing and editing in all drafts through to submission and publication.  </w:t>
      </w:r>
      <w:r w:rsidR="00AE3DDA">
        <w:rPr>
          <w:rFonts w:ascii="Times New Roman" w:hAnsi="Times New Roman" w:cs="Times New Roman"/>
        </w:rPr>
        <w:t xml:space="preserve">Thomas-Allen Tison </w:t>
      </w:r>
      <w:r>
        <w:rPr>
          <w:rFonts w:ascii="Times New Roman" w:hAnsi="Times New Roman" w:cs="Times New Roman"/>
        </w:rPr>
        <w:t>was involved</w:t>
      </w:r>
      <w:r w:rsidR="00AE3DDA">
        <w:rPr>
          <w:rFonts w:ascii="Times New Roman" w:hAnsi="Times New Roman" w:cs="Times New Roman"/>
        </w:rPr>
        <w:t xml:space="preserve"> primarily </w:t>
      </w:r>
      <w:r>
        <w:rPr>
          <w:rFonts w:ascii="Times New Roman" w:hAnsi="Times New Roman" w:cs="Times New Roman"/>
        </w:rPr>
        <w:t xml:space="preserve">in </w:t>
      </w:r>
      <w:r w:rsidR="00AE3DDA">
        <w:rPr>
          <w:rFonts w:ascii="Times New Roman" w:hAnsi="Times New Roman" w:cs="Times New Roman"/>
        </w:rPr>
        <w:t>investigating and writing the MATLAB script for the optical model, which was further refined by Alexander Stiles.    Liam Pruitt</w:t>
      </w:r>
      <w:r>
        <w:rPr>
          <w:rFonts w:ascii="Times New Roman" w:hAnsi="Times New Roman" w:cs="Times New Roman"/>
        </w:rPr>
        <w:t xml:space="preserve"> was involved in </w:t>
      </w:r>
      <w:r w:rsidR="00AE3DDA">
        <w:rPr>
          <w:rFonts w:ascii="Times New Roman" w:hAnsi="Times New Roman" w:cs="Times New Roman"/>
        </w:rPr>
        <w:t xml:space="preserve">preparing photopolymer formulations and </w:t>
      </w:r>
      <w:r w:rsidR="00C23603">
        <w:rPr>
          <w:rFonts w:ascii="Times New Roman" w:hAnsi="Times New Roman" w:cs="Times New Roman"/>
        </w:rPr>
        <w:t>FTIR investigation</w:t>
      </w:r>
      <w:r>
        <w:rPr>
          <w:rFonts w:ascii="Times New Roman" w:hAnsi="Times New Roman" w:cs="Times New Roman"/>
        </w:rPr>
        <w:t xml:space="preserve">.  </w:t>
      </w:r>
      <w:r w:rsidRPr="00B00A40">
        <w:rPr>
          <w:rFonts w:ascii="Times New Roman" w:hAnsi="Times New Roman" w:cs="Times New Roman"/>
        </w:rPr>
        <w:t>Uday Vaidya</w:t>
      </w:r>
      <w:r>
        <w:rPr>
          <w:rFonts w:ascii="Times New Roman" w:hAnsi="Times New Roman" w:cs="Times New Roman"/>
        </w:rPr>
        <w:t xml:space="preserve"> was responsible for</w:t>
      </w:r>
      <w:r w:rsidRPr="00B00A40">
        <w:rPr>
          <w:rFonts w:ascii="Times New Roman" w:hAnsi="Times New Roman" w:cs="Times New Roman"/>
        </w:rPr>
        <w:t> </w:t>
      </w:r>
      <w:r>
        <w:rPr>
          <w:rFonts w:ascii="Times New Roman" w:hAnsi="Times New Roman" w:cs="Times New Roman"/>
        </w:rPr>
        <w:t>f</w:t>
      </w:r>
      <w:r w:rsidRPr="00B00A40">
        <w:rPr>
          <w:rFonts w:ascii="Times New Roman" w:hAnsi="Times New Roman" w:cs="Times New Roman"/>
        </w:rPr>
        <w:t xml:space="preserve">unding acquisition, </w:t>
      </w:r>
      <w:r>
        <w:rPr>
          <w:rFonts w:ascii="Times New Roman" w:hAnsi="Times New Roman" w:cs="Times New Roman"/>
        </w:rPr>
        <w:t>and r</w:t>
      </w:r>
      <w:r w:rsidRPr="00B00A40">
        <w:rPr>
          <w:rFonts w:ascii="Times New Roman" w:hAnsi="Times New Roman" w:cs="Times New Roman"/>
        </w:rPr>
        <w:t xml:space="preserve">eview &amp; </w:t>
      </w:r>
      <w:r>
        <w:rPr>
          <w:rFonts w:ascii="Times New Roman" w:hAnsi="Times New Roman" w:cs="Times New Roman"/>
        </w:rPr>
        <w:t>e</w:t>
      </w:r>
      <w:r w:rsidRPr="00B00A40">
        <w:rPr>
          <w:rFonts w:ascii="Times New Roman" w:hAnsi="Times New Roman" w:cs="Times New Roman"/>
        </w:rPr>
        <w:t>diting</w:t>
      </w:r>
      <w:r>
        <w:rPr>
          <w:rFonts w:ascii="Times New Roman" w:hAnsi="Times New Roman" w:cs="Times New Roman"/>
        </w:rPr>
        <w:t xml:space="preserve"> of the manuscript drafts.</w:t>
      </w:r>
    </w:p>
    <w:p w14:paraId="366DFFB0" w14:textId="17539C86" w:rsidR="00492ADF" w:rsidRDefault="00492ADF" w:rsidP="00492ADF">
      <w:pPr>
        <w:rPr>
          <w:rFonts w:ascii="Times New Roman" w:hAnsi="Times New Roman" w:cs="Times New Roman"/>
          <w:b/>
          <w:bCs/>
        </w:rPr>
      </w:pPr>
    </w:p>
    <w:p w14:paraId="7DA88217" w14:textId="44939C26" w:rsidR="00913500" w:rsidRDefault="00913500" w:rsidP="00492ADF">
      <w:pPr>
        <w:rPr>
          <w:rFonts w:ascii="Times New Roman" w:hAnsi="Times New Roman" w:cs="Times New Roman"/>
          <w:b/>
          <w:bCs/>
        </w:rPr>
      </w:pPr>
    </w:p>
    <w:p w14:paraId="6DDA37F1" w14:textId="67A10618" w:rsidR="00913500" w:rsidRDefault="00913500" w:rsidP="00492ADF">
      <w:pPr>
        <w:rPr>
          <w:rFonts w:ascii="Times New Roman" w:hAnsi="Times New Roman" w:cs="Times New Roman"/>
          <w:b/>
          <w:bCs/>
        </w:rPr>
      </w:pPr>
    </w:p>
    <w:p w14:paraId="2773B624" w14:textId="1D1F3A61" w:rsidR="00913500" w:rsidRDefault="00913500" w:rsidP="00492ADF">
      <w:pPr>
        <w:rPr>
          <w:rFonts w:ascii="Times New Roman" w:hAnsi="Times New Roman" w:cs="Times New Roman"/>
          <w:b/>
          <w:bCs/>
        </w:rPr>
      </w:pPr>
    </w:p>
    <w:p w14:paraId="520F50A9" w14:textId="309650CB" w:rsidR="00913500" w:rsidRDefault="00913500" w:rsidP="00492ADF">
      <w:pPr>
        <w:rPr>
          <w:rFonts w:ascii="Times New Roman" w:hAnsi="Times New Roman" w:cs="Times New Roman"/>
          <w:b/>
          <w:bCs/>
        </w:rPr>
      </w:pPr>
    </w:p>
    <w:p w14:paraId="11A636B8" w14:textId="308DE273" w:rsidR="00913500" w:rsidRDefault="00913500" w:rsidP="00492ADF">
      <w:pPr>
        <w:rPr>
          <w:rFonts w:ascii="Times New Roman" w:hAnsi="Times New Roman" w:cs="Times New Roman"/>
          <w:b/>
          <w:bCs/>
        </w:rPr>
      </w:pPr>
    </w:p>
    <w:p w14:paraId="4E3512B2" w14:textId="651B03FD" w:rsidR="00913500" w:rsidRDefault="00913500" w:rsidP="00492ADF">
      <w:pPr>
        <w:rPr>
          <w:rFonts w:ascii="Times New Roman" w:hAnsi="Times New Roman" w:cs="Times New Roman"/>
          <w:b/>
          <w:bCs/>
        </w:rPr>
      </w:pPr>
    </w:p>
    <w:p w14:paraId="5874EC22" w14:textId="1893AB6C" w:rsidR="00913500" w:rsidRDefault="00913500" w:rsidP="00492ADF">
      <w:pPr>
        <w:rPr>
          <w:rFonts w:ascii="Times New Roman" w:hAnsi="Times New Roman" w:cs="Times New Roman"/>
          <w:b/>
          <w:bCs/>
        </w:rPr>
      </w:pPr>
    </w:p>
    <w:p w14:paraId="74240441" w14:textId="24C43065" w:rsidR="00913500" w:rsidRDefault="00913500" w:rsidP="00492ADF">
      <w:pPr>
        <w:rPr>
          <w:rFonts w:ascii="Times New Roman" w:hAnsi="Times New Roman" w:cs="Times New Roman"/>
          <w:b/>
          <w:bCs/>
        </w:rPr>
      </w:pPr>
    </w:p>
    <w:p w14:paraId="1581530F" w14:textId="1D5C1B0D" w:rsidR="00913500" w:rsidRDefault="00913500" w:rsidP="00492ADF">
      <w:pPr>
        <w:rPr>
          <w:rFonts w:ascii="Times New Roman" w:hAnsi="Times New Roman" w:cs="Times New Roman"/>
          <w:b/>
          <w:bCs/>
        </w:rPr>
      </w:pPr>
    </w:p>
    <w:p w14:paraId="718688D4" w14:textId="513C1551" w:rsidR="00913500" w:rsidRDefault="00913500" w:rsidP="00492ADF">
      <w:pPr>
        <w:rPr>
          <w:rFonts w:ascii="Times New Roman" w:hAnsi="Times New Roman" w:cs="Times New Roman"/>
          <w:b/>
          <w:bCs/>
        </w:rPr>
      </w:pPr>
    </w:p>
    <w:p w14:paraId="090A9846" w14:textId="768072B8" w:rsidR="00913500" w:rsidRDefault="00913500" w:rsidP="00492ADF">
      <w:pPr>
        <w:rPr>
          <w:rFonts w:ascii="Times New Roman" w:hAnsi="Times New Roman" w:cs="Times New Roman"/>
          <w:b/>
          <w:bCs/>
        </w:rPr>
      </w:pPr>
    </w:p>
    <w:p w14:paraId="38BDED03" w14:textId="77777777" w:rsidR="00913500" w:rsidRPr="00492ADF" w:rsidRDefault="00913500" w:rsidP="00492ADF">
      <w:pPr>
        <w:rPr>
          <w:rFonts w:ascii="Times New Roman" w:hAnsi="Times New Roman" w:cs="Times New Roman"/>
          <w:b/>
          <w:bCs/>
        </w:rPr>
      </w:pPr>
    </w:p>
    <w:p w14:paraId="45F47A3A" w14:textId="77777777" w:rsidR="00236E6D" w:rsidRPr="008B3BCF" w:rsidRDefault="00236E6D" w:rsidP="008B3B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4F01D93D" w14:textId="77777777" w:rsidR="00236E6D" w:rsidRPr="008B3BCF" w:rsidRDefault="00236E6D" w:rsidP="008B3B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14F7CEA8" w14:textId="77777777" w:rsidR="00236E6D" w:rsidRPr="008B3BCF" w:rsidRDefault="00236E6D" w:rsidP="008B3B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01BFC02D" w14:textId="77777777" w:rsidR="00236E6D" w:rsidRPr="008B3BCF" w:rsidRDefault="00236E6D" w:rsidP="008B3B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05922ED9" w14:textId="77777777" w:rsidR="00236E6D" w:rsidRPr="008B3BCF" w:rsidRDefault="00236E6D" w:rsidP="007E5B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rPr>
      </w:pPr>
    </w:p>
    <w:p w14:paraId="0D7EF532" w14:textId="77777777" w:rsidR="00913500" w:rsidRPr="00913500" w:rsidRDefault="00913500" w:rsidP="00DB3040">
      <w:pPr>
        <w:pStyle w:val="Heading2"/>
      </w:pPr>
      <w:bookmarkStart w:id="128" w:name="_Toc101701759"/>
      <w:r w:rsidRPr="00913500">
        <w:lastRenderedPageBreak/>
        <w:t>Abstract</w:t>
      </w:r>
      <w:bookmarkEnd w:id="128"/>
    </w:p>
    <w:p w14:paraId="5A912886" w14:textId="77777777" w:rsidR="00913500" w:rsidRP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Photopolymers are an attractive option for large-format additive manufacturing (LFAM) because they can be formulated from structural thermosets and cure rapidly in ambient conditions under low-energy ultraviolet light-emitting diode (UV LED) lamps.  Photopolymer cure is strongly influenced by depth penetration of UV light, which can be limited in the 2-4 mm layer thicknesses typical of LFAM.  Photoinitiator (PI) systems that exhibit photobleaching have proven useful in thick section cure applications by generating a photoinitiation wavefront, but this effect is </w:t>
      </w:r>
      <w:proofErr w:type="gramStart"/>
      <w:r w:rsidRPr="00913500">
        <w:rPr>
          <w:rFonts w:ascii="Times New Roman" w:hAnsi="Times New Roman" w:cs="Times New Roman"/>
        </w:rPr>
        <w:t>time-dependent</w:t>
      </w:r>
      <w:proofErr w:type="gramEnd"/>
      <w:r w:rsidRPr="00913500">
        <w:rPr>
          <w:rFonts w:ascii="Times New Roman" w:hAnsi="Times New Roman" w:cs="Times New Roman"/>
        </w:rPr>
        <w:t>.  This study investigates the light transmission and through-thickness cure behavior in vinyl ester photopolymer formulations with the photobleaching initiator bis(2,4,6-trimethylbenzoyl)-phenylphosphine oxide (BAPO).  Utilizing an optical model developed by Kenning et al., lower concentrations (0.1 wt% to 0.5 wt%) of BAPO were predicted to yield rapid onset of photoinitiation. Is-situ cure measurements were taken under constant irradiation. At 3 mm depth, a 0.1 wt% concentration of BAPO achieved peak polymerization rate within 2.5 s.  Under a 1.0 s irradiation with high intensity (1.7 W/cm</w:t>
      </w:r>
      <w:r w:rsidRPr="00913500">
        <w:rPr>
          <w:rFonts w:ascii="Times New Roman" w:hAnsi="Times New Roman" w:cs="Times New Roman"/>
          <w:vertAlign w:val="superscript"/>
        </w:rPr>
        <w:t>2</w:t>
      </w:r>
      <w:r w:rsidRPr="00913500">
        <w:rPr>
          <w:rFonts w:ascii="Times New Roman" w:hAnsi="Times New Roman" w:cs="Times New Roman"/>
        </w:rPr>
        <w:t>) UV LED lamps, the 0.1 wt% BAPO formulation achieved the highest level of cure of the formulas tested.  For an irradiation dose of 5.5 J/cm</w:t>
      </w:r>
      <w:r w:rsidRPr="00913500">
        <w:rPr>
          <w:rFonts w:ascii="Times New Roman" w:hAnsi="Times New Roman" w:cs="Times New Roman"/>
          <w:vertAlign w:val="superscript"/>
        </w:rPr>
        <w:t>2</w:t>
      </w:r>
      <w:r w:rsidRPr="00913500">
        <w:rPr>
          <w:rFonts w:ascii="Times New Roman" w:hAnsi="Times New Roman" w:cs="Times New Roman"/>
        </w:rPr>
        <w:t xml:space="preserve"> at a duration of 3.7 s, cured polymer specimens achieved flexural strength and flexural modulus exceeding ABS (1.9 GPa – 2.5 GPa flexural modulus, 59 MPa – 68 MPa flexural strength for ABS).  This study demonstrates the utility of optical modeling as a potential screening tool for new photopolymer formulations, primarily in identifying an upper limit to PI concentration for the desired cure depth.  The results also show that photobleaching provides only a limited benefit for LFAM applications with short (1.0 s to 3.7 s) UV irradiation times and indicate that excess PI concentration can inhibit light transmission even under extended irradiation times up to 60 s.</w:t>
      </w:r>
    </w:p>
    <w:p w14:paraId="6D2ED5F6" w14:textId="77777777" w:rsidR="00913500" w:rsidRDefault="00913500" w:rsidP="00913500">
      <w:pPr>
        <w:spacing w:line="360" w:lineRule="auto"/>
        <w:rPr>
          <w:rFonts w:ascii="Times New Roman" w:hAnsi="Times New Roman" w:cs="Times New Roman"/>
          <w:b/>
          <w:bCs/>
        </w:rPr>
      </w:pPr>
    </w:p>
    <w:p w14:paraId="44450690" w14:textId="5A296522" w:rsidR="00913500" w:rsidRPr="007E5B56" w:rsidRDefault="00913500" w:rsidP="00913500">
      <w:pPr>
        <w:spacing w:line="360" w:lineRule="auto"/>
        <w:rPr>
          <w:rFonts w:ascii="Times New Roman" w:hAnsi="Times New Roman" w:cs="Times New Roman"/>
        </w:rPr>
      </w:pPr>
      <w:r w:rsidRPr="00913500">
        <w:rPr>
          <w:rFonts w:ascii="Times New Roman" w:hAnsi="Times New Roman" w:cs="Times New Roman"/>
          <w:b/>
          <w:bCs/>
        </w:rPr>
        <w:t>Keywords:</w:t>
      </w:r>
      <w:r w:rsidRPr="00913500">
        <w:rPr>
          <w:rFonts w:ascii="Times New Roman" w:hAnsi="Times New Roman" w:cs="Times New Roman"/>
        </w:rPr>
        <w:t xml:space="preserve"> Large-scale, large format, additive manufacturing, photopolymer, photobleaching, BAP</w:t>
      </w:r>
    </w:p>
    <w:p w14:paraId="79728C66" w14:textId="39F37981" w:rsidR="00913500" w:rsidRPr="00913500" w:rsidRDefault="00913500" w:rsidP="00DB3040">
      <w:pPr>
        <w:pStyle w:val="Heading2"/>
      </w:pPr>
      <w:bookmarkStart w:id="129" w:name="_Toc101701760"/>
      <w:r w:rsidRPr="00913500">
        <w:lastRenderedPageBreak/>
        <w:t>1.</w:t>
      </w:r>
      <w:r w:rsidR="009D06D1">
        <w:t>0</w:t>
      </w:r>
      <w:r w:rsidRPr="00913500">
        <w:t xml:space="preserve"> Introduction</w:t>
      </w:r>
      <w:bookmarkEnd w:id="129"/>
    </w:p>
    <w:p w14:paraId="1D574C88" w14:textId="216D8304" w:rsidR="00913500" w:rsidRDefault="00913500" w:rsidP="00913500">
      <w:pPr>
        <w:keepNext/>
        <w:spacing w:line="360" w:lineRule="auto"/>
        <w:rPr>
          <w:rFonts w:ascii="Times New Roman" w:hAnsi="Times New Roman" w:cs="Times New Roman"/>
        </w:rPr>
      </w:pPr>
      <w:r w:rsidRPr="00913500">
        <w:rPr>
          <w:rFonts w:ascii="Times New Roman" w:hAnsi="Times New Roman" w:cs="Times New Roman"/>
        </w:rPr>
        <w:t xml:space="preserve">Large-format additive manufacturing (LFAM) is a nascent technology emerging as an efficient method for producing structural components and tooling for low volume composites manufacturing   </w:t>
      </w:r>
      <w:r w:rsidRPr="00913500">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www.compositesworld.com/articles/a-growing-trend-3d-printing-of-aerospace-tooling","accessed":{"date-parts":[["2017","7","15"]]},"author":[{"dropping-particle":"","family":"Black","given":"Sara","non-dropping-particle":"","parse-names":false,"suffix":""}],"container-title":"CompositesWorld","id":"ITEM-1","issued":{"date-parts":[["2015"]]},"title":"A growing trend: 3D printing of aerospace tooling : CompositesWorld","type":"webpage"},"uris":["http://www.mendeley.com/documents/?uuid=8f82d39e-22be-3e28-badb-0add6702be46"]},{"id":"ITEM-2","itemData":{"author":[{"dropping-particle":"","family":"Brosius","given":"D.","non-dropping-particle":"","parse-names":false,"suffix":""}],"container-title":"Composites World","id":"ITEM-2","issued":{"date-parts":[["2017","11"]]},"title":"Tooling: 3D printing’s “killer app” | CompositesWorld","type":"article-magazine"},"uris":["http://www.mendeley.com/documents/?uuid=a25411c8-36b6-3dce-b024-29b93df7918e"]},{"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id":"ITEM-4","itemData":{"author":[{"dropping-particle":"","family":"Kunc","given":"Vlastimil","non-dropping-particle":"","parse-names":false,"suffix":""},{"dropping-particle":"","family":"Lindahl","given":"John","non-dropping-particle":"","parse-names":false,"suffix":""},{"dropping-particle":"","family":"Dinwiddie","given":"Ralph","non-dropping-particle":"","parse-names":false,"suffix":""},{"dropping-particle":"","family":"Post","given":"Brian","non-dropping-particle":"","parse-names":false,"suffix":""}],"container-title":"CAMX Anaheim","id":"ITEM-4","issued":{"date-parts":[["2016"]]},"title":"Investigation of In-Autoclave Additive Manufacturing Composite Tooling","type":"paper-conference"},"uris":["http://www.mendeley.com/documents/?uuid=fdf9fc57-adee-3ddd-90c1-dce4a06a89d4"]}],"mendeley":{"formattedCitation":"[14], [65]–[67]","plainTextFormattedCitation":"[14], [65]–[67]","previouslyFormattedCitation":"[14], [65]–[67]"},"properties":{"noteIndex":0},"schema":"https://github.com/citation-style-language/schema/raw/master/csl-citation.json"}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[14], [65]–[67]</w:t>
      </w:r>
      <w:r w:rsidRPr="00913500">
        <w:rPr>
          <w:rFonts w:ascii="Times New Roman" w:hAnsi="Times New Roman" w:cs="Times New Roman"/>
        </w:rPr>
        <w:fldChar w:fldCharType="end"/>
      </w:r>
      <w:r w:rsidRPr="00913500">
        <w:rPr>
          <w:rFonts w:ascii="Times New Roman" w:hAnsi="Times New Roman" w:cs="Times New Roman"/>
        </w:rPr>
        <w:t>.</w:t>
      </w:r>
      <w:r w:rsidRPr="00913500">
        <w:rPr>
          <w:rFonts w:ascii="Times New Roman" w:hAnsi="Times New Roman" w:cs="Times New Roman"/>
          <w:b/>
          <w:bCs/>
        </w:rPr>
        <w:t xml:space="preserve">  </w:t>
      </w:r>
      <w:r w:rsidRPr="00913500">
        <w:rPr>
          <w:rFonts w:ascii="Times New Roman" w:hAnsi="Times New Roman" w:cs="Times New Roman"/>
        </w:rPr>
        <w:t xml:space="preserve">LFAM refers to polymer extrusion-deposition methods that achieve both large scale and high material throughput during printing. Most large format three-dimensional (3D) printers use thermoplastic feedstock, and as of 2016, the Big Area Additive Manufacturing (BAAM) system had a reported maximum deposition rate of 36 kg/hr </w:t>
      </w:r>
      <w:r w:rsidRPr="00913500">
        <w:rPr>
          <w:rFonts w:ascii="Times New Roman" w:hAnsi="Times New Roman" w:cs="Times New Roman"/>
        </w:rPr>
        <w:fldChar w:fldCharType="begin" w:fldLock="1"/>
      </w:r>
      <w:r w:rsidR="004502D6">
        <w:rPr>
          <w:rFonts w:ascii="Times New Roman" w:hAnsi="Times New Roman" w:cs="Times New Roman"/>
        </w:rPr>
        <w:instrText>ADDIN CSL_CITATION {"citationItems":[{"id":"ITEM-1","itemData":{"URL":"http://wwwassets.e-ci.com/PDF/Products/baam-fact-sheet.pdf","accessed":{"date-parts":[["2017","7","15"]]},"id":"ITEM-1","issued":{"date-parts":[["2016"]]},"title":"BAAM: Fact Sheet","type":"webpage"},"uris":["http://www.mendeley.com/documents/?uuid=c4a2010e-0d54-37d0-840a-39bc738c06c6"]}],"mendeley":{"formattedCitation":"[11]","plainTextFormattedCitation":"[11]","previouslyFormattedCitation":"[11]"},"properties":{"noteIndex":0},"schema":"https://github.com/citation-style-language/schema/raw/master/csl-citation.json"}</w:instrText>
      </w:r>
      <w:r w:rsidRPr="00913500">
        <w:rPr>
          <w:rFonts w:ascii="Times New Roman" w:hAnsi="Times New Roman" w:cs="Times New Roman"/>
        </w:rPr>
        <w:fldChar w:fldCharType="separate"/>
      </w:r>
      <w:r w:rsidR="004502D6" w:rsidRPr="004502D6">
        <w:rPr>
          <w:rFonts w:ascii="Times New Roman" w:hAnsi="Times New Roman" w:cs="Times New Roman"/>
          <w:noProof/>
        </w:rPr>
        <w:t>[11]</w:t>
      </w:r>
      <w:r w:rsidRPr="00913500">
        <w:rPr>
          <w:rFonts w:ascii="Times New Roman" w:hAnsi="Times New Roman" w:cs="Times New Roman"/>
        </w:rPr>
        <w:fldChar w:fldCharType="end"/>
      </w:r>
      <w:r w:rsidRPr="00913500">
        <w:rPr>
          <w:rFonts w:ascii="Times New Roman" w:hAnsi="Times New Roman" w:cs="Times New Roman"/>
        </w:rPr>
        <w:t xml:space="preserve">.  Thermosets such as vinyl ester and polyester have also been used in large format printers such as the Reactive Additive Manufacturing (RAM) system developed at the Oak Ridge National Laboratory’s Manufacturing Demonstration Facility (ORNL-MDF).  Some challenges of thermoset polymer printers include: (a) balancing cure time and exotherm temperatures to retain wall integrity with uncured resins, (b) limited build height due to wall collapse, and (c) worker safety hazards from volatiles such as styrene </w:t>
      </w:r>
      <w:r w:rsidR="001476CF">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Manufacturing","id":"ITEM-1","issued":{"date-parts":[["2020","10","3"]]},"page":"101621","publisher":"Elsevier BV","title":"Linking thermoset ink rheology to the stability of 3D-printed structures","type":"article-journal"},"uris":["http://www.mendeley.com/documents/?uuid=87d00141-30b5-398b-8b12-56270c67b765"]},{"id":"ITEM-2","itemData":{"URL":"https://www.nationalacademies.org/news/2014/07/styrene-reasonably-anticipated-to-be-a-human-carcinogen-new-report-confirms","accessed":{"date-parts":[["2020","10","1"]]},"id":"ITEM-2","issued":{"date-parts":[["0"]]},"title":"Styrene Reasonably Anticipated to Be a Human Carcinogen, New Report Confirms | National Academies","type":"webpage"},"uris":["http://www.mendeley.com/documents/?uuid=2ac19f1d-4690-3328-acaa-9b297f1d4b3c"]}],"mendeley":{"formattedCitation":"[20], [86]","plainTextFormattedCitation":"[20], [86]","previouslyFormattedCitation":"[20], [86]"},"properties":{"noteIndex":0},"schema":"https://github.com/citation-style-language/schema/raw/master/csl-citation.json"}</w:instrText>
      </w:r>
      <w:r w:rsidR="001476CF">
        <w:rPr>
          <w:rFonts w:ascii="Times New Roman" w:hAnsi="Times New Roman" w:cs="Times New Roman"/>
        </w:rPr>
        <w:fldChar w:fldCharType="separate"/>
      </w:r>
      <w:r w:rsidR="00280E34" w:rsidRPr="00280E34">
        <w:rPr>
          <w:rFonts w:ascii="Times New Roman" w:hAnsi="Times New Roman" w:cs="Times New Roman"/>
          <w:noProof/>
        </w:rPr>
        <w:t>[20], [86]</w:t>
      </w:r>
      <w:r w:rsidR="001476CF">
        <w:rPr>
          <w:rFonts w:ascii="Times New Roman" w:hAnsi="Times New Roman" w:cs="Times New Roman"/>
        </w:rPr>
        <w:fldChar w:fldCharType="end"/>
      </w:r>
      <w:r w:rsidRPr="00913500">
        <w:rPr>
          <w:rFonts w:ascii="Times New Roman" w:hAnsi="Times New Roman" w:cs="Times New Roman"/>
        </w:rPr>
        <w:t xml:space="preserve">.  </w:t>
      </w:r>
    </w:p>
    <w:p w14:paraId="5E8ACF00" w14:textId="77777777" w:rsidR="00913500" w:rsidRDefault="00913500" w:rsidP="00913500">
      <w:pPr>
        <w:keepNext/>
        <w:spacing w:line="360" w:lineRule="auto"/>
        <w:rPr>
          <w:rFonts w:ascii="Times New Roman" w:hAnsi="Times New Roman" w:cs="Times New Roman"/>
        </w:rPr>
      </w:pPr>
    </w:p>
    <w:p w14:paraId="46A9DBF4" w14:textId="4F28DD36"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Photopolymers are a subset of thermosets that cure in seconds vs. minutes or hours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mendeley":{"formattedCitation":"[22]","plainTextFormattedCitation":"[22]","previouslyFormattedCitation":"[22]"},"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[22]</w:t>
      </w:r>
      <w:r w:rsidRPr="00913500">
        <w:rPr>
          <w:rFonts w:ascii="Times New Roman" w:hAnsi="Times New Roman" w:cs="Times New Roman"/>
        </w:rPr>
        <w:fldChar w:fldCharType="end"/>
      </w:r>
      <w:r w:rsidRPr="00913500">
        <w:rPr>
          <w:rFonts w:ascii="Times New Roman" w:hAnsi="Times New Roman" w:cs="Times New Roman"/>
        </w:rPr>
        <w:t xml:space="preserve">. In additive manufacturing (AM) methods such as direct ink writing (DIW), ultraviolet (UV) lamps can be utilized to cure a photopolymer ink immediately after deposition </w:t>
      </w:r>
      <w:r w:rsidRPr="00913500">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mendeley":{"formattedCitation":"[70]","plainTextFormattedCitation":"[70]","previouslyFormattedCitation":"[70]"},"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[70]</w:t>
      </w:r>
      <w:r w:rsidRPr="00913500">
        <w:rPr>
          <w:rFonts w:ascii="Times New Roman" w:hAnsi="Times New Roman" w:cs="Times New Roman"/>
        </w:rPr>
        <w:fldChar w:fldCharType="end"/>
      </w:r>
      <w:r w:rsidRPr="00913500">
        <w:rPr>
          <w:rFonts w:ascii="Times New Roman" w:hAnsi="Times New Roman" w:cs="Times New Roman"/>
        </w:rPr>
        <w:t xml:space="preserve"> (see </w:t>
      </w:r>
      <w:r w:rsidR="00467939" w:rsidRPr="00467939">
        <w:rPr>
          <w:rFonts w:ascii="Times New Roman" w:hAnsi="Times New Roman" w:cs="Times New Roman"/>
        </w:rPr>
        <w:fldChar w:fldCharType="begin"/>
      </w:r>
      <w:r w:rsidR="00467939" w:rsidRPr="00467939">
        <w:rPr>
          <w:rFonts w:ascii="Times New Roman" w:hAnsi="Times New Roman" w:cs="Times New Roman"/>
        </w:rPr>
        <w:instrText xml:space="preserve"> REF _Ref100926778 \h </w:instrText>
      </w:r>
      <w:r w:rsidR="00467939">
        <w:rPr>
          <w:rFonts w:ascii="Times New Roman" w:hAnsi="Times New Roman" w:cs="Times New Roman"/>
        </w:rPr>
        <w:instrText xml:space="preserve"> \* MERGEFORMAT </w:instrText>
      </w:r>
      <w:r w:rsidR="00467939" w:rsidRPr="00467939">
        <w:rPr>
          <w:rFonts w:ascii="Times New Roman" w:hAnsi="Times New Roman" w:cs="Times New Roman"/>
        </w:rPr>
      </w:r>
      <w:r w:rsidR="00467939" w:rsidRPr="00467939">
        <w:rPr>
          <w:rFonts w:ascii="Times New Roman" w:hAnsi="Times New Roman" w:cs="Times New Roman"/>
        </w:rPr>
        <w:fldChar w:fldCharType="separate"/>
      </w:r>
      <w:r w:rsidR="00682254" w:rsidRPr="00682254">
        <w:rPr>
          <w:rFonts w:ascii="Times New Roman" w:hAnsi="Times New Roman" w:cs="Times New Roman"/>
        </w:rPr>
        <w:t xml:space="preserve">Figure </w:t>
      </w:r>
      <w:r w:rsidR="00682254" w:rsidRPr="00682254">
        <w:rPr>
          <w:rFonts w:ascii="Times New Roman" w:hAnsi="Times New Roman" w:cs="Times New Roman"/>
          <w:noProof/>
        </w:rPr>
        <w:t>30</w:t>
      </w:r>
      <w:r w:rsidR="00467939" w:rsidRPr="00467939">
        <w:rPr>
          <w:rFonts w:ascii="Times New Roman" w:hAnsi="Times New Roman" w:cs="Times New Roman"/>
        </w:rPr>
        <w:fldChar w:fldCharType="end"/>
      </w:r>
      <w:r w:rsidRPr="00913500">
        <w:rPr>
          <w:rFonts w:ascii="Times New Roman" w:hAnsi="Times New Roman" w:cs="Times New Roman"/>
        </w:rPr>
        <w:t xml:space="preserve">).  Unlike thermoset printers, this photopolymer DIW (UV-DIW) prevents wall collapse issues via in-situ curing and has been used to print self-supporting spans of at least 8 mm </w:t>
      </w:r>
      <w:r w:rsidRPr="00913500">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{"citationItems":[{"id":"ITEM-1","itemData":{"DOI":"10.1088/0957-4484/23/8/085502","author":[{"dropping-particle":"","family":"Farahani","given":"Rouhollah Dermanaki","non-dropping-particle":"","parse-names":false,"suffix":""},{"dropping-particle":"","family":"Dalir","given":"Hamid","non-dropping-particle":"","parse-names":false,"suffix":""},{"dropping-particle":"","family":"Borgne","given":"Vincent","non-dropping-particle":"Le","parse-names":false,"suffix":""},{"dropping-particle":"","family":"Gautier","given":"Loick A.","non-dropping-particle":"","parse-names":false,"suffix":""},{"dropping-particle":"","family":"Khakani","given":"My Ali","non-dropping-particle":"El","parse-names":false,"suffix":""},{"dropping-particle":"","family":"Levesque","given":"Martin","non-dropping-particle":"","parse-names":false,"suffix":""},{"dropping-particle":"","family":"Therriault","given":"Daniel","non-dropping-particle":"","parse-names":false,"suffix":""}],"container-title":"Nanotechnology","id":"ITEM-1","issued":{"date-parts":[["2012"]]},"title":"Direct-write fabrication of freestanding nanocomposite strain sensors","type":"article-journal","volume":"23"},"uris":["http://www.mendeley.com/documents/?uuid=98f55222-f0b3-33c6-b837-e2b85efd7dfd"]}],"mendeley":{"formattedCitation":"[88]","plainTextFormattedCitation":"[88]","previouslyFormattedCitation":"[88]"},"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[88]</w:t>
      </w:r>
      <w:r w:rsidRPr="00913500">
        <w:rPr>
          <w:rFonts w:ascii="Times New Roman" w:hAnsi="Times New Roman" w:cs="Times New Roman"/>
        </w:rPr>
        <w:fldChar w:fldCharType="end"/>
      </w:r>
      <w:r w:rsidRPr="00913500">
        <w:rPr>
          <w:rFonts w:ascii="Times New Roman" w:hAnsi="Times New Roman" w:cs="Times New Roman"/>
        </w:rPr>
        <w:t xml:space="preserve">.  </w:t>
      </w:r>
      <w:r w:rsidRPr="00913500">
        <w:rPr>
          <w:rFonts w:ascii="Times New Roman" w:eastAsiaTheme="minorEastAsia" w:hAnsi="Times New Roman" w:cs="Times New Roman"/>
          <w:iCs/>
        </w:rPr>
        <w:t xml:space="preserve">While most photopolymer and thermoset research in AM is focused on layer heights of 25-500 </w:t>
      </w:r>
      <w:r w:rsidRPr="00913500">
        <w:rPr>
          <w:rFonts w:ascii="Times New Roman" w:hAnsi="Times New Roman" w:cs="Times New Roman"/>
        </w:rPr>
        <w:t xml:space="preserve">μm, a typical layer height for the BAAM is 2-4 mm </w:t>
      </w:r>
      <w:r w:rsidRPr="00913500">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sidRPr="00913500">
        <w:rPr>
          <w:rFonts w:ascii="Times New Roman" w:hAnsi="Times New Roman" w:cs="Times New Roman"/>
        </w:rPr>
        <w:fldChar w:fldCharType="separate"/>
      </w:r>
      <w:r w:rsidR="004502D6" w:rsidRPr="004502D6">
        <w:rPr>
          <w:rFonts w:ascii="Times New Roman" w:hAnsi="Times New Roman" w:cs="Times New Roman"/>
          <w:noProof/>
        </w:rPr>
        <w:t>[10]</w:t>
      </w:r>
      <w:r w:rsidRPr="00913500">
        <w:rPr>
          <w:rFonts w:ascii="Times New Roman" w:hAnsi="Times New Roman" w:cs="Times New Roman"/>
        </w:rPr>
        <w:fldChar w:fldCharType="end"/>
      </w:r>
      <w:r w:rsidRPr="00913500">
        <w:rPr>
          <w:rFonts w:ascii="Times New Roman" w:hAnsi="Times New Roman" w:cs="Times New Roman"/>
        </w:rPr>
        <w:t xml:space="preserve">.  Stiles et al. formulated vinyl ester photopolymers towards LFAM scale, focusing on monomer selection as an approach to minimize cure gradients.  They reported that 3 mm layers could be fully cured with an irradiation time of 5 seconds under high-intensity UV LED lamps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[109]</w:t>
      </w:r>
      <w:r w:rsidRPr="00913500">
        <w:rPr>
          <w:rFonts w:ascii="Times New Roman" w:hAnsi="Times New Roman" w:cs="Times New Roman"/>
        </w:rPr>
        <w:fldChar w:fldCharType="end"/>
      </w:r>
      <w:r w:rsidRPr="00913500">
        <w:rPr>
          <w:rFonts w:ascii="Times New Roman" w:hAnsi="Times New Roman" w:cs="Times New Roman"/>
        </w:rPr>
        <w:t xml:space="preserve">.   </w:t>
      </w:r>
    </w:p>
    <w:p w14:paraId="11B35C6A" w14:textId="28ED067B" w:rsidR="00913500" w:rsidRDefault="00913500" w:rsidP="00913500">
      <w:pPr>
        <w:spacing w:line="360" w:lineRule="auto"/>
        <w:rPr>
          <w:rFonts w:ascii="Times New Roman" w:hAnsi="Times New Roman" w:cs="Times New Roman"/>
        </w:rPr>
      </w:pPr>
    </w:p>
    <w:p w14:paraId="281E6A76" w14:textId="20FFD77A" w:rsidR="00913500" w:rsidRP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In photopolymers, a curing reaction follows three steps: photoinitiation, propagation, and termination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{"citationItems":[{"id":"ITEM-1","itemData":{"DOI":"10.1002/(SICI)1097-0126(199802)45:2&lt;133::AID-PI969&gt;3.0.CO;2-F","ISSN":"09598103","abstract":"Photoinitiation is one of the most efficient methods for achieving quasi-instantaneous polymerization, transforming a liquid molecule into a solid polymer material within less than 1 s. The kinetics of such ultrafast reaction can be advantageously followed by real-time infrared spectroscopy a technique which records directly conversion versus time curves and allows evaluation of the important kinetic parameters of cross-linking polymerization. Photoinitiation has proved to be well suited to inducing frontal polymerization and achieving a deep-through cure of thick specimens. UV technology is also capable of causing fast polymerization in solid media, despite severe mobility restrictions, because of the high initiation rate provided by intense illumination. This review presents some recent advances in the UV-curing technology, special emphasis being given to the kinetic aspect of ultrafast polymerization reactions induced by light. © 1998 SCI.","author":[{"dropping-particle":"","family":"Decker","given":"Christian","non-dropping-particle":"","parse-names":false,"suffix":""}],"container-title":"Polymer International","id":"ITEM-1","issue":"2","issued":{"date-parts":[["1998","2","1"]]},"page":"133-141","publisher":"John Wiley and Sons Ltd","title":"The use of UV irradiation in polymerization","type":"article-journal","volume":"45"},"uris":["http://www.mendeley.com/documents/?uuid=5e98c55e-ac30-3bee-84a1-53012a81bcb5"]},{"id":"ITEM-2","itemData":{"DOI":"10.1016/J.POLYMER.2018.11.057","ISSN":"0032-3861","abstract":"In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-2","issued":{"date-parts":[["2019","1","3"]]},"page":"254-264","publisher":"Elsevier","title":"Experimental and theoretical investigations of free radical photopolymerization: Inhibition and termination reactions","type":"article-journal","volume":"160"},"uris":["http://www.mendeley.com/documents/?uuid=2de111e7-9b3a-3cbd-9a03-aff65e35323f"]},{"id":"ITEM-3","itemData":{"author":[{"dropping-particle":"","family":"Greene","given":"W. Arthur","non-dropping-particle":"","parse-names":false,"suffix":""}],"edition":"1","id":"ITEM-3","issued":{"date-parts":[["2010"]]},"number-of-pages":"288","publisher":"Taylor &amp; Francis","publisher-place":"Boca Raton","title":"Industrial Photoinitiators","type":"book"},"uris":["http://www.mendeley.com/documents/?uuid=65ca02a4-58fe-44a4-9fc5-70da5083d62a"]}],"mendeley":{"formattedCitation":"[23], [32], [33]","plainTextFormattedCitation":"[23], [32], [33]","previouslyFormattedCitation":"[23], [32], [33]"},"properties":{"noteIndex":0},"schema":"https://github.com/citation-style-language/schema/raw/master/csl-citation.json"}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[23], [32], [33]</w:t>
      </w:r>
      <w:r w:rsidRPr="00913500">
        <w:rPr>
          <w:rFonts w:ascii="Times New Roman" w:hAnsi="Times New Roman" w:cs="Times New Roman"/>
        </w:rPr>
        <w:fldChar w:fldCharType="end"/>
      </w:r>
      <w:r w:rsidRPr="00913500">
        <w:rPr>
          <w:rFonts w:ascii="Times New Roman" w:hAnsi="Times New Roman" w:cs="Times New Roman"/>
        </w:rPr>
        <w:t>.  Photoinitiation commences when a photoinitiator (PI)</w:t>
      </w:r>
      <w:r w:rsidR="00293FDA">
        <w:rPr>
          <w:rFonts w:ascii="Times New Roman" w:hAnsi="Times New Roman" w:cs="Times New Roman"/>
        </w:rPr>
        <w:t xml:space="preserve"> </w:t>
      </w:r>
      <w:r w:rsidR="00477D75" w:rsidRPr="00913500">
        <w:rPr>
          <w:rFonts w:ascii="Times New Roman" w:hAnsi="Times New Roman" w:cs="Times New Roman"/>
        </w:rPr>
        <w:t>molecule absorbs light and forms free radicals.  For scission-type PIs such as BAPO, the</w:t>
      </w:r>
    </w:p>
    <w:p w14:paraId="03ED0FDA" w14:textId="77777777" w:rsidR="00913500" w:rsidRPr="00913500" w:rsidRDefault="00913500" w:rsidP="00322976">
      <w:pPr>
        <w:spacing w:line="360" w:lineRule="auto"/>
        <w:jc w:val="center"/>
        <w:rPr>
          <w:rFonts w:ascii="Times New Roman" w:hAnsi="Times New Roman" w:cs="Times New Roman"/>
        </w:rPr>
      </w:pPr>
      <w:r w:rsidRPr="00913500">
        <w:rPr>
          <w:rFonts w:ascii="Times New Roman" w:hAnsi="Times New Roman" w:cs="Times New Roman"/>
          <w:noProof/>
        </w:rPr>
        <w:lastRenderedPageBreak/>
        <w:drawing>
          <wp:inline distT="0" distB="0" distL="0" distR="0" wp14:anchorId="2479CD75" wp14:editId="2755978C">
            <wp:extent cx="5000625" cy="3443449"/>
            <wp:effectExtent l="0" t="0" r="0" b="5080"/>
            <wp:docPr id="16" name="Picture 1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7225" cy="3447994"/>
                    </a:xfrm>
                    <a:prstGeom prst="rect">
                      <a:avLst/>
                    </a:prstGeom>
                    <a:noFill/>
                    <a:ln>
                      <a:noFill/>
                    </a:ln>
                  </pic:spPr>
                </pic:pic>
              </a:graphicData>
            </a:graphic>
          </wp:inline>
        </w:drawing>
      </w:r>
    </w:p>
    <w:p w14:paraId="3885DE56" w14:textId="170875D5" w:rsidR="00913500" w:rsidRPr="00913500" w:rsidRDefault="00913500" w:rsidP="00F20503">
      <w:pPr>
        <w:pStyle w:val="Caption"/>
      </w:pPr>
      <w:bookmarkStart w:id="130" w:name="_Ref100926778"/>
      <w:bookmarkStart w:id="131" w:name="_Toc101365692"/>
      <w:r w:rsidRPr="00913500">
        <w:t xml:space="preserve">Figure </w:t>
      </w:r>
      <w:r w:rsidR="002F73EC">
        <w:fldChar w:fldCharType="begin"/>
      </w:r>
      <w:r w:rsidR="002F73EC">
        <w:instrText xml:space="preserve"> SEQ Figure \* ARABIC </w:instrText>
      </w:r>
      <w:r w:rsidR="002F73EC">
        <w:fldChar w:fldCharType="separate"/>
      </w:r>
      <w:r w:rsidR="00BF5717">
        <w:rPr>
          <w:noProof/>
        </w:rPr>
        <w:t>30</w:t>
      </w:r>
      <w:r w:rsidR="002F73EC">
        <w:rPr>
          <w:noProof/>
        </w:rPr>
        <w:fldChar w:fldCharType="end"/>
      </w:r>
      <w:bookmarkEnd w:id="130"/>
      <w:r w:rsidRPr="00913500">
        <w:t xml:space="preserve"> Schematic depicting the UV-DIW printing process, in which a photopolymer ink is deposited and rapidly cured in-situ.</w:t>
      </w:r>
      <w:bookmarkEnd w:id="131"/>
    </w:p>
    <w:p w14:paraId="0D1C0283" w14:textId="19A3ABBB" w:rsidR="00913500" w:rsidRDefault="00913500" w:rsidP="00913500">
      <w:pPr>
        <w:spacing w:line="360" w:lineRule="auto"/>
        <w:rPr>
          <w:rFonts w:ascii="Times New Roman" w:hAnsi="Times New Roman" w:cs="Times New Roman"/>
        </w:rPr>
      </w:pPr>
    </w:p>
    <w:p w14:paraId="36FFDE8E" w14:textId="1109BB37" w:rsidR="00913500" w:rsidRDefault="00913500" w:rsidP="00913500">
      <w:pPr>
        <w:spacing w:line="360" w:lineRule="auto"/>
        <w:rPr>
          <w:rFonts w:ascii="Times New Roman" w:hAnsi="Times New Roman" w:cs="Times New Roman"/>
        </w:rPr>
      </w:pPr>
    </w:p>
    <w:p w14:paraId="3D5FE75A" w14:textId="233B2E48" w:rsidR="00913500" w:rsidRDefault="00913500" w:rsidP="00913500">
      <w:pPr>
        <w:spacing w:line="360" w:lineRule="auto"/>
        <w:rPr>
          <w:rFonts w:ascii="Times New Roman" w:hAnsi="Times New Roman" w:cs="Times New Roman"/>
        </w:rPr>
      </w:pPr>
    </w:p>
    <w:p w14:paraId="306B37AE" w14:textId="1C43D88B" w:rsidR="00913500" w:rsidRDefault="00913500" w:rsidP="00913500">
      <w:pPr>
        <w:spacing w:line="360" w:lineRule="auto"/>
        <w:rPr>
          <w:rFonts w:ascii="Times New Roman" w:hAnsi="Times New Roman" w:cs="Times New Roman"/>
        </w:rPr>
      </w:pPr>
    </w:p>
    <w:p w14:paraId="71D7072A" w14:textId="613AB8B6" w:rsidR="00913500" w:rsidRDefault="00913500" w:rsidP="00913500">
      <w:pPr>
        <w:spacing w:line="360" w:lineRule="auto"/>
        <w:rPr>
          <w:rFonts w:ascii="Times New Roman" w:hAnsi="Times New Roman" w:cs="Times New Roman"/>
        </w:rPr>
      </w:pPr>
    </w:p>
    <w:p w14:paraId="24CD1209" w14:textId="6A3996AB" w:rsidR="00913500" w:rsidRDefault="00913500" w:rsidP="00913500">
      <w:pPr>
        <w:spacing w:line="360" w:lineRule="auto"/>
        <w:rPr>
          <w:rFonts w:ascii="Times New Roman" w:hAnsi="Times New Roman" w:cs="Times New Roman"/>
        </w:rPr>
      </w:pPr>
    </w:p>
    <w:p w14:paraId="3E560F30" w14:textId="069181F4" w:rsidR="00913500" w:rsidRDefault="00913500" w:rsidP="00913500">
      <w:pPr>
        <w:spacing w:line="360" w:lineRule="auto"/>
        <w:rPr>
          <w:rFonts w:ascii="Times New Roman" w:hAnsi="Times New Roman" w:cs="Times New Roman"/>
        </w:rPr>
      </w:pPr>
    </w:p>
    <w:p w14:paraId="17331521" w14:textId="1DBE6244" w:rsidR="00913500" w:rsidRDefault="00913500" w:rsidP="00913500">
      <w:pPr>
        <w:spacing w:line="360" w:lineRule="auto"/>
        <w:rPr>
          <w:rFonts w:ascii="Times New Roman" w:hAnsi="Times New Roman" w:cs="Times New Roman"/>
        </w:rPr>
      </w:pPr>
    </w:p>
    <w:p w14:paraId="2BCC84ED" w14:textId="5593E401" w:rsidR="00913500" w:rsidRDefault="00293FDA" w:rsidP="00913500">
      <w:pPr>
        <w:spacing w:line="360" w:lineRule="auto"/>
        <w:rPr>
          <w:rFonts w:ascii="Times New Roman" w:hAnsi="Times New Roman" w:cs="Times New Roman"/>
        </w:rPr>
      </w:pPr>
      <w:r>
        <w:rPr>
          <w:rFonts w:ascii="Times New Roman" w:hAnsi="Times New Roman" w:cs="Times New Roman"/>
        </w:rPr>
        <w:t xml:space="preserve"> </w:t>
      </w:r>
    </w:p>
    <w:p w14:paraId="019ECF28" w14:textId="447DD4BF" w:rsidR="00913500" w:rsidRDefault="00913500" w:rsidP="00913500">
      <w:pPr>
        <w:spacing w:line="360" w:lineRule="auto"/>
        <w:rPr>
          <w:rFonts w:ascii="Times New Roman" w:hAnsi="Times New Roman" w:cs="Times New Roman"/>
        </w:rPr>
      </w:pPr>
    </w:p>
    <w:p w14:paraId="2A578B77" w14:textId="77777777" w:rsidR="00913500" w:rsidRDefault="00913500" w:rsidP="00913500">
      <w:pPr>
        <w:spacing w:line="360" w:lineRule="auto"/>
        <w:rPr>
          <w:rFonts w:ascii="Times New Roman" w:hAnsi="Times New Roman" w:cs="Times New Roman"/>
        </w:rPr>
      </w:pPr>
    </w:p>
    <w:p w14:paraId="39A7480E" w14:textId="77777777" w:rsidR="00913500" w:rsidRDefault="00913500" w:rsidP="00913500">
      <w:pPr>
        <w:spacing w:line="360" w:lineRule="auto"/>
        <w:rPr>
          <w:rFonts w:ascii="Times New Roman" w:hAnsi="Times New Roman" w:cs="Times New Roman"/>
        </w:rPr>
      </w:pPr>
    </w:p>
    <w:p w14:paraId="22381CB9" w14:textId="77777777" w:rsidR="00913500" w:rsidRDefault="00913500" w:rsidP="00913500">
      <w:pPr>
        <w:spacing w:line="360" w:lineRule="auto"/>
        <w:rPr>
          <w:rFonts w:ascii="Times New Roman" w:hAnsi="Times New Roman" w:cs="Times New Roman"/>
        </w:rPr>
      </w:pPr>
    </w:p>
    <w:p w14:paraId="0ABDA63C" w14:textId="11FA209D" w:rsidR="00913500" w:rsidRDefault="00293FDA" w:rsidP="00913500">
      <w:pPr>
        <w:spacing w:line="360" w:lineRule="auto"/>
        <w:rPr>
          <w:rFonts w:ascii="Times New Roman" w:hAnsi="Times New Roman" w:cs="Times New Roman"/>
        </w:rPr>
      </w:pPr>
      <w:r w:rsidRPr="00913500">
        <w:rPr>
          <w:rFonts w:ascii="Times New Roman" w:hAnsi="Times New Roman" w:cs="Times New Roman"/>
        </w:rPr>
        <w:lastRenderedPageBreak/>
        <w:t xml:space="preserve">PI </w:t>
      </w:r>
      <w:r w:rsidR="00913500" w:rsidRPr="00913500">
        <w:rPr>
          <w:rFonts w:ascii="Times New Roman" w:hAnsi="Times New Roman" w:cs="Times New Roman"/>
        </w:rPr>
        <w:t xml:space="preserve">separates into two or more free radicals, and these react with C=C bonds in the monomer to form a reactive monomer radical.  During propagation, the monomer radical starts a chain reaction with the monomer in the formulation until a termination reaction causes a polymer chain to stop growing.  Chain propagation can also lead to crosslinking when multifunctional monomers are used </w:t>
      </w:r>
      <w:r w:rsidR="00913500"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sidR="00913500" w:rsidRPr="00913500">
        <w:rPr>
          <w:rFonts w:ascii="Times New Roman" w:hAnsi="Times New Roman" w:cs="Times New Roman"/>
        </w:rPr>
        <w:fldChar w:fldCharType="separate"/>
      </w:r>
      <w:r w:rsidR="00BF7344" w:rsidRPr="00BF7344">
        <w:rPr>
          <w:rFonts w:ascii="Times New Roman" w:hAnsi="Times New Roman" w:cs="Times New Roman"/>
          <w:noProof/>
        </w:rPr>
        <w:t>[23]</w:t>
      </w:r>
      <w:r w:rsidR="00913500" w:rsidRPr="00913500">
        <w:rPr>
          <w:rFonts w:ascii="Times New Roman" w:hAnsi="Times New Roman" w:cs="Times New Roman"/>
        </w:rPr>
        <w:fldChar w:fldCharType="end"/>
      </w:r>
      <w:r w:rsidR="00913500" w:rsidRPr="00913500">
        <w:rPr>
          <w:rFonts w:ascii="Times New Roman" w:hAnsi="Times New Roman" w:cs="Times New Roman"/>
        </w:rPr>
        <w:t xml:space="preserve">.  Early in a reaction, the predominant mechanism is bimolecular termination. As the reaction progresses, the viscosity of the solution increases, and radicals can become occluded in the growing polymer network.  This radical trapping is a prevalent termination step for glassy photopolymers that become vitrified when curing resins such as Bis-EMA </w:t>
      </w:r>
      <w:r w:rsidR="00913500"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{"citationItems":[{"id":"ITEM-1","itemData":{"DOI":"10.1016/j.actbio.2009.04.034","ISSN":"17427061","PMID":"19500595","abstract":"In this work, we used electron paramagnetic resonance to follow the decrease kinetics of free radicals trapped in an experimental resin (ER) and in a commercial composite (Charisma® (Ch)) stored under different conditions (in air at 25 and 37 °C; in argon, oxygen and water at 25 °C). During the first day, the decay was fast (0-24 h-rate of decay of allylic radical: 1700-1000 a.u. for Ch, 1700-1500 a.u. for ER) and the storage conditions had no influence on the kinetics. This phase was ascribed to a post-polymerization phenomenon. From 1 day to 1 month, the rate of decay depended on the storage environment. In argon, free radicals were quite stable (1 day to 1 month-rate of decay of allylic radical: 1200-1000 a.u. for Ch, 1400-1200 a.u. for ER). For the other storage environments, in ER, the rate of decay was higher in water than in oxygen and in air (1 day to 1 month-rate of decay of allyl radical: 1400 a.u. to 100, 500 and 800 a.u., respectively). In Ch, free radicals faded quicker than in ER, as undetectable levels were reached before 1 month, which attests to the influence of fillers on radical decrease kinetics. Heating experiments were also performed, and free radical concentrations decreased faster at higher temperatures, especially above the glass transition temperature. In conclusion, ambient oxygen is mainly involved in the termination process of free radicals. Therefore, conditions influencing oxygen diffusion have an impact on radical kinetics as well. © 2009 Acta Materialia Inc.","author":[{"dropping-particle":"","family":"Leprince","given":"Julian","non-dropping-particle":"","parse-names":false,"suffix":""},{"dropping-particle":"","family":"Lamblin","given":"Guillaume","non-dropping-particle":"","parse-names":false,"suffix":""},{"dropping-particle":"","family":"Truffier-Boutry","given":"Delphine","non-dropping-particle":"","parse-names":false,"suffix":""},{"dropping-particle":"","family":"Demoustier-Champagne","given":"Sophie","non-dropping-particle":"","parse-names":false,"suffix":""},{"dropping-particle":"","family":"Devaux","given":"Jacques","non-dropping-particle":"","parse-names":false,"suffix":""},{"dropping-particle":"","family":"Mestdagh","given":"Michèle","non-dropping-particle":"","parse-names":false,"suffix":""},{"dropping-particle":"","family":"Leloup","given":"Gaetane","non-dropping-particle":"","parse-names":false,"suffix":""}],"container-title":"Acta Biomaterialia","id":"ITEM-1","issue":"7","issued":{"date-parts":[["2009","9","1"]]},"page":"2518-2524","publisher":"Elsevier","title":"Kinetic study of free radicals trapped in dental resins stored in different environments","type":"article-journal","volume":"5"},"uris":["http://www.mendeley.com/documents/?uuid=7cf926d8-1c58-3138-b9f8-3e01ba147420"]},{"id":"ITEM-2","itemData":{"DOI":"10.1002/poc.610050108","ISSN":"0894-3230","abstract":"Long‐lived trapped radicals produced during the photopolymerization of butane‐1, 4‐diol diacrylate (BDDA) were studied by EPR and ENDOR spectroscopy and their thermal decay was followed by EPR measurements at different temperatures (40–120 °C) for kinetic study. The EPR signal showed the superimposition of two different patterns, a three‐line and a single‐line spectrum. Both EPR patterns decayed following first‐order kinetics in the investigated temperature range. Activation parameters of the decay were obtained. The EPR patterns were attributed to the same radical species situated in fluid and in cross‐linked regions of the photopolymerized BDDA. Radicals of the latter kind undergo electron spin exchange strong enough to wash out the hyperfine splitting. The single‐line width is mainly determined by electron spin dipole–dipole interactions. The ENDOR response is only of the matrix kind, typical of radicals in a solid phase. The present model was also compared with recent literature reports. Copyright © 1992 John Wiley &amp; Sons, Ltd.","author":[{"dropping-particle":"","family":"Oliva","given":"Cesare","non-dropping-particle":"","parse-names":false,"suffix":""},{"dropping-particle":"","family":"Selli","given":"Elena","non-dropping-particle":"","parse-names":false,"suffix":""},{"dropping-particle":"","family":"Ponti","given":"Alessandro","non-dropping-particle":"","parse-names":false,"suffix":""},{"dropping-particle":"","family":"Bellobono","given":"Ignazio Renato","non-dropping-particle":"","parse-names":false,"suffix":""},{"dropping-particle":"","family":"Morelli","given":"Roberto","non-dropping-particle":"","parse-names":false,"suffix":""}],"container-title":"Journal of Physical Organic Chemistry","id":"ITEM-2","issue":"1","issued":{"date-parts":[["1992","1"]]},"page":"55-61","title":"EPR/ENDOR study of the decay of trapped radicals in photopolymerized butane-1,4-diol diacrylate","type":"article-journal","volume":"5"},"uris":["http://www.mendeley.com/documents/?uuid=b3b1a826-6da3-3e40-9352-632e6e4ee60b"]},{"id":"ITEM-3","itemData":{"DOI":"10.1002/pat.115","ISSN":"10427147","abstract":"Dimethacrylate monomers are commonly used as the organic phase of dental restorative materials but many questions remain about the underlying kinetics and network formation in these highly crosslinked photopolymer systems. Several novel experimental and modeling techniques that have been developed for other multifunctional (meth)acrylates were utilized to gain further insight into these resin systems. Specifically, this work investigates the copolymerization behavior of bis-GMA (2,2-bis[p-(2-hydroxy-3-methacryloxyprop-1-oxy)-phenyl]propane) and TEGDMA (triethylene glycol dimethacrylate), two monomers typically used for dental resin formulations. Near-infrared spectroscopy, electron paramagnetic resonance spectroscopy, as well as dynamic mechanical and dielectric analysis were used to characterize the kinetics, radical populations, and structural properties of this copolymer system. In addition, a kinetic model is described that provides valuable information about the network evolution during the formation of this crosslinked polymer. The results of these numerous studies illustrate that all of the aforementioned techniques can be readily applied to dental resin systems and consequently can be used to obtain a wealth of information about these systems. The application of these techniques provides insight into the complex polymerization kinetics and corresponding network formation, and as a result, a more complete understanding of the anomolous behaviors exhibited by these systems, such as diffusion controlled kinetics and conversion dependent network formation, is attained. Copyright © 2001 John Wiley and Sons, Ltd.","author":[{"dropping-particle":"","family":"Lovell","given":"Lale G.","non-dropping-particle":"","parse-names":false,"suffix":""},{"dropping-particle":"","family":"Berchtold","given":"Kathryn A.","non-dropping-particle":"","parse-names":false,"suffix":""},{"dropping-particle":"","family":"Elliott","given":"Jeannine E.","non-dropping-particle":"","parse-names":false,"suffix":""},{"dropping-particle":"","family":"Lu","given":"Hui","non-dropping-particle":"","parse-names":false,"suffix":""},{"dropping-particle":"","family":"Bowman","given":"Christopher N.","non-dropping-particle":"","parse-names":false,"suffix":""}],"container-title":"Polymers for Advanced Technologies","id":"ITEM-3","issue":"6","issued":{"date-parts":[["2001","6","1"]]},"page":"335-345","publisher":"John Wiley &amp; Sons, Ltd","title":"Understanding the kinetics and network formation of dimethacrylate dental resins","type":"article-journal","volume":"12"},"uris":["http://www.mendeley.com/documents/?uuid=2cb2f9fd-915d-3f41-ad9a-b1ff53d16786"]},{"id":"ITEM-4","itemData":{"DOI":"10.1039/c3an36869f","ISSN":"13645528","abstract":"Published approaches to analyze the kinetics of radical photo-polymerization are mainly based on in situ IR or Raman measurements. But these techniques only monitor the monomer decay. Additional information particularly about solidification cannot be obtained with these methods. Electron spin resonance, ESR, spectroscopy allows monitoring of radicals. The presented investigation gives an introduction to additional applications of ESR to monitor the solidification of multifunctional acrylic esters by successive in situ irradiation. This general approach to monitor the termination rate of the midchain radical which is not involved in propagation but whose lifetime is correlated via mobility with the solidification which is demonstrated with a set of commercially available multifunctional resins without an initiator. A detailed analysis of ESR signals is required to prove that the presented method is applicable for acrylic esters and to clarify published contradictory statements. The properties and the curing of the resins are characterized by additional methods, such as UV-Vis and Raman spectroscopy. The first results based on this innovative technique indicate that the functionality of the ester group has a significant and, most of all, measurable effect on the mobility of the small reactive molecules within the cured(-ing) polymer.© 2013 The Royal Society of Chemistry.","author":[{"dropping-particle":"","family":"Schmitt","given":"Michael","non-dropping-particle":"","parse-names":false,"suffix":""}],"container-title":"Analyst","id":"ITEM-4","issue":"13","issued":{"date-parts":[["2013","7","7"]]},"page":"3758-3770","publisher":"Royal Society of Chemistry","title":"Introduction to analyzing the solidification of multifunctional acrylic esters by ESR","type":"article-journal","volume":"138"},"uris":["http://www.mendeley.com/documents/?uuid=7f97a3c6-c7f4-3f9b-820b-90890a18f2a0"]},{"id":"ITEM-5","itemData":{"DOI":"10.1002/pola.1987.080250227","ISSN":"0887624X","author":[{"dropping-particle":"","family":"Decker","given":"C.","non-dropping-particle":"","parse-names":false,"suffix":""},{"dropping-particle":"","family":"Moussa","given":"K.","non-dropping-particle":"","parse-names":false,"suffix":""}],"container-title":"Journal of Polymer Science Part A: Polymer Chemistry","id":"ITEM-5","issue":"2","issued":{"date-parts":[["1987","2","1"]]},"page":"739-742","publisher":"John Wiley &amp; Sons, Ltd","title":"Radical trapping in photopolymerized acrylic networks","type":"article-journal","volume":"25"},"uris":["http://www.mendeley.com/documents/?uuid=e2a3dc3b-61bf-310e-a7cd-901577694a41"]},{"id":"ITEM-6","itemData":{"DOI":"10.1002/app.1987.070340420","ISSN":"00218995","author":[{"dropping-particle":"","family":"Decker","given":"C.","non-dropping-particle":"","parse-names":false,"suffix":""},{"dropping-particle":"","family":"Moussa","given":"K.","non-dropping-particle":"","parse-names":false,"suffix":""}],"container-title":"Journal of Applied Polymer Science","id":"ITEM-6","issue":"4","issued":{"date-parts":[["1987","9","1"]]},"page":"1603-1618","publisher":"John Wiley &amp; Sons, Ltd","title":"Photopolymerization of multifunctional monomers in condensed phase","type":"article-journal","volume":"34"},"uris":["http://www.mendeley.com/documents/?uuid=867f59bf-eee5-3159-a870-92cee7a16365"]}],"mendeley":{"formattedCitation":"[43], [62], [110]–[113]","plainTextFormattedCitation":"[43], [62], [110]–[113]","previouslyFormattedCitation":"[43], [62], [110]–[113]"},"properties":{"noteIndex":0},"schema":"https://github.com/citation-style-language/schema/raw/master/csl-citation.json"}</w:instrText>
      </w:r>
      <w:r w:rsidR="00913500" w:rsidRPr="00913500">
        <w:rPr>
          <w:rFonts w:ascii="Times New Roman" w:hAnsi="Times New Roman" w:cs="Times New Roman"/>
        </w:rPr>
        <w:fldChar w:fldCharType="separate"/>
      </w:r>
      <w:r w:rsidR="00280E34" w:rsidRPr="00280E34">
        <w:rPr>
          <w:rFonts w:ascii="Times New Roman" w:hAnsi="Times New Roman" w:cs="Times New Roman"/>
          <w:noProof/>
        </w:rPr>
        <w:t>[43], [62], [110]–[113]</w:t>
      </w:r>
      <w:r w:rsidR="00913500" w:rsidRPr="00913500">
        <w:rPr>
          <w:rFonts w:ascii="Times New Roman" w:hAnsi="Times New Roman" w:cs="Times New Roman"/>
        </w:rPr>
        <w:fldChar w:fldCharType="end"/>
      </w:r>
      <w:r w:rsidR="00913500" w:rsidRPr="00913500">
        <w:rPr>
          <w:rFonts w:ascii="Times New Roman" w:hAnsi="Times New Roman" w:cs="Times New Roman"/>
        </w:rPr>
        <w:t xml:space="preserve">.  </w:t>
      </w:r>
    </w:p>
    <w:p w14:paraId="6A6BA519" w14:textId="77777777" w:rsidR="00913500" w:rsidRPr="00913500" w:rsidRDefault="00913500" w:rsidP="00913500">
      <w:pPr>
        <w:spacing w:line="360" w:lineRule="auto"/>
        <w:rPr>
          <w:rFonts w:ascii="Times New Roman" w:hAnsi="Times New Roman" w:cs="Times New Roman"/>
        </w:rPr>
      </w:pPr>
    </w:p>
    <w:p w14:paraId="289EF47C" w14:textId="4BA3EC79"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Because light absorption initiates photopolymer reactions, the reaction commences at the irradiated surface before progressing through the polymer bulk. </w:t>
      </w:r>
      <w:r w:rsidRPr="00913500">
        <w:rPr>
          <w:rFonts w:ascii="Times New Roman" w:eastAsiaTheme="minorEastAsia" w:hAnsi="Times New Roman" w:cs="Times New Roman"/>
          <w:iCs/>
        </w:rPr>
        <w:t xml:space="preserve">The depth of cure in a photopolymer system is guided by the </w:t>
      </w:r>
      <w:r w:rsidRPr="00913500">
        <w:rPr>
          <w:rFonts w:ascii="Times New Roman" w:hAnsi="Times New Roman" w:cs="Times New Roman"/>
        </w:rPr>
        <w:t xml:space="preserve">Beer-Lambert Law (Equation </w:t>
      </w:r>
      <w:r w:rsidR="0082333A">
        <w:rPr>
          <w:rFonts w:ascii="Times New Roman" w:hAnsi="Times New Roman" w:cs="Times New Roman"/>
        </w:rPr>
        <w:t>3</w:t>
      </w:r>
      <w:r w:rsidRPr="00913500">
        <w:rPr>
          <w:rFonts w:ascii="Times New Roman" w:hAnsi="Times New Roman" w:cs="Times New Roman"/>
        </w:rPr>
        <w:t>):</w:t>
      </w:r>
    </w:p>
    <w:p w14:paraId="0DA0806C" w14:textId="77777777" w:rsidR="00913500" w:rsidRPr="00913500" w:rsidRDefault="00913500" w:rsidP="00913500">
      <w:pPr>
        <w:spacing w:line="360" w:lineRule="auto"/>
        <w:rPr>
          <w:rFonts w:ascii="Times New Roman" w:hAnsi="Times New Roman" w:cs="Times New Roman"/>
        </w:rPr>
      </w:pPr>
    </w:p>
    <w:p w14:paraId="751604B9" w14:textId="0B14E4FE" w:rsidR="00913500" w:rsidRPr="00913500" w:rsidRDefault="00913500" w:rsidP="00913500">
      <w:pPr>
        <w:spacing w:line="360" w:lineRule="auto"/>
        <w:jc w:val="center"/>
        <w:rPr>
          <w:rFonts w:ascii="Times New Roman" w:eastAsiaTheme="minorEastAsia" w:hAnsi="Times New Roman" w:cs="Times New Roman"/>
        </w:rPr>
      </w:pPr>
      <m:oMathPara>
        <m:oMath>
          <m:r>
            <w:rPr>
              <w:rFonts w:ascii="Cambria Math" w:hAnsi="Cambria Math" w:cs="Times New Roman"/>
            </w:rPr>
            <m:t>A=εbC (3)</m:t>
          </m:r>
        </m:oMath>
      </m:oMathPara>
    </w:p>
    <w:p w14:paraId="6E973EB8" w14:textId="77777777" w:rsidR="00913500" w:rsidRPr="00913500" w:rsidRDefault="00913500" w:rsidP="00913500">
      <w:pPr>
        <w:spacing w:line="360" w:lineRule="auto"/>
        <w:jc w:val="center"/>
        <w:rPr>
          <w:rFonts w:ascii="Times New Roman" w:eastAsiaTheme="minorEastAsia" w:hAnsi="Times New Roman" w:cs="Times New Roman"/>
        </w:rPr>
      </w:pPr>
    </w:p>
    <w:p w14:paraId="68C01894" w14:textId="73C6DA42" w:rsidR="00913500" w:rsidRDefault="00913500" w:rsidP="00913500">
      <w:pPr>
        <w:spacing w:line="360" w:lineRule="auto"/>
        <w:rPr>
          <w:rFonts w:ascii="Times New Roman" w:eastAsiaTheme="minorEastAsia" w:hAnsi="Times New Roman" w:cs="Times New Roman"/>
          <w:iCs/>
        </w:rPr>
      </w:pPr>
      <w:r w:rsidRPr="00913500">
        <w:rPr>
          <w:rFonts w:ascii="Times New Roman" w:eastAsiaTheme="minorEastAsia" w:hAnsi="Times New Roman" w:cs="Times New Roman"/>
        </w:rPr>
        <w:t xml:space="preserve">where absorbance </w:t>
      </w:r>
      <m:oMath>
        <m:r>
          <w:rPr>
            <w:rFonts w:ascii="Cambria Math" w:hAnsi="Cambria Math" w:cs="Times New Roman"/>
          </w:rPr>
          <m:t>A</m:t>
        </m:r>
      </m:oMath>
      <w:r w:rsidRPr="00913500">
        <w:rPr>
          <w:rFonts w:ascii="Times New Roman" w:eastAsiaTheme="minorEastAsia" w:hAnsi="Times New Roman" w:cs="Times New Roman"/>
        </w:rPr>
        <w:t xml:space="preserve"> is the product of molar absorptivity </w:t>
      </w:r>
      <m:oMath>
        <m:r>
          <w:rPr>
            <w:rFonts w:ascii="Cambria Math" w:hAnsi="Cambria Math" w:cs="Times New Roman"/>
          </w:rPr>
          <m:t>ε</m:t>
        </m:r>
      </m:oMath>
      <w:r w:rsidRPr="00913500">
        <w:rPr>
          <w:rFonts w:ascii="Times New Roman" w:eastAsiaTheme="minorEastAsia" w:hAnsi="Times New Roman" w:cs="Times New Roman"/>
        </w:rPr>
        <w:t xml:space="preserve">, the length of the light path </w:t>
      </w:r>
      <m:oMath>
        <m:r>
          <w:rPr>
            <w:rFonts w:ascii="Cambria Math" w:hAnsi="Cambria Math" w:cs="Times New Roman"/>
          </w:rPr>
          <m:t>b</m:t>
        </m:r>
      </m:oMath>
      <w:r w:rsidRPr="00913500">
        <w:rPr>
          <w:rFonts w:ascii="Times New Roman" w:eastAsiaTheme="minorEastAsia" w:hAnsi="Times New Roman" w:cs="Times New Roman"/>
        </w:rPr>
        <w:t xml:space="preserve"> and the concentration </w:t>
      </w:r>
      <m:oMath>
        <m:r>
          <w:rPr>
            <w:rFonts w:ascii="Cambria Math" w:hAnsi="Cambria Math" w:cs="Times New Roman"/>
          </w:rPr>
          <m:t>C</m:t>
        </m:r>
      </m:oMath>
      <w:r w:rsidRPr="00913500">
        <w:rPr>
          <w:rFonts w:ascii="Times New Roman" w:eastAsiaTheme="minorEastAsia" w:hAnsi="Times New Roman" w:cs="Times New Roman"/>
        </w:rPr>
        <w:t xml:space="preserve"> of the absorbing material.  The polymer and PI both absorb light to varying extents depending on the material and wavelength of light.  With greater light absorbance, light penetration is restricted, and the depth of cure can be inhibited </w:t>
      </w:r>
      <w:r w:rsidRPr="00913500">
        <w:rPr>
          <w:rFonts w:ascii="Times New Roman" w:eastAsiaTheme="minorEastAsia" w:hAnsi="Times New Roman" w:cs="Times New Roman"/>
        </w:rPr>
        <w:fldChar w:fldCharType="begin" w:fldLock="1"/>
      </w:r>
      <w:r w:rsidR="006F3AB3">
        <w:rPr>
          <w:rFonts w:ascii="Times New Roman" w:eastAsiaTheme="minorEastAsia" w:hAnsi="Times New Roman" w:cs="Times New Roman"/>
        </w:rPr>
        <w:instrText>ADDIN CSL_CITATION {"citationItems":[{"id":"ITEM-1","itemData":{"DOI":"10.1002/pc.20483","ISSN":"02728397","abstract":"The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Composites","id":"ITEM-1","issue":"7","issued":{"date-parts":[["2008","7","1"]]},"page":"818-829","publisher":"John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mendeley":{"formattedCitation":"[39]","plainTextFormattedCitation":"[39]","previouslyFormattedCitation":"[39]"},"properties":{"noteIndex":0},"schema":"https://github.com/citation-style-language/schema/raw/master/csl-citation.json"}</w:instrText>
      </w:r>
      <w:r w:rsidRPr="00913500">
        <w:rPr>
          <w:rFonts w:ascii="Times New Roman" w:eastAsiaTheme="minorEastAsia" w:hAnsi="Times New Roman" w:cs="Times New Roman"/>
        </w:rPr>
        <w:fldChar w:fldCharType="separate"/>
      </w:r>
      <w:r w:rsidR="00BF7344" w:rsidRPr="00BF7344">
        <w:rPr>
          <w:rFonts w:ascii="Times New Roman" w:eastAsiaTheme="minorEastAsia" w:hAnsi="Times New Roman" w:cs="Times New Roman"/>
          <w:noProof/>
        </w:rPr>
        <w:t>[39]</w:t>
      </w:r>
      <w:r w:rsidRPr="00913500">
        <w:rPr>
          <w:rFonts w:ascii="Times New Roman" w:eastAsiaTheme="minorEastAsia" w:hAnsi="Times New Roman" w:cs="Times New Roman"/>
        </w:rPr>
        <w:fldChar w:fldCharType="end"/>
      </w:r>
      <w:r w:rsidRPr="00913500">
        <w:rPr>
          <w:rFonts w:ascii="Times New Roman" w:eastAsiaTheme="minorEastAsia" w:hAnsi="Times New Roman" w:cs="Times New Roman"/>
        </w:rPr>
        <w:t>. Hybrid methods such as incorporating thermal initiators or cationic curing chemistry to enable greater shadow curing have been employed for a deep cure</w:t>
      </w:r>
      <w:r w:rsidRPr="00913500">
        <w:rPr>
          <w:rFonts w:ascii="Times New Roman" w:eastAsiaTheme="minorEastAsia" w:hAnsi="Times New Roman" w:cs="Times New Roman"/>
          <w:iCs/>
        </w:rPr>
        <w:t xml:space="preserve">. The curing occurs through the thickness upon UV irradiation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{"citationItems":[{"id":"ITEM-1","itemData":{"DOI":"10.1016/j.polymer.2012.03.025","ISSN":"00323861","abstract":"A difunctional cycloaliphatic epoxy monomer was cationically photo-polymerized in the presence of a diaryliodonium salt photoinitiator and an isopropyl thioxanthone photosensitizer at different temperatures and UV intensities. The photo-polymerization kinetics and structure formation were analysed using photo-DSC, IR spectroscopy and photo-rheology. An autocatalytic relation was used to model the conversion state with Arrhenius and power-law relationships for temperature and light intensity dependence. Conversion was found to depend on sample thickness, following the Beer-Lambert law. Photo-rheology measurements showed that the system vitrified before gelation at ambient temperature, and after gelation at high temperature under intense UV illumination. Time temperature transformation and time intensity transformation diagrams were built. Moreover, isothermal dark-curing enabled significant conversion increases up to the occurrence of vitrification, while thermal post-curing above Tg led to conversion as high as 71%. Thermo-mechanical measurements enabled to quantify Tg and the effects of the increase in conversion provided by thermal post-curing. © 2012 Elsevier Inc. All rights reserved.","author":[{"dropping-particle":"","family":"Golaz","given":"B.","non-dropping-particle":"","parse-names":false,"suffix":""},{"dropping-particle":"","family":"Michaud","given":"V.","non-dropping-particle":"","parse-names":false,"suffix":""},{"dropping-particle":"","family":"Leterrier","given":"Y.","non-dropping-particle":"","parse-names":false,"suffix":""},{"dropping-particle":"","family":"Mnson","given":"J. A.E.","non-dropping-particle":"","parse-names":false,"suffix":""}],"container-title":"Polymer","id":"ITEM-1","issue":"10","issued":{"date-parts":[["2012","4","25"]]},"page":"2038-2048","publisher":"Elsevier Ltd","title":"UV intensity, temperature and dark-curing effects in cationic photo-polymerization of a cycloaliphatic epoxy resin","type":"article-journal","volume":"53"},"uris":["http://www.mendeley.com/documents/?uuid=99cdff2c-0258-3933-bd0a-64dad27e1f60"]},{"id":"ITEM-2","itemData":{"abstract":"The pultrusion process is well-known as a versatile, cost-effective composites manufacturing process, and the utilization of photocure techniques with the pultrusion process offers an area for additional development. Photoinitiated resins offer the potential for increased process efficiency because they are not limited by the rate of heat transfer from the heated die to the resin. However, the use of photoinitiated resins with the pultru-sion process is complicated by the need to reach a level of cure as the fiber/resin mass moves through the enclosed pultrusion die. Reaching a proper level of cure while inside the die is necessary since the pressure developed within the die influences the consolidation of the fiber/resin mass. However, the closed pultrusion die makes it difficult to expose the photoinitiated resin to UV energy as it travels through the pultrusion die. Patent and literature searches reveal that various proprietary techniques have been developed in attempts to apply the benefits offered by photoinitiated resins to the pultrusion process [7-17]. To accommodate the requirement of having the photoinitiated resin exposed to UV energy of the appropriate wavelength to initiate cure, the use of special tooling such as UV transmittent materials for the die [7, 8, 15] or metal dies that incorporate fiber optic cables to transmit the UV light to the interior of the die [10] have been examined. Based on the patents and published reports concerning the use of photoinitiated resins with the pultrusion process, it is apparent that there is significant interest in the possibility of taking advantage of the characteristics offered by photoinitiated resins such as rapid cure in conjunction with the process advantages offered by the pultrusion process. However, one limitation associated with all of these approaches to photocure pultrusion is the need for special tooling and special pultrusion equipment. Abstract The rapid cure that occurs when photointiated resins are exposed to light of the appropriate wavelength offers the potential for the use of photocure to improve the processing efficiency for the pultrusion process. The objective of this research is to demonstrate the feasibility of a photocure pultrusion process that utilizes standard pultrusion tooling and equipment. In order to accomplish this objective, a hybrid thermal/photo initiator process which uses photocure to supplement standard thermal cure was developed. Results demonstrate the potent…","author":[{"dropping-particle":"","family":"Lackey","given":"Ellen","non-dropping-particle":"","parse-names":false,"suffix":""},{"dropping-particle":"","family":"Vaughan","given":"James G","non-dropping-particle":"","parse-names":false,"suffix":""}],"container-title":"Convention and Trade Show Composites Fabricators Association","id":"ITEM-2","issued":{"date-parts":[["2003"]]},"publisher-place":"California","title":"Enhanced Pultrusion Using Photocure to Supplement Standard Thermal Cure","type":"paper-conference"},"uris":["http://www.mendeley.com/documents/?uuid=c85f993f-7086-32b4-bff6-275a21586fb6"]},{"id":"ITEM-3","itemData":{"DOI":"10.1002/pola.28274","abstract":"Radical induced cationic frontal polymerization (RICFP) is an extremely powerful and elegant alternative curing technique that allows cationic bulk curing of epoxy resins with very little energy consumption, as well as curing in compartments that are not readily accessible. We recently introduced a bisphenol-A diglycidylether (BADGE) based system that allows the bubble-free photocuring of this widely used epoxy resin. In this article, we describe the high storage stability and possibilities to influence the curing speed via the initiator concentrations of different formulations. These properties allow the adjustment of the frontal polymerization to ones need. We also show that the (thermo)mechanical and electrical properties of frontal cured epoxy polymers compares favorably with those of state of the art material. Finally, different strategies to overcome the challenges on producing epoxy resin based mica composites via RICFP are presented.","author":[{"dropping-particle":"","family":"Bomze","given":"Daniel","non-dropping-particle":"","parse-names":false,"suffix":""},{"dropping-particle":"","family":"Knaack","given":"Patrick","non-dropping-particle":"","parse-names":false,"suffix":""},{"dropping-particle":"","family":"Koch","given":"Thomas","non-dropping-particle":"","parse-names":false,"suffix":""},{"dropping-particle":"","family":"Jin","given":"Huifei","non-dropping-particle":"","parse-names":false,"suffix":""},{"dropping-particle":"","family":"Liska","given":"Robert","non-dropping-particle":"","parse-names":false,"suffix":""}],"container-title":"J. Polym. Sci., Part A: Polym. Chem","id":"ITEM-3","issued":{"date-parts":[["2016"]]},"page":"3751-3759","publisher":"Wiley Periodicals, Inc","title":"Radical Induced Cationic Frontal Polymerization as a Versatile Tool for Epoxy Curing and Composite Production","type":"article-journal","volume":"54"},"uris":["http://www.mendeley.com/documents/?uuid=f8c1520a-7dbe-3626-8b62-d313e293eb77"]},{"id":"ITEM-4","itemData":{"abstract":"A wide variety of 3D printing technologies are now available based on several very different mechanisms of printing. The focus of this paper will be, photocured stereolithographic systems and the advantages brought by the polymerisation of epoxides and oxetanes by cationic polymerisation to this field. The photocured resin systems employed in 3D printing technologies have typically used acrylate and methacrylate monomers and oligomers. These systems have many advantages a wide selection of resins is available which can be used to give a diverse range of mechanical, physical and chemical properties in the printed parts. The drawbacks of acrylate-based systems in 3D printing applications are the high level of shrinkage and the viscosity of the resins. The shrinkage which occurs on polymerisation of an acrylate is inherent to the conversion from a double to a single bond and is proportional to the degree of unsaturation in the resin.(1) Levels of shrinkage can be as high as 20% by volume,(2) although much lower levels of shrinkage are often seen for high molecular weight oligomeric acrylates with low degrees of unsaturation. Typical ranges of shrinkage for commonly used acrylate resins would be in the range of 6-13%.(3) The use of these oligomeric resins can be limited in some 3D printing applications, by their high viscosity. Industrial applications often use inert fillers, such as silica, in their formulation. As the filler does not shrink this can help reduce the percentage shrinkage of the whole system. However, this does not change the amount of shrinkage in the resin system and the total amount of filler that can be added will reach a limit when other material properties start to suffer.(4) In many 3D printing applications, where resin viscosity is key to the resolution of parts that can be printed, the introduction of silica, which would have a large effect on the flowability and viscosity of the resin is not a viable option. Hence addition of fillers cannot always solve the shrinkage problem. An alternative polymerisation mechanism based on the ring opening of epoxide and oxetane functionalities, by cationic photoinitiators can allow a significant reduction in the levels of shrinkage compared to acrylate systems.(5) Cationic resin systems will also open up new properties not available from the polymerisation of acrylates. Although it is possible to use cationic polymerisation alone, the combination of acrylate and epoxide chemistries into one free …","author":[{"dropping-particle":"","family":"Plenderleith","given":"R","non-dropping-particle":"","parse-names":false,"suffix":""},{"dropping-particle":"","family":"Anderson","given":"D","non-dropping-particle":"","parse-names":false,"suffix":""},{"dropping-particle":"","family":"Norton","given":"T","non-dropping-particle":"","parse-names":false,"suffix":""},{"dropping-particle":"","family":"Mokbel","given":"H","non-dropping-particle":"","parse-names":false,"suffix":""},{"dropping-particle":"","family":"Lalevée","given":"J","non-dropping-particle":"","parse-names":false,"suffix":""}],"id":"ITEM-4","issued":{"date-parts":[["0"]]},"title":"The benefits of cationic and cationic / free radical hybrid curing for 3D applications","type":"article-journal"},"uris":["http://www.mendeley.com/documents/?uuid=f41a88e9-c81b-363f-b6ba-1a9d4d4953b3"]}],"mendeley":{"formattedCitation":"[105], [114]–[116]","plainTextFormattedCitation":"[105], [114]–[116]","previouslyFormattedCitation":"[105], [114]–[116]"},"properties":{"noteIndex":0},"schema":"https://github.com/citation-style-language/schema/raw/master/csl-citation.json"}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[105], [114]–[116]</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Nanoparticles have also been incorporated into photopolymers to act as internal lamps, enabling cure through the thickness as high as 137 mm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{"citationItems":[{"id":"ITEM-1","itemData":{"DOI":"10.1039/C6PY00184J","ISSN":"1759-9962","abstract":"Although photopolymerization has been versatile in various applications, photopolymerization of thick materials still remains a great challenge due to the light-intensity gradient. In this paper, we report a facile and generic method to realize deep photopolymerization using upconversion nanoparticle (UCNP)-assisted photochemistry. Compared to the reported photocuring depth of several millimeters, 13.7 cm of photopolymerization depth combined with about 60% of double bond conversion is obtained with optimal parameters. The thermal effect during UCNP-assisted photopolymerization is comparable to or weaker than that of some reported frontal photopolymerization used for the preparation of dental filling materials and functional polymer composites. The photocured materials using UCNPs as internal lamps exhibit a similar nanoindentation hardness and reduced modulus to those cured under traditional blue LED light. The presented strategy shows great potential applications in ultra-high density data storage and the preparation of biomaterials.","author":[{"dropping-particle":"","family":"Liu","given":"Ren","non-dropping-particle":"","parse-names":false,"suffix":""},{"dropping-particle":"","family":"Chen","given":"Hao","non-dropping-particle":"","parse-names":false,"suffix":""},{"dropping-particle":"","family":"Li","given":"Zhiquan","non-dropping-particle":"","parse-names":false,"suffix":""},{"dropping-particle":"","family":"Shi","given":"Feng","non-dropping-particle":"","parse-names":false,"suffix":""},{"dropping-particle":"","family":"Liu","given":"Xiaoya","non-dropping-particle":"","parse-names":false,"suffix":""}],"container-title":"Polymer Chemistry","id":"ITEM-1","issue":"14","issued":{"date-parts":[["2016","3","29"]]},"page":"2457-2463","publisher":"The Royal Society of Chemistry","title":"Extremely deep photopolymerization using upconversion particles as internal lamps","type":"article-journal","volume":"7"},"uris":["http://www.mendeley.com/documents/?uuid=bc2b071f-043e-3b1b-9b32-c544aa5da216"]}],"mendeley":{"formattedCitation":"[117]","plainTextFormattedCitation":"[117]","previouslyFormattedCitation":"[117]"},"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[117]</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One common method to improve the depth of cure without using hybrid methods or exotic materials is by employing photobleaching PIs, whose reaction byproducts are UV transparent.  In a process known as photofrontal polymerization, UV light penetrates deeper into the polymer as the PI reacts. It initiates free radicals at the new depth spurring an initiation wavefront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Chem","id":"ITEM-1","issued":{"date-parts":[["2002"]]},"page":"793-808","title":"Modeling of Photobleaching for the Photoinitiation of Thick Polymerization Systems","type":"article-journal","volume":"40"},"uris":["http://www.mendeley.com/documents/?uuid=1be3ef49-2c86-3605-abc9-a29c2fff38fe"]},{"id":"ITEM-2","itemData":{"DOI":"10.1002/pi.2047","abstract":"A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light","type":"article-journal","volume":"55"},"uris":["http://www.mendeley.com/documents/?uuid=74060935-a9be-39b6-9a7d-fbe6cce6878e"]},{"id":"ITEM-3","itemData":{"DOI":"10.1002/pi.2455","abstract":"BACKGROUND: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Int","id":"ITEM-3","issued":{"date-parts":[["2008"]]},"page":"1134-1140","title":"Spatial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lamps","type":"article-journal","volume":"57"},"uris":["http://www.mendeley.com/documents/?uuid=718d6e70-452b-369b-9baf-1694b00baaa2"]},{"id":"ITEM-4","itemData":{"DOI":"10.1021/MA901535P","abstract":"UV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-4","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Profiles","type":"article-journal","volume":"43"},"uris":["http://www.mendeley.com/documents/?uuid=4141b808-f33a-31ea-86a3-8be202718b9c"]}],"mendeley":{"formattedCitation":"[36], [41], [45], [107]","plainTextFormattedCitation":"[36], [41], [45], [107]","previouslyFormattedCitation":"[36], [41], [45], [107]"},"properties":{"noteIndex":0},"schema":"https://github.com/citation-style-language/schema/raw/master/csl-citation.json"}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[36], [41], [45], [107]</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Applications in dentistry regularly apply photobleaching PIs for depth of cure as high as </w:t>
      </w:r>
      <w:r w:rsidRPr="00913500">
        <w:rPr>
          <w:rFonts w:ascii="Times New Roman" w:eastAsiaTheme="minorEastAsia" w:hAnsi="Times New Roman" w:cs="Times New Roman"/>
          <w:iCs/>
        </w:rPr>
        <w:lastRenderedPageBreak/>
        <w:t xml:space="preserve">6 mm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{"citationItems":[{"id":"ITEM-1","itemData":{"DOI":"10.1016/j.polymer.2009.11.071","ISSN":"00323861","author":[{"dropping-particle":"","family":"Dalle Vacche","given":"Sara","non-dropping-particle":"","parse-names":false,"suffix":""},{"dropping-particle":"","family":"Rie Geiser","given":"Valé","non-dropping-particle":"","parse-names":false,"suffix":""},{"dropping-particle":"","family":"Leterrier","given":"Yves","non-dropping-particle":"","parse-names":false,"suffix":""},{"dropping-particle":"","family":"Månson","given":"Jan-Anders E Anders E.","non-dropping-particle":"","parse-names":false,"suffix":""}],"container-title":"Polymer","id":"ITEM-1","issue":"2","issued":{"date-parts":[["0","1"]]},"page":"334-341","publisher":"Elsevier Ltd","title":"Time-intensity superposition for photoinitiated polymerization of fluorinated and hyperbranched acrylate nanocomposites","type":"article-journal","volume":"51"},"uris":["http://www.mendeley.com/documents/?uuid=f1b69b5c-e92c-425a-b2b5-eb007db8a6d7"]}],"mendeley":{"formattedCitation":"[118]","plainTextFormattedCitation":"[118]","previouslyFormattedCitation":"[118]"},"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[118]</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Cure depths as great as 52 mm were reported for a novel methacrylate photopolymer using photobleaching TPO-L as the PI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{"citationItems":[{"id":"ITEM-1","itemData":{"DOI":"10.3390/POLYM12061291","abstract":"Photopolymerization offers substantial advantages in terms of time, temperature, energy consumption, and spatial control of the initiation. The application however is strongly limited due to the constrained penetration of light into thick films. Strategies to overcome the problem of limited curing depth, as well as to improve the curing of shadow areas, involve dual curing, frontal polymerization, and upconversion of particles. Whereas excellent results have been accomplished applying photofrontal polymerization on a theoretical level, few studies report on practical applications achieving high curing depth within short time. This study aims to investigate the potential of photofrontal polymerization, performed only with photoinitiator and light, for the fast and easy production of several-centimeter-thick (meth)acrylic layers. Monomer/ initiator systems were evaluated with respect to their optical density as well as photobleaching behavior. Moreover, depth-dependent polymerization was studied in specimens of varying monomer ratio and photoinitiator concentration. When an ideal photoinitiator concentration was selected, curing up to 52 mm in depth was accomplished within minutes.","author":[{"dropping-particle":"","family":"Ebner","given":"Catharina","non-dropping-particle":"","parse-names":false,"suffix":""},{"dropping-particle":"","family":"Mitterer","given":"Julia","non-dropping-particle":"","parse-names":false,"suffix":""},{"dropping-particle":"","family":"Eigruber","given":"Paul","non-dropping-particle":"","parse-names":false,"suffix":""},{"dropping-particle":"","family":"Stieger","given":"Sebastian","non-dropping-particle":"","parse-names":false,"suffix":""},{"dropping-particle":"","family":"Riess","given":"Gisbert","non-dropping-particle":"","parse-names":false,"suffix":""},{"dropping-particle":"","family":"Kern","given":"Wolfgang","non-dropping-particle":"","parse-names":false,"suffix":""}],"container-title":"Polymers 2020, Vol. 12, Page 1291","id":"ITEM-1","issue":"6","issued":{"date-parts":[["2020","6","4"]]},"page":"1291","publisher":"Multidisciplinary Digital Publishing Institute","title":"Ultra-High Through-Cure of (Meth)Acrylate Copolymers via Photofrontal Polymerization","type":"article-journal","volume":"12"},"uris":["http://www.mendeley.com/documents/?uuid=fcf84c71-697c-32af-afe9-5a7bc40264a8"]}],"mendeley":{"formattedCitation":"[119]","plainTextFormattedCitation":"[119]","previouslyFormattedCitation":"[119]"},"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[119]</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w:t>
      </w:r>
    </w:p>
    <w:p w14:paraId="3C9704F4" w14:textId="77777777" w:rsidR="00913500" w:rsidRPr="00913500" w:rsidRDefault="00913500" w:rsidP="00913500">
      <w:pPr>
        <w:spacing w:line="360" w:lineRule="auto"/>
        <w:rPr>
          <w:rFonts w:ascii="Times New Roman" w:eastAsiaTheme="minorEastAsia" w:hAnsi="Times New Roman" w:cs="Times New Roman"/>
          <w:iCs/>
        </w:rPr>
      </w:pPr>
    </w:p>
    <w:p w14:paraId="24219B95" w14:textId="7F7ED8BB" w:rsidR="00913500" w:rsidRPr="00913500" w:rsidRDefault="00913500" w:rsidP="00913500">
      <w:pPr>
        <w:spacing w:line="360" w:lineRule="auto"/>
        <w:rPr>
          <w:rFonts w:ascii="Times New Roman" w:eastAsiaTheme="minorEastAsia" w:hAnsi="Times New Roman" w:cs="Times New Roman"/>
          <w:iCs/>
        </w:rPr>
      </w:pPr>
      <w:r w:rsidRPr="00913500">
        <w:rPr>
          <w:rFonts w:ascii="Times New Roman" w:hAnsi="Times New Roman" w:cs="Times New Roman"/>
        </w:rPr>
        <w:t>The present study focused on BAPO as a photobleaching PI to improve the cure response of Bis-EMA vinyl ester in 3 mm thick layers.  Formulations with PI concentrations of 0.1 wt%, 0.5 wt%, and 1.0 wt% were cured under a high-intensity UV LED lamp with a short irradiation time (&lt; 5.0 s), simulating conditions expected of a large-format UV-DIW 3D printer. For a constant UV dose, the authors hypothesized that the level of cure at 3 mm depth would improve at BAPO concentrations of 0.5 wt% or lower. For the same PI concentration, BAPO formulations were also predicted to achieve a higher degree of cure at 3 mm depth than non-photobleaching BDMB control formulations</w:t>
      </w:r>
      <w:r w:rsidRPr="00913500">
        <w:rPr>
          <w:rFonts w:ascii="Times New Roman" w:eastAsiaTheme="minorEastAsia" w:hAnsi="Times New Roman" w:cs="Times New Roman"/>
          <w:iCs/>
        </w:rPr>
        <w:t xml:space="preserve">.  </w:t>
      </w:r>
    </w:p>
    <w:p w14:paraId="6B39AEAD" w14:textId="23269A21" w:rsidR="006F2E70" w:rsidRPr="001E18E0" w:rsidRDefault="00913500" w:rsidP="00DB3040">
      <w:pPr>
        <w:pStyle w:val="Heading2"/>
      </w:pPr>
      <w:bookmarkStart w:id="132" w:name="_Toc101701761"/>
      <w:r w:rsidRPr="00913500">
        <w:t>2.0 Literature Review</w:t>
      </w:r>
      <w:bookmarkEnd w:id="132"/>
    </w:p>
    <w:p w14:paraId="01C1100C" w14:textId="4DC822E3" w:rsidR="00913500" w:rsidRDefault="00913500" w:rsidP="00913500">
      <w:pPr>
        <w:spacing w:line="360" w:lineRule="auto"/>
        <w:rPr>
          <w:rFonts w:ascii="Times New Roman" w:eastAsiaTheme="minorEastAsia" w:hAnsi="Times New Roman" w:cs="Times New Roman"/>
          <w:iCs/>
        </w:rPr>
      </w:pPr>
      <w:r w:rsidRPr="00913500">
        <w:rPr>
          <w:rFonts w:ascii="Times New Roman" w:eastAsiaTheme="minorEastAsia" w:hAnsi="Times New Roman" w:cs="Times New Roman"/>
          <w:iCs/>
        </w:rPr>
        <w:t xml:space="preserve">For material extrusion printers such as LFAM systems, </w:t>
      </w:r>
      <w:proofErr w:type="spellStart"/>
      <w:r w:rsidRPr="00913500">
        <w:rPr>
          <w:rFonts w:ascii="Times New Roman" w:eastAsiaTheme="minorEastAsia" w:hAnsi="Times New Roman" w:cs="Times New Roman"/>
          <w:iCs/>
        </w:rPr>
        <w:t>Chesser</w:t>
      </w:r>
      <w:proofErr w:type="spellEnd"/>
      <w:r w:rsidRPr="00913500">
        <w:rPr>
          <w:rFonts w:ascii="Times New Roman" w:eastAsiaTheme="minorEastAsia" w:hAnsi="Times New Roman" w:cs="Times New Roman"/>
          <w:iCs/>
        </w:rPr>
        <w:t xml:space="preserve"> et al. calculated that the material deposition rate drops with the square of the increase in resolution </w:t>
      </w:r>
      <w:r w:rsidRPr="00913500">
        <w:rPr>
          <w:rFonts w:ascii="Times New Roman" w:eastAsiaTheme="minorEastAsia" w:hAnsi="Times New Roman" w:cs="Times New Roman"/>
          <w:iCs/>
        </w:rPr>
        <w:fldChar w:fldCharType="begin" w:fldLock="1"/>
      </w:r>
      <w:r w:rsidR="004502D6">
        <w:rPr>
          <w:rFonts w:ascii="Times New Roman" w:eastAsiaTheme="minorEastAsia" w:hAnsi="Times New Roman" w:cs="Times New Roman"/>
          <w:iCs/>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4502D6" w:rsidRPr="004502D6">
        <w:rPr>
          <w:rFonts w:ascii="Times New Roman" w:eastAsiaTheme="minorEastAsia" w:hAnsi="Times New Roman" w:cs="Times New Roman"/>
          <w:iCs/>
          <w:noProof/>
        </w:rPr>
        <w:t>[10]</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There are practical limits to print speed for a given printer, such as mechanical limitations of a gantry and momentum effects that decrease resolution in corners.  Since machine speed is limited, LFAM printers maximize throughput by increasing layer height.  In formulating photopolymers for LFAM, a critical limiting factor is the exposure time required for full through-cure at layer heights of 2-4 mm </w:t>
      </w:r>
      <w:r w:rsidRPr="00913500">
        <w:rPr>
          <w:rFonts w:ascii="Times New Roman" w:eastAsiaTheme="minorEastAsia" w:hAnsi="Times New Roman" w:cs="Times New Roman"/>
          <w:iCs/>
        </w:rPr>
        <w:fldChar w:fldCharType="begin" w:fldLock="1"/>
      </w:r>
      <w:r w:rsidR="00280E34">
        <w:rPr>
          <w:rFonts w:ascii="Times New Roman" w:eastAsiaTheme="minorEastAsia" w:hAnsi="Times New Roman" w:cs="Times New Roman"/>
          <w:iCs/>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eastAsiaTheme="minorEastAsia" w:hAnsi="Times New Roman" w:cs="Times New Roman"/>
          <w:iCs/>
        </w:rPr>
        <w:fldChar w:fldCharType="separate"/>
      </w:r>
      <w:r w:rsidR="00280E34" w:rsidRPr="00280E34">
        <w:rPr>
          <w:rFonts w:ascii="Times New Roman" w:eastAsiaTheme="minorEastAsia" w:hAnsi="Times New Roman" w:cs="Times New Roman"/>
          <w:iCs/>
          <w:noProof/>
        </w:rPr>
        <w:t>[109]</w:t>
      </w:r>
      <w:r w:rsidRPr="00913500">
        <w:rPr>
          <w:rFonts w:ascii="Times New Roman" w:eastAsiaTheme="minorEastAsia" w:hAnsi="Times New Roman" w:cs="Times New Roman"/>
          <w:iCs/>
        </w:rPr>
        <w:fldChar w:fldCharType="end"/>
      </w:r>
      <w:r w:rsidRPr="00913500">
        <w:rPr>
          <w:rFonts w:ascii="Times New Roman" w:eastAsiaTheme="minorEastAsia" w:hAnsi="Times New Roman" w:cs="Times New Roman"/>
          <w:iCs/>
        </w:rPr>
        <w:t xml:space="preserve">. Therefore, deposition rates at these layer heights can be improved by decreasing the UV irradiation time required to achieve full through-cure.  </w:t>
      </w:r>
    </w:p>
    <w:p w14:paraId="30B6BB65" w14:textId="77777777" w:rsidR="00913500" w:rsidRPr="00913500" w:rsidRDefault="00913500" w:rsidP="00913500">
      <w:pPr>
        <w:spacing w:line="360" w:lineRule="auto"/>
        <w:rPr>
          <w:rFonts w:ascii="Times New Roman" w:eastAsiaTheme="minorEastAsia" w:hAnsi="Times New Roman" w:cs="Times New Roman"/>
          <w:iCs/>
        </w:rPr>
      </w:pPr>
    </w:p>
    <w:p w14:paraId="66914A97" w14:textId="1AE7EB79"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In general, for free-radical initiated (meth)acrylate photopolymers, increased UV lamp intensity and curing temperature have been demonstrated to increase the overall DC for a given formulation while also reducing reaction time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{"citationItems":[{"id":"ITEM-1","itemData":{"DOI":"10.3390/POLYM12051080","ISSN":"20734360","abstract":"In this research, the curing degree of an acrylate-based monomer using direct UV-assisted writing technology was characterized by differential photo calorimetry (Photo-DSC) to investigate the curing behavior. Triggered by the UV light, the duo function group monomer 1,6-Hexamethylene diacrylate (HDDA), photoinitiator 1173 and photoinhibitor exhibit a fast curing process. The exothermal photopolymerization reaction was performed in the isothermal mode in order to evaluate the different thermal effects that occurred during the photopolymerization process. The influences of both UV light intensity and exposure time were studied with single-factor analysis. The results obtained by photo-DSC also allow us to perform the kinetic study of the polymerization process: The results show that, for the reaction, the higher the UV intensity, the higher the curing degree together with faster curing speed. At the same time, the effect of the heat released during the exothermic reaction is negligible for the polymerization process. When increasing the exposure time, limited improvement of curing degree was shown, and the distribution is between 65-75%. The reaction enthalpy and related curing degree work as a function of time. The Avrami theory of phase change was introduced to describe the experimental data. The functions of a curing degree with light intensity and exposure time were achieved, respectively.","author":[{"dropping-particle":"","family":"Jiang","given":"Fengze","non-dropping-particle":"","parse-names":false,"suffix":""},{"dropping-particle":"","family":"Drummer","given":"Dietmar","non-dropping-particle":"","parse-names":false,"suffix":""}],"container-title":"Polymers","id":"ITEM-1","issue":"5","issued":{"date-parts":[["2020","5","1"]]},"page":"1080","publisher":"MDPI AG","title":"Curing kinetic analysis of acrylate photopolymer for additive manufacturing by photo-DSC","type":"article-journal","volume":"12"},"uris":["http://www.mendeley.com/documents/?uuid=e90ba99a-3647-300e-a79e-0f698acbc81e"]},{"id":"ITEM-2","itemData":{"DOI":"10.1002/marc.200290014","ISSN":"10221336","abstract":"Highly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Communications","id":"ITEM-2","issue":"18","issued":{"date-parts":[["2002","12","20"]]},"page":"1067-1093","publisher":"John Wiley &amp; Sons, Ltd","title":"Kinetic study and new applications of UV radiation curing","type":"article-journal","volume":"23"},"uris":["http://www.mendeley.com/documents/?uuid=c60ec8b8-eb0a-3a6c-bb8f-715b6e36c30e"]},{"id":"ITEM-3","itemData":{"DOI":"10.1007/s10973-012-2465-5","ISSN":"13886150","abstract":"Photo-DSC was used to investigate the cure kinetics of a photo-initiated resin. The exothermal photo-polymerization reactions were performed in isothermal mode. The irradiation of photo-initiated resin was studied under different conditions of temperature, UV lamp intensity, and reaction atmosphere (nitrogen and air). The results obtained by photo-DSC allowed us to determine kinetic data of the photo-polymerized reactions: the global activation energy and reaction enthalpy, and the conversion as a function of time and temperature. Modulated temperature DSC measurements were carried out to verify whether vitrification occurs during polymerization. The conversion at the top and bottom of irradiated samples was obtained by FT-IR spectroscopy before and after photo-polymerization. A non-homogenous photo-polymerization into the material was observed, probably because of the light absorptions effects within the uppermost layers. © 2012 Akadémiai Kiadó, Budapest, Hungary.","author":[{"dropping-particle":"","family":"Rusu","given":"Marius Ciprian","non-dropping-particle":"","parse-names":false,"suffix":""},{"dropping-particle":"","family":"Block","given":"Christophe","non-dropping-particle":"","parse-names":false,"suffix":""},{"dropping-particle":"","family":"Assche","given":"Guy","non-dropping-particle":"Van","parse-names":false,"suffix":""},{"dropping-particle":"","family":"Mele","given":"Bruno","non-dropping-particle":"Van","parse-names":false,"suffix":""}],"container-title":"Journal of Thermal Analysis and Calorimetry","id":"ITEM-3","issue":"1","issued":{"date-parts":[["2012","10"]]},"page":"287-294","title":"Influence of temperature and UV intensity on photo-polymerization reaction studied by photo-DSC","type":"paper-conference","volume":"110"},"uris":["http://www.mendeley.com/documents/?uuid=2a802c05-dff4-3ba5-9314-373f6c9d0799"]}],"mendeley":{"formattedCitation":"[40], [120], [121]","plainTextFormattedCitation":"[40], [120], [121]","previouslyFormattedCitation":"[40], [120], [121]"},"properties":{"noteIndex":0},"schema":"https://github.com/citation-style-language/schema/raw/master/csl-citation.json"}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[40], [120], [121]</w:t>
      </w:r>
      <w:r w:rsidRPr="00913500">
        <w:rPr>
          <w:rFonts w:ascii="Times New Roman" w:hAnsi="Times New Roman" w:cs="Times New Roman"/>
        </w:rPr>
        <w:fldChar w:fldCharType="end"/>
      </w:r>
      <w:r w:rsidRPr="00913500">
        <w:rPr>
          <w:rFonts w:ascii="Times New Roman" w:hAnsi="Times New Roman" w:cs="Times New Roman"/>
        </w:rPr>
        <w:t xml:space="preserve">.  Decker found that increased lamp intensity improved acrylate DC even in ambient conditions. An increase in lamp intensity caused a corresponding rise in exotherm temperature within the polymer, increasing reaction rates </w:t>
      </w:r>
      <w:r w:rsidRPr="00913500">
        <w:rPr>
          <w:rFonts w:ascii="Times New Roman" w:hAnsi="Times New Roman" w:cs="Times New Roman"/>
        </w:rPr>
        <w:fldChar w:fldCharType="begin" w:fldLock="1"/>
      </w:r>
      <w:r w:rsidR="006F3AB3">
        <w:rPr>
          <w:rFonts w:ascii="Times New Roman" w:hAnsi="Times New Roman" w:cs="Times New Roman"/>
        </w:rPr>
        <w:instrText>ADDIN CSL_CITATION {"citationItems":[{"id":"ITEM-1","itemData":{"DOI":"10.1002/marc.200290014","ISSN":"10221336","abstract":"Highly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Communications","id":"ITEM-1","issue":"18","issued":{"date-parts":[["2002","12","20"]]},"page":"1067-1093","publisher":"John Wiley &amp; Sons, Ltd","title":"Kinetic study and new applications of UV radiation curing","type":"article-journal","volume":"23"},"uris":["http://www.mendeley.com/documents/?uuid=c60ec8b8-eb0a-3a6c-bb8f-715b6e36c30e"]}],"mendeley":{"formattedCitation":"[40]","plainTextFormattedCitation":"[40]","previouslyFormattedCitation":"[40]"},"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[40]</w:t>
      </w:r>
      <w:r w:rsidRPr="00913500">
        <w:rPr>
          <w:rFonts w:ascii="Times New Roman" w:hAnsi="Times New Roman" w:cs="Times New Roman"/>
        </w:rPr>
        <w:fldChar w:fldCharType="end"/>
      </w:r>
      <w:r w:rsidRPr="00913500">
        <w:rPr>
          <w:rFonts w:ascii="Times New Roman" w:hAnsi="Times New Roman" w:cs="Times New Roman"/>
        </w:rPr>
        <w:t xml:space="preserve">.   The improved DC associated with increased lamp intensity is often attributed to an excess free volume due to rapid polymerization </w:t>
      </w:r>
      <w:r w:rsidRPr="00913500">
        <w:rPr>
          <w:rFonts w:ascii="Times New Roman" w:hAnsi="Times New Roman" w:cs="Times New Roman"/>
        </w:rPr>
        <w:lastRenderedPageBreak/>
        <w:t xml:space="preserve">under high light intensity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{"citationItems":[{"id":"ITEM-1","itemData":{"DOI":"10.1021/MA0003351","ISSN":"00249297","abstract":"An improved kinetic model is presented which accounts for radical trapping during the photopolymerization of multifunctional monomers such as diacrylates and dimethacrylates. Following earlier sugg...","author":[{"dropping-particle":"","family":"Wen","given":"Mei","non-dropping-particle":"","parse-names":false,"suffix":""},{"dropping-particle":"V.","family":"McCormick","given":"Alon","non-dropping-particle":"","parse-names":false,"suffix":""}],"container-title":"Macromolecules","id":"ITEM-1","issue":"25","issued":{"date-parts":[["2000","12","12"]]},"page":"9247-9254","publisher":" American Chemical Society ","title":"A Kinetic Model for Radical Trapping in Photopolymerization of Multifunctional Monomers","type":"article-journal","volume":"33"},"uris":["http://www.mendeley.com/documents/?uuid=1c45f241-4b8a-30ff-a590-9aae2f636072"]},{"id":"ITEM-2","itemData":{"DOI":"10.1016/j.dental.2005.04.030","ISSN":"01095641","PMID":"16098573","abstract":"The main problem of a methacrylated dental resin's photopolymerization is the shrinkage phenomenon. This occurs, as expected, during light irradiation but also, unexpectedly, during about 24 h after photopolymerization (i.e. during the so-called 'post-polymerization' stage). During this period, the conversion degree does not change significantly (no more initiation, very limited, if any, propagation reaction) but free radicals concentration decreases. Objectives: To better understand what happens during the 24 h after the photopolymerization, a thermal study of these resins is investigated at first and an explanation is then discussed. Methods: In this paper, the glass transition temperatures (Tg) are measured at 0 and 24 h by DMA. The post-shrinkage phenomenon is observed by TMA. Conversion degree (DC) is followed by Raman and free radical decay by ESR spectroscopy. Results: Tg increases significantly during post-polymerization (55-80 °C). The same samples were studied by TMA at room temperature and shrinkage is observed. The fact that the degree of conversion (DC) does not increase significantly and that the 'post-shrinkage' occurs at T&lt;Tg leads to the hypothesis that a physical phenomenon should occur which can, in turn, be responsible for a secondary chemical phenomenon (post-polymerization). Significance: The proposed explanation is that, as photopolymerization of dental resins is very fast, a large excess of free volume is trapped in non-equilibrated samples. As they have no time to return to an equilibrium state, free volume should decrease below Tg and samples do physically shrink during the first 24 h. As a consequence, free radicals can come into 'contact' and undergo limited propagation but significant termination justifying the decrease in overall radical concentration. © 2005 Academy of Dental Materials.","author":[{"dropping-particle":"","family":"Truffier-Boutry","given":"Delphine","non-dropping-particle":"","parse-names":false,"suffix":""},{"dropping-particle":"","family":"Demoustier-Champagne","given":"Sophie","non-dropping-particle":"","parse-names":false,"suffix":""},{"dropping-particle":"","family":"Devaux","given":"Jacques","non-dropping-particle":"","parse-names":false,"suffix":""},{"dropping-particle":"","family":"Biebuyck","given":"Jean Jacques","non-dropping-particle":"","parse-names":false,"suffix":""},{"dropping-particle":"","family":"Mestdagh","given":"Michèle","non-dropping-particle":"","parse-names":false,"suffix":""},{"dropping-particle":"","family":"Larbanois","given":"Philippe","non-dropping-particle":"","parse-names":false,"suffix":""},{"dropping-particle":"","family":"Leloup","given":"Gaëtane","non-dropping-particle":"","parse-names":false,"suffix":""}],"container-title":"Dental Materials","id":"ITEM-2","issue":"5","issued":{"date-parts":[["2006","5","1"]]},"page":"405-412","publisher":"Elsevier","title":"A physico-chemical explanation of the post-polymerization shrinkage in dental resins","type":"article-journal","volume":"22"},"uris":["http://www.mendeley.com/documents/?uuid=d3fdd385-3d59-3d7b-b044-4013d2acb9ba"]}],"mendeley":{"formattedCitation":"[37], [122]","plainTextFormattedCitation":"[37], [122]","previouslyFormattedCitation":"[37], [122]"},"properties":{"noteIndex":0},"schema":"https://github.com/citation-style-language/schema/raw/master/csl-citation.json"}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[37], [122]</w:t>
      </w:r>
      <w:r w:rsidRPr="00913500">
        <w:rPr>
          <w:rFonts w:ascii="Times New Roman" w:hAnsi="Times New Roman" w:cs="Times New Roman"/>
        </w:rPr>
        <w:fldChar w:fldCharType="end"/>
      </w:r>
      <w:r w:rsidRPr="00913500">
        <w:rPr>
          <w:rFonts w:ascii="Times New Roman" w:hAnsi="Times New Roman" w:cs="Times New Roman"/>
        </w:rPr>
        <w:t>. Unsurprisingly, based on these findings, a standard method for reducing cure time is by increasing lamp intensity, which can range widely from 0.5 mW/cm</w:t>
      </w:r>
      <w:r w:rsidRPr="00913500">
        <w:rPr>
          <w:rFonts w:ascii="Times New Roman" w:hAnsi="Times New Roman" w:cs="Times New Roman"/>
          <w:vertAlign w:val="superscript"/>
        </w:rPr>
        <w:t>2</w:t>
      </w:r>
      <w:r w:rsidRPr="00913500">
        <w:rPr>
          <w:rFonts w:ascii="Times New Roman" w:hAnsi="Times New Roman" w:cs="Times New Roman"/>
        </w:rPr>
        <w:t xml:space="preserve"> to 25 W/cm</w:t>
      </w:r>
      <w:r w:rsidRPr="00913500">
        <w:rPr>
          <w:rFonts w:ascii="Times New Roman" w:hAnsi="Times New Roman" w:cs="Times New Roman"/>
          <w:vertAlign w:val="superscript"/>
        </w:rPr>
        <w:t>2</w:t>
      </w:r>
      <w:r w:rsidRPr="00913500">
        <w:rPr>
          <w:rFonts w:ascii="Times New Roman" w:hAnsi="Times New Roman" w:cs="Times New Roman"/>
        </w:rPr>
        <w:t xml:space="preserve"> or more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{"citationItems":[{"id":"ITEM-1","itemData":{"DOI":"10.3390/POLYM12051080","ISSN":"20734360","abstract":"In this research, the curing degree of an acrylate-based monomer using direct UV-assisted writing technology was characterized by differential photo calorimetry (Photo-DSC) to investigate the curing behavior. Triggered by the UV light, the duo function group monomer 1,6-Hexamethylene diacrylate (HDDA), photoinitiator 1173 and photoinhibitor exhibit a fast curing process. The exothermal photopolymerization reaction was performed in the isothermal mode in order to evaluate the different thermal effects that occurred during the photopolymerization process. The influences of both UV light intensity and exposure time were studied with single-factor analysis. The results obtained by photo-DSC also allow us to perform the kinetic study of the polymerization process: The results show that, for the reaction, the higher the UV intensity, the higher the curing degree together with faster curing speed. At the same time, the effect of the heat released during the exothermic reaction is negligible for the polymerization process. When increasing the exposure time, limited improvement of curing degree was shown, and the distribution is between 65-75%. The reaction enthalpy and related curing degree work as a function of time. The Avrami theory of phase change was introduced to describe the experimental data. The functions of a curing degree with light intensity and exposure time were achieved, respectively.","author":[{"dropping-particle":"","family":"Jiang","given":"Fengze","non-dropping-particle":"","parse-names":false,"suffix":""},{"dropping-particle":"","family":"Drummer","given":"Dietmar","non-dropping-particle":"","parse-names":false,"suffix":""}],"container-title":"Polymers","id":"ITEM-1","issue":"5","issued":{"date-parts":[["2020","5","1"]]},"page":"1080","publisher":"MDPI AG","title":"Curing kinetic analysis of acrylate photopolymer for additive manufacturing by photo-DSC","type":"article-journal","volume":"12"},"uris":["http://www.mendeley.com/documents/?uuid=e90ba99a-3647-300e-a79e-0f698acbc81e"]},{"id":"ITEM-2","itemData":{"DOI":"10.1002/marc.200290014","ISSN":"10221336","abstract":"Highly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Communications","id":"ITEM-2","issue":"18","issued":{"date-parts":[["2002","12","20"]]},"page":"1067-1093","publisher":"John Wiley &amp; Sons, Ltd","title":"Kinetic study and new applications of UV radiation curing","type":"article-journal","volume":"23"},"uris":["http://www.mendeley.com/documents/?uuid=c60ec8b8-eb0a-3a6c-bb8f-715b6e36c30e"]},{"id":"ITEM-3","itemData":{"DOI":"10.1007/s10973-012-2465-5","ISSN":"13886150","abstract":"Photo-DSC was used to investigate the cure kinetics of a photo-initiated resin. The exothermal photo-polymerization reactions were performed in isothermal mode. The irradiation of photo-initiated resin was studied under different conditions of temperature, UV lamp intensity, and reaction atmosphere (nitrogen and air). The results obtained by photo-DSC allowed us to determine kinetic data of the photo-polymerized reactions: the global activation energy and reaction enthalpy, and the conversion as a function of time and temperature. Modulated temperature DSC measurements were carried out to verify whether vitrification occurs during polymerization. The conversion at the top and bottom of irradiated samples was obtained by FT-IR spectroscopy before and after photo-polymerization. A non-homogenous photo-polymerization into the material was observed, probably because of the light absorptions effects within the uppermost layers. © 2012 Akadémiai Kiadó, Budapest, Hungary.","author":[{"dropping-particle":"","family":"Rusu","given":"Marius Ciprian","non-dropping-particle":"","parse-names":false,"suffix":""},{"dropping-particle":"","family":"Block","given":"Christophe","non-dropping-particle":"","parse-names":false,"suffix":""},{"dropping-particle":"","family":"Assche","given":"Guy","non-dropping-particle":"Van","parse-names":false,"suffix":""},{"dropping-particle":"","family":"Mele","given":"Bruno","non-dropping-particle":"Van","parse-names":false,"suffix":""}],"container-title":"Journal of Thermal Analysis and Calorimetry","id":"ITEM-3","issue":"1","issued":{"date-parts":[["2012","10"]]},"page":"287-294","title":"Influence of temperature and UV intensity on photo-polymerization reaction studied by photo-DSC","type":"paper-conference","volume":"110"},"uris":["http://www.mendeley.com/documents/?uuid=2a802c05-dff4-3ba5-9314-373f6c9d0799"]},{"id":"ITEM-4","itemData":{"DOI":"10.1016/j.compositesb.2020.107963","ISSN":"13598368","abstract":"In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Engineering","id":"ITEM-4","issued":{"date-parts":[["2020","6","15"]]},"publisher":"Elsevier Ltd","title":"An analytical model of through-thickness photopolymerisation of composites: Ultraviolet light transmission and curing kinetics","type":"article-journal","volume":"191"},"uris":["http://www.mendeley.com/documents/?uuid=5126f3a3-780b-3d9a-822f-3cadb9967a9a"]},{"id":"ITEM-5","itemData":{"DOI":"10.1016/j.polymer.2009.11.071","ISSN":"00323861","author":[{"dropping-particle":"","family":"Dalle Vacche","given":"Sara","non-dropping-particle":"","parse-names":false,"suffix":""},{"dropping-particle":"","family":"Rie Geiser","given":"Valé","non-dropping-particle":"","parse-names":false,"suffix":""},{"dropping-particle":"","family":"Leterrier","given":"Yves","non-dropping-particle":"","parse-names":false,"suffix":""},{"dropping-particle":"","family":"Månson","given":"Jan-Anders E Anders E.","non-dropping-particle":"","parse-names":false,"suffix":""}],"container-title":"Polymer","id":"ITEM-5","issue":"2","issued":{"date-parts":[["0","1"]]},"page":"334-341","publisher":"Elsevier Ltd","title":"Time-intensity superposition for photoinitiated polymerization of fluorinated and hyperbranched acrylate nanocomposites","type":"article-journal","volume":"51"},"uris":["http://www.mendeley.com/documents/?uuid=f1b69b5c-e92c-425a-b2b5-eb007db8a6d7"]},{"id":"ITEM-6","itemData":{"DOI":"10.1007/s10853-009-3544-2","ISSN":"00222461","author":[{"dropping-particle":"","family":"Pietro","given":"A.","non-dropping-particle":"Di","parse-names":false,"suffix":""},{"dropping-particle":"","family":"Compston","given":"Paul","non-dropping-particle":"","parse-names":false,"suffix":""}],"container-title":"Journal of Materials Science","id":"ITEM-6","issue":"15","issued":{"date-parts":[["2009","8","22"]]},"page":"4188-4190","publisher":"Springer","title":"Resin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light","type":"article-journal","volume":"44"},"uris":["http://www.mendeley.com/documents/?uuid=76cb18dd-1362-3df5-9574-9b5dfd23ee83"]}],"mendeley":{"formattedCitation":"[38], [40], [118], [120], [121], [123]","plainTextFormattedCitation":"[38], [40], [118], [120], [121], [123]","previouslyFormattedCitation":"[38], [40], [118], [120], [121], [123]"},"properties":{"noteIndex":0},"schema":"https://github.com/citation-style-language/schema/raw/master/csl-citation.json"}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[38], [40], [118], [120], [121], [123]</w:t>
      </w:r>
      <w:r w:rsidRPr="00913500">
        <w:rPr>
          <w:rFonts w:ascii="Times New Roman" w:hAnsi="Times New Roman" w:cs="Times New Roman"/>
        </w:rPr>
        <w:fldChar w:fldCharType="end"/>
      </w:r>
      <w:r w:rsidRPr="00913500">
        <w:rPr>
          <w:rFonts w:ascii="Times New Roman" w:hAnsi="Times New Roman" w:cs="Times New Roman"/>
        </w:rPr>
        <w:t>.  Various filled dental resins can achieve complete cure through 2 mm to 6 mm thickness with irradiation times ranging from 20 s to 40 s and lamp intensities of 400 mW/cm</w:t>
      </w:r>
      <w:r w:rsidRPr="00913500">
        <w:rPr>
          <w:rFonts w:ascii="Times New Roman" w:hAnsi="Times New Roman" w:cs="Times New Roman"/>
          <w:vertAlign w:val="superscript"/>
        </w:rPr>
        <w:t>2</w:t>
      </w:r>
      <w:r w:rsidRPr="00913500">
        <w:rPr>
          <w:rFonts w:ascii="Times New Roman" w:hAnsi="Times New Roman" w:cs="Times New Roman"/>
        </w:rPr>
        <w:t xml:space="preserve"> to 1200 mW/cm</w:t>
      </w:r>
      <w:r w:rsidRPr="00913500">
        <w:rPr>
          <w:rFonts w:ascii="Times New Roman" w:hAnsi="Times New Roman" w:cs="Times New Roman"/>
          <w:vertAlign w:val="superscript"/>
        </w:rPr>
        <w:t>2</w:t>
      </w:r>
      <w:r w:rsidRPr="00913500">
        <w:rPr>
          <w:rFonts w:ascii="Times New Roman" w:hAnsi="Times New Roman" w:cs="Times New Roman"/>
        </w:rPr>
        <w:t xml:space="preserv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{"citationItems":[{"id":"ITEM-1","itemData":{"DOI":"10.1016/j.dental.2012.09.007","ISSN":"01095641","PMID":"23031485","abstract":"Objective: To determine by nanoindentation the hardness and elastic modulus of resin-composites, including a series with systematically varied filler loading, plus other representative materials that fall into the categories of flowable, bulk-fill and conventional nano-hybrid types. Methods: Ten dental resin-composites: three flowable, three bulk-fill and four conventional were investigated using nanoindentation. Disc specimens (15 mm × 2 mm) were prepared from each material using a metallic mold. Specimens were irradiated in the mold at top and bottom surfaces in multiple overlapping points (40 s each) with light curing unit at 650 mW/cm 2. Specimens were then mounted in 3 cm diameter phenolic ring forms and embedded in a self-curing polystyrene resin. After grinding and polishing, specimens were stored in distilled water at 37 C for 7 days. Specimens were investigated using an Agilent Technologies XP nanoindenter equipped with a Berkovich diamond tip (100 nm radius). Each specimen was loaded at one loading rate and three different unloading rates (at room temperature) with thirty indentations, per unloading rate. The maximum load applied by the nanoindenter to examine the specimens was 10 mN. Results: Dependent on the type of the resin-composite material, the mean values ranged from 0.73 GPa to 1.60 GPa for nanohardness and from 14.44 GPa to 24.07 GPa for elastic modulus. There was a significant positive non-linear correlation between elastic modulus and nanohardness (r 2 = 0.88). Nonlinear regression revealed a significant positive correlation (r 2 = 0.62) between elastic moduli and filler loading and a non-significant correlation (r 2 = 0.50) between nanohardness and filler loading of the studied materials. Varying the unloading rates showed no consistent effect on the elastic modulus and nanohardness of the studied materials. Significance: For a specific resin matrix, both elastic moduli and nanohardness correlated positively with filler loading. For the resin-composites investigated, the group-average elastic moduli and nanohardnesses for bulk-fill and flowable materials were lower than those for conventional nano-hybrid composites. © 2012 Academy of Dental Materials. Published by Elsevier Ltd. All rights reserved.","author":[{"dropping-particle":"","family":"El-Safty","given":"S.","non-dropping-particle":"","parse-names":false,"suffix":""},{"dropping-particle":"","family":"Akhtar","given":"R.","non-dropping-particle":"","parse-names":false,"suffix":""},{"dropping-particle":"","family":"Silikas","given":"N.","non-dropping-particle":"","parse-names":false,"suffix":""},{"dropping-particle":"","family":"Watts","given":"D. C.","non-dropping-particle":"","parse-names":false,"suffix":""}],"container-title":"Dental Materials","id":"ITEM-1","issue":"12","issued":{"date-parts":[["2012","12","1"]]},"page":"1292-1300","publisher":"Elsevier","title":"Nanomechanical properties of dental resin-composites","type":"article-journal","volume":"28"},"uris":["http://www.mendeley.com/documents/?uuid=56cb75b2-302b-38f0-8535-c09a1c784c1c"]},{"id":"ITEM-2","itemData":{"DOI":"10.1016/j.dental.2013.10.011","abstract":"d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Materials","id":"ITEM-2","issued":{"date-parts":[["2014"]]},"page":"149-154","title":"ScienceDirect Post-cure depth of cure of bulk fill dental resin-composites","type":"article-journal","volume":"30"},"uris":["http://www.mendeley.com/documents/?uuid=278738b9-3e52-3005-b13a-01c7bec0ca56"]},{"id":"ITEM-3","itemData":{"DOI":"10.1016/j.jdent.2004.01.012","ISSN":"03005712","PMID":"15053916","abstract":"Objective. This study investigates the influence of curing modes on the crosslinking density of dental composites. Methods. A light-cure unit (BISCO VIP) that allowed for independent command over time and intensity was selected. Four different light-curing modes with constant light energy density were investigated (control (C), pulse delay (PD), soft-start (SS) and pulse cure (PC)). The degree of crosslinking was assessed directly by measuring the glass transition temperature of 1 mm thick composite (Z100, 3M-ESPE) specimens using differential scanning calorimetry (DSC 2920). Polymer softening in ethanol was used as an indirect method for assessing the degree of crosslinking. After light-curing, specimens were stored in air at 37°C for 24 h and subjected to hardness testing using a digital microhardness tester (n=6, load=500 g; dwell time=15 s). The specimens were then placed in 75% ethanol-water solution at 37°C for 24 h and post-conditioning hardness was determined. Mean hardness (KHN)/hardness deterioration (ΔKHN) was computed and data was subjected to analysis using one-way ANOVA/Scheffe's test. Results. Ranking of degree of crosslinking density by DSC was as follows: C&gt;PC&gt;SS&gt;PD. For the indirect method of determining crosslinking density, ΔKHN ranged from 10.8 to 12.9 and ranking was PC&gt;SS&gt;C&gt;PD. Conclusions. Specimens polymerized with PD were significantly more susceptible to softening in ethanol than specimens cured with PC. Results of this study suggest that polymerization with PD resulted in a lower crosslink density and gave rise to polymers with an increased susceptibility to softening in ethanol. © 2004 Elsevier Ltd. All rights reserved.","author":[{"dropping-particle":"","family":"Soh","given":"M. S.","non-dropping-particle":"","parse-names":false,"suffix":""},{"dropping-particle":"","family":"Yap","given":"Adrian U.J.","non-dropping-particle":"","parse-names":false,"suffix":""}],"container-title":"Journal of Dentistry","id":"ITEM-3","issue":"4","issued":{"date-parts":[["2004","5","1"]]},"page":"321-326","publisher":"Elsevier","title":"Influence of curing modes on crosslink density in polymer structures","type":"article-journal","volume":"32"},"uris":["http://www.mendeley.com/documents/?uuid=c0be34e1-b147-3469-b56c-c23815e16199"]},{"id":"ITEM-4","itemData":{"DOI":"10.1038/s41598-019-54035-y","ISSN":"20452322","PMID":"31754180","abstract":"Resin composites containing reinforcing inert glass fillers combined with bioactive glass (BG) can aid in the prevention of secondary caries, which is a major cause of failure of contemporary composite restorations. A series of previous studies on experimental resin composites filled with BG 45S5 has demonstrated that methacrylate resin polymerization can be impaired by the addition of unsilanized BG, leading to lower degrees of conversion (DC). In order to distinguish whether the polymerization inhibition is caused by a direct (temperature-independent) effect of BG or an indirect (temperature-dependent) effect of restricted mobility of reactive species, this study used Raman spectroscopy to evaluate the DC values of experimental composites post-cured at 37 °C and 150 °C. The potential of BG to adversely affect DC was highly dependent on the resin system. The highest DC reduction was observed in the resin system based on ethoxylated bisphenol A dimethacrylate (Bis-EMA), followed by bisphenol A glycidyl methacrylate (Bis-GMA). In contrast, the DC for urethane dimethacrylate (UDMA) was not compromised by BG. Increasing the mobility of reactive species by heating at 150 °C showed limited potential for increasing the DC in the Bis-EMA and Bis-GMA resin systems, indicating a direct inhibitory effect of BG on polymerization.","author":[{"dropping-particle":"","family":"Par","given":"Matej","non-dropping-particle":"","parse-names":false,"suffix":""},{"dropping-particle":"","family":"Spanovic","given":"Nika","non-dropping-particle":"","parse-names":false,"suffix":""},{"dropping-particle":"","family":"Tauböck","given":"Tobias T.","non-dropping-particle":"","parse-names":false,"suffix":""},{"dropping-particle":"","family":"Attin","given":"Thomas","non-dropping-particle":"","parse-names":false,"suffix":""},{"dropping-particle":"","family":"Tarle","given":"Zrinka","non-dropping-particle":"","parse-names":false,"suffix":""}],"container-title":"Scientific Reports","id":"ITEM-4","issue":"1","issued":{"date-parts":[["2019","12","1"]]},"page":"1-9","publisher":"Nature Research","title":"Degree of conversion of experimental resin composites containing bioactive glass 45S5: the effect of post-cure heating","type":"article-journal","volume":"9"},"uris":["http://www.mendeley.com/documents/?uuid=58c49c87-b3d2-3b75-ba6a-5519e3293fc2"]}],"mendeley":{"formattedCitation":"[29], [48], [59], [124]","plainTextFormattedCitation":"[29], [48], [59], [124]","previouslyFormattedCitation":"[29], [48], [59], [124]"},"properties":{"noteIndex":0},"schema":"https://github.com/citation-style-language/schema/raw/master/csl-citation.json"}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[29], [48], [59], [124]</w:t>
      </w:r>
      <w:r w:rsidRPr="00913500">
        <w:rPr>
          <w:rFonts w:ascii="Times New Roman" w:hAnsi="Times New Roman" w:cs="Times New Roman"/>
        </w:rPr>
        <w:fldChar w:fldCharType="end"/>
      </w:r>
      <w:r w:rsidRPr="00913500">
        <w:rPr>
          <w:rFonts w:ascii="Times New Roman" w:hAnsi="Times New Roman" w:cs="Times New Roman"/>
        </w:rPr>
        <w:t>. DiPietro reported a full through-cure in 8 mm thick fiberglass laminates after 15 seconds using a photobleaching PI and a high intensity 25 W/cm</w:t>
      </w:r>
      <w:r w:rsidRPr="00913500">
        <w:rPr>
          <w:rFonts w:ascii="Times New Roman" w:hAnsi="Times New Roman" w:cs="Times New Roman"/>
          <w:vertAlign w:val="superscript"/>
        </w:rPr>
        <w:t>2</w:t>
      </w:r>
      <w:r w:rsidRPr="00913500">
        <w:rPr>
          <w:rFonts w:ascii="Times New Roman" w:hAnsi="Times New Roman" w:cs="Times New Roman"/>
        </w:rPr>
        <w:t xml:space="preserve"> spotlight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10.1007/s10853-009-3544-2","ISSN":"00222461","author":[{"dropping-particle":"","family":"Pietro","given":"A.","non-dropping-particle":"Di","parse-names":false,"suffix":""},{"dropping-particle":"","family":"Compston","given":"Paul","non-dropping-particle":"","parse-names":false,"suffix":""}],"container-title":"Journal of Materials Science","id":"ITEM-1","issue":"15","issued":{"date-parts":[["2009","8","22"]]},"page":"4188-4190","publisher":"Springer","title":"Resin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mendeley":{"formattedCitation":"[123]","plainTextFormattedCitation":"[123]","previouslyFormattedCitation":"[123]"},"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[123]</w:t>
      </w:r>
      <w:r w:rsidRPr="00913500">
        <w:rPr>
          <w:rFonts w:ascii="Times New Roman" w:hAnsi="Times New Roman" w:cs="Times New Roman"/>
        </w:rPr>
        <w:fldChar w:fldCharType="end"/>
      </w:r>
      <w:r w:rsidRPr="00913500">
        <w:rPr>
          <w:rFonts w:ascii="Times New Roman" w:hAnsi="Times New Roman" w:cs="Times New Roman"/>
        </w:rPr>
        <w:t>.  For LFAM applications, an exposure time of 5 seconds under a 1.7 W/cm</w:t>
      </w:r>
      <w:r w:rsidRPr="00913500">
        <w:rPr>
          <w:rFonts w:ascii="Times New Roman" w:hAnsi="Times New Roman" w:cs="Times New Roman"/>
          <w:vertAlign w:val="superscript"/>
        </w:rPr>
        <w:t>2</w:t>
      </w:r>
      <w:r w:rsidRPr="00913500">
        <w:rPr>
          <w:rFonts w:ascii="Times New Roman" w:hAnsi="Times New Roman" w:cs="Times New Roman"/>
        </w:rPr>
        <w:t xml:space="preserve"> incident light intensity has been correlated with a linear deposition rate of 5 mm/s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[109]</w:t>
      </w:r>
      <w:r w:rsidRPr="00913500">
        <w:rPr>
          <w:rFonts w:ascii="Times New Roman" w:hAnsi="Times New Roman" w:cs="Times New Roman"/>
        </w:rPr>
        <w:fldChar w:fldCharType="end"/>
      </w:r>
      <w:r w:rsidRPr="00913500">
        <w:rPr>
          <w:rFonts w:ascii="Times New Roman" w:hAnsi="Times New Roman" w:cs="Times New Roman"/>
        </w:rPr>
        <w:t xml:space="preserve">.  </w:t>
      </w:r>
    </w:p>
    <w:p w14:paraId="717271DE" w14:textId="77777777" w:rsidR="00913500" w:rsidRPr="00913500" w:rsidRDefault="00913500" w:rsidP="00913500">
      <w:pPr>
        <w:spacing w:line="360" w:lineRule="auto"/>
        <w:rPr>
          <w:rFonts w:ascii="Times New Roman" w:hAnsi="Times New Roman" w:cs="Times New Roman"/>
        </w:rPr>
      </w:pPr>
    </w:p>
    <w:p w14:paraId="6EE75F77" w14:textId="278DC12F"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In selecting PIs, the peak light-absorbing wavelengths of the PI are often matched to the peak wavelengths for the lamp output to maximize photoinitiation rates (see Equation 1).  The two primary options for UV lamps systems are mercury vapor lamps and UV LED lamps.  The latter are ideal for LFAM because they are more compact and can cycle rapidly without a ‘warm-up’ period to achieve peak output intensity.  UV LED lamps are predominantly available in the UVA emission range (320 to 400 nm). Phosphine oxides such as TPO, TPO-L, and BAPO all absorb light in the UVA range and are photobleaching, making them strong candidates for thick polymer systems (e.g., greater than 0.5 mm).  BAPO, in particular, is less sensitive to styrene and is commonly used in photopolymer formulations for curing fiberglass-reinforced composites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review","type":"article-journal","volume":"27"},"uris":["http://www.mendeley.com/documents/?uuid=a2abd0e2-3c93-32d8-97d9-bdd80fb4c950"]},{"id":"ITEM-2","itemData":{"abstract":"The pultrusion process is well-known as a versatile, cost-effective composites manufacturing process, and the utilization of photocure techniques with the pultrusion process offers an area for additional development. Photoinitiated resins offer the potential for increased process efficiency because they are not limited by the rate of heat transfer from the heated die to the resin. However, the use of photoinitiated resins with the pultru-sion process is complicated by the need to reach a level of cure as the fiber/resin mass moves through the enclosed pultrusion die. Reaching a proper level of cure while inside the die is necessary since the pressure developed within the die influences the consolidation of the fiber/resin mass. However, the closed pultrusion die makes it difficult to expose the photoinitiated resin to UV energy as it travels through the pultrusion die. Patent and literature searches reveal that various proprietary techniques have been developed in attempts to apply the benefits offered by photoinitiated resins to the pultrusion process [7-17]. To accommodate the requirement of having the photoinitiated resin exposed to UV energy of the appropriate wavelength to initiate cure, the use of special tooling such as UV transmittent materials for the die [7, 8, 15] or metal dies that incorporate fiber optic cables to transmit the UV light to the interior of the die [10] have been examined. Based on the patents and published reports concerning the use of photoinitiated resins with the pultrusion process, it is apparent that there is significant interest in the possibility of taking advantage of the characteristics offered by photoinitiated resins such as rapid cure in conjunction with the process advantages offered by the pultrusion process. However, one limitation associated with all of these approaches to photocure pultrusion is the need for special tooling and special pultrusion equipment. Abstract The rapid cure that occurs when photointiated resins are exposed to light of the appropriate wavelength offers the potential for the use of photocure to improve the processing efficiency for the pultrusion process. The objective of this research is to demonstrate the feasibility of a photocure pultrusion process that utilizes standard pultrusion tooling and equipment. In order to accomplish this objective, a hybrid thermal/photo initiator process which uses photocure to supplement standard thermal cure was developed. Results demonstrate the potent…","author":[{"dropping-particle":"","family":"Lackey","given":"Ellen","non-dropping-particle":"","parse-names":false,"suffix":""},{"dropping-particle":"","family":"Vaughan","given":"James G","non-dropping-particle":"","parse-names":false,"suffix":""}],"container-title":"Convention and Trade Show Composites Fabricators Association","id":"ITEM-2","issued":{"date-parts":[["2003"]]},"publisher-place":"California","title":"Enhanced Pultrusion Using Photocure to Supplement Standard Thermal Cure","type":"paper-conference"},"uris":["http://www.mendeley.com/documents/?uuid=c85f993f-7086-32b4-bff6-275a21586fb6"]},{"id":"ITEM-3","itemData":{"DOI":"10.1016/j.compositesb.2015.11.027","ISSN":"13598368","author":[{"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Engineering","id":"ITEM-3","issued":{"date-parts":[["2016","3"]]},"page":"9-17","title":"The effect of process parameters on ultraviolet cured out of die bent pultrusion process","type":"article-journal","volume":"89"},"uris":["http://www.mendeley.com/documents/?uuid=3c4df06a-3699-378b-aca0-2331dd8dc794"]},{"id":"ITEM-4","itemData":{"DOI":"10.1016/j.compositesb.2015.04.044","ISSN":"13598368","abstract":"In this paper the out of die ultraviolet (UV) cured pultrusion for manufacturing impact automotive energy absorbing parts has been analysed. Aspects such as the UV source, pultrusion process variables and final mechanical and physical properties of the pultruted parts have been studied. The measured maximum pulling force in the die was approximately 80 N. The parts cured with high intensity UV LED sources present low void concentration and almost no expansion at the exit of the die. The parts cured with the traditional UV arc lamp have an expansion of 20% of the expected thickness and hence, high void concentration. The less expansion at the exit of the die is translated into an improvement of 26% in the interlaminar properties and in 8% in the energy absorbing capability of the UV LED cured parts.","author":[{"dropping-particle":"","family":"Tena","given":"I.","non-dropping-particle":"","parse-names":false,"suffix":""},{"dropping-particle":"","family":"Esnaola","given":"A.","non-dropping-particle":"","parse-names":false,"suffix":""},{"dropping-particle":"","family":"Sarrionandia","given":"M.","non-dropping-particle":"","parse-names":false,"suffix":""},{"dropping-particle":"","family":"Ulacia","given":"I.","non-dropping-particle":"","parse-names":false,"suffix":""},{"dropping-particle":"","family":"Torre","given":"J.","non-dropping-particle":"","parse-names":false,"suffix":""},{"dropping-particle":"","family":"Aurrekoetxea","given":"J.","non-dropping-particle":"","parse-names":false,"suffix":""}],"container-title":"Composites Part B: Engineering","id":"ITEM-4","issued":{"date-parts":[["2015","5","17"]]},"page":"209-216","publisher":"Elsevier Ltd","title":"Out of die ultraviolet cured pultrusion for automotive crash structures","type":"article-journal","volume":"79"},"uris":["http://www.mendeley.com/documents/?uuid=474ae61f-ac9a-3c20-bea8-647a1c5d4478"]}],"mendeley":{"formattedCitation":"[22], [114], [125], [126]","plainTextFormattedCitation":"[22], [114], [125], [126]","previouslyFormattedCitation":"[22], [114], [125], [126]"},"properties":{"noteIndex":0},"schema":"https://github.com/citation-style-language/schema/raw/master/csl-citation.json"}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[22], [114], [125], [126]</w:t>
      </w:r>
      <w:r w:rsidRPr="00913500">
        <w:rPr>
          <w:rFonts w:ascii="Times New Roman" w:hAnsi="Times New Roman" w:cs="Times New Roman"/>
        </w:rPr>
        <w:fldChar w:fldCharType="end"/>
      </w:r>
      <w:r w:rsidRPr="00913500">
        <w:rPr>
          <w:rFonts w:ascii="Times New Roman" w:hAnsi="Times New Roman" w:cs="Times New Roman"/>
        </w:rPr>
        <w:t xml:space="preserve">.  </w:t>
      </w:r>
    </w:p>
    <w:p w14:paraId="3506306E" w14:textId="77777777" w:rsidR="00913500" w:rsidRPr="00913500" w:rsidRDefault="00913500" w:rsidP="00913500">
      <w:pPr>
        <w:spacing w:line="360" w:lineRule="auto"/>
        <w:rPr>
          <w:rFonts w:ascii="Times New Roman" w:hAnsi="Times New Roman" w:cs="Times New Roman"/>
        </w:rPr>
      </w:pPr>
    </w:p>
    <w:p w14:paraId="3D465C8E" w14:textId="19222434"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While selecting a UVA lamp system improves light penetration depth, the PI type and PI concentration also strongly influence light penetration and cure kinetics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[23]</w:t>
      </w:r>
      <w:r w:rsidRPr="00913500">
        <w:rPr>
          <w:rFonts w:ascii="Times New Roman" w:hAnsi="Times New Roman" w:cs="Times New Roman"/>
        </w:rPr>
        <w:fldChar w:fldCharType="end"/>
      </w:r>
      <w:r w:rsidRPr="00913500">
        <w:rPr>
          <w:rFonts w:ascii="Times New Roman" w:hAnsi="Times New Roman" w:cs="Times New Roman"/>
        </w:rPr>
        <w:t>.  High PI concentration can block light from penetrating deeper into a polymer, creating a cure gradient</w:t>
      </w:r>
      <w:r w:rsidR="001476CF">
        <w:rPr>
          <w:rFonts w:ascii="Times New Roman" w:hAnsi="Times New Roman" w:cs="Times New Roman"/>
        </w:rPr>
        <w:t xml:space="preserve"> </w:t>
      </w:r>
      <w:r w:rsidR="001476CF">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{"citationItems":[{"id":"ITEM-1","itemData":{"DOI":"10.1039/c3an36869f","ISSN":"13645528","abstract":"Published approaches to analyze the kinetics of radical photo-polymerization are mainly based on in situ IR or Raman measurements. But these techniques only monitor the monomer decay. Additional information particularly about solidification cannot be obtained with these methods. Electron spin resonance, ESR, spectroscopy allows monitoring of radicals. The presented investigation gives an introduction to additional applications of ESR to monitor the solidification of multifunctional acrylic esters by successive in situ irradiation. This general approach to monitor the termination rate of the midchain radical which is not involved in propagation but whose lifetime is correlated via mobility with the solidification which is demonstrated with a set of commercially available multifunctional resins without an initiator. A detailed analysis of ESR signals is required to prove that the presented method is applicable for acrylic esters and to clarify published contradictory statements. The properties and the curing of the resins are characterized by additional methods, such as UV-Vis and Raman spectroscopy. The first results based on this innovative technique indicate that the functionality of the ester group has a significant and, most of all, measurable effect on the mobility of the small reactive molecules within the cured(-ing) polymer.© 2013 The Royal Society of Chemistry.","author":[{"dropping-particle":"","family":"Schmitt","given":"Michael","non-dropping-particle":"","parse-names":false,"suffix":""}],"container-title":"Analyst","id":"ITEM-1","issue":"13","issued":{"date-parts":[["2013","7","7"]]},"page":"3758-3770","publisher":"Royal Society of Chemistry","title":"Introduction to analyzing the solidification of multifunctional acrylic esters by ESR","type":"article-journal","volume":"138"},"uris":["http://www.mendeley.com/documents/?uuid=7f97a3c6-c7f4-3f9b-820b-90890a18f2a0"]},{"id":"ITEM-2","itemData":{"DOI":"10.1002/pi.2047","abstract":"A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light","type":"article-journal","volume":"55"},"uris":["http://www.mendeley.com/documents/?uuid=74060935-a9be-39b6-9a7d-fbe6cce6878e"]},{"id":"ITEM-3","itemData":{"DOI":"10.1002/pi.2455","abstract":"BACKGROUND: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Int","id":"ITEM-3","issued":{"date-parts":[["2008"]]},"page":"1134-1140","title":"Spatial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lamps","type":"article-journal","volume":"57"},"uris":["http://www.mendeley.com/documents/?uuid=718d6e70-452b-369b-9baf-1694b00baaa2"]}],"mendeley":{"formattedCitation":"[41], [107], [112]","plainTextFormattedCitation":"[41], [107], [112]","previouslyFormattedCitation":"[41], [107], [112]"},"properties":{"noteIndex":0},"schema":"https://github.com/citation-style-language/schema/raw/master/csl-citation.json"}</w:instrText>
      </w:r>
      <w:r w:rsidR="001476CF">
        <w:rPr>
          <w:rFonts w:ascii="Times New Roman" w:hAnsi="Times New Roman" w:cs="Times New Roman"/>
        </w:rPr>
        <w:fldChar w:fldCharType="separate"/>
      </w:r>
      <w:r w:rsidR="00280E34" w:rsidRPr="00280E34">
        <w:rPr>
          <w:rFonts w:ascii="Times New Roman" w:hAnsi="Times New Roman" w:cs="Times New Roman"/>
          <w:noProof/>
        </w:rPr>
        <w:t>[41], [107], [112]</w:t>
      </w:r>
      <w:r w:rsidR="001476CF">
        <w:rPr>
          <w:rFonts w:ascii="Times New Roman" w:hAnsi="Times New Roman" w:cs="Times New Roman"/>
        </w:rPr>
        <w:fldChar w:fldCharType="end"/>
      </w:r>
      <w:r w:rsidR="001476CF">
        <w:rPr>
          <w:rFonts w:ascii="Times New Roman" w:hAnsi="Times New Roman" w:cs="Times New Roman"/>
        </w:rPr>
        <w:t>.</w:t>
      </w:r>
      <w:r w:rsidRPr="00913500">
        <w:rPr>
          <w:rFonts w:ascii="Times New Roman" w:hAnsi="Times New Roman" w:cs="Times New Roman"/>
        </w:rPr>
        <w:t xml:space="preserve">  The ideal PI concentration varies for a given formulation and desired depth of cure. Lee et al. reported cured gel thickness increased up to 1.2 mm as PI concentration reduced from 0.25 wt% to 0.02 wt% and UV dose increased from 0.9 J/cm</w:t>
      </w:r>
      <w:r w:rsidRPr="00913500">
        <w:rPr>
          <w:rFonts w:ascii="Times New Roman" w:hAnsi="Times New Roman" w:cs="Times New Roman"/>
          <w:vertAlign w:val="superscript"/>
        </w:rPr>
        <w:t>2</w:t>
      </w:r>
      <w:r w:rsidRPr="00913500">
        <w:rPr>
          <w:rFonts w:ascii="Times New Roman" w:hAnsi="Times New Roman" w:cs="Times New Roman"/>
        </w:rPr>
        <w:t xml:space="preserve"> to 22.3 J/cm</w:t>
      </w:r>
      <w:r w:rsidRPr="00913500">
        <w:rPr>
          <w:rFonts w:ascii="Times New Roman" w:hAnsi="Times New Roman" w:cs="Times New Roman"/>
          <w:vertAlign w:val="superscript"/>
        </w:rPr>
        <w:t xml:space="preserve">2 </w:t>
      </w:r>
      <w:r w:rsidR="00B11D4E">
        <w:rPr>
          <w:rFonts w:ascii="Times New Roman" w:hAnsi="Times New Roman" w:cs="Times New Roman"/>
          <w:vertAlign w:val="superscript"/>
        </w:rPr>
        <w:fldChar w:fldCharType="begin" w:fldLock="1"/>
      </w:r>
      <w:r w:rsidR="00280E34">
        <w:rPr>
          <w:rFonts w:ascii="Times New Roman" w:hAnsi="Times New Roman" w:cs="Times New Roman"/>
          <w:vertAlign w:val="superscript"/>
        </w:rPr>
        <w:instrText>ADDIN CSL_CITATION {"citationItems":[{"id":"ITEM-1","itemData":{"abstract":"The depth of photocuring for a model resin system was investigated as a function of photoinitiator concentration. Direct measurements of gel thickness were made from thin films of cross-linked multifunctional methacrylate monomer. The monomer, 2,2-bis{4-[2-hydroxy-3-(methacryloxy)propoxy]phenyl}propane, was polymerized in a solution of trichloroethylene with an ultraviolet laser light source at 325 nm. The monomer solutions were photocured using varying levels of both photonic energy and photoinitiator concentration. An optimal photoinitiator concentration that maximized the gel cure depth was observed. Additionally, two regimes were shown to exist in which the shrinkage (upon solvent removal) was minimized or maximized. A model was developed to probe the physics of the system. Good agreement with experiment was obtained, and the model may be employed to predict both the existence and location of the optimal photoinitiator concentration and the corresponding cure depth. The study showed that photoinitiator plays a significant role in controlling the quality and performance of the formed gel network, with special regard to thickness of cured layers. This has potential application to fields as diverse as industrially cured coatings and dental fillings, and more generally, 3-dimensional rapid prototyping techniques.","author":[{"dropping-particle":"","family":"Lee","given":"Jim H","non-dropping-particle":"","parse-names":false,"suffix":""},{"dropping-particle":"","family":"Prud'homme","given":"Robert K","non-dropping-particle":"","parse-names":false,"suffix":""},{"dropping-particle":"","family":"Aksay","given":"Ilhan A","non-dropping-particle":"","parse-names":false,"suffix":""}],"id":"ITEM-1","issued":{"date-parts":[["2001"]]},"title":"Cure depth in photopolymerization: Experiments and theory","type":"article-journal"},"uris":["http://www.mendeley.com/documents/?uuid=754470f2-7e16-3d31-9363-70bb107a0d1f"]}],"mendeley":{"formattedCitation":"[127]","plainTextFormattedCitation":"[127]","previouslyFormattedCitation":"[127]"},"properties":{"noteIndex":0},"schema":"https://github.com/citation-style-language/schema/raw/master/csl-citation.json"}</w:instrText>
      </w:r>
      <w:r w:rsidR="00B11D4E">
        <w:rPr>
          <w:rFonts w:ascii="Times New Roman" w:hAnsi="Times New Roman" w:cs="Times New Roman"/>
          <w:vertAlign w:val="superscript"/>
        </w:rPr>
        <w:fldChar w:fldCharType="separate"/>
      </w:r>
      <w:r w:rsidR="00280E34" w:rsidRPr="00280E34">
        <w:rPr>
          <w:rFonts w:ascii="Times New Roman" w:hAnsi="Times New Roman" w:cs="Times New Roman"/>
          <w:noProof/>
        </w:rPr>
        <w:t>[127]</w:t>
      </w:r>
      <w:r w:rsidR="00B11D4E">
        <w:rPr>
          <w:rFonts w:ascii="Times New Roman" w:hAnsi="Times New Roman" w:cs="Times New Roman"/>
          <w:vertAlign w:val="superscript"/>
        </w:rPr>
        <w:fldChar w:fldCharType="end"/>
      </w:r>
      <w:r w:rsidRPr="00913500">
        <w:rPr>
          <w:rFonts w:ascii="Times New Roman" w:hAnsi="Times New Roman" w:cs="Times New Roman"/>
        </w:rPr>
        <w:t xml:space="preserve">. Lecamp et al. found that a dimethacrylate oligomer with Darocur </w:t>
      </w:r>
      <w:r w:rsidRPr="00913500">
        <w:rPr>
          <w:rFonts w:ascii="Times New Roman" w:hAnsi="Times New Roman" w:cs="Times New Roman"/>
        </w:rPr>
        <w:lastRenderedPageBreak/>
        <w:t xml:space="preserve">1173 cured in thin films exhibited an increased conversion rate with increasing PI concentration up to 1.25 wt% but achieved peak ultimate conversion at 0.75 wt% </w:t>
      </w:r>
      <w:r w:rsidR="00CB1BED">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{"citationItems":[{"id":"ITEM-1","itemData":{"DOI":"10.1016/S0032-3861(97)00184-5","ISSN":"00323861","abstract":"The photoinitiated polymerization of dimethacrylate oligomer with 2,2-dimethyl-2-hydroxy acetophenone (Darocur 1173) as radical photoinitiator was studied by using isothermal photocalorimetry. The effect of temperature, light intensity and photoinitiator concentration on reaction was investigated. The maximum conversion was obtained at temperature near 90°C. This temperature is above the glass transition temperature of the resulting material and below the thermal polymerization temperature of the reacting system. Above 90°C, thermal polymerization interferes on photocalorimetric measures. Assuming that glass transition temperature of the final polymer and conversion are connected, we have estimated thermal conversion. A maximum conversion was obtained for a photoinitiator concentration of 1 % (w/w) and for the highest light intensity studied (2.7 mW cm-2). © 1997 Elsevier Science Ltd.","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-1","issue":"25","issued":{"date-parts":[["1997","1","1"]]},"page":"6089-6096","publisher":"Elsevier BV","title":"Photoinitiated polymerization of a dimethacrylate oligomer: 1. Influence of photoinitiator concentration, temperature and light intensity","type":"article-journal","volume":"38"},"uris":["http://www.mendeley.com/documents/?uuid=b6a3e6c5-9113-392e-9916-b54352b8c0b3"]}],"mendeley":{"formattedCitation":"[49]","plainTextFormattedCitation":"[49]","previouslyFormattedCitation":"[49]"},"properties":{"noteIndex":0},"schema":"https://github.com/citation-style-language/schema/raw/master/csl-citation.json"}</w:instrText>
      </w:r>
      <w:r w:rsidR="00CB1BED">
        <w:rPr>
          <w:rFonts w:ascii="Times New Roman" w:hAnsi="Times New Roman" w:cs="Times New Roman"/>
        </w:rPr>
        <w:fldChar w:fldCharType="separate"/>
      </w:r>
      <w:r w:rsidR="00115FB0" w:rsidRPr="00115FB0">
        <w:rPr>
          <w:rFonts w:ascii="Times New Roman" w:hAnsi="Times New Roman" w:cs="Times New Roman"/>
          <w:noProof/>
        </w:rPr>
        <w:t>[49]</w:t>
      </w:r>
      <w:r w:rsidR="00CB1BED">
        <w:rPr>
          <w:rFonts w:ascii="Times New Roman" w:hAnsi="Times New Roman" w:cs="Times New Roman"/>
        </w:rPr>
        <w:fldChar w:fldCharType="end"/>
      </w:r>
      <w:r w:rsidRPr="00913500">
        <w:rPr>
          <w:rFonts w:ascii="Times New Roman" w:hAnsi="Times New Roman" w:cs="Times New Roman"/>
        </w:rPr>
        <w:t>.  However, Lecamp et al. also reported that as PI concentration was reduced below 0.75 wt%, the ultimate degree of conversion and resulting glass transition temperature (T</w:t>
      </w:r>
      <w:r w:rsidRPr="00913500">
        <w:rPr>
          <w:rFonts w:ascii="Times New Roman" w:hAnsi="Times New Roman" w:cs="Times New Roman"/>
          <w:vertAlign w:val="subscript"/>
        </w:rPr>
        <w:t>g</w:t>
      </w:r>
      <w:r w:rsidRPr="00913500">
        <w:rPr>
          <w:rFonts w:ascii="Times New Roman" w:hAnsi="Times New Roman" w:cs="Times New Roman"/>
        </w:rPr>
        <w:t>)</w:t>
      </w:r>
      <w:r w:rsidRPr="00913500">
        <w:rPr>
          <w:rFonts w:ascii="Times New Roman" w:hAnsi="Times New Roman" w:cs="Times New Roman"/>
          <w:vertAlign w:val="subscript"/>
        </w:rPr>
        <w:t xml:space="preserve"> </w:t>
      </w:r>
      <w:r w:rsidRPr="00913500">
        <w:rPr>
          <w:rFonts w:ascii="Times New Roman" w:hAnsi="Times New Roman" w:cs="Times New Roman"/>
        </w:rPr>
        <w:t xml:space="preserve">dropped.  PI concentration must therefore achieve a balance in a thick polymer system.  Decreasing PI concentration can improve the depth of cure but can also lead to incomplete curing </w:t>
      </w:r>
      <w:r w:rsidR="00724186">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{"citationItems":[{"id":"ITEM-1","itemData":{"DOI":"10.3390/POLYM12061291","abstract":"Photopolymerization offers substantial advantages in terms of time, temperature, energy consumption, and spatial control of the initiation. The application however is strongly limited due to the constrained penetration of light into thick films. Strategies to overcome the problem of limited curing depth, as well as to improve the curing of shadow areas, involve dual curing, frontal polymerization, and upconversion of particles. Whereas excellent results have been accomplished applying photofrontal polymerization on a theoretical level, few studies report on practical applications achieving high curing depth within short time. This study aims to investigate the potential of photofrontal polymerization, performed only with photoinitiator and light, for the fast and easy production of several-centimeter-thick (meth)acrylic layers. Monomer/ initiator systems were evaluated with respect to their optical density as well as photobleaching behavior. Moreover, depth-dependent polymerization was studied in specimens of varying monomer ratio and photoinitiator concentration. When an ideal photoinitiator concentration was selected, curing up to 52 mm in depth was accomplished within minutes.","author":[{"dropping-particle":"","family":"Ebner","given":"Catharina","non-dropping-particle":"","parse-names":false,"suffix":""},{"dropping-particle":"","family":"Mitterer","given":"Julia","non-dropping-particle":"","parse-names":false,"suffix":""},{"dropping-particle":"","family":"Eigruber","given":"Paul","non-dropping-particle":"","parse-names":false,"suffix":""},{"dropping-particle":"","family":"Stieger","given":"Sebastian","non-dropping-particle":"","parse-names":false,"suffix":""},{"dropping-particle":"","family":"Riess","given":"Gisbert","non-dropping-particle":"","parse-names":false,"suffix":""},{"dropping-particle":"","family":"Kern","given":"Wolfgang","non-dropping-particle":"","parse-names":false,"suffix":""}],"container-title":"Polymers 2020, Vol. 12, Page 1291","id":"ITEM-1","issue":"6","issued":{"date-parts":[["2020","6","4"]]},"page":"1291","publisher":"Multidisciplinary Digital Publishing Institute","title":"Ultra-High Through-Cure of (Meth)Acrylate Copolymers via Photofrontal Polymerization","type":"article-journal","volume":"12"},"uris":["http://www.mendeley.com/documents/?uuid=fcf84c71-697c-32af-afe9-5a7bc40264a8"]}],"mendeley":{"formattedCitation":"[119]","plainTextFormattedCitation":"[119]","previouslyFormattedCitation":"[119]"},"properties":{"noteIndex":0},"schema":"https://github.com/citation-style-language/schema/raw/master/csl-citation.json"}</w:instrText>
      </w:r>
      <w:r w:rsidR="00724186">
        <w:rPr>
          <w:rFonts w:ascii="Times New Roman" w:hAnsi="Times New Roman" w:cs="Times New Roman"/>
        </w:rPr>
        <w:fldChar w:fldCharType="separate"/>
      </w:r>
      <w:r w:rsidR="00280E34" w:rsidRPr="00280E34">
        <w:rPr>
          <w:rFonts w:ascii="Times New Roman" w:hAnsi="Times New Roman" w:cs="Times New Roman"/>
          <w:noProof/>
        </w:rPr>
        <w:t>[119]</w:t>
      </w:r>
      <w:r w:rsidR="00724186">
        <w:rPr>
          <w:rFonts w:ascii="Times New Roman" w:hAnsi="Times New Roman" w:cs="Times New Roman"/>
        </w:rPr>
        <w:fldChar w:fldCharType="end"/>
      </w:r>
      <w:r w:rsidRPr="00913500">
        <w:rPr>
          <w:rFonts w:ascii="Times New Roman" w:hAnsi="Times New Roman" w:cs="Times New Roman"/>
        </w:rPr>
        <w:t xml:space="preserve"> and poor surface cure </w:t>
      </w:r>
      <w:r w:rsidR="00724186">
        <w:rPr>
          <w:rFonts w:ascii="Times New Roman" w:hAnsi="Times New Roman" w:cs="Times New Roman"/>
        </w:rPr>
        <w:fldChar w:fldCharType="begin" w:fldLock="1"/>
      </w:r>
      <w:r w:rsidR="00C048C5">
        <w:rPr>
          <w:rFonts w:ascii="Times New Roman" w:hAnsi="Times New Roman" w:cs="Times New Roman"/>
        </w:rPr>
        <w:instrText>ADDIN CSL_CITATION {"citationItems":[{"id":"ITEM-1","itemData":{"author":[{"dropping-particle":"","family":"Greene","given":"W. Arthur","non-dropping-particle":"","parse-names":false,"suffix":""}],"edition":"1","id":"ITEM-1","issued":{"date-parts":[["2010"]]},"number-of-pages":"288","publisher":"Taylor &amp; Francis","publisher-place":"Boca Raton","title":"Industrial Photoinitiators","type":"book"},"uris":["http://www.mendeley.com/documents/?uuid=65ca02a4-58fe-44a4-9fc5-70da5083d62a"]}],"mendeley":{"formattedCitation":"[23]","plainTextFormattedCitation":"[23]","previouslyFormattedCitation":"[23]"},"properties":{"noteIndex":0},"schema":"https://github.com/citation-style-language/schema/raw/master/csl-citation.json"}</w:instrText>
      </w:r>
      <w:r w:rsidR="00724186">
        <w:rPr>
          <w:rFonts w:ascii="Times New Roman" w:hAnsi="Times New Roman" w:cs="Times New Roman"/>
        </w:rPr>
        <w:fldChar w:fldCharType="separate"/>
      </w:r>
      <w:r w:rsidR="00724186" w:rsidRPr="00724186">
        <w:rPr>
          <w:rFonts w:ascii="Times New Roman" w:hAnsi="Times New Roman" w:cs="Times New Roman"/>
          <w:noProof/>
        </w:rPr>
        <w:t>[23]</w:t>
      </w:r>
      <w:r w:rsidR="00724186">
        <w:rPr>
          <w:rFonts w:ascii="Times New Roman" w:hAnsi="Times New Roman" w:cs="Times New Roman"/>
        </w:rPr>
        <w:fldChar w:fldCharType="end"/>
      </w:r>
      <w:r w:rsidRPr="00913500">
        <w:rPr>
          <w:rFonts w:ascii="Times New Roman" w:hAnsi="Times New Roman" w:cs="Times New Roman"/>
        </w:rPr>
        <w:t xml:space="preserve">.  </w:t>
      </w:r>
    </w:p>
    <w:p w14:paraId="4E75EC6B" w14:textId="77777777" w:rsidR="00913500" w:rsidRPr="00913500" w:rsidRDefault="00913500" w:rsidP="00913500">
      <w:pPr>
        <w:spacing w:line="360" w:lineRule="auto"/>
        <w:rPr>
          <w:rFonts w:ascii="Times New Roman" w:hAnsi="Times New Roman" w:cs="Times New Roman"/>
        </w:rPr>
      </w:pPr>
    </w:p>
    <w:p w14:paraId="4F598508" w14:textId="09CCD881"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An optical model utilizes the Beer-Lambert Law to predict the light intensity and free radical initiation rates within a photopolymer system.  Several optical models have been proposed using experimental inputs such as PI molar absorptivity, polymer absorptivity, PI concentration, incident light intensity.  These values can be obtained by standard test methods such as UV-Vis spectroscopy and radiometry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light","type":"article-journal","volume":"55"},"uris":["http://www.mendeley.com/documents/?uuid=74060935-a9be-39b6-9a7d-fbe6cce6878e"]}],"mendeley":{"formattedCitation":"[41], [107]","plainTextFormattedCitation":"[41], [107]","previouslyFormattedCitation":"[41], [107]"},"properties":{"noteIndex":0},"schema":"https://github.com/citation-style-language/schema/raw/master/csl-citation.json"}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[41], [107]</w:t>
      </w:r>
      <w:r w:rsidRPr="00913500">
        <w:rPr>
          <w:rFonts w:ascii="Times New Roman" w:hAnsi="Times New Roman" w:cs="Times New Roman"/>
        </w:rPr>
        <w:fldChar w:fldCharType="end"/>
      </w:r>
      <w:r w:rsidRPr="00913500">
        <w:rPr>
          <w:rFonts w:ascii="Times New Roman" w:hAnsi="Times New Roman" w:cs="Times New Roman"/>
        </w:rPr>
        <w:t xml:space="preserve">.  Because an optical model does not require formulation work to implement, it may be helpful as a potential formulation screening tool in predicting the effect of PI selection and concentration for a given light input and desired cure depth.  The Kenning optical model has been selected for the present study because of its suitability for polychromatic light sources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light","type":"article-journal","volume":"55"},"uris":["http://www.mendeley.com/documents/?uuid=74060935-a9be-39b6-9a7d-fbe6cce6878e"]}],"mendeley":{"formattedCitation":"[41], [107]","plainTextFormattedCitation":"[41], [107]","previouslyFormattedCitation":"[41], [107]"},"properties":{"noteIndex":0},"schema":"https://github.com/citation-style-language/schema/raw/master/csl-citation.json"}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[41], [107]</w:t>
      </w:r>
      <w:r w:rsidRPr="00913500">
        <w:rPr>
          <w:rFonts w:ascii="Times New Roman" w:hAnsi="Times New Roman" w:cs="Times New Roman"/>
        </w:rPr>
        <w:fldChar w:fldCharType="end"/>
      </w:r>
      <w:r w:rsidRPr="00913500">
        <w:rPr>
          <w:rFonts w:ascii="Times New Roman" w:hAnsi="Times New Roman" w:cs="Times New Roman"/>
        </w:rPr>
        <w:t xml:space="preserve">.   The Kenning model builds on Ivanov and Decker's initially proposed model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{"citationItems":[{"id":"ITEM-1","itemData":{"abstract":"The frontal polymerization of a monomer exposed continuously to UV radiation in the presence of a photobleachable initiator has been studied on the basis of the rate equations. The time dependence of photoinitiator concentration pro®le and that of monomer conversion within the irradiated sample have been calculated, assuming steady-state conditions. It is thus possible to visualize how fast the polymerization pro®le is moving within the sample and how effectively the polymerization of a monomer layer located at a given distance from the surface proceeds upon exposure to UV radiation.","author":[{"dropping-particle":"V","family":"Ivanov","given":"Vladimir","non-dropping-particle":"","parse-names":false,"suffix":""},{"dropping-particle":"","family":"Decker","given":"Christian","non-dropping-particle":"","parse-names":false,"suffix":""}],"id":"ITEM-1","issued":{"date-parts":[["0"]]},"title":"Kinetic study of photoinitiated frontal polymerization","type":"article-journal"},"uris":["http://www.mendeley.com/documents/?uuid=31fb4922-0a7e-3339-a4b5-eeab18ca697b"]}],"mendeley":{"formattedCitation":"[128]","plainTextFormattedCitation":"[128]","previouslyFormattedCitation":"[128]"},"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[128]</w:t>
      </w:r>
      <w:r w:rsidRPr="00913500">
        <w:rPr>
          <w:rFonts w:ascii="Times New Roman" w:hAnsi="Times New Roman" w:cs="Times New Roman"/>
        </w:rPr>
        <w:fldChar w:fldCharType="end"/>
      </w:r>
      <w:r w:rsidRPr="00913500">
        <w:rPr>
          <w:rFonts w:ascii="Times New Roman" w:hAnsi="Times New Roman" w:cs="Times New Roman"/>
        </w:rPr>
        <w:t xml:space="preserve"> based on the Beer-Lambert Law, which predicted the optical density (i.e., absorbance) at a given depth in the polymer based on PI concentration and PI molar absorptivity.  This model was later expanded by Miller et al.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Chem","id":"ITEM-1","issued":{"date-parts":[["2002"]]},"page":"793-808","title":"Modeling of Photobleaching for the Photoinitiation of Thick Polymerization Systems","type":"article-journal","volume":"40"},"uris":["http://www.mendeley.com/documents/?uuid=1be3ef49-2c86-3605-abc9-a29c2fff38fe"]}],"mendeley":{"formattedCitation":"[36]","plainTextFormattedCitation":"[36]","previouslyFormattedCitation":"[36]"},"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[36]</w:t>
      </w:r>
      <w:r w:rsidRPr="00913500">
        <w:rPr>
          <w:rFonts w:ascii="Times New Roman" w:hAnsi="Times New Roman" w:cs="Times New Roman"/>
        </w:rPr>
        <w:fldChar w:fldCharType="end"/>
      </w:r>
      <w:r w:rsidRPr="00913500">
        <w:rPr>
          <w:rFonts w:ascii="Times New Roman" w:hAnsi="Times New Roman" w:cs="Times New Roman"/>
        </w:rPr>
        <w:t xml:space="preserve"> to account for light attenuation due to the polymer and photolysis byproducts.  The Ivanov/Decker and Miller models assumed monochromatic light sources, but Kenning expanded the Miller model to include polychromatic light sources. As with the previous models, the Kenning model predicts light intensity throughout a polymer at a given irradiation time, and by extension, it also predicts rates of free-radical generation</w:t>
      </w:r>
      <w:r w:rsidR="00EC7405">
        <w:rPr>
          <w:rFonts w:ascii="Times New Roman" w:hAnsi="Times New Roman" w:cs="Times New Roman"/>
        </w:rPr>
        <w:t xml:space="preserve"> </w:t>
      </w:r>
      <w:r w:rsidRPr="00913500">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-1","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mendeley":{"formattedCitation":"[45]","plainTextFormattedCitation":"[45]","previouslyFormattedCitation":"[45]"},"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[45]</w:t>
      </w:r>
      <w:r w:rsidRPr="00913500">
        <w:rPr>
          <w:rFonts w:ascii="Times New Roman" w:hAnsi="Times New Roman" w:cs="Times New Roman"/>
        </w:rPr>
        <w:fldChar w:fldCharType="end"/>
      </w:r>
      <w:r w:rsidRPr="00913500">
        <w:rPr>
          <w:rFonts w:ascii="Times New Roman" w:hAnsi="Times New Roman" w:cs="Times New Roman"/>
        </w:rPr>
        <w:t xml:space="preserve">.  Because free-radical generation initiates the curing reaction, the Kenning model may provide an indirect means of pre-screening a series of formulations for potential cure response under irradiation from the polychromatic UV LED system in the present study.  To the author’s knowledge, no prior studies have attempted to use the Kenning optical model as a screening tool for </w:t>
      </w:r>
      <w:r w:rsidRPr="00913500">
        <w:rPr>
          <w:rFonts w:ascii="Times New Roman" w:hAnsi="Times New Roman" w:cs="Times New Roman"/>
        </w:rPr>
        <w:lastRenderedPageBreak/>
        <w:t>formulations in LFAM or other high-intensity (&gt;100 mW/cm</w:t>
      </w:r>
      <w:r w:rsidRPr="00913500">
        <w:rPr>
          <w:rFonts w:ascii="Times New Roman" w:hAnsi="Times New Roman" w:cs="Times New Roman"/>
          <w:vertAlign w:val="superscript"/>
        </w:rPr>
        <w:t>2</w:t>
      </w:r>
      <w:r w:rsidRPr="00913500">
        <w:rPr>
          <w:rFonts w:ascii="Times New Roman" w:hAnsi="Times New Roman" w:cs="Times New Roman"/>
        </w:rPr>
        <w:t xml:space="preserve">), short irradiation (&gt;5 s) formulations for curing thick polymer systems.      </w:t>
      </w:r>
    </w:p>
    <w:p w14:paraId="7B88E359" w14:textId="77777777" w:rsidR="00913500" w:rsidRPr="00913500" w:rsidRDefault="00913500" w:rsidP="00913500">
      <w:pPr>
        <w:spacing w:line="360" w:lineRule="auto"/>
        <w:rPr>
          <w:rFonts w:ascii="Times New Roman" w:hAnsi="Times New Roman" w:cs="Times New Roman"/>
        </w:rPr>
      </w:pPr>
    </w:p>
    <w:p w14:paraId="38516EC1" w14:textId="6AADC52D"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While the Kenning optical model predicts free radical generation, </w:t>
      </w:r>
      <w:r w:rsidRPr="00913500">
        <w:rPr>
          <w:rFonts w:ascii="Times New Roman" w:eastAsiaTheme="minorEastAsia" w:hAnsi="Times New Roman" w:cs="Times New Roman"/>
        </w:rPr>
        <w:t>it is limited because it does not include reaction rate coefficients or temperature dependence.</w:t>
      </w:r>
      <w:r w:rsidRPr="00913500">
        <w:rPr>
          <w:rFonts w:ascii="Times New Roman" w:hAnsi="Times New Roman" w:cs="Times New Roman"/>
        </w:rPr>
        <w:t xml:space="preserve">  These factors are included in cure kinetics models, which do not predict free radical generation but instead describe the rate at which polymerization occurs.  </w:t>
      </w:r>
      <w:bookmarkStart w:id="133" w:name="_Hlk101177083"/>
      <w:r w:rsidRPr="00913500">
        <w:rPr>
          <w:rFonts w:ascii="Times New Roman" w:hAnsi="Times New Roman" w:cs="Times New Roman"/>
        </w:rPr>
        <w:t xml:space="preserve">Such models require experimental input on the extent of curing in the polymer obtained via techniques such as UV differential scanning calorimetry (Photo-DSC), Fourier-transform infrared spectroscopy (FTIR), or dielectric analysis </w:t>
      </w:r>
      <w:r w:rsidRPr="00913500">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-1","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Profiles","type":"article-journal","volume":"43"},"uris":["http://www.mendeley.com/documents/?uuid=4141b808-f33a-31ea-86a3-8be202718b9c"]},{"id":"ITEM-2","itemData":{"DOI":"10.1016/S0032-3861(98)00380-2","ISSN":"0032-3861","abstract":"The kinetic of photoinitiated polymerization of a dimethacrylate oligomer was studied by using isothermal photocalorimetry. The reaction was realized with 2,2-dimethyl-2-hydroxyacetophenone (Darocur 1173) as radical photoinitiator. Two kinetic models were applied. First, it was shown that an autocatalytic model can describe this reaction in a satisfying way. The reaction temperature does not influence the m and n orders of the reaction which were found to be constant and respectively equal to 0.8 and 2. The phenomenological rate constant k varies with temperature according to the Arrhenius law up to 80°C. Above this temperature, this law can again be checked if the initial variation of double bond concentration due to thermal polymerization is taken into account. In addition, by means of a mechanistic model, the k(p) and k(t) rate constants were calculated. Their evolution with conversion was studied at 50°C and well illustrates the importance of the reactive diffusion mechanism.","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-2","issue":"6","issued":{"date-parts":[["1999","3","1"]]},"page":"1403-1409","publisher":"Elsevier","title":"Photoinitiated polymerization of a dimethacrylate oligomer: 2. Kinetic studies","type":"article-journal","volume":"40"},"uris":["http://www.mendeley.com/documents/?uuid=6ac68280-bd35-3290-a8f2-12b5dfbef13e"]},{"id":"ITEM-3","itemData":{"DOI":"10.1016/j.compositesb.2020.107963","ISSN":"13598368","abstract":"In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Engineering","id":"ITEM-3","issued":{"date-parts":[["2020","6","15"]]},"publisher":"Elsevier Ltd","title":"An analytical model of through-thickness photopolymerisation of composites: Ultraviolet light transmission and curing kinetics","type":"article-journal","volume":"191"},"uris":["http://www.mendeley.com/documents/?uuid=5126f3a3-780b-3d9a-822f-3cadb9967a9a"]},{"id":"ITEM-4","itemData":{"DOI":"10.1016/0032-3861(94)90129-5","ISSN":"0032-3861","abstract":"The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N.","non-dropping-particle":"","parse-names":false,"suffix":""}],"container-title":"Polymer","id":"ITEM-4","issue":"15","issued":{"date-parts":[["1994","7","1"]]},"page":"3243-3250","publisher":"Elsevier","title":"Reaction behaviour and kinetic constants for photopolymerizations of multi(meth)acrylate monomers","type":"article-journal","volume":"35"},"uris":["http://www.mendeley.com/documents/?uuid=adf33ef0-b2aa-3fad-8127-8015fea71433"]}],"mendeley":{"formattedCitation":"[38], [45]–[47]","plainTextFormattedCitation":"[38], [45]–[47]","previouslyFormattedCitation":"[38], [45]–[47]"},"properties":{"noteIndex":0},"schema":"https://github.com/citation-style-language/schema/raw/master/csl-citation.json"}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[38], [45]–[47]</w:t>
      </w:r>
      <w:r w:rsidRPr="00913500">
        <w:rPr>
          <w:rFonts w:ascii="Times New Roman" w:hAnsi="Times New Roman" w:cs="Times New Roman"/>
        </w:rPr>
        <w:fldChar w:fldCharType="end"/>
      </w:r>
      <w:r w:rsidRPr="00913500">
        <w:rPr>
          <w:rFonts w:ascii="Times New Roman" w:hAnsi="Times New Roman" w:cs="Times New Roman"/>
        </w:rPr>
        <w:t xml:space="preserve">.  Of these techniques, FTIR is the most common for monitoring relative C=C bond conversion due to its capability to capture rapid reactions in real-time </w:t>
      </w:r>
      <w:r w:rsidRPr="00913500">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{"citationItems":[{"id":"ITEM-1","itemData":{"DOI":"10.1007/S10853-005-5689-Y","abstract":"Curing kinetics of UV photocurable acrylate monomer-based ceramic resins were studied using a Fourier Transform Infrared (FTIR) spectroscopy instrument with an internally-mounted UV-curing source, providing real-time quantification of the acrylate double bond conversion with respect to increasing UV dose. The results show that this Real Time FTIR experiment (RTFTIR) provides a simple but valuable means of investigating average photopolymerization kinetics and final conversion in a thin layer of highly loaded ceramic suspension. This RTFTIR technique showed complete agreement with differential photo-calorimetry (photoDSC) experiments performed on the same thickness and amount highly loaded ceramic suspension. FTIR was also used to investigate the curing behavior inside sublayers of the same ceramic suspension. Curing kinetics and final conversion were monitored in these layers, with higher conversion and faster kinetics being observed near the exposed surface. Due to the scattering and absorption effects within the uppermost layers, photopolymerization rate and percent conversion declined as a function of depth from the surface. © 2005 Springer Science + Business Media, Inc.","author":[{"dropping-particle":"","family":"Wu","given":"K. C.","non-dropping-particle":"","parse-names":false,"suffix":""},{"dropping-particle":"","family":"Halloran","given":"J. W.","non-dropping-particle":"","parse-names":false,"suffix":""}],"container-title":"Journal of Materials Science","id":"ITEM-1","issue":"1","issued":{"date-parts":[["2005","1"]]},"page":"71-76","title":"Photopolymerization monitoring of ceramic stereolithography resins by FTIR methods","type":"article-journal","volume":"40"},"uris":["http://www.mendeley.com/documents/?uuid=e4d1b2f7-b6e8-30ef-833a-bb0dfc4c3a4f"]},{"id":"ITEM-2","itemData":{"DOI":"10.1016/S0142-9418(02)00052-1","ISSN":"01429418","abstract":"Polymer composites have been used in dental applications for more than 25 years. Although their properties and behavior have been systematically improved, they still are not able to produce dental restorations chemically, dimensionally and mechanically stable for long periods of time. Low degrees of monomer conversion and poor processing control are some of the main features responsible for the materials instability. In this work, the monomer conversion of dental composites during visible light irradiation was in situ monitored by infrared spectroscopy. The relationship between degree of conversion and mechanical properties was obtained by evaluating the microhardness of composites with different degrees of conversion. The relationship obtained was then used to identify the evolution of the mechanical properties during photopolymerization. © 2002 Elsevier Science Ltd. All rights reserved.","author":[{"dropping-particle":"","family":"Oréfice","given":"R.L","non-dropping-particle":"","parse-names":false,"suffix":""},{"dropping-particle":"","family":"Discacciati","given":"J.A.C","non-dropping-particle":"","parse-names":false,"suffix":""},{"dropping-particle":"","family":"Neves","given":"A.D","non-dropping-particle":"","parse-names":false,"suffix":""},{"dropping-particle":"","family":"Mansur","given":"H.S","non-dropping-particle":"","parse-names":false,"suffix":""},{"dropping-particle":"","family":"Jansen","given":"W.C","non-dropping-particle":"","parse-names":false,"suffix":""}],"container-title":"Polymer Testing","id":"ITEM-2","issue":"1","issued":{"date-parts":[["2003","2","1"]]},"page":"77-81","publisher":"Elsevier","title":"In situ evaluation of the polymerization kinetics and corresponding evolution of the mechanical properties of dental composites","type":"article-journal","volume":"22"},"uris":["http://www.mendeley.com/documents/?uuid=b275594c-8f60-31cf-afa8-9d6fff4e096d"]},{"id":"ITEM-3","itemData":{"DOI":"10.1016/S0109-5641(00)00020-8","ISSN":"0109-5641","abstract":"Objective: The aim of this study was to investigate the relationship between the degree of conversion (DC) and shrinkage strain values of two representative resin-composites when irradiated by two light intensity levels, for different time periods. Methods: The DC of Z100 and Tetric Ceram was measured by FTIR spectroscopy immediately post-cure and shrinkage strain values were obtained continuously for 30min from photoinitiation with the bonded-disk technique. All samples were photopolymerized at an initial temperature of 23°C with the Elipar Highlight unit under the following modes of variable light intensity (I) 40s at 750mW/cm2; (II) a two-step ‘soft-start’ irradiation mode of 10s at 200mW/cm2 plus 30s at 750mW/cm2; (III) 40s at 200mW/cm2; and (IV) 10s at 200mW/cm2. Temperature effects of the light and curing exotherm were not eliminated. Results: Mode II of irradiation did not reduce the DC for each material, relative to the values obtained with mode I (p&gt;0.05). The corresponding shrinkage strain values after 30min were also not significantly different (p&gt;0.05). However, the effects of reduced light intensity levels for 10s and 40s (modes III and IV), were in agreement with previous findings implying reduced shrinkage strain levels. For both resin composites, data from all curing times and light-intensities gave a linear regression relationship (with r2&gt;0.99) between the bonded-disk shrinkage strain versus DC values. Significance: For the materials and light-intensities studied, the correlation between DC and shrinkage strain values means that some reductions in the problems of shrinkage may be achieved by an acceptable reduction in DC. However, this must also be consistent with generating adequate curing performance in the resin-network. Nevertheless, DC is not the exclusive parameter describing network character and a fuller understanding of the latter is an important research goal.","author":[{"dropping-particle":"","family":"Silikas","given":"N","non-dropping-particle":"","parse-names":false,"suffix":""},{"dropping-particle":"","family":"Eliades","given":"G","non-dropping-particle":"","parse-names":false,"suffix":""},{"dropping-particle":"","family":"Watts","given":"D.C","non-dropping-particle":"","parse-names":false,"suffix":""}],"container-title":"Dental Materials","id":"ITEM-3","issue":"4","issued":{"date-parts":[["2000","7","1"]]},"page":"292-296","publisher":"Elsevier","title":"Light intensity effects on resin-composite degree of conversion and shrinkage strain","type":"article-journal","volume":"16"},"uris":["http://www.mendeley.com/documents/?uuid=1f43557b-cf0e-3587-b90d-27dcc10b56d8"]},{"id":"ITEM-4","itemData":{"DOI":"10.1016/S0032-3861(03)00213-1","ISSN":"00323861","abstract":"The photopolymerization of vinyl acrylate has been investigated using real-time FTIR. The acrylate and vinyl groups exhibit different polymerization kinetics with the acrylate functionality polymerizing at a much faster rate. Vinyl acrylate not only self-initiates its own free-radical polymerization, but also photoinitiates the polymerization of mono- and difunctional acrylates. Kinetic studies using a model monomer system indicate that it is essential for the acrylate and vinyl group to be part of the same molecule in order to function as an effective initiator for acrylate polymerization. © 2003 Elsevier Science Ltd. All rights reserved.","author":[{"dropping-particle":"","family":"Lee","given":"Tai Yeon","non-dropping-particle":"","parse-names":false,"suffix":""},{"dropping-particle":"","family":"Roper","given":"Todd M.","non-dropping-particle":"","parse-names":false,"suffix":""},{"dropping-particle":"","family":"Jonsson","given":"E. Sönny","non-dropping-particle":"","parse-names":false,"suffix":""},{"dropping-particle":"","family":"Kudyakov","given":"Igor","non-dropping-particle":"","parse-names":false,"suffix":""},{"dropping-particle":"","family":"Viswanathan","given":"K.","non-dropping-particle":"","parse-names":false,"suffix":""},{"dropping-particle":"","family":"Nason","given":"C.","non-dropping-particle":"","parse-names":false,"suffix":""},{"dropping-particle":"","family":"Guymon","given":"C. A.","non-dropping-particle":"","parse-names":false,"suffix":""},{"dropping-particle":"","family":"Hoyle","given":"C. E.","non-dropping-particle":"","parse-names":false,"suffix":""}],"container-title":"Polymer","id":"ITEM-4","issue":"10","issued":{"date-parts":[["2003","4","11"]]},"page":"2859-2865","publisher":"Elsevier BV","title":"The kinetics of vinyl acrylate photopolymerization","type":"article-journal","volume":"44"},"uris":["http://www.mendeley.com/documents/?uuid=10517e27-ee2b-3a5e-804c-a3fb7964fbaa"]},{"id":"ITEM-5","itemData":{"DOI":"10.1016/S0924-2031(98)00070-8","ISSN":"0924-2031","abstract":"Real-Time FTIR–ATR spectroscopy was used to study the kinetics of photopolymerization reactions induced by monochromatic UV light. Various photoinitiator systems were tested for their efficiency to start the curing reaction of acrylates on irradiation at 313 or 222 nm. The effect of physical and chemical factors such as photoinitiator concentration, light intensity, temperature, monomer functionality and inertization on kinetic parameters like polymerization rate, induction period and final conversion was studied. The contribution of the postcuring to the final conversion was determined by following the decay of the double bonds during and after irradiation with single or multiple short UV flashes with a duration of 50–200 ms. Finally, some investigations of samples from practical applications such as UV-curable powder coatings, printing inks, and release coatings of silicone acrylates will be reported.","author":[{"dropping-particle":"","family":"Scherzer","given":"Tom","non-dropping-particle":"","parse-names":false,"suffix":""},{"dropping-particle":"","family":"Decker","given":"Ulrich","non-dropping-particle":"","parse-names":false,"suffix":""}],"container-title":"Vibrational Spectroscopy","id":"ITEM-5","issue":"2","issued":{"date-parts":[["1999","4","1"]]},"page":"385-398","publisher":"Elsevier","title":"Real-time FTIR–ATR spectroscopy to study the kinetics of ultrafast photopolymerization reactions induced by monochromatic UV light","type":"article-journal","volume":"19"},"uris":["http://www.mendeley.com/documents/?uuid=2932aa1e-8145-30b5-9ba8-f0c309ad99cd"]}],"mendeley":{"formattedCitation":"[50]–[54]","plainTextFormattedCitation":"[50]–[54]","previouslyFormattedCitation":"[50]–[54]"},"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[50]–[54]</w:t>
      </w:r>
      <w:r w:rsidRPr="00913500">
        <w:rPr>
          <w:rFonts w:ascii="Times New Roman" w:hAnsi="Times New Roman" w:cs="Times New Roman"/>
        </w:rPr>
        <w:fldChar w:fldCharType="end"/>
      </w:r>
      <w:r w:rsidRPr="00913500">
        <w:rPr>
          <w:rFonts w:ascii="Times New Roman" w:hAnsi="Times New Roman" w:cs="Times New Roman"/>
        </w:rPr>
        <w:t xml:space="preserve">.  </w:t>
      </w:r>
      <w:bookmarkEnd w:id="133"/>
      <w:r w:rsidRPr="00913500">
        <w:rPr>
          <w:rFonts w:ascii="Times New Roman" w:hAnsi="Times New Roman" w:cs="Times New Roman"/>
        </w:rPr>
        <w:t xml:space="preserve">Cure kinetics models are capable of describing termination mechanisms of a reaction and change as the degree of conversion increases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N.","non-dropping-particle":"","parse-names":false,"suffix":""}],"container-title":"Polymer","id":"ITEM-1","issue":"15","issued":{"date-parts":[["1994","7","1"]]},"page":"3243-3250","publisher":"Elsevier","title":"Reaction behaviour and kinetic constants for photopolymerizations of multi(meth)acrylate monomers","type":"article-journal","volume":"35"},"uris":["http://www.mendeley.com/documents/?uuid=adf33ef0-b2aa-3fad-8127-8015fea71433"]},{"id":"ITEM-2","itemData":{"DOI":"10.1016/S0079-6700(01)00004-1","ISSN":"00796700","abstract":"This review article presents results of investigations concerning the kinetics of crosslinking photopolymerizations. The main emphasis is given to the propagation and termination rate coefficients and to the determination of the mechanism of the termination process. To emphasize the special features of the kinetics of the photocrosslinking process, a comparison with the kinetics of linear polymerizations has been made. Moreover, the paper describes the influence of various factors, both chemical as well as physical (e.g. monomer, structure, system composition, oxygen, temperature) on the chemistry of network formation. The effects of amino, ether and sulfide groups present in additives or introduced within monomer molecules are also discussed. © 2001 Elsevier Science Ltd.","author":[{"dropping-particle":"","family":"Andrzejewska","given":"Ewa","non-dropping-particle":"","parse-names":false,"suffix":""}],"container-title":"Progress in Polymer Science (Oxford)","id":"ITEM-2","issue":"4","issued":{"date-parts":[["2001","5","1"]]},"page":"605-665","publisher":"Pergamon","title":"Photopolymerization kinetics of multifunctional monomers","type":"article","volume":"26"},"uris":["http://www.mendeley.com/documents/?uuid=c77935b1-2481-30a4-9f7a-30f806e13a89"]},{"id":"ITEM-3","itemData":{"DOI":"10.1016/J.POLYMER.2018.11.057","ISSN":"0032-3861","abstract":"In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-3","issued":{"date-parts":[["2019","1","3"]]},"page":"254-264","publisher":"Elsevier","title":"Experimental and theoretical investigations of free radical photopolymerization: Inhibition and termination reactions","type":"article-journal","volume":"160"},"uris":["http://www.mendeley.com/documents/?uuid=2de111e7-9b3a-3cbd-9a03-aff65e35323f"]}],"mendeley":{"formattedCitation":"[33], [47], [129]","plainTextFormattedCitation":"[33], [47], [129]","previouslyFormattedCitation":"[33], [47], [129]"},"properties":{"noteIndex":0},"schema":"https://github.com/citation-style-language/schema/raw/master/csl-citation.json"}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[33], [47], [129]</w:t>
      </w:r>
      <w:r w:rsidRPr="00913500">
        <w:rPr>
          <w:rFonts w:ascii="Times New Roman" w:hAnsi="Times New Roman" w:cs="Times New Roman"/>
        </w:rPr>
        <w:fldChar w:fldCharType="end"/>
      </w:r>
      <w:r w:rsidRPr="00913500">
        <w:rPr>
          <w:rFonts w:ascii="Times New Roman" w:hAnsi="Times New Roman" w:cs="Times New Roman"/>
        </w:rPr>
        <w:t xml:space="preserve">.  While cure kinetic models include light intensity as a factor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N.","non-dropping-particle":"","parse-names":false,"suffix":""}],"container-title":"Polymer","id":"ITEM-1","issue":"15","issued":{"date-parts":[["1994","7","1"]]},"page":"3243-3250","publisher":"Elsevier","title":"Reaction behaviour and kinetic constants for photopolymerizations of multi(meth)acrylate monomers","type":"article-journal","volume":"35"},"uris":["http://www.mendeley.com/documents/?uuid=adf33ef0-b2aa-3fad-8127-8015fea71433"]},{"id":"ITEM-2","itemData":{"DOI":"10.1002/marc.200290014","ISSN":"10221336","abstract":"Highly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Communications","id":"ITEM-2","issue":"18","issued":{"date-parts":[["2002","12","20"]]},"page":"1067-1093","publisher":"John Wiley &amp; Sons, Ltd","title":"Kinetic study and new applications of UV radiation curing","type":"article-journal","volume":"23"},"uris":["http://www.mendeley.com/documents/?uuid=c60ec8b8-eb0a-3a6c-bb8f-715b6e36c30e"]},{"id":"ITEM-3","itemData":{"DOI":"10.1016/S0032-3861(02)00490-1","ISSN":"00323861","abstract":"Isothermal DSC was employed to monitor the photopolymerization kinetics of a commercial vinyl ester resin (VER) photoinitiated by the camphorquinone/amine photoinitiator system. The maximum rate of photopolymerization was found to increase tenfold as the isothermal cure temperature was varied from - 30 to 90°C due to faster propagation and greater initiator efficiency counterbalanced by a faster termination rate. After photopolymerization, the samples were temperature ramped in the DSC to monitor the dark polymerization reaction. The reduced polymerization rate increased with the scan temperature due to an increase in propagation rate. The summation of the isothermal and residual polymerization heats indicated that the final degree of cure after postcure was independent of the isothermal cure temperature. The onset temperatures for the recommencement of cure during the dark temperature scanning experiments were found to correspond closely with their respective isothermal cure temperatures as expected due to vitrification during the isothermal cure stage. © 2002 Published by Elsevier Science Ltd.","author":[{"dropping-particle":"","family":"Scott","given":"Timothy F.","non-dropping-particle":"","parse-names":false,"suffix":""},{"dropping-particle":"","family":"Cook","given":"Wayne D.","non-dropping-particle":"","parse-names":false,"suffix":""},{"dropping-particle":"","family":"Forsythe","given":"John S.","non-dropping-particle":"","parse-names":false,"suffix":""}],"container-title":"Polymer","id":"ITEM-3","issue":"22","issued":{"date-parts":[["2002","9","13"]]},"page":"5839-5845","publisher":"Elsevier BV","title":"Photo-DSC cure kinetics of vinyl ester resins. I. Influence of temperature","type":"article-journal","volume":"43"},"uris":["http://www.mendeley.com/documents/?uuid=cc1e3743-cc9d-3e25-aecd-fbf845fbf5a5"]},{"id":"ITEM-4","itemData":{"DOI":"10.1016/S0032-3861(97)00184-5","ISSN":"00323861","abstract":"The photoinitiated polymerization of dimethacrylate oligomer with 2,2-dimethyl-2-hydroxy acetophenone (Darocur 1173) as radical photoinitiator was studied by using isothermal photocalorimetry. The effect of temperature, light intensity and photoinitiator concentration on reaction was investigated. The maximum conversion was obtained at temperature near 90°C. This temperature is above the glass transition temperature of the resulting material and below the thermal polymerization temperature of the reacting system. Above 90°C, thermal polymerization interferes on photocalorimetric measures. Assuming that glass transition temperature of the final polymer and conversion are connected, we have estimated thermal conversion. A maximum conversion was obtained for a photoinitiator concentration of 1 % (w/w) and for the highest light intensity studied (2.7 mW cm-2). © 1997 Elsevier Science Ltd.","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-4","issue":"25","issued":{"date-parts":[["1997","1","1"]]},"page":"6089-6096","publisher":"Elsevier BV","title":"Photoinitiated polymerization of a dimethacrylate oligomer: 1. Influence of photoinitiator concentration, temperature and light intensity","type":"article-journal","volume":"38"},"uris":["http://www.mendeley.com/documents/?uuid=b6a3e6c5-9113-392e-9916-b54352b8c0b3"]},{"id":"ITEM-5","itemData":{"DOI":"10.1002/app.1987.070340420","ISSN":"00218995","author":[{"dropping-particle":"","family":"Decker","given":"C.","non-dropping-particle":"","parse-names":false,"suffix":""},{"dropping-particle":"","family":"Moussa","given":"K.","non-dropping-particle":"","parse-names":false,"suffix":""}],"container-title":"Journal of Applied Polymer Science","id":"ITEM-5","issue":"4","issued":{"date-parts":[["1987","9","1"]]},"page":"1603-1618","publisher":"John Wiley &amp; Sons, Ltd","title":"Photopolymerization of multifunctional monomers in condensed phase","type":"article-journal","volume":"34"},"uris":["http://www.mendeley.com/documents/?uuid=867f59bf-eee5-3159-a870-92cee7a16365"]}],"mendeley":{"formattedCitation":"[40], [47], [49], [113], [130]","plainTextFormattedCitation":"[40], [47], [49], [113], [130]","previouslyFormattedCitation":"[40], [47], [49], [113], [130]"},"properties":{"noteIndex":0},"schema":"https://github.com/citation-style-language/schema/raw/master/csl-citation.json"}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[40], [47], [49], [113], [130]</w:t>
      </w:r>
      <w:r w:rsidRPr="00913500">
        <w:rPr>
          <w:rFonts w:ascii="Times New Roman" w:hAnsi="Times New Roman" w:cs="Times New Roman"/>
        </w:rPr>
        <w:fldChar w:fldCharType="end"/>
      </w:r>
      <w:r w:rsidRPr="00913500">
        <w:rPr>
          <w:rFonts w:ascii="Times New Roman" w:hAnsi="Times New Roman" w:cs="Times New Roman"/>
        </w:rPr>
        <w:t xml:space="preserve">, most studies assume thin-film curing and do not account for light attenuation in thick polymer systems.  Saenz-Dominguez and others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{"citationItems":[{"id":"ITEM-1","itemData":{"DOI":"10.1016/j.compositesb.2020.107963","ISSN":"13598368","abstract":"In this paper, a kinetic model able to predict the evolution of the through-thickness degree of cure of ultraviolet (UV) cured composites has been developed and validated. The kinetic model, which is based on the autocatalytic model, depends on the temperature of the composite and the absorbed intensity by the photoinitiators. This intensity is calculated by an optical model divided into discrete values of wavelength. As a result, the kinetic model considers the main factors of UV curing: the resin, reinforcement and thickness of the composite; the incident UV light spectrum; the absorbance range of photoinitiators and its consumption during the photopolymerisation. The main values of the model can be obtained by spectrometry and measuring the electric resistance of the composite during the whole UV curing process.","author":[{"dropping-particle":"","family":"Saenz-Dominguez","given":"I.","non-dropping-particle":"","parse-names":false,"suffix":""},{"dropping-particle":"","family":"Tena","given":"I.","non-dropping-particle":"","parse-names":false,"suffix":""},{"dropping-particle":"","family":"Sarrionandia","given":"M.","non-dropping-particle":"","parse-names":false,"suffix":""},{"dropping-particle":"","family":"Torre","given":"J.","non-dropping-particle":"","parse-names":false,"suffix":""},{"dropping-particle":"","family":"Aurrekoetxea","given":"J.","non-dropping-particle":"","parse-names":false,"suffix":""}],"container-title":"Composites Part B: Engineering","id":"ITEM-1","issued":{"date-parts":[["2020","6","15"]]},"publisher":"Elsevier Ltd","title":"An analytical model of through-thickness photopolymerisation of composites: Ultraviolet light transmission and curing kinetics","type":"article-journal","volume":"191"},"uris":["http://www.mendeley.com/documents/?uuid=5126f3a3-780b-3d9a-822f-3cadb9967a9a"]},{"id":"ITEM-2","itemData":{"DOI":"10.1016/j.polymer.2009.11.071","ISSN":"00323861","author":[{"dropping-particle":"","family":"Dalle Vacche","given":"Sara","non-dropping-particle":"","parse-names":false,"suffix":""},{"dropping-particle":"","family":"Rie Geiser","given":"Valé","non-dropping-particle":"","parse-names":false,"suffix":""},{"dropping-particle":"","family":"Leterrier","given":"Yves","non-dropping-particle":"","parse-names":false,"suffix":""},{"dropping-particle":"","family":"Månson","given":"Jan-Anders E Anders E.","non-dropping-particle":"","parse-names":false,"suffix":""}],"container-title":"Polymer","id":"ITEM-2","issue":"2","issued":{"date-parts":[["0","1"]]},"page":"334-341","publisher":"Elsevier Ltd","title":"Time-intensity superposition for photoinitiated polymerization of fluorinated and hyperbranched acrylate nanocomposites","type":"article-journal","volume":"51"},"uris":["http://www.mendeley.com/documents/?uuid=f1b69b5c-e92c-425a-b2b5-eb007db8a6d7"]},{"id":"ITEM-3","itemData":{"DOI":"10.1021/MA901535P","abstract":"UV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-3","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Profiles","type":"article-journal","volume":"43"},"uris":["http://www.mendeley.com/documents/?uuid=4141b808-f33a-31ea-86a3-8be202718b9c"]},{"id":"ITEM-4","itemData":{"DOI":"10.1016/S0032-3861(98)00380-2","ISSN":"0032-3861","abstract":"The kinetic of photoinitiated polymerization of a dimethacrylate oligomer was studied by using isothermal photocalorimetry. The reaction was realized with 2,2-dimethyl-2-hydroxyacetophenone (Darocur 1173) as radical photoinitiator. Two kinetic models were applied. First, it was shown that an autocatalytic model can describe this reaction in a satisfying way. The reaction temperature does not influence the m and n orders of the reaction which were found to be constant and respectively equal to 0.8 and 2. The phenomenological rate constant k varies with temperature according to the Arrhenius law up to 80°C. Above this temperature, this law can again be checked if the initial variation of double bond concentration due to thermal polymerization is taken into account. In addition, by means of a mechanistic model, the k(p) and k(t) rate constants were calculated. Their evolution with conversion was studied at 50°C and well illustrates the importance of the reactive diffusion mechanism.","author":[{"dropping-particle":"","family":"Lecamp","given":"L.","non-dropping-particle":"","parse-names":false,"suffix":""},{"dropping-particle":"","family":"Youssef","given":"B.","non-dropping-particle":"","parse-names":false,"suffix":""},{"dropping-particle":"","family":"Bunel","given":"C.","non-dropping-particle":"","parse-names":false,"suffix":""},{"dropping-particle":"","family":"Lebaudy","given":"P.","non-dropping-particle":"","parse-names":false,"suffix":""}],"container-title":"Polymer","id":"ITEM-4","issue":"6","issued":{"date-parts":[["1999","3","1"]]},"page":"1403-1409","publisher":"Elsevier","title":"Photoinitiated polymerization of a dimethacrylate oligomer: 2. Kinetic studies","type":"article-journal","volume":"40"},"uris":["http://www.mendeley.com/documents/?uuid=6ac68280-bd35-3290-a8f2-12b5dfbef13e"]}],"mendeley":{"formattedCitation":"[38], [45], [46], [118]","plainTextFormattedCitation":"[38], [45], [46], [118]","previouslyFormattedCitation":"[38], [45], [46], [118]"},"properties":{"noteIndex":0},"schema":"https://github.com/citation-style-language/schema/raw/master/csl-citation.json"}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[38], [45], [46], [118]</w:t>
      </w:r>
      <w:r w:rsidRPr="00913500">
        <w:rPr>
          <w:rFonts w:ascii="Times New Roman" w:hAnsi="Times New Roman" w:cs="Times New Roman"/>
        </w:rPr>
        <w:fldChar w:fldCharType="end"/>
      </w:r>
      <w:r w:rsidRPr="00913500">
        <w:rPr>
          <w:rFonts w:ascii="Times New Roman" w:hAnsi="Times New Roman" w:cs="Times New Roman"/>
        </w:rPr>
        <w:t xml:space="preserve"> have proposed an empirical autocatalytic cure kinetics model, which has been demonstrated for photopolymer systems up to 2 mm thick.  Such models can provide an accurate description of the state of cure through the depth of a polymer system, but they also require extensive testing of the target formulation. They are not helpful as a pre-screening tool but can be used as an analytical technique for an existing formulation.  </w:t>
      </w:r>
    </w:p>
    <w:p w14:paraId="4543FAF8" w14:textId="77777777" w:rsidR="0027163B" w:rsidRPr="00913500" w:rsidRDefault="0027163B" w:rsidP="00913500">
      <w:pPr>
        <w:spacing w:line="360" w:lineRule="auto"/>
        <w:rPr>
          <w:rFonts w:ascii="Times New Roman" w:eastAsiaTheme="minorEastAsia" w:hAnsi="Times New Roman" w:cs="Times New Roman"/>
        </w:rPr>
      </w:pPr>
    </w:p>
    <w:p w14:paraId="2712BCB4" w14:textId="77777777" w:rsidR="00913500" w:rsidRPr="00913500" w:rsidRDefault="00913500" w:rsidP="00913500">
      <w:pPr>
        <w:spacing w:line="360" w:lineRule="auto"/>
        <w:rPr>
          <w:rFonts w:ascii="Times New Roman" w:hAnsi="Times New Roman" w:cs="Times New Roman"/>
        </w:rPr>
      </w:pPr>
      <w:bookmarkStart w:id="134" w:name="_Hlk95467831"/>
      <w:r w:rsidRPr="00913500">
        <w:rPr>
          <w:rFonts w:ascii="Times New Roman" w:hAnsi="Times New Roman" w:cs="Times New Roman"/>
        </w:rPr>
        <w:t>The present study investigated the effect of BAPO in formulations for LFAM, assuming 2-4 mm layer heights and high intensity (&gt;100 mW/cm</w:t>
      </w:r>
      <w:r w:rsidRPr="00913500">
        <w:rPr>
          <w:rFonts w:ascii="Times New Roman" w:hAnsi="Times New Roman" w:cs="Times New Roman"/>
          <w:vertAlign w:val="superscript"/>
        </w:rPr>
        <w:t>2</w:t>
      </w:r>
      <w:r w:rsidRPr="00913500">
        <w:rPr>
          <w:rFonts w:ascii="Times New Roman" w:hAnsi="Times New Roman" w:cs="Times New Roman"/>
        </w:rPr>
        <w:t xml:space="preserve">) UV LED light sources under short (&lt;5 s) irradiation times.  Formulations were prepared at PI concentrations from 0.1 wt% to 1.0 wt% utilizing BAPO, with BDMB as a control PI, and irradiated at 3 mm thickness under simulated LFAM conditions.  The Kenning optical model was used to predict radical initiation rates, and this was compared against experimental results using FTIR.  A primary objective was to assess the utility of optical modeling as a screening </w:t>
      </w:r>
      <w:r w:rsidRPr="00913500">
        <w:rPr>
          <w:rFonts w:ascii="Times New Roman" w:hAnsi="Times New Roman" w:cs="Times New Roman"/>
        </w:rPr>
        <w:lastRenderedPageBreak/>
        <w:t xml:space="preserve">tool in developing formulations for LFAM, as these models can be utilized before formulation.  </w:t>
      </w:r>
    </w:p>
    <w:p w14:paraId="45460C96" w14:textId="2A0E0B85" w:rsidR="00913500" w:rsidRPr="001E18E0" w:rsidRDefault="00913500" w:rsidP="00DB3040">
      <w:pPr>
        <w:pStyle w:val="Heading2"/>
        <w:rPr>
          <w:rFonts w:eastAsiaTheme="minorEastAsia"/>
        </w:rPr>
      </w:pPr>
      <w:bookmarkStart w:id="135" w:name="_Toc101701762"/>
      <w:bookmarkEnd w:id="134"/>
      <w:r w:rsidRPr="00913500">
        <w:rPr>
          <w:rFonts w:eastAsiaTheme="minorEastAsia"/>
        </w:rPr>
        <w:t>3.0 Optical Model</w:t>
      </w:r>
      <w:bookmarkEnd w:id="135"/>
    </w:p>
    <w:p w14:paraId="19F1249F" w14:textId="2C7F59DA" w:rsidR="00913500" w:rsidRDefault="00913500" w:rsidP="00913500">
      <w:pPr>
        <w:spacing w:line="360" w:lineRule="auto"/>
        <w:rPr>
          <w:rFonts w:ascii="Times New Roman" w:eastAsiaTheme="minorEastAsia" w:hAnsi="Times New Roman" w:cs="Times New Roman"/>
        </w:rPr>
      </w:pPr>
      <w:r w:rsidRPr="00913500">
        <w:rPr>
          <w:rFonts w:ascii="Times New Roman" w:hAnsi="Times New Roman" w:cs="Times New Roman"/>
        </w:rPr>
        <w:t>For the present work, the optical model developed by Kenning et al. was used to predict the temporal and spatial evolution of light intensity through a 3 mm thick photopolymer</w:t>
      </w:r>
      <w:r w:rsidR="00EC7405">
        <w:rPr>
          <w:rFonts w:ascii="Times New Roman" w:hAnsi="Times New Roman" w:cs="Times New Roman"/>
        </w:rPr>
        <w:t xml:space="preserv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light","type":"article-journal","volume":"55"},"uris":["http://www.mendeley.com/documents/?uuid=74060935-a9be-39b6-9a7d-fbe6cce6878e"]}],"mendeley":{"formattedCitation":"[41], [107]","plainTextFormattedCitation":"[41], [107]","previouslyFormattedCitation":"[41], [107]"},"properties":{"noteIndex":0},"schema":"https://github.com/citation-style-language/schema/raw/master/csl-citation.json"}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[41], [107]</w:t>
      </w:r>
      <w:r w:rsidRPr="00913500">
        <w:rPr>
          <w:rFonts w:ascii="Times New Roman" w:hAnsi="Times New Roman" w:cs="Times New Roman"/>
        </w:rPr>
        <w:fldChar w:fldCharType="end"/>
      </w:r>
      <w:r w:rsidRPr="00913500">
        <w:rPr>
          <w:rFonts w:ascii="Times New Roman" w:hAnsi="Times New Roman" w:cs="Times New Roman"/>
        </w:rPr>
        <w:t xml:space="preserve">. </w:t>
      </w:r>
      <w:r w:rsidR="006F2E70">
        <w:rPr>
          <w:rFonts w:ascii="Times New Roman" w:hAnsi="Times New Roman" w:cs="Times New Roman"/>
        </w:rPr>
        <w:t xml:space="preserve"> </w:t>
      </w:r>
      <w:r w:rsidRPr="00913500">
        <w:rPr>
          <w:rFonts w:ascii="Times New Roman" w:hAnsi="Times New Roman" w:cs="Times New Roman"/>
        </w:rPr>
        <w:t xml:space="preserve">The Kenning model has several experimental inputs specific to the lamp setup and photopolymer formulation.  Inputs include incident light intensity and lamp spectral output, PI molar concentration, the molar light absorptivity of the PI, and absorptivity of the polymer.  In the present study, the spectral output was centered at the peak of 398 nm for an Altair 75 UV LED lamp (see </w:t>
      </w:r>
      <w:r w:rsidR="00DC290C" w:rsidRPr="00DC290C">
        <w:rPr>
          <w:rFonts w:ascii="Times New Roman" w:hAnsi="Times New Roman" w:cs="Times New Roman"/>
        </w:rPr>
        <w:fldChar w:fldCharType="begin"/>
      </w:r>
      <w:r w:rsidR="00DC290C" w:rsidRPr="00DC290C">
        <w:rPr>
          <w:rFonts w:ascii="Times New Roman" w:hAnsi="Times New Roman" w:cs="Times New Roman"/>
        </w:rPr>
        <w:instrText xml:space="preserve"> REF _Ref100931280 \h </w:instrText>
      </w:r>
      <w:r w:rsidR="00DC290C">
        <w:rPr>
          <w:rFonts w:ascii="Times New Roman" w:hAnsi="Times New Roman" w:cs="Times New Roman"/>
        </w:rPr>
        <w:instrText xml:space="preserve"> \* MERGEFORMAT </w:instrText>
      </w:r>
      <w:r w:rsidR="00DC290C" w:rsidRPr="00DC290C">
        <w:rPr>
          <w:rFonts w:ascii="Times New Roman" w:hAnsi="Times New Roman" w:cs="Times New Roman"/>
        </w:rPr>
      </w:r>
      <w:r w:rsidR="00DC290C" w:rsidRPr="00DC290C">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34</w:t>
      </w:r>
      <w:r w:rsidR="00DC290C" w:rsidRPr="00DC290C">
        <w:rPr>
          <w:rFonts w:ascii="Times New Roman" w:hAnsi="Times New Roman" w:cs="Times New Roman"/>
        </w:rPr>
        <w:fldChar w:fldCharType="end"/>
      </w:r>
      <w:r w:rsidRPr="00913500">
        <w:rPr>
          <w:rFonts w:ascii="Times New Roman" w:hAnsi="Times New Roman" w:cs="Times New Roman"/>
        </w:rPr>
        <w:t>).  BAPO was used as the PI with</w:t>
      </w:r>
      <w:r w:rsidRPr="00913500">
        <w:rPr>
          <w:rFonts w:ascii="Times New Roman" w:eastAsiaTheme="minorEastAsia" w:hAnsi="Times New Roman" w:cs="Times New Roman"/>
        </w:rPr>
        <w:t xml:space="preserve"> molar concentrations of 0.00267 mol/L, 0.01329 mol/L, and 0.02645 mol/L.  These concentrations are equivalent to 0.1 wt%, 0.5 wt%, and 1.0 wt%, respectively.  UV-Vis spectroscopy was used to obtain the molar absorptivity for BAPO and Bis-EMA.  Once these data were obtained, it was then possible to predict the light intensity and photoinitiation rate for Bis-EMA formulations with BAPO PI before actual formulation work.  </w:t>
      </w:r>
    </w:p>
    <w:p w14:paraId="1296BC52" w14:textId="77777777" w:rsidR="006F2E70" w:rsidRPr="006F2E70" w:rsidRDefault="006F2E70" w:rsidP="00913500">
      <w:pPr>
        <w:spacing w:line="360" w:lineRule="auto"/>
        <w:rPr>
          <w:rFonts w:ascii="Times New Roman" w:hAnsi="Times New Roman" w:cs="Times New Roman"/>
        </w:rPr>
      </w:pPr>
    </w:p>
    <w:p w14:paraId="5316A5A7" w14:textId="4632615B" w:rsidR="00913500" w:rsidRDefault="00913500" w:rsidP="00913500">
      <w:pPr>
        <w:spacing w:line="360" w:lineRule="auto"/>
        <w:rPr>
          <w:rFonts w:ascii="Times New Roman" w:hAnsi="Times New Roman" w:cs="Times New Roman"/>
        </w:rPr>
      </w:pPr>
      <w:r w:rsidRPr="00913500">
        <w:rPr>
          <w:rFonts w:ascii="Times New Roman" w:eastAsiaTheme="minorEastAsia" w:hAnsi="Times New Roman" w:cs="Times New Roman"/>
        </w:rPr>
        <w:t xml:space="preserve">The governing equations of the Kenning optical model are shown in </w:t>
      </w:r>
      <w:r w:rsidRPr="00913500">
        <w:rPr>
          <w:rFonts w:ascii="Times New Roman" w:hAnsi="Times New Roman" w:cs="Times New Roman"/>
        </w:rPr>
        <w:t xml:space="preserve">Equations </w:t>
      </w:r>
      <w:r w:rsidR="0082333A">
        <w:rPr>
          <w:rFonts w:ascii="Times New Roman" w:hAnsi="Times New Roman" w:cs="Times New Roman"/>
        </w:rPr>
        <w:t>7</w:t>
      </w:r>
      <w:r w:rsidRPr="00913500">
        <w:rPr>
          <w:rFonts w:ascii="Times New Roman" w:hAnsi="Times New Roman" w:cs="Times New Roman"/>
        </w:rPr>
        <w:t>-</w:t>
      </w:r>
      <w:r w:rsidR="0082333A">
        <w:rPr>
          <w:rFonts w:ascii="Times New Roman" w:hAnsi="Times New Roman" w:cs="Times New Roman"/>
        </w:rPr>
        <w:t>9</w:t>
      </w:r>
      <w:r w:rsidRPr="00913500">
        <w:rPr>
          <w:rFonts w:ascii="Times New Roman" w:hAnsi="Times New Roman" w:cs="Times New Roman"/>
        </w:rPr>
        <w:t>:</w:t>
      </w:r>
    </w:p>
    <w:p w14:paraId="4D462E3B" w14:textId="77777777" w:rsidR="006F2E70" w:rsidRPr="00913500" w:rsidRDefault="006F2E70" w:rsidP="00913500">
      <w:pPr>
        <w:spacing w:line="360" w:lineRule="auto"/>
        <w:rPr>
          <w:rFonts w:ascii="Times New Roman" w:eastAsiaTheme="minorEastAsia" w:hAnsi="Times New Roman" w:cs="Times New Roman"/>
        </w:rPr>
      </w:pPr>
    </w:p>
    <w:p w14:paraId="26DDD2DC" w14:textId="0F75C8D6" w:rsidR="00913500" w:rsidRPr="00913500" w:rsidRDefault="002F73EC" w:rsidP="00913500">
      <w:pPr>
        <w:spacing w:line="360" w:lineRule="auto"/>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num>
            <m:den>
              <m:r>
                <w:rPr>
                  <w:rFonts w:ascii="Cambria Math" w:hAnsi="Cambria Math" w:cs="Times New Roman"/>
                </w:rPr>
                <m:t>∂t</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h</m:t>
              </m:r>
            </m:den>
          </m:f>
          <m:nary>
            <m:naryPr>
              <m:chr m:val="∑"/>
              <m:limLoc m:val="undOvr"/>
              <m:supHide m:val="1"/>
              <m:ctrlPr>
                <w:rPr>
                  <w:rFonts w:ascii="Cambria Math" w:hAnsi="Cambria Math" w:cs="Times New Roman"/>
                  <w:i/>
                </w:rPr>
              </m:ctrlPr>
            </m:naryPr>
            <m:sub>
              <m:r>
                <w:rPr>
                  <w:rFonts w:ascii="Cambria Math" w:hAnsi="Cambria Math" w:cs="Times New Roman"/>
                </w:rPr>
                <m:t>j</m:t>
              </m:r>
            </m:sub>
            <m:sup/>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num>
                    <m:den>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j</m:t>
                          </m:r>
                        </m:sub>
                      </m:sSub>
                    </m:den>
                  </m:f>
                </m:e>
              </m:d>
              <m:r>
                <w:rPr>
                  <w:rFonts w:ascii="Cambria Math" w:hAnsi="Cambria Math" w:cs="Times New Roman"/>
                </w:rPr>
                <m:t xml:space="preserve">   (7)</m:t>
              </m:r>
            </m:e>
          </m:nary>
        </m:oMath>
      </m:oMathPara>
    </w:p>
    <w:p w14:paraId="26EEF793" w14:textId="6E8DDC77" w:rsidR="00913500" w:rsidRPr="00913500" w:rsidRDefault="002F73EC" w:rsidP="00913500">
      <w:pPr>
        <w:spacing w:line="360" w:lineRule="auto"/>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z,t</m:t>
                  </m:r>
                </m:e>
              </m:d>
            </m:num>
            <m:den>
              <m:r>
                <w:rPr>
                  <w:rFonts w:ascii="Cambria Math" w:hAnsi="Cambria Math" w:cs="Times New Roman"/>
                </w:rPr>
                <m:t>∂t</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h</m:t>
              </m:r>
            </m:den>
          </m:f>
          <m:nary>
            <m:naryPr>
              <m:chr m:val="∑"/>
              <m:limLoc m:val="undOvr"/>
              <m:supHide m:val="1"/>
              <m:ctrlPr>
                <w:rPr>
                  <w:rFonts w:ascii="Cambria Math" w:hAnsi="Cambria Math" w:cs="Times New Roman"/>
                  <w:i/>
                </w:rPr>
              </m:ctrlPr>
            </m:naryPr>
            <m:sub>
              <m:r>
                <w:rPr>
                  <w:rFonts w:ascii="Cambria Math" w:hAnsi="Cambria Math" w:cs="Times New Roman"/>
                </w:rPr>
                <m:t>j</m:t>
              </m:r>
            </m:sub>
            <m:sup/>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num>
                    <m:den>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j</m:t>
                          </m:r>
                        </m:sub>
                      </m:sSub>
                    </m:den>
                  </m:f>
                </m:e>
              </m:d>
            </m:e>
          </m:nary>
          <m:r>
            <w:rPr>
              <w:rFonts w:ascii="Cambria Math" w:hAnsi="Cambria Math" w:cs="Times New Roman"/>
            </w:rPr>
            <m:t xml:space="preserve">    (8) </m:t>
          </m:r>
        </m:oMath>
      </m:oMathPara>
    </w:p>
    <w:p w14:paraId="389C77FA" w14:textId="30E888AF" w:rsidR="00913500" w:rsidRPr="00913500" w:rsidRDefault="002F73EC" w:rsidP="00913500">
      <w:pPr>
        <w:spacing w:line="360" w:lineRule="auto"/>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num>
            <m:den>
              <m:r>
                <w:rPr>
                  <w:rFonts w:ascii="Cambria Math" w:hAnsi="Cambria Math" w:cs="Times New Roman"/>
                </w:rPr>
                <m:t>∂z</m:t>
              </m:r>
            </m:den>
          </m:f>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pj</m:t>
                  </m:r>
                </m:sub>
              </m:s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z,t</m:t>
                  </m:r>
                </m:e>
              </m:d>
            </m:e>
          </m:d>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r>
            <w:rPr>
              <w:rFonts w:ascii="Cambria Math" w:hAnsi="Cambria Math" w:cs="Times New Roman"/>
            </w:rPr>
            <m:t xml:space="preserve">    (9)</m:t>
          </m:r>
        </m:oMath>
      </m:oMathPara>
    </w:p>
    <w:p w14:paraId="65B386C9" w14:textId="77777777" w:rsidR="00913500" w:rsidRPr="00913500" w:rsidRDefault="00913500" w:rsidP="00913500">
      <w:pPr>
        <w:spacing w:line="360" w:lineRule="auto"/>
        <w:rPr>
          <w:rFonts w:ascii="Times New Roman" w:eastAsiaTheme="minorEastAsia" w:hAnsi="Times New Roman" w:cs="Times New Roman"/>
        </w:rPr>
      </w:pPr>
    </w:p>
    <w:p w14:paraId="3346CC79" w14:textId="4B9CA468" w:rsidR="00913500" w:rsidRPr="00913500" w:rsidRDefault="00913500" w:rsidP="00913500">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where </w:t>
      </w:r>
      <m:oMath>
        <m:r>
          <w:rPr>
            <w:rFonts w:ascii="Cambria Math" w:hAnsi="Cambria Math" w:cs="Times New Roman"/>
          </w:rPr>
          <m:t>j</m:t>
        </m:r>
      </m:oMath>
      <w:r w:rsidRPr="00913500">
        <w:rPr>
          <w:rFonts w:ascii="Times New Roman" w:eastAsiaTheme="minorEastAsia" w:hAnsi="Times New Roman" w:cs="Times New Roman"/>
        </w:rPr>
        <w:t xml:space="preserve"> is an index with a different value for each wavelength of light considered.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oMath>
      <w:r w:rsidRPr="00913500">
        <w:rPr>
          <w:rFonts w:ascii="Times New Roman" w:eastAsiaTheme="minorEastAsia" w:hAnsi="Times New Roman" w:cs="Times New Roman"/>
        </w:rPr>
        <w:t xml:space="preserve"> is initiator molar concentration at depth z and time t, while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z,t</m:t>
            </m:r>
          </m:e>
        </m:d>
      </m:oMath>
      <w:r w:rsidRPr="00913500">
        <w:rPr>
          <w:rFonts w:ascii="Times New Roman" w:eastAsiaTheme="minorEastAsia" w:hAnsi="Times New Roman" w:cs="Times New Roman"/>
        </w:rPr>
        <w:t xml:space="preserve"> is photolysis product molar concentration and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oMath>
      <w:r w:rsidRPr="00913500">
        <w:rPr>
          <w:rFonts w:ascii="Times New Roman" w:eastAsiaTheme="minorEastAsia" w:hAnsi="Times New Roman" w:cs="Times New Roman"/>
        </w:rPr>
        <w:t xml:space="preserve"> is incident light intensity of a specific </w:t>
      </w:r>
      <w:r w:rsidRPr="00913500">
        <w:rPr>
          <w:rFonts w:ascii="Times New Roman" w:eastAsiaTheme="minorEastAsia" w:hAnsi="Times New Roman" w:cs="Times New Roman"/>
        </w:rPr>
        <w:lastRenderedPageBreak/>
        <w:t xml:space="preserve">wavelength.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ij</m:t>
            </m:r>
          </m:sub>
        </m:sSub>
      </m:oMath>
      <w:r w:rsidRPr="00913500">
        <w:rPr>
          <w:rFonts w:ascii="Times New Roman" w:eastAsiaTheme="minorEastAsia" w:hAnsi="Times New Roman" w:cs="Times New Roman"/>
        </w:rPr>
        <w:t xml:space="preserve"> is the initiator Napierian molar absorptivity of a specific wavelength, and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j</m:t>
            </m:r>
          </m:sub>
        </m:sSub>
      </m:oMath>
      <w:r w:rsidRPr="00913500">
        <w:rPr>
          <w:rFonts w:ascii="Times New Roman" w:eastAsiaTheme="minorEastAsia" w:hAnsi="Times New Roman" w:cs="Times New Roman"/>
        </w:rPr>
        <w:t xml:space="preserve"> is quantum yield of the PI at a specific wavelength (assumed as 0.2) </w:t>
      </w:r>
      <w:r w:rsidRPr="00913500">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lamps","type":"article-journal","volume":"57"},"uris":["http://www.mendeley.com/documents/?uuid=718d6e70-452b-369b-9baf-1694b00baaa2"]},{"id":"ITEM-2","itemData":{"DOI":"10.1002/pola","abstract":"We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Chem","id":"ITEM-2","issued":{"date-parts":[["2002"]]},"page":"793-808","title":"Modeling of Photobleaching for the Photoinitiation of Thick Polymerization Systems","type":"article-journal","volume":"40"},"uris":["http://www.mendeley.com/documents/?uuid=1be3ef49-2c86-3605-abc9-a29c2fff38fe"]}],"mendeley":{"formattedCitation":"[36], [107]","plainTextFormattedCitation":"[36], [107]","previouslyFormattedCitation":"[36], [107]"},"properties":{"noteIndex":0},"schema":"https://github.com/citation-style-language/schema/raw/master/csl-citation.json"}</w:instrText>
      </w:r>
      <w:r w:rsidRPr="00913500">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[36], [107]</w:t>
      </w:r>
      <w:r w:rsidRPr="00913500">
        <w:rPr>
          <w:rFonts w:ascii="Times New Roman" w:eastAsiaTheme="minorEastAsia" w:hAnsi="Times New Roman" w:cs="Times New Roman"/>
        </w:rPr>
        <w:fldChar w:fldCharType="end"/>
      </w:r>
      <w:r w:rsidRPr="00913500">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oMath>
      <w:r w:rsidR="006F2E70">
        <w:rPr>
          <w:rFonts w:ascii="Times New Roman" w:eastAsiaTheme="minorEastAsia" w:hAnsi="Times New Roman" w:cs="Times New Roman"/>
        </w:rPr>
        <w:t xml:space="preserve"> </w:t>
      </w:r>
      <w:r w:rsidRPr="00913500">
        <w:rPr>
          <w:rFonts w:ascii="Times New Roman" w:eastAsiaTheme="minorEastAsia" w:hAnsi="Times New Roman" w:cs="Times New Roman"/>
        </w:rPr>
        <w:t xml:space="preserve">is Avogadro’s number and </w:t>
      </w:r>
      <m:oMath>
        <m:r>
          <w:rPr>
            <w:rFonts w:ascii="Cambria Math" w:hAnsi="Cambria Math" w:cs="Times New Roman"/>
          </w:rPr>
          <m:t>h</m:t>
        </m:r>
      </m:oMath>
      <w:r w:rsidRPr="00913500">
        <w:rPr>
          <w:rFonts w:ascii="Times New Roman" w:eastAsiaTheme="minorEastAsia" w:hAnsi="Times New Roman" w:cs="Times New Roman"/>
        </w:rPr>
        <w:t xml:space="preserve"> is Planck’s constant, while </w:t>
      </w:r>
      <m:oMath>
        <m:sSub>
          <m:sSubPr>
            <m:ctrlPr>
              <w:rPr>
                <w:rFonts w:ascii="Cambria Math" w:hAnsi="Cambria Math" w:cs="Times New Roman"/>
                <w:i/>
              </w:rPr>
            </m:ctrlPr>
          </m:sSubPr>
          <m:e>
            <m:r>
              <w:rPr>
                <w:rFonts w:ascii="Cambria Math" w:hAnsi="Cambria Math" w:cs="Times New Roman"/>
              </w:rPr>
              <m:t>υ</m:t>
            </m:r>
          </m:e>
          <m:sub>
            <m:r>
              <w:rPr>
                <w:rFonts w:ascii="Cambria Math" w:hAnsi="Cambria Math" w:cs="Times New Roman"/>
              </w:rPr>
              <m:t>j</m:t>
            </m:r>
          </m:sub>
        </m:sSub>
      </m:oMath>
      <w:r w:rsidRPr="00913500">
        <w:rPr>
          <w:rFonts w:ascii="Times New Roman" w:eastAsiaTheme="minorEastAsia" w:hAnsi="Times New Roman" w:cs="Times New Roman"/>
        </w:rPr>
        <w:t xml:space="preserve"> is the frequency of light in units of inverse seconds.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mj</m:t>
            </m:r>
          </m:sub>
        </m:sSub>
      </m:oMath>
      <w:r w:rsidRPr="00913500">
        <w:rPr>
          <w:rFonts w:ascii="Times New Roman" w:eastAsiaTheme="minorEastAsia" w:hAnsi="Times New Roman" w:cs="Times New Roman"/>
        </w:rPr>
        <w:t xml:space="preserve"> is the absorption coefficient of the monomer and the polymer repeat units.</w:t>
      </w:r>
    </w:p>
    <w:p w14:paraId="2E00DF11" w14:textId="77777777" w:rsidR="006F2E70" w:rsidRDefault="006F2E70" w:rsidP="00913500">
      <w:pPr>
        <w:spacing w:line="360" w:lineRule="auto"/>
        <w:rPr>
          <w:rFonts w:ascii="Times New Roman" w:eastAsiaTheme="minorEastAsia" w:hAnsi="Times New Roman" w:cs="Times New Roman"/>
        </w:rPr>
      </w:pPr>
    </w:p>
    <w:p w14:paraId="3E1F16AC" w14:textId="69C772DA" w:rsidR="00913500" w:rsidRDefault="00913500" w:rsidP="00913500">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Miller and Kenning assume that initial initiator concentration is uniform through the polymer depth at time 0 (see Equation </w:t>
      </w:r>
      <w:r w:rsidR="0082333A">
        <w:rPr>
          <w:rFonts w:ascii="Times New Roman" w:eastAsiaTheme="minorEastAsia" w:hAnsi="Times New Roman" w:cs="Times New Roman"/>
        </w:rPr>
        <w:t>10</w:t>
      </w:r>
      <w:r w:rsidRPr="00913500">
        <w:rPr>
          <w:rFonts w:ascii="Times New Roman" w:eastAsiaTheme="minorEastAsia" w:hAnsi="Times New Roman" w:cs="Times New Roman"/>
        </w:rPr>
        <w:t>):</w:t>
      </w:r>
    </w:p>
    <w:p w14:paraId="5CDF32D7" w14:textId="77777777" w:rsidR="006F2E70" w:rsidRPr="00913500" w:rsidRDefault="006F2E70" w:rsidP="00913500">
      <w:pPr>
        <w:spacing w:line="360" w:lineRule="auto"/>
        <w:rPr>
          <w:rFonts w:ascii="Times New Roman" w:eastAsiaTheme="minorEastAsia" w:hAnsi="Times New Roman" w:cs="Times New Roman"/>
        </w:rPr>
      </w:pPr>
    </w:p>
    <w:p w14:paraId="49B5A0B9" w14:textId="316C97BC" w:rsidR="00913500" w:rsidRPr="00913500" w:rsidRDefault="002F73EC" w:rsidP="00913500">
      <w:pPr>
        <w:spacing w:line="360" w:lineRule="auto"/>
        <w:jc w:val="cente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z,0</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r>
            <w:rPr>
              <w:rFonts w:ascii="Cambria Math" w:hAnsi="Cambria Math" w:cs="Times New Roman"/>
            </w:rPr>
            <m:t xml:space="preserve">    (10)</m:t>
          </m:r>
        </m:oMath>
      </m:oMathPara>
    </w:p>
    <w:p w14:paraId="57E3A3AF" w14:textId="77777777" w:rsidR="00913500" w:rsidRPr="00913500" w:rsidRDefault="00913500" w:rsidP="00913500">
      <w:pPr>
        <w:spacing w:line="360" w:lineRule="auto"/>
        <w:jc w:val="center"/>
        <w:rPr>
          <w:rFonts w:ascii="Times New Roman" w:eastAsiaTheme="minorEastAsia" w:hAnsi="Times New Roman" w:cs="Times New Roman"/>
        </w:rPr>
      </w:pPr>
    </w:p>
    <w:p w14:paraId="530B5F8B" w14:textId="4ABE48ED" w:rsidR="00913500" w:rsidRPr="00913500" w:rsidRDefault="00913500" w:rsidP="00913500">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At any time, the incident intensity is constant on the polymer surface (see Equation </w:t>
      </w:r>
      <w:r w:rsidR="0082333A">
        <w:rPr>
          <w:rFonts w:ascii="Times New Roman" w:eastAsiaTheme="minorEastAsia" w:hAnsi="Times New Roman" w:cs="Times New Roman"/>
        </w:rPr>
        <w:t>11</w:t>
      </w:r>
      <w:r w:rsidRPr="00913500">
        <w:rPr>
          <w:rFonts w:ascii="Times New Roman" w:eastAsiaTheme="minorEastAsia" w:hAnsi="Times New Roman" w:cs="Times New Roman"/>
        </w:rPr>
        <w:t>):</w:t>
      </w:r>
    </w:p>
    <w:p w14:paraId="765D31B5" w14:textId="77777777" w:rsidR="00913500" w:rsidRPr="00913500" w:rsidRDefault="00913500" w:rsidP="00913500">
      <w:pPr>
        <w:spacing w:line="360" w:lineRule="auto"/>
        <w:rPr>
          <w:rFonts w:ascii="Times New Roman" w:eastAsiaTheme="minorEastAsia" w:hAnsi="Times New Roman" w:cs="Times New Roman"/>
        </w:rPr>
      </w:pPr>
    </w:p>
    <w:p w14:paraId="7048E144" w14:textId="3B7A4A33" w:rsidR="00913500" w:rsidRPr="00913500" w:rsidRDefault="00913500" w:rsidP="00913500">
      <w:pPr>
        <w:spacing w:line="360" w:lineRule="auto"/>
        <w:jc w:val="center"/>
        <w:rPr>
          <w:rFonts w:ascii="Times New Roman" w:eastAsiaTheme="minorEastAsia" w:hAnsi="Times New Roman" w:cs="Times New Roman"/>
        </w:rPr>
      </w:pPr>
      <m:oMathPara>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0,t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0</m:t>
              </m:r>
            </m:sub>
          </m:sSub>
          <m:r>
            <w:rPr>
              <w:rFonts w:ascii="Cambria Math" w:hAnsi="Cambria Math" w:cs="Times New Roman"/>
            </w:rPr>
            <m:t xml:space="preserve">     (11)</m:t>
          </m:r>
        </m:oMath>
      </m:oMathPara>
    </w:p>
    <w:p w14:paraId="36F6D8ED" w14:textId="77777777" w:rsidR="00913500" w:rsidRPr="00913500" w:rsidRDefault="00913500" w:rsidP="00913500">
      <w:pPr>
        <w:spacing w:line="360" w:lineRule="auto"/>
        <w:jc w:val="center"/>
        <w:rPr>
          <w:rFonts w:ascii="Times New Roman" w:eastAsiaTheme="minorEastAsia" w:hAnsi="Times New Roman" w:cs="Times New Roman"/>
        </w:rPr>
      </w:pPr>
    </w:p>
    <w:p w14:paraId="36ECD33D" w14:textId="13AD8506" w:rsidR="00913500" w:rsidRPr="00913500" w:rsidRDefault="00913500" w:rsidP="00913500">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Once Equations </w:t>
      </w:r>
      <w:r w:rsidR="00772176">
        <w:rPr>
          <w:rFonts w:ascii="Times New Roman" w:eastAsiaTheme="minorEastAsia" w:hAnsi="Times New Roman" w:cs="Times New Roman"/>
        </w:rPr>
        <w:t>7</w:t>
      </w:r>
      <w:r w:rsidRPr="00913500">
        <w:rPr>
          <w:rFonts w:ascii="Times New Roman" w:eastAsiaTheme="minorEastAsia" w:hAnsi="Times New Roman" w:cs="Times New Roman"/>
        </w:rPr>
        <w:t xml:space="preserve"> and </w:t>
      </w:r>
      <w:r w:rsidR="00772176">
        <w:rPr>
          <w:rFonts w:ascii="Times New Roman" w:eastAsiaTheme="minorEastAsia" w:hAnsi="Times New Roman" w:cs="Times New Roman"/>
        </w:rPr>
        <w:t>9</w:t>
      </w:r>
      <w:r w:rsidRPr="00913500">
        <w:rPr>
          <w:rFonts w:ascii="Times New Roman" w:eastAsiaTheme="minorEastAsia" w:hAnsi="Times New Roman" w:cs="Times New Roman"/>
        </w:rPr>
        <w:t xml:space="preserve"> are solved numerically, the resulting concentration and light intensity values can be used to determine the rate of photoinitiation, </w:t>
      </w: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z,t</m:t>
            </m:r>
          </m:e>
        </m:d>
      </m:oMath>
      <w:r w:rsidRPr="00913500">
        <w:rPr>
          <w:rFonts w:ascii="Times New Roman" w:eastAsiaTheme="minorEastAsia" w:hAnsi="Times New Roman" w:cs="Times New Roman"/>
        </w:rPr>
        <w:t xml:space="preserve"> in Equation </w:t>
      </w:r>
      <w:r w:rsidR="0082333A">
        <w:rPr>
          <w:rFonts w:ascii="Times New Roman" w:eastAsiaTheme="minorEastAsia" w:hAnsi="Times New Roman" w:cs="Times New Roman"/>
        </w:rPr>
        <w:t>12</w:t>
      </w:r>
      <w:r w:rsidRPr="00913500">
        <w:rPr>
          <w:rFonts w:ascii="Times New Roman" w:eastAsiaTheme="minorEastAsia" w:hAnsi="Times New Roman" w:cs="Times New Roman"/>
        </w:rPr>
        <w:t>:</w:t>
      </w:r>
    </w:p>
    <w:p w14:paraId="3670AE84" w14:textId="5C75A45D" w:rsidR="00913500" w:rsidRPr="006F2E70" w:rsidRDefault="002F73EC" w:rsidP="00913500">
      <w:pPr>
        <w:spacing w:line="360" w:lineRule="auto"/>
        <w:rPr>
          <w:rFonts w:ascii="Times New Roman" w:eastAsiaTheme="minorEastAsia" w:hAnsi="Times New Roman"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z,t</m:t>
              </m:r>
            </m:e>
          </m:d>
          <m:r>
            <w:rPr>
              <w:rFonts w:ascii="Cambria Math" w:eastAsiaTheme="minorEastAsia" w:hAnsi="Cambria Math" w:cs="Times New Roman"/>
            </w:rPr>
            <m:t>=2</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r>
            <w:rPr>
              <w:rFonts w:ascii="Cambria Math" w:eastAsiaTheme="minorEastAsia" w:hAnsi="Cambria Math" w:cs="Times New Roman"/>
            </w:rPr>
            <m:t>(z,t)</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j</m:t>
              </m:r>
            </m:sub>
            <m:sup/>
            <m:e>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r>
                        <w:rPr>
                          <w:rFonts w:ascii="Cambria Math" w:eastAsiaTheme="minorEastAsia" w:hAnsi="Cambria Math" w:cs="Times New Roman"/>
                        </w:rPr>
                        <m:t>I</m:t>
                      </m:r>
                      <m:d>
                        <m:dPr>
                          <m:ctrlPr>
                            <w:rPr>
                              <w:rFonts w:ascii="Cambria Math" w:eastAsiaTheme="minorEastAsia" w:hAnsi="Cambria Math" w:cs="Times New Roman"/>
                              <w:i/>
                            </w:rPr>
                          </m:ctrlPr>
                        </m:dPr>
                        <m:e>
                          <m:r>
                            <w:rPr>
                              <w:rFonts w:ascii="Cambria Math" w:eastAsiaTheme="minorEastAsia" w:hAnsi="Cambria Math" w:cs="Times New Roman"/>
                            </w:rPr>
                            <m:t>z,t</m:t>
                          </m:r>
                        </m:e>
                      </m:d>
                    </m:e>
                  </m:d>
                </m:e>
                <m:sub>
                  <m:r>
                    <w:rPr>
                      <w:rFonts w:ascii="Cambria Math" w:eastAsiaTheme="minorEastAsia" w:hAnsi="Cambria Math" w:cs="Times New Roman"/>
                    </w:rPr>
                    <m:t>j</m:t>
                  </m:r>
                </m:sub>
              </m:sSub>
              <m:sSub>
                <m:sSubPr>
                  <m:ctrlPr>
                    <w:rPr>
                      <w:rFonts w:ascii="Cambria Math" w:eastAsiaTheme="minorEastAsia" w:hAnsi="Cambria Math" w:cs="Times New Roman"/>
                      <w:i/>
                    </w:rPr>
                  </m:ctrlPr>
                </m:sSubPr>
                <m:e>
                  <m:r>
                    <w:rPr>
                      <w:rFonts w:ascii="Cambria Math" w:hAnsi="Cambria Math" w:cs="Times New Roman"/>
                    </w:rPr>
                    <m:t>ϕ</m:t>
                  </m:r>
                </m:e>
                <m:sub>
                  <m:r>
                    <w:rPr>
                      <w:rFonts w:ascii="Cambria Math" w:eastAsiaTheme="minorEastAsia" w:hAnsi="Cambria Math" w:cs="Times New Roman"/>
                    </w:rPr>
                    <m:t>j</m:t>
                  </m:r>
                </m:sub>
              </m:sSub>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ij</m:t>
                  </m:r>
                </m:sub>
              </m:sSub>
              <m:r>
                <w:rPr>
                  <w:rFonts w:ascii="Cambria Math" w:eastAsiaTheme="minorEastAsia" w:hAnsi="Cambria Math" w:cs="Times New Roman"/>
                </w:rPr>
                <m:t xml:space="preserve">    (12)</m:t>
              </m:r>
            </m:e>
          </m:nary>
        </m:oMath>
      </m:oMathPara>
    </w:p>
    <w:p w14:paraId="2DA8B44B" w14:textId="77777777" w:rsidR="006F2E70" w:rsidRPr="00913500" w:rsidRDefault="006F2E70" w:rsidP="00913500">
      <w:pPr>
        <w:spacing w:line="360" w:lineRule="auto"/>
        <w:rPr>
          <w:rFonts w:ascii="Times New Roman" w:eastAsiaTheme="minorEastAsia" w:hAnsi="Times New Roman" w:cs="Times New Roman"/>
        </w:rPr>
      </w:pPr>
    </w:p>
    <w:p w14:paraId="1D95BD1C" w14:textId="2CD346C7" w:rsidR="006F2E70" w:rsidRPr="001E18E0" w:rsidRDefault="002F73EC" w:rsidP="00913500">
      <w:pPr>
        <w:spacing w:line="360" w:lineRule="auto"/>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z,t</m:t>
            </m:r>
          </m:e>
        </m:d>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r>
          <w:rPr>
            <w:rFonts w:ascii="Cambria Math"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 xml:space="preserve"> </m:t>
            </m:r>
            <m:r>
              <m:rPr>
                <m:sty m:val="p"/>
              </m:rPr>
              <w:rPr>
                <w:rFonts w:ascii="Cambria Math" w:eastAsiaTheme="minorEastAsia" w:hAnsi="Cambria Math" w:cs="Times New Roman"/>
              </w:rPr>
              <m:t>and</m:t>
            </m:r>
            <m:r>
              <w:rPr>
                <w:rFonts w:ascii="Cambria Math" w:eastAsiaTheme="minorEastAsia" w:hAnsi="Cambria Math" w:cs="Times New Roman"/>
              </w:rPr>
              <m:t xml:space="preserve"> R</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z,t</m:t>
            </m:r>
          </m:e>
        </m:d>
      </m:oMath>
      <w:r w:rsidR="00913500" w:rsidRPr="00913500">
        <w:rPr>
          <w:rFonts w:ascii="Times New Roman" w:eastAsiaTheme="minorEastAsia" w:hAnsi="Times New Roman" w:cs="Times New Roman"/>
        </w:rPr>
        <w:t xml:space="preserve"> were solved numerically by discretizing and using the method of finite differences in MATLAB software (MathWorks).  In addition to neglecting reaction byproducts, the monomer was assumed to be pure Bis-EMA.  PETIA was neglected, as were contaminants such as residual methacrylic acid content.  As Miller noted, this model also neglects any change in the molar absorptivity of the monomer during curing </w:t>
      </w:r>
      <w:r w:rsidR="00913500" w:rsidRPr="00913500">
        <w:rPr>
          <w:rFonts w:ascii="Times New Roman" w:eastAsiaTheme="minorEastAsia" w:hAnsi="Times New Roman" w:cs="Times New Roman"/>
        </w:rPr>
        <w:fldChar w:fldCharType="begin" w:fldLock="1"/>
      </w:r>
      <w:r w:rsidR="00BF7344">
        <w:rPr>
          <w:rFonts w:ascii="Times New Roman" w:eastAsiaTheme="minorEastAsia" w:hAnsi="Times New Roman" w:cs="Times New Roman"/>
        </w:rPr>
        <w:instrText>ADDIN CSL_CITATION {"citationItems":[{"id":"ITEM-1","itemData":{"DOI":"10.1002/pola","abstract":"We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Chem","id":"ITEM-1","issued":{"date-parts":[["2002"]]},"page":"793-808","title":"Modeling of Photobleaching for the Photoinitiation of Thick Polymerization Systems","type":"article-journal","volume":"40"},"uris":["http://www.mendeley.com/documents/?uuid=1be3ef49-2c86-3605-abc9-a29c2fff38fe"]}],"mendeley":{"formattedCitation":"[36]","plainTextFormattedCitation":"[36]","previouslyFormattedCitation":"[36]"},"properties":{"noteIndex":0},"schema":"https://github.com/citation-style-language/schema/raw/master/csl-citation.json"}</w:instrText>
      </w:r>
      <w:r w:rsidR="00913500" w:rsidRPr="00913500">
        <w:rPr>
          <w:rFonts w:ascii="Times New Roman" w:eastAsiaTheme="minorEastAsia" w:hAnsi="Times New Roman" w:cs="Times New Roman"/>
        </w:rPr>
        <w:fldChar w:fldCharType="separate"/>
      </w:r>
      <w:r w:rsidR="00BF7344" w:rsidRPr="00BF7344">
        <w:rPr>
          <w:rFonts w:ascii="Times New Roman" w:eastAsiaTheme="minorEastAsia" w:hAnsi="Times New Roman" w:cs="Times New Roman"/>
          <w:noProof/>
        </w:rPr>
        <w:t>[36]</w:t>
      </w:r>
      <w:r w:rsidR="00913500" w:rsidRPr="00913500">
        <w:rPr>
          <w:rFonts w:ascii="Times New Roman" w:eastAsiaTheme="minorEastAsia" w:hAnsi="Times New Roman" w:cs="Times New Roman"/>
        </w:rPr>
        <w:fldChar w:fldCharType="end"/>
      </w:r>
      <w:r w:rsidR="00913500" w:rsidRPr="00913500">
        <w:rPr>
          <w:rFonts w:ascii="Times New Roman" w:eastAsiaTheme="minorEastAsia" w:hAnsi="Times New Roman" w:cs="Times New Roman"/>
        </w:rPr>
        <w:t>.</w:t>
      </w:r>
    </w:p>
    <w:p w14:paraId="3DFC60FC" w14:textId="7EBE18AB" w:rsidR="006F2E70" w:rsidRPr="001E18E0" w:rsidRDefault="00913500" w:rsidP="00DB3040">
      <w:pPr>
        <w:pStyle w:val="Heading2"/>
      </w:pPr>
      <w:bookmarkStart w:id="136" w:name="_Toc101701763"/>
      <w:r w:rsidRPr="00913500">
        <w:lastRenderedPageBreak/>
        <w:t>4.0 Materials and Methods</w:t>
      </w:r>
      <w:bookmarkEnd w:id="136"/>
    </w:p>
    <w:p w14:paraId="0D8BE720" w14:textId="1484995E" w:rsidR="00913500" w:rsidRPr="00913500" w:rsidRDefault="00913500" w:rsidP="009D06D1">
      <w:pPr>
        <w:pStyle w:val="Heading3"/>
      </w:pPr>
      <w:bookmarkStart w:id="137" w:name="_Toc101701764"/>
      <w:r w:rsidRPr="00913500">
        <w:t>4.1 Light Source and Materials</w:t>
      </w:r>
      <w:bookmarkEnd w:id="137"/>
    </w:p>
    <w:p w14:paraId="4B2E78DC" w14:textId="14335BCF" w:rsidR="00913500" w:rsidRPr="00913500" w:rsidRDefault="00913500" w:rsidP="00913500">
      <w:pPr>
        <w:spacing w:line="360" w:lineRule="auto"/>
        <w:rPr>
          <w:rFonts w:ascii="Times New Roman" w:hAnsi="Times New Roman" w:cs="Times New Roman"/>
        </w:rPr>
      </w:pPr>
      <w:r w:rsidRPr="00913500">
        <w:rPr>
          <w:rFonts w:ascii="Times New Roman" w:hAnsi="Times New Roman" w:cs="Times New Roman"/>
        </w:rPr>
        <w:t>The lamp was an Altair 75 high-intensity UV LED area lamp from Heraeus Noblelight with an emitting window of 80 mm x 13 mm and peak irradiance of 3.7 W/cm</w:t>
      </w:r>
      <w:r w:rsidRPr="00913500">
        <w:rPr>
          <w:rFonts w:ascii="Times New Roman" w:hAnsi="Times New Roman" w:cs="Times New Roman"/>
          <w:vertAlign w:val="superscript"/>
        </w:rPr>
        <w:t>2</w:t>
      </w:r>
      <w:r w:rsidRPr="00913500">
        <w:rPr>
          <w:rFonts w:ascii="Times New Roman" w:hAnsi="Times New Roman" w:cs="Times New Roman"/>
        </w:rPr>
        <w:t xml:space="preserve"> at 395 nm. The primary oligomer in this study was </w:t>
      </w:r>
      <w:bookmarkStart w:id="138" w:name="_Hlk93747160"/>
      <w:r w:rsidRPr="00913500">
        <w:rPr>
          <w:rFonts w:ascii="Times New Roman" w:hAnsi="Times New Roman" w:cs="Times New Roman"/>
        </w:rPr>
        <w:t>bisphenol A ethoxylate dimethacrylate</w:t>
      </w:r>
      <w:bookmarkEnd w:id="138"/>
      <w:r w:rsidRPr="00913500">
        <w:rPr>
          <w:rFonts w:ascii="Times New Roman" w:hAnsi="Times New Roman" w:cs="Times New Roman"/>
        </w:rPr>
        <w:t xml:space="preserve"> (Bis-EMA) (see </w:t>
      </w:r>
      <w:r w:rsidR="00772176" w:rsidRPr="00772176">
        <w:rPr>
          <w:rFonts w:ascii="Times New Roman" w:hAnsi="Times New Roman" w:cs="Times New Roman"/>
        </w:rPr>
        <w:fldChar w:fldCharType="begin"/>
      </w:r>
      <w:r w:rsidR="00772176" w:rsidRPr="00772176">
        <w:rPr>
          <w:rFonts w:ascii="Times New Roman" w:hAnsi="Times New Roman" w:cs="Times New Roman"/>
        </w:rPr>
        <w:instrText xml:space="preserve"> REF _Ref100930938 \h </w:instrText>
      </w:r>
      <w:r w:rsidR="00772176">
        <w:rPr>
          <w:rFonts w:ascii="Times New Roman" w:hAnsi="Times New Roman" w:cs="Times New Roman"/>
        </w:rPr>
        <w:instrText xml:space="preserve"> \* MERGEFORMAT </w:instrText>
      </w:r>
      <w:r w:rsidR="00772176" w:rsidRPr="00772176">
        <w:rPr>
          <w:rFonts w:ascii="Times New Roman" w:hAnsi="Times New Roman" w:cs="Times New Roman"/>
        </w:rPr>
      </w:r>
      <w:r w:rsidR="00772176" w:rsidRPr="00772176">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31</w:t>
      </w:r>
      <w:r w:rsidR="00772176" w:rsidRPr="00772176">
        <w:rPr>
          <w:rFonts w:ascii="Times New Roman" w:hAnsi="Times New Roman" w:cs="Times New Roman"/>
        </w:rPr>
        <w:fldChar w:fldCharType="end"/>
      </w:r>
      <w:r w:rsidRPr="00913500">
        <w:rPr>
          <w:rFonts w:ascii="Times New Roman" w:hAnsi="Times New Roman" w:cs="Times New Roman"/>
        </w:rPr>
        <w:t xml:space="preserve">). The reactive diluent was PETIA, a 50:50 molar mixture of tri- and tetra-acrylate esters of pentaerythritol supplied by Allnex. The primary PI was BAPO, supplied as Omnirad 819 by IGM Resins, and the control PI was BDMB, a highly reactive alkylaminoacetophenone supplied by Lambson (see </w:t>
      </w:r>
      <w:r w:rsidR="008A7BB2" w:rsidRPr="008A7BB2">
        <w:rPr>
          <w:rFonts w:ascii="Times New Roman" w:hAnsi="Times New Roman" w:cs="Times New Roman"/>
        </w:rPr>
        <w:fldChar w:fldCharType="begin"/>
      </w:r>
      <w:r w:rsidR="008A7BB2" w:rsidRPr="008A7BB2">
        <w:rPr>
          <w:rFonts w:ascii="Times New Roman" w:hAnsi="Times New Roman" w:cs="Times New Roman"/>
        </w:rPr>
        <w:instrText xml:space="preserve"> REF _Ref100931040 \h </w:instrText>
      </w:r>
      <w:r w:rsidR="008A7BB2">
        <w:rPr>
          <w:rFonts w:ascii="Times New Roman" w:hAnsi="Times New Roman" w:cs="Times New Roman"/>
        </w:rPr>
        <w:instrText xml:space="preserve"> \* MERGEFORMAT </w:instrText>
      </w:r>
      <w:r w:rsidR="008A7BB2" w:rsidRPr="008A7BB2">
        <w:rPr>
          <w:rFonts w:ascii="Times New Roman" w:hAnsi="Times New Roman" w:cs="Times New Roman"/>
        </w:rPr>
      </w:r>
      <w:r w:rsidR="008A7BB2" w:rsidRPr="008A7BB2">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32</w:t>
      </w:r>
      <w:r w:rsidR="008A7BB2" w:rsidRPr="008A7BB2">
        <w:rPr>
          <w:rFonts w:ascii="Times New Roman" w:hAnsi="Times New Roman" w:cs="Times New Roman"/>
        </w:rPr>
        <w:fldChar w:fldCharType="end"/>
      </w:r>
      <w:r w:rsidRPr="00913500">
        <w:rPr>
          <w:rFonts w:ascii="Times New Roman" w:hAnsi="Times New Roman" w:cs="Times New Roman"/>
        </w:rPr>
        <w:t xml:space="preserve">). </w:t>
      </w:r>
    </w:p>
    <w:p w14:paraId="0F86B5E3" w14:textId="77777777" w:rsidR="006F2E70" w:rsidRDefault="006F2E70" w:rsidP="00913500">
      <w:pPr>
        <w:spacing w:line="360" w:lineRule="auto"/>
        <w:rPr>
          <w:rFonts w:ascii="Times New Roman" w:hAnsi="Times New Roman" w:cs="Times New Roman"/>
        </w:rPr>
      </w:pPr>
    </w:p>
    <w:p w14:paraId="50DF7FA4" w14:textId="0F00AEE9"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In the present study, 3 mm thick photopolymer formulations used BAPO as the primary PI and BDMB as a control PI.  The experiments and model </w:t>
      </w:r>
      <w:r w:rsidR="00322976">
        <w:rPr>
          <w:rFonts w:ascii="Times New Roman" w:hAnsi="Times New Roman" w:cs="Times New Roman"/>
        </w:rPr>
        <w:t>were</w:t>
      </w:r>
      <w:r w:rsidRPr="00913500">
        <w:rPr>
          <w:rFonts w:ascii="Times New Roman" w:hAnsi="Times New Roman" w:cs="Times New Roman"/>
        </w:rPr>
        <w:t xml:space="preserve"> separated into two parts:</w:t>
      </w:r>
    </w:p>
    <w:p w14:paraId="2842D94B" w14:textId="77777777" w:rsidR="00322976" w:rsidRPr="00913500" w:rsidRDefault="00322976" w:rsidP="00913500">
      <w:pPr>
        <w:spacing w:line="360" w:lineRule="auto"/>
        <w:rPr>
          <w:rFonts w:ascii="Times New Roman" w:hAnsi="Times New Roman" w:cs="Times New Roman"/>
        </w:rPr>
      </w:pPr>
    </w:p>
    <w:p w14:paraId="293089C0" w14:textId="77777777" w:rsidR="00913500" w:rsidRPr="00913500" w:rsidRDefault="00913500" w:rsidP="000F4D4E">
      <w:pPr>
        <w:pStyle w:val="ListParagraph"/>
        <w:numPr>
          <w:ilvl w:val="0"/>
          <w:numId w:val="24"/>
        </w:numPr>
      </w:pPr>
      <w:r w:rsidRPr="00913500">
        <w:t xml:space="preserve">Optical Model – </w:t>
      </w:r>
      <w:r w:rsidRPr="00DA3FB5">
        <w:t xml:space="preserve">PI absorptivity values from UV-Vis spectroscopy results were used to build an optical model and predict photoinitiation rates at 3 mm depth for BAPO concentrations of 0.1 wt%, 0.5 wt%, and 1.0 wt%.  Formulations were then prepared at the same concentrations for both BAPO and BDMB, and 3 mm thick specimens were irradiated continuously for 60 s while monitoring cure via FTIR. The FTIR results were used to determine the cure rate at 3 mm depth and compared against the optical model. </w:t>
      </w:r>
    </w:p>
    <w:p w14:paraId="4621560E" w14:textId="2796D203" w:rsidR="00913500" w:rsidRPr="007E5B56" w:rsidRDefault="00913500" w:rsidP="000F4D4E">
      <w:pPr>
        <w:pStyle w:val="ListParagraph"/>
        <w:numPr>
          <w:ilvl w:val="0"/>
          <w:numId w:val="24"/>
        </w:numPr>
      </w:pPr>
      <w:r w:rsidRPr="00913500">
        <w:t xml:space="preserve">Pulse Irradiation Response - </w:t>
      </w:r>
      <w:r w:rsidRPr="00DA3FB5">
        <w:t xml:space="preserve">To simulate the curing conditions of LFAM processing, </w:t>
      </w:r>
      <w:r w:rsidRPr="00DA3FB5">
        <w:rPr>
          <w:rFonts w:eastAsiaTheme="minorEastAsia"/>
        </w:rPr>
        <w:t>formulations were also irradiated at short irradiation times of 1.0 s and 3.7 s, and FTIR was used to determine the cure response at 3 mm depth.  The four formulations with the highest degree of C=C conversion under 3.7 s irradiation were selected and further tested for mechanical properties under the same irradiation conditions.</w:t>
      </w:r>
      <w:r w:rsidRPr="007E5B56">
        <w:rPr>
          <w:rFonts w:eastAsiaTheme="minorEastAsia"/>
        </w:rPr>
        <w:t xml:space="preserve">  </w:t>
      </w:r>
    </w:p>
    <w:p w14:paraId="600386AB" w14:textId="77777777" w:rsidR="00322976" w:rsidRPr="00913500" w:rsidRDefault="00322976" w:rsidP="00F52F6E">
      <w:pPr>
        <w:ind w:left="720"/>
      </w:pPr>
    </w:p>
    <w:p w14:paraId="15F66511" w14:textId="2669C622" w:rsidR="006F2E70" w:rsidRDefault="00913500" w:rsidP="001E18E0">
      <w:pPr>
        <w:spacing w:line="360" w:lineRule="auto"/>
        <w:rPr>
          <w:rFonts w:ascii="Times New Roman" w:eastAsiaTheme="minorEastAsia" w:hAnsi="Times New Roman" w:cs="Times New Roman"/>
          <w:iCs/>
        </w:rPr>
      </w:pPr>
      <w:r w:rsidRPr="00913500">
        <w:rPr>
          <w:rFonts w:ascii="Times New Roman" w:eastAsiaTheme="minorEastAsia" w:hAnsi="Times New Roman" w:cs="Times New Roman"/>
          <w:iCs/>
        </w:rPr>
        <w:t xml:space="preserve">The results of the short irradiation testing were then compared against the optical model to determine the potential value of light absorption as a screening mechanism for LFAM photopolymer formulations.  </w:t>
      </w:r>
    </w:p>
    <w:p w14:paraId="43BA90D5" w14:textId="77777777" w:rsidR="006F2E70" w:rsidRPr="00913500" w:rsidRDefault="006F2E70" w:rsidP="009D06D1">
      <w:pPr>
        <w:pStyle w:val="Heading3"/>
      </w:pPr>
      <w:bookmarkStart w:id="139" w:name="_Toc101701765"/>
      <w:r w:rsidRPr="00913500">
        <w:lastRenderedPageBreak/>
        <w:t>4.2 PI Absorptivity</w:t>
      </w:r>
      <w:bookmarkEnd w:id="139"/>
      <w:r w:rsidRPr="00913500">
        <w:t xml:space="preserve"> </w:t>
      </w:r>
    </w:p>
    <w:p w14:paraId="60E783D8" w14:textId="196AAFD9" w:rsidR="006F2E70" w:rsidRPr="001E18E0" w:rsidRDefault="006F2E70" w:rsidP="006F2E70">
      <w:pPr>
        <w:spacing w:line="360" w:lineRule="auto"/>
        <w:rPr>
          <w:rFonts w:ascii="Times New Roman" w:hAnsi="Times New Roman" w:cs="Times New Roman"/>
        </w:rPr>
      </w:pPr>
      <w:r w:rsidRPr="00913500">
        <w:rPr>
          <w:rFonts w:ascii="Times New Roman" w:hAnsi="Times New Roman" w:cs="Times New Roman"/>
        </w:rPr>
        <w:t xml:space="preserve">Absorption properties of BAPO and BDMB were determined by ultraviolet-visible (UV-Vis) spectroscopy on an Evolution 300 spectrometer from </w:t>
      </w:r>
      <w:proofErr w:type="spellStart"/>
      <w:r w:rsidRPr="00913500">
        <w:rPr>
          <w:rFonts w:ascii="Times New Roman" w:hAnsi="Times New Roman" w:cs="Times New Roman"/>
        </w:rPr>
        <w:t>Thermo</w:t>
      </w:r>
      <w:proofErr w:type="spellEnd"/>
      <w:r w:rsidRPr="00913500">
        <w:rPr>
          <w:rFonts w:ascii="Times New Roman" w:hAnsi="Times New Roman" w:cs="Times New Roman"/>
        </w:rPr>
        <w:t xml:space="preserve"> Fisher Scientific. PI was dissolved in methanol at 0.01 wt%, and the solution was tested in a 1400 microliter quartz cuvette with a lid from Thorlabs, Inc.  The scan range was 200 to 600 nm, with a bandwidth of 2.0 nm.  Specimens were tested before and after 60 s of UV irradiation.</w:t>
      </w:r>
    </w:p>
    <w:p w14:paraId="76C9D4E3" w14:textId="77777777" w:rsidR="006F2E70" w:rsidRPr="00913500" w:rsidRDefault="006F2E70" w:rsidP="009D06D1">
      <w:pPr>
        <w:pStyle w:val="Heading3"/>
      </w:pPr>
      <w:bookmarkStart w:id="140" w:name="_Toc101701766"/>
      <w:r w:rsidRPr="00913500">
        <w:t>4.3 Specimen Preparation</w:t>
      </w:r>
      <w:bookmarkEnd w:id="140"/>
    </w:p>
    <w:p w14:paraId="6CFDCEF2" w14:textId="42E2BE2C" w:rsidR="006F2E70" w:rsidRDefault="006F2E70" w:rsidP="006F2E70">
      <w:pPr>
        <w:spacing w:line="360" w:lineRule="auto"/>
        <w:rPr>
          <w:rFonts w:ascii="Times New Roman" w:hAnsi="Times New Roman" w:cs="Times New Roman"/>
        </w:rPr>
      </w:pPr>
      <w:r w:rsidRPr="00913500">
        <w:rPr>
          <w:rFonts w:ascii="Times New Roman" w:hAnsi="Times New Roman" w:cs="Times New Roman"/>
        </w:rPr>
        <w:t xml:space="preserve">A base polymer formulation was prepared with 80 pph Bis-EMA and 20 pph PETIA.  Formulations were then prepared with each of BAPO and BDMB at PI concentrations of 0.1, 0.5, and 1.0 pph.  These were mixed under low heat using a hot plate stirrer for 10 minutes, then allowed to rest for at least 24 hours before UV irradiation at ambient temperatures.  All test specimens were cured in a polytetrafluoroethylene (PTFE) molding fixture measuring 25 mm in diameter with a mold cavity of 6 mm in diameter 3 mm in thickness.  Each specimen was cured with the mold positioned to center specimens in the emitting window. The specimens were irradiated at 10 mm from the top surface of the photopolymer to the UV lamp emitting window.  </w:t>
      </w:r>
    </w:p>
    <w:p w14:paraId="5442A38C" w14:textId="77777777" w:rsidR="006F2E70" w:rsidRPr="00913500" w:rsidRDefault="006F2E70" w:rsidP="009D06D1">
      <w:pPr>
        <w:pStyle w:val="Heading3"/>
      </w:pPr>
      <w:bookmarkStart w:id="141" w:name="_Toc101701767"/>
      <w:r w:rsidRPr="00913500">
        <w:t>4.4 Continuous Irradiation Testing</w:t>
      </w:r>
      <w:bookmarkEnd w:id="141"/>
    </w:p>
    <w:p w14:paraId="290551B9" w14:textId="5F14023A" w:rsidR="006F2E70" w:rsidRPr="00913500" w:rsidRDefault="006F2E70" w:rsidP="006F2E70">
      <w:pPr>
        <w:spacing w:line="360" w:lineRule="auto"/>
        <w:rPr>
          <w:rFonts w:ascii="Times New Roman" w:hAnsi="Times New Roman" w:cs="Times New Roman"/>
        </w:rPr>
      </w:pPr>
      <w:r w:rsidRPr="00913500">
        <w:rPr>
          <w:rFonts w:ascii="Times New Roman" w:hAnsi="Times New Roman" w:cs="Times New Roman"/>
        </w:rPr>
        <w:t>The formulations were irradiated for 60 seconds at an incident intensity of 380 mW/cm</w:t>
      </w:r>
      <w:r w:rsidRPr="00913500">
        <w:rPr>
          <w:rFonts w:ascii="Times New Roman" w:hAnsi="Times New Roman" w:cs="Times New Roman"/>
          <w:vertAlign w:val="superscript"/>
        </w:rPr>
        <w:t xml:space="preserve">2 </w:t>
      </w:r>
      <w:r w:rsidRPr="00913500">
        <w:rPr>
          <w:rFonts w:ascii="Times New Roman" w:hAnsi="Times New Roman" w:cs="Times New Roman"/>
        </w:rPr>
        <w:t>on the polymer surface, as measured using an ILT800 radiometer from International Light Technologies.  Two studies were conducted under this continuous irradiation:</w:t>
      </w:r>
      <w:r>
        <w:rPr>
          <w:rFonts w:ascii="Times New Roman" w:hAnsi="Times New Roman" w:cs="Times New Roman"/>
        </w:rPr>
        <w:t xml:space="preserve"> </w:t>
      </w:r>
      <w:r w:rsidRPr="00913500">
        <w:rPr>
          <w:rFonts w:ascii="Times New Roman" w:hAnsi="Times New Roman" w:cs="Times New Roman"/>
        </w:rPr>
        <w:t>radiometry to measure transmitted light intensity and FTIR to measure the degree of cure at 3 mm depth in the polymer specimen.  In the radiometry study, all specimens were</w:t>
      </w:r>
      <w:r>
        <w:rPr>
          <w:rFonts w:ascii="Times New Roman" w:hAnsi="Times New Roman" w:cs="Times New Roman"/>
        </w:rPr>
        <w:t xml:space="preserve"> </w:t>
      </w:r>
      <w:r w:rsidRPr="00913500">
        <w:rPr>
          <w:rFonts w:ascii="Times New Roman" w:hAnsi="Times New Roman" w:cs="Times New Roman"/>
        </w:rPr>
        <w:t>tested with a PET film and 1 mm thick quartz discs covering the top and bottom of the mold to mitigate oxygen inhibition and control sample thickness. For the FTIR study,</w:t>
      </w:r>
      <w:r w:rsidR="001E18E0">
        <w:rPr>
          <w:rFonts w:ascii="Times New Roman" w:hAnsi="Times New Roman" w:cs="Times New Roman"/>
        </w:rPr>
        <w:t xml:space="preserve"> </w:t>
      </w:r>
      <w:r w:rsidR="001E18E0" w:rsidRPr="00913500">
        <w:rPr>
          <w:rFonts w:ascii="Times New Roman" w:hAnsi="Times New Roman" w:cs="Times New Roman"/>
        </w:rPr>
        <w:t xml:space="preserve">testing was conducted on a Nicolet iS50 FTIR Spectrometer with an attenuated total reflectance (ATR) module, both from </w:t>
      </w:r>
      <w:proofErr w:type="spellStart"/>
      <w:r w:rsidR="001E18E0" w:rsidRPr="00913500">
        <w:rPr>
          <w:rFonts w:ascii="Times New Roman" w:hAnsi="Times New Roman" w:cs="Times New Roman"/>
        </w:rPr>
        <w:t>Thermo</w:t>
      </w:r>
      <w:proofErr w:type="spellEnd"/>
      <w:r w:rsidR="001E18E0" w:rsidRPr="00913500">
        <w:rPr>
          <w:rFonts w:ascii="Times New Roman" w:hAnsi="Times New Roman" w:cs="Times New Roman"/>
        </w:rPr>
        <w:t xml:space="preserve"> Fisher Scientific. To ensure intimate contact of the cured polymer with the diamond crystal of the ATR, the mold and lamp were positioned directly over the crystal.  Specimens were irradiated in situ for 60 s.  During irradiation, measurements were taken in real-time (RT-FTIR) in a series of scans </w:t>
      </w:r>
    </w:p>
    <w:p w14:paraId="5186B482" w14:textId="77777777" w:rsidR="00772176" w:rsidRDefault="00913500" w:rsidP="00772176">
      <w:pPr>
        <w:keepNext/>
        <w:spacing w:line="360" w:lineRule="auto"/>
        <w:jc w:val="center"/>
      </w:pPr>
      <w:r w:rsidRPr="00913500">
        <w:rPr>
          <w:rFonts w:ascii="Times New Roman" w:hAnsi="Times New Roman" w:cs="Times New Roman"/>
          <w:b/>
          <w:bCs/>
          <w:noProof/>
        </w:rPr>
        <w:lastRenderedPageBreak/>
        <w:drawing>
          <wp:inline distT="0" distB="0" distL="0" distR="0" wp14:anchorId="79F858A8" wp14:editId="5D6DAB3A">
            <wp:extent cx="5000625" cy="3871019"/>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7001" b="13166"/>
                    <a:stretch/>
                  </pic:blipFill>
                  <pic:spPr bwMode="auto">
                    <a:xfrm>
                      <a:off x="0" y="0"/>
                      <a:ext cx="5031802" cy="3895153"/>
                    </a:xfrm>
                    <a:prstGeom prst="rect">
                      <a:avLst/>
                    </a:prstGeom>
                    <a:noFill/>
                    <a:ln>
                      <a:noFill/>
                    </a:ln>
                    <a:extLst>
                      <a:ext uri="{53640926-AAD7-44D8-BBD7-CCE9431645EC}">
                        <a14:shadowObscured xmlns:a14="http://schemas.microsoft.com/office/drawing/2010/main"/>
                      </a:ext>
                    </a:extLst>
                  </pic:spPr>
                </pic:pic>
              </a:graphicData>
            </a:graphic>
          </wp:inline>
        </w:drawing>
      </w:r>
    </w:p>
    <w:p w14:paraId="7B9CC3A4" w14:textId="1737DF7D" w:rsidR="00913500" w:rsidRPr="00913500" w:rsidRDefault="00772176" w:rsidP="00F20503">
      <w:pPr>
        <w:pStyle w:val="Caption"/>
      </w:pPr>
      <w:bookmarkStart w:id="142" w:name="_Ref100930938"/>
      <w:bookmarkStart w:id="143" w:name="_Toc101365693"/>
      <w:r>
        <w:t xml:space="preserve">Figure </w:t>
      </w:r>
      <w:r w:rsidR="002F73EC">
        <w:fldChar w:fldCharType="begin"/>
      </w:r>
      <w:r w:rsidR="002F73EC">
        <w:instrText xml:space="preserve"> SEQ Figure \* ARABIC </w:instrText>
      </w:r>
      <w:r w:rsidR="002F73EC">
        <w:fldChar w:fldCharType="separate"/>
      </w:r>
      <w:r w:rsidR="00BF5717">
        <w:rPr>
          <w:noProof/>
        </w:rPr>
        <w:t>31</w:t>
      </w:r>
      <w:r w:rsidR="002F73EC">
        <w:rPr>
          <w:noProof/>
        </w:rPr>
        <w:fldChar w:fldCharType="end"/>
      </w:r>
      <w:bookmarkEnd w:id="142"/>
      <w:r>
        <w:t xml:space="preserve"> </w:t>
      </w:r>
      <w:r w:rsidRPr="00913500">
        <w:t>Primary oligomer Bis-EMA is di-functional while PETIA has tri- and tetra-functionality.</w:t>
      </w:r>
      <w:bookmarkEnd w:id="143"/>
    </w:p>
    <w:p w14:paraId="518CF98A" w14:textId="4524F5D0" w:rsidR="00913500" w:rsidRDefault="00913500" w:rsidP="00913500">
      <w:pPr>
        <w:spacing w:line="360" w:lineRule="auto"/>
        <w:rPr>
          <w:rFonts w:ascii="Times New Roman" w:hAnsi="Times New Roman" w:cs="Times New Roman"/>
        </w:rPr>
      </w:pPr>
    </w:p>
    <w:p w14:paraId="35F6FB50" w14:textId="77777777" w:rsidR="00D70EAD" w:rsidRPr="00913500" w:rsidRDefault="00D70EAD" w:rsidP="00913500">
      <w:pPr>
        <w:spacing w:line="360" w:lineRule="auto"/>
        <w:rPr>
          <w:rFonts w:ascii="Times New Roman" w:hAnsi="Times New Roman" w:cs="Times New Roman"/>
        </w:rPr>
      </w:pPr>
    </w:p>
    <w:p w14:paraId="167FDB43" w14:textId="77777777" w:rsidR="00772176" w:rsidRDefault="00913500" w:rsidP="00772176">
      <w:pPr>
        <w:keepNext/>
        <w:spacing w:line="360" w:lineRule="auto"/>
        <w:jc w:val="center"/>
      </w:pPr>
      <w:r w:rsidRPr="00913500">
        <w:rPr>
          <w:rFonts w:ascii="Times New Roman" w:hAnsi="Times New Roman" w:cs="Times New Roman"/>
          <w:noProof/>
        </w:rPr>
        <w:drawing>
          <wp:inline distT="0" distB="0" distL="0" distR="0" wp14:anchorId="6591D7D2" wp14:editId="53DBA9BE">
            <wp:extent cx="5544542" cy="1914525"/>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38"/>
                    <a:stretch>
                      <a:fillRect/>
                    </a:stretch>
                  </pic:blipFill>
                  <pic:spPr>
                    <a:xfrm>
                      <a:off x="0" y="0"/>
                      <a:ext cx="5605923" cy="1935720"/>
                    </a:xfrm>
                    <a:prstGeom prst="rect">
                      <a:avLst/>
                    </a:prstGeom>
                  </pic:spPr>
                </pic:pic>
              </a:graphicData>
            </a:graphic>
          </wp:inline>
        </w:drawing>
      </w:r>
    </w:p>
    <w:p w14:paraId="284E04B1" w14:textId="27A0FA88" w:rsidR="00913500" w:rsidRPr="00913500" w:rsidRDefault="00772176" w:rsidP="00F20503">
      <w:pPr>
        <w:pStyle w:val="Caption"/>
      </w:pPr>
      <w:bookmarkStart w:id="144" w:name="_Ref100931040"/>
      <w:bookmarkStart w:id="145" w:name="_Toc101365694"/>
      <w:r>
        <w:t xml:space="preserve">Figure </w:t>
      </w:r>
      <w:r w:rsidR="002F73EC">
        <w:fldChar w:fldCharType="begin"/>
      </w:r>
      <w:r w:rsidR="002F73EC">
        <w:instrText xml:space="preserve"> SEQ Figure \* ARABIC </w:instrText>
      </w:r>
      <w:r w:rsidR="002F73EC">
        <w:fldChar w:fldCharType="separate"/>
      </w:r>
      <w:r w:rsidR="00BF5717">
        <w:rPr>
          <w:noProof/>
        </w:rPr>
        <w:t>32</w:t>
      </w:r>
      <w:r w:rsidR="002F73EC">
        <w:rPr>
          <w:noProof/>
        </w:rPr>
        <w:fldChar w:fldCharType="end"/>
      </w:r>
      <w:bookmarkEnd w:id="144"/>
      <w:r>
        <w:t xml:space="preserve"> </w:t>
      </w:r>
      <w:r w:rsidRPr="00913500">
        <w:t>BAPO is a common photobleaching PI, while BDMB is highly reactive</w:t>
      </w:r>
      <w:r>
        <w:t>.</w:t>
      </w:r>
      <w:bookmarkEnd w:id="145"/>
    </w:p>
    <w:p w14:paraId="5EAD3A8B" w14:textId="5193A3EA" w:rsidR="006F2E70" w:rsidRDefault="006F2E70" w:rsidP="00913500">
      <w:pPr>
        <w:spacing w:line="360" w:lineRule="auto"/>
        <w:rPr>
          <w:rFonts w:ascii="Times New Roman" w:hAnsi="Times New Roman" w:cs="Times New Roman"/>
        </w:rPr>
      </w:pPr>
    </w:p>
    <w:p w14:paraId="28041F00" w14:textId="79D250A7" w:rsidR="00322976" w:rsidRDefault="00322976" w:rsidP="00913500">
      <w:pPr>
        <w:spacing w:line="360" w:lineRule="auto"/>
        <w:rPr>
          <w:rFonts w:ascii="Times New Roman" w:hAnsi="Times New Roman" w:cs="Times New Roman"/>
        </w:rPr>
      </w:pPr>
      <w:r w:rsidRPr="00913500">
        <w:rPr>
          <w:rFonts w:ascii="Times New Roman" w:hAnsi="Times New Roman" w:cs="Times New Roman"/>
        </w:rPr>
        <w:lastRenderedPageBreak/>
        <w:t>at 4 cm</w:t>
      </w:r>
      <w:r w:rsidRPr="00913500">
        <w:rPr>
          <w:rFonts w:ascii="Times New Roman" w:hAnsi="Times New Roman" w:cs="Times New Roman"/>
          <w:vertAlign w:val="superscript"/>
        </w:rPr>
        <w:t>-1</w:t>
      </w:r>
      <w:r w:rsidRPr="00913500">
        <w:rPr>
          <w:rFonts w:ascii="Times New Roman" w:hAnsi="Times New Roman" w:cs="Times New Roman"/>
        </w:rPr>
        <w:t xml:space="preserve"> resolution and a gain of 8.0.  An additional scan was taken at 10 minutes post-irradiation 64 scans at 4 cm-1 resolution for each test.  A minimum of three specimens of each formula were tested for both radiometry and RT-FTIR, with the specimen setup shown in </w:t>
      </w:r>
      <w:r w:rsidR="008A7BB2" w:rsidRPr="008A7BB2">
        <w:rPr>
          <w:rFonts w:ascii="Times New Roman" w:hAnsi="Times New Roman" w:cs="Times New Roman"/>
        </w:rPr>
        <w:fldChar w:fldCharType="begin"/>
      </w:r>
      <w:r w:rsidR="008A7BB2" w:rsidRPr="008A7BB2">
        <w:rPr>
          <w:rFonts w:ascii="Times New Roman" w:hAnsi="Times New Roman" w:cs="Times New Roman"/>
        </w:rPr>
        <w:instrText xml:space="preserve"> REF _Ref100931184 \h </w:instrText>
      </w:r>
      <w:r w:rsidR="008A7BB2">
        <w:rPr>
          <w:rFonts w:ascii="Times New Roman" w:hAnsi="Times New Roman" w:cs="Times New Roman"/>
        </w:rPr>
        <w:instrText xml:space="preserve"> \* MERGEFORMAT </w:instrText>
      </w:r>
      <w:r w:rsidR="008A7BB2" w:rsidRPr="008A7BB2">
        <w:rPr>
          <w:rFonts w:ascii="Times New Roman" w:hAnsi="Times New Roman" w:cs="Times New Roman"/>
        </w:rPr>
      </w:r>
      <w:r w:rsidR="008A7BB2" w:rsidRPr="008A7BB2">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33</w:t>
      </w:r>
      <w:r w:rsidR="008A7BB2" w:rsidRPr="008A7BB2">
        <w:rPr>
          <w:rFonts w:ascii="Times New Roman" w:hAnsi="Times New Roman" w:cs="Times New Roman"/>
        </w:rPr>
        <w:fldChar w:fldCharType="end"/>
      </w:r>
      <w:r w:rsidRPr="00913500">
        <w:rPr>
          <w:rFonts w:ascii="Times New Roman" w:hAnsi="Times New Roman" w:cs="Times New Roman"/>
        </w:rPr>
        <w:t>.</w:t>
      </w:r>
    </w:p>
    <w:p w14:paraId="47F08A54" w14:textId="77777777" w:rsidR="006F2E70" w:rsidRPr="00913500" w:rsidRDefault="006F2E70" w:rsidP="009D06D1">
      <w:pPr>
        <w:pStyle w:val="Heading3"/>
      </w:pPr>
      <w:bookmarkStart w:id="146" w:name="_Toc101701768"/>
      <w:r w:rsidRPr="00913500">
        <w:t>4.5 Pulse Irradiation Testing</w:t>
      </w:r>
      <w:bookmarkEnd w:id="146"/>
    </w:p>
    <w:p w14:paraId="65C34C44" w14:textId="4C3D6F47" w:rsidR="006F2E70" w:rsidRPr="00913500" w:rsidRDefault="006F2E70" w:rsidP="006F2E70">
      <w:pPr>
        <w:spacing w:line="360" w:lineRule="auto"/>
        <w:rPr>
          <w:rFonts w:ascii="Times New Roman" w:hAnsi="Times New Roman" w:cs="Times New Roman"/>
        </w:rPr>
      </w:pPr>
      <w:r w:rsidRPr="00913500">
        <w:rPr>
          <w:rFonts w:ascii="Times New Roman" w:hAnsi="Times New Roman" w:cs="Times New Roman"/>
        </w:rPr>
        <w:t>Each BAPO and BDMB formulation was irradiated for 1.0 s and 3.7 s at an incident intensity of 1600 mW/cm</w:t>
      </w:r>
      <w:r w:rsidRPr="00913500">
        <w:rPr>
          <w:rFonts w:ascii="Times New Roman" w:hAnsi="Times New Roman" w:cs="Times New Roman"/>
          <w:vertAlign w:val="superscript"/>
        </w:rPr>
        <w:t>2</w:t>
      </w:r>
      <w:r w:rsidRPr="00913500">
        <w:rPr>
          <w:rFonts w:ascii="Times New Roman" w:hAnsi="Times New Roman" w:cs="Times New Roman"/>
        </w:rPr>
        <w:t xml:space="preserve"> and a total equivalent dose of 1.4 J/cm</w:t>
      </w:r>
      <w:r w:rsidRPr="00913500">
        <w:rPr>
          <w:rFonts w:ascii="Times New Roman" w:hAnsi="Times New Roman" w:cs="Times New Roman"/>
          <w:vertAlign w:val="superscript"/>
        </w:rPr>
        <w:t xml:space="preserve">2 </w:t>
      </w:r>
      <w:r w:rsidRPr="00913500">
        <w:rPr>
          <w:rFonts w:ascii="Times New Roman" w:hAnsi="Times New Roman" w:cs="Times New Roman"/>
        </w:rPr>
        <w:t>and 5.5 J/cm</w:t>
      </w:r>
      <w:r w:rsidRPr="00913500">
        <w:rPr>
          <w:rFonts w:ascii="Times New Roman" w:hAnsi="Times New Roman" w:cs="Times New Roman"/>
          <w:vertAlign w:val="superscript"/>
        </w:rPr>
        <w:t>2</w:t>
      </w:r>
      <w:r w:rsidRPr="00913500">
        <w:rPr>
          <w:rFonts w:ascii="Times New Roman" w:hAnsi="Times New Roman" w:cs="Times New Roman"/>
        </w:rPr>
        <w:t>, respectively.  Samples were prepared in the same setup as RT-FTIR, irradiated in situ on a diamond ATR accessory.  Scans were taken before testing for baseline polymer levels and 10 minutes post-irradiation, with 64 scans at 4 cm</w:t>
      </w:r>
      <w:r w:rsidRPr="00913500">
        <w:rPr>
          <w:rFonts w:ascii="Times New Roman" w:hAnsi="Times New Roman" w:cs="Times New Roman"/>
          <w:vertAlign w:val="superscript"/>
        </w:rPr>
        <w:t>-1</w:t>
      </w:r>
      <w:r w:rsidRPr="00913500">
        <w:rPr>
          <w:rFonts w:ascii="Times New Roman" w:hAnsi="Times New Roman" w:cs="Times New Roman"/>
        </w:rPr>
        <w:t xml:space="preserve"> resolution.  </w:t>
      </w:r>
    </w:p>
    <w:p w14:paraId="43180ED3" w14:textId="77777777" w:rsidR="006F2E70" w:rsidRPr="00913500" w:rsidRDefault="006F2E70" w:rsidP="009D06D1">
      <w:pPr>
        <w:pStyle w:val="Heading3"/>
      </w:pPr>
      <w:bookmarkStart w:id="147" w:name="_Toc101701769"/>
      <w:r w:rsidRPr="00913500">
        <w:t>4.6 Flexural Testing</w:t>
      </w:r>
      <w:bookmarkEnd w:id="147"/>
    </w:p>
    <w:p w14:paraId="71096E0E" w14:textId="253AF8D3" w:rsidR="001E18E0" w:rsidRDefault="006F2E70" w:rsidP="00913500">
      <w:pPr>
        <w:spacing w:line="360" w:lineRule="auto"/>
        <w:rPr>
          <w:rFonts w:ascii="Times New Roman" w:hAnsi="Times New Roman" w:cs="Times New Roman"/>
        </w:rPr>
      </w:pPr>
      <w:r w:rsidRPr="00913500">
        <w:rPr>
          <w:rFonts w:ascii="Times New Roman" w:hAnsi="Times New Roman" w:cs="Times New Roman"/>
        </w:rPr>
        <w:t>Two BAPO formulations and two BDMB formulations were selected for further mechanical testing based on FTIR results.  Flexural specimens were prepared with nominal dimensions of 12.7 mm width x 3 mm depth x 58 mm length.  Specimens were cured in white acrylic molds at 3.7 s pulse irradiation at 1600 mW/cm</w:t>
      </w:r>
      <w:r w:rsidRPr="00913500">
        <w:rPr>
          <w:rFonts w:ascii="Times New Roman" w:hAnsi="Times New Roman" w:cs="Times New Roman"/>
          <w:vertAlign w:val="superscript"/>
        </w:rPr>
        <w:t>2</w:t>
      </w:r>
      <w:r w:rsidRPr="00913500">
        <w:rPr>
          <w:rFonts w:ascii="Times New Roman" w:hAnsi="Times New Roman" w:cs="Times New Roman"/>
        </w:rPr>
        <w:t xml:space="preserve"> incident light intensity, with PET film and 1 mm thick glass microscope slides on top and bottom.  Three-point bend testing was conducted per ASTM D790, with a minimum of six specimens per formula. </w:t>
      </w:r>
    </w:p>
    <w:p w14:paraId="210CD5BF" w14:textId="62687B36" w:rsidR="001E18E0" w:rsidRPr="001E18E0" w:rsidRDefault="001E18E0" w:rsidP="00DB3040">
      <w:pPr>
        <w:pStyle w:val="Heading2"/>
      </w:pPr>
      <w:bookmarkStart w:id="148" w:name="_Toc101701770"/>
      <w:r w:rsidRPr="00913500">
        <w:t>5.0 Results and Discussion</w:t>
      </w:r>
      <w:bookmarkEnd w:id="148"/>
    </w:p>
    <w:p w14:paraId="0470C147" w14:textId="77777777" w:rsidR="001E18E0" w:rsidRPr="00913500" w:rsidRDefault="001E18E0" w:rsidP="009D06D1">
      <w:pPr>
        <w:pStyle w:val="Heading3"/>
      </w:pPr>
      <w:bookmarkStart w:id="149" w:name="_Toc101701771"/>
      <w:r w:rsidRPr="00913500">
        <w:t>5.1 Absorption Spectra</w:t>
      </w:r>
      <w:bookmarkEnd w:id="149"/>
    </w:p>
    <w:p w14:paraId="74E1C752" w14:textId="54184116" w:rsidR="001E18E0" w:rsidRPr="00913500" w:rsidRDefault="001E18E0" w:rsidP="00913500">
      <w:pPr>
        <w:spacing w:line="360" w:lineRule="auto"/>
        <w:rPr>
          <w:rFonts w:ascii="Times New Roman" w:hAnsi="Times New Roman" w:cs="Times New Roman"/>
        </w:rPr>
      </w:pPr>
      <w:r w:rsidRPr="00913500">
        <w:rPr>
          <w:rFonts w:ascii="Times New Roman" w:hAnsi="Times New Roman" w:cs="Times New Roman"/>
        </w:rPr>
        <w:t xml:space="preserve">As shown in </w:t>
      </w:r>
      <w:r w:rsidR="008A7BB2" w:rsidRPr="008A7BB2">
        <w:rPr>
          <w:rFonts w:ascii="Times New Roman" w:hAnsi="Times New Roman" w:cs="Times New Roman"/>
        </w:rPr>
        <w:fldChar w:fldCharType="begin"/>
      </w:r>
      <w:r w:rsidR="008A7BB2" w:rsidRPr="008A7BB2">
        <w:rPr>
          <w:rFonts w:ascii="Times New Roman" w:hAnsi="Times New Roman" w:cs="Times New Roman"/>
        </w:rPr>
        <w:instrText xml:space="preserve"> REF _Ref100931280 \h </w:instrText>
      </w:r>
      <w:r w:rsidR="008A7BB2">
        <w:rPr>
          <w:rFonts w:ascii="Times New Roman" w:hAnsi="Times New Roman" w:cs="Times New Roman"/>
        </w:rPr>
        <w:instrText xml:space="preserve"> \* MERGEFORMAT </w:instrText>
      </w:r>
      <w:r w:rsidR="008A7BB2" w:rsidRPr="008A7BB2">
        <w:rPr>
          <w:rFonts w:ascii="Times New Roman" w:hAnsi="Times New Roman" w:cs="Times New Roman"/>
        </w:rPr>
      </w:r>
      <w:r w:rsidR="008A7BB2" w:rsidRPr="008A7BB2">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34</w:t>
      </w:r>
      <w:r w:rsidR="008A7BB2" w:rsidRPr="008A7BB2">
        <w:rPr>
          <w:rFonts w:ascii="Times New Roman" w:hAnsi="Times New Roman" w:cs="Times New Roman"/>
        </w:rPr>
        <w:fldChar w:fldCharType="end"/>
      </w:r>
      <w:r w:rsidRPr="00913500">
        <w:rPr>
          <w:rFonts w:ascii="Times New Roman" w:hAnsi="Times New Roman" w:cs="Times New Roman"/>
        </w:rPr>
        <w:t xml:space="preserve">, both BAPO and BDMB have some absorptivity in the UV-A range, overlapping the spectral output of the Altair 75 lamp.  BDMB is considered a highly reactive PI because of its high molar absorptivity at lower wavelengths.  However, in the UV-A range, BAPO has higher absorptivity than BDMB. At the peak lamp output wavelength of 398 nm, BDMB has a molar absorptivity of 249.9 L/mol-cm while BAPO is 679.9 L/mol-cm.  This higher absorptivity blocks light transmission and can impede the depth of cure during initial irradiation.  Since BAPO has UV transparent photoproducts (see Figure 6), light can penetrate deeper into a specimen as the PI reacts. </w:t>
      </w:r>
    </w:p>
    <w:p w14:paraId="4B26A081" w14:textId="77777777" w:rsidR="008A7BB2" w:rsidRDefault="00913500" w:rsidP="008A7BB2">
      <w:pPr>
        <w:keepNext/>
        <w:spacing w:line="360" w:lineRule="auto"/>
        <w:jc w:val="center"/>
      </w:pPr>
      <w:r w:rsidRPr="00913500">
        <w:rPr>
          <w:rFonts w:ascii="Times New Roman" w:hAnsi="Times New Roman" w:cs="Times New Roman"/>
          <w:noProof/>
        </w:rPr>
        <w:lastRenderedPageBreak/>
        <w:drawing>
          <wp:inline distT="0" distB="0" distL="0" distR="0" wp14:anchorId="657CDB2A" wp14:editId="3217EFDC">
            <wp:extent cx="4943475" cy="4950340"/>
            <wp:effectExtent l="19050" t="19050" r="9525" b="2222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9"/>
                    <a:stretch>
                      <a:fillRect/>
                    </a:stretch>
                  </pic:blipFill>
                  <pic:spPr>
                    <a:xfrm>
                      <a:off x="0" y="0"/>
                      <a:ext cx="4953690" cy="4960569"/>
                    </a:xfrm>
                    <a:prstGeom prst="rect">
                      <a:avLst/>
                    </a:prstGeom>
                    <a:ln>
                      <a:solidFill>
                        <a:schemeClr val="tx1"/>
                      </a:solidFill>
                    </a:ln>
                  </pic:spPr>
                </pic:pic>
              </a:graphicData>
            </a:graphic>
          </wp:inline>
        </w:drawing>
      </w:r>
    </w:p>
    <w:p w14:paraId="7B7A6A32" w14:textId="0CDFB82D" w:rsidR="00913500" w:rsidRPr="00913500" w:rsidRDefault="008A7BB2" w:rsidP="00F20503">
      <w:pPr>
        <w:pStyle w:val="Caption"/>
      </w:pPr>
      <w:bookmarkStart w:id="150" w:name="_Ref100931184"/>
      <w:bookmarkStart w:id="151" w:name="_Toc101365695"/>
      <w:r>
        <w:t xml:space="preserve">Figure </w:t>
      </w:r>
      <w:r w:rsidR="002F73EC">
        <w:fldChar w:fldCharType="begin"/>
      </w:r>
      <w:r w:rsidR="002F73EC">
        <w:instrText xml:space="preserve"> SEQ Figure \* ARABIC </w:instrText>
      </w:r>
      <w:r w:rsidR="002F73EC">
        <w:fldChar w:fldCharType="separate"/>
      </w:r>
      <w:r w:rsidR="00BF5717">
        <w:rPr>
          <w:noProof/>
        </w:rPr>
        <w:t>33</w:t>
      </w:r>
      <w:r w:rsidR="002F73EC">
        <w:rPr>
          <w:noProof/>
        </w:rPr>
        <w:fldChar w:fldCharType="end"/>
      </w:r>
      <w:bookmarkEnd w:id="150"/>
      <w:r>
        <w:t xml:space="preserve"> </w:t>
      </w:r>
      <w:r w:rsidRPr="00913500">
        <w:t>Specimen setup for 60 s irradiation testing at 3 mm specimen thickness</w:t>
      </w:r>
      <w:r>
        <w:t>.</w:t>
      </w:r>
      <w:bookmarkEnd w:id="151"/>
    </w:p>
    <w:p w14:paraId="644137AC" w14:textId="786DEFD6" w:rsidR="00913500" w:rsidRDefault="00913500" w:rsidP="00913500">
      <w:pPr>
        <w:spacing w:line="360" w:lineRule="auto"/>
        <w:rPr>
          <w:rFonts w:ascii="Times New Roman" w:hAnsi="Times New Roman" w:cs="Times New Roman"/>
          <w:b/>
          <w:bCs/>
        </w:rPr>
      </w:pPr>
    </w:p>
    <w:p w14:paraId="2C96CD58" w14:textId="30507253" w:rsidR="001929AB" w:rsidRDefault="001929AB" w:rsidP="00913500">
      <w:pPr>
        <w:spacing w:line="360" w:lineRule="auto"/>
        <w:rPr>
          <w:rFonts w:ascii="Times New Roman" w:hAnsi="Times New Roman" w:cs="Times New Roman"/>
          <w:b/>
          <w:bCs/>
        </w:rPr>
      </w:pPr>
    </w:p>
    <w:p w14:paraId="193EAD53" w14:textId="148C1475" w:rsidR="001929AB" w:rsidRDefault="001929AB" w:rsidP="00913500">
      <w:pPr>
        <w:spacing w:line="360" w:lineRule="auto"/>
        <w:rPr>
          <w:rFonts w:ascii="Times New Roman" w:hAnsi="Times New Roman" w:cs="Times New Roman"/>
          <w:b/>
          <w:bCs/>
        </w:rPr>
      </w:pPr>
    </w:p>
    <w:p w14:paraId="5CF99508" w14:textId="6DD74D83" w:rsidR="001929AB" w:rsidRDefault="001929AB" w:rsidP="00913500">
      <w:pPr>
        <w:spacing w:line="360" w:lineRule="auto"/>
        <w:rPr>
          <w:rFonts w:ascii="Times New Roman" w:hAnsi="Times New Roman" w:cs="Times New Roman"/>
          <w:b/>
          <w:bCs/>
        </w:rPr>
      </w:pPr>
    </w:p>
    <w:p w14:paraId="77C59339" w14:textId="5DCCF04D" w:rsidR="001929AB" w:rsidRDefault="001929AB" w:rsidP="00913500">
      <w:pPr>
        <w:spacing w:line="360" w:lineRule="auto"/>
        <w:rPr>
          <w:rFonts w:ascii="Times New Roman" w:hAnsi="Times New Roman" w:cs="Times New Roman"/>
          <w:b/>
          <w:bCs/>
        </w:rPr>
      </w:pPr>
    </w:p>
    <w:p w14:paraId="1A2BA4AC" w14:textId="77777777" w:rsidR="00322976" w:rsidRDefault="00322976" w:rsidP="00913500">
      <w:pPr>
        <w:spacing w:line="360" w:lineRule="auto"/>
        <w:rPr>
          <w:rFonts w:ascii="Times New Roman" w:hAnsi="Times New Roman" w:cs="Times New Roman"/>
          <w:b/>
          <w:bCs/>
        </w:rPr>
      </w:pPr>
    </w:p>
    <w:p w14:paraId="3FDACC96" w14:textId="77777777" w:rsidR="00322976" w:rsidRDefault="00322976" w:rsidP="00913500">
      <w:pPr>
        <w:spacing w:line="360" w:lineRule="auto"/>
        <w:rPr>
          <w:rFonts w:ascii="Times New Roman" w:hAnsi="Times New Roman" w:cs="Times New Roman"/>
          <w:b/>
          <w:bCs/>
        </w:rPr>
      </w:pPr>
    </w:p>
    <w:p w14:paraId="35F5EE1F" w14:textId="36BCE8D0" w:rsidR="001929AB" w:rsidRDefault="001929AB" w:rsidP="00913500">
      <w:pPr>
        <w:spacing w:line="360" w:lineRule="auto"/>
        <w:rPr>
          <w:rFonts w:ascii="Times New Roman" w:hAnsi="Times New Roman" w:cs="Times New Roman"/>
          <w:b/>
          <w:bCs/>
        </w:rPr>
      </w:pPr>
    </w:p>
    <w:p w14:paraId="1E73196C" w14:textId="47E77607" w:rsidR="001929AB" w:rsidRDefault="00322976" w:rsidP="00913500">
      <w:pPr>
        <w:spacing w:line="360" w:lineRule="auto"/>
        <w:rPr>
          <w:rFonts w:ascii="Times New Roman" w:hAnsi="Times New Roman" w:cs="Times New Roman"/>
          <w:b/>
          <w:bCs/>
        </w:rPr>
      </w:pPr>
      <w:r w:rsidRPr="00913500">
        <w:rPr>
          <w:rFonts w:ascii="Times New Roman" w:hAnsi="Times New Roman" w:cs="Times New Roman"/>
        </w:rPr>
        <w:lastRenderedPageBreak/>
        <w:t>BDMB, on the other hand, has limited photobleaching and nearly no change in absorptivity within the spectral output of the lamp in the present study.</w:t>
      </w:r>
    </w:p>
    <w:p w14:paraId="5BBD3FE7" w14:textId="77777777" w:rsidR="006A6278" w:rsidRPr="00913500" w:rsidRDefault="006A6278" w:rsidP="009D06D1">
      <w:pPr>
        <w:pStyle w:val="Heading3"/>
      </w:pPr>
      <w:bookmarkStart w:id="152" w:name="_Toc101701772"/>
      <w:r w:rsidRPr="00913500">
        <w:t>5.2 Optical Model for Photobleaching</w:t>
      </w:r>
      <w:bookmarkEnd w:id="152"/>
    </w:p>
    <w:p w14:paraId="06495C7C" w14:textId="0499B457" w:rsidR="006A6278" w:rsidRDefault="006A6278" w:rsidP="006A6278">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Based on UV-Vis results, the “Post UV” molar absorptivity shown in </w:t>
      </w:r>
      <w:r w:rsidR="006E490E" w:rsidRPr="006E490E">
        <w:rPr>
          <w:rFonts w:ascii="Times New Roman" w:eastAsiaTheme="minorEastAsia" w:hAnsi="Times New Roman" w:cs="Times New Roman"/>
        </w:rPr>
        <w:fldChar w:fldCharType="begin"/>
      </w:r>
      <w:r w:rsidR="006E490E" w:rsidRPr="006E490E">
        <w:rPr>
          <w:rFonts w:ascii="Times New Roman" w:eastAsiaTheme="minorEastAsia" w:hAnsi="Times New Roman" w:cs="Times New Roman"/>
        </w:rPr>
        <w:instrText xml:space="preserve"> REF _Ref100931490 \h </w:instrText>
      </w:r>
      <w:r w:rsidR="006E490E">
        <w:rPr>
          <w:rFonts w:ascii="Times New Roman" w:eastAsiaTheme="minorEastAsia" w:hAnsi="Times New Roman" w:cs="Times New Roman"/>
        </w:rPr>
        <w:instrText xml:space="preserve"> \* MERGEFORMAT </w:instrText>
      </w:r>
      <w:r w:rsidR="006E490E" w:rsidRPr="006E490E">
        <w:rPr>
          <w:rFonts w:ascii="Times New Roman" w:eastAsiaTheme="minorEastAsia" w:hAnsi="Times New Roman" w:cs="Times New Roman"/>
        </w:rPr>
      </w:r>
      <w:r w:rsidR="006E490E" w:rsidRPr="006E490E">
        <w:rPr>
          <w:rFonts w:ascii="Times New Roman" w:eastAsiaTheme="minorEastAsia"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35</w:t>
      </w:r>
      <w:r w:rsidR="006E490E" w:rsidRPr="006E490E">
        <w:rPr>
          <w:rFonts w:ascii="Times New Roman" w:eastAsiaTheme="minorEastAsia" w:hAnsi="Times New Roman" w:cs="Times New Roman"/>
        </w:rPr>
        <w:fldChar w:fldCharType="end"/>
      </w:r>
      <w:r w:rsidR="006E490E">
        <w:rPr>
          <w:rFonts w:ascii="Times New Roman" w:eastAsiaTheme="minorEastAsia" w:hAnsi="Times New Roman" w:cs="Times New Roman"/>
        </w:rPr>
        <w:t xml:space="preserve"> </w:t>
      </w:r>
      <w:r w:rsidRPr="00913500">
        <w:rPr>
          <w:rFonts w:ascii="Times New Roman" w:eastAsiaTheme="minorEastAsia" w:hAnsi="Times New Roman" w:cs="Times New Roman"/>
        </w:rPr>
        <w:t xml:space="preserve">indicates that BAPO has reaction byproducts that are UV transparent in the 350 to 450 nm range.  Therefore, when modeling BAPO, the reaction byproducts are assumed to have no absorptivity in the emitting range of the UV LED.  This eliminates Equation </w:t>
      </w:r>
      <w:r w:rsidR="006E490E">
        <w:rPr>
          <w:rFonts w:ascii="Times New Roman" w:eastAsiaTheme="minorEastAsia" w:hAnsi="Times New Roman" w:cs="Times New Roman"/>
        </w:rPr>
        <w:t>8</w:t>
      </w:r>
      <w:r w:rsidRPr="00913500">
        <w:rPr>
          <w:rFonts w:ascii="Times New Roman" w:eastAsiaTheme="minorEastAsia" w:hAnsi="Times New Roman" w:cs="Times New Roman"/>
        </w:rPr>
        <w:t xml:space="preserve"> and reduces Equation </w:t>
      </w:r>
      <w:r w:rsidR="006E490E">
        <w:rPr>
          <w:rFonts w:ascii="Times New Roman" w:eastAsiaTheme="minorEastAsia" w:hAnsi="Times New Roman" w:cs="Times New Roman"/>
        </w:rPr>
        <w:t>9</w:t>
      </w:r>
      <w:r w:rsidRPr="00913500">
        <w:rPr>
          <w:rFonts w:ascii="Times New Roman" w:eastAsiaTheme="minorEastAsia" w:hAnsi="Times New Roman" w:cs="Times New Roman"/>
        </w:rPr>
        <w:t xml:space="preserve"> to the modified Equation </w:t>
      </w:r>
      <w:r w:rsidR="008A7BB2">
        <w:rPr>
          <w:rFonts w:ascii="Times New Roman" w:eastAsiaTheme="minorEastAsia" w:hAnsi="Times New Roman" w:cs="Times New Roman"/>
        </w:rPr>
        <w:t>13</w:t>
      </w:r>
      <w:r w:rsidRPr="00913500">
        <w:rPr>
          <w:rFonts w:ascii="Times New Roman" w:eastAsiaTheme="minorEastAsia" w:hAnsi="Times New Roman" w:cs="Times New Roman"/>
        </w:rPr>
        <w:t xml:space="preserve">: </w:t>
      </w:r>
    </w:p>
    <w:p w14:paraId="3067887C" w14:textId="77777777" w:rsidR="006A6278" w:rsidRPr="00913500" w:rsidRDefault="006A6278" w:rsidP="006A6278">
      <w:pPr>
        <w:spacing w:line="360" w:lineRule="auto"/>
        <w:rPr>
          <w:rFonts w:ascii="Times New Roman" w:eastAsiaTheme="minorEastAsia" w:hAnsi="Times New Roman" w:cs="Times New Roman"/>
        </w:rPr>
      </w:pPr>
    </w:p>
    <w:p w14:paraId="476DB32C" w14:textId="426BF165" w:rsidR="006A6278" w:rsidRPr="00913500" w:rsidRDefault="002F73EC" w:rsidP="006A6278">
      <w:pPr>
        <w:spacing w:line="360" w:lineRule="auto"/>
        <w:rPr>
          <w:rFonts w:ascii="Times New Roman" w:eastAsiaTheme="minorEastAsia" w:hAnsi="Times New Roman" w:cs="Times New Roman"/>
        </w:rPr>
      </w:pPr>
      <m:oMathPara>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d>
                <m:dPr>
                  <m:ctrlPr>
                    <w:rPr>
                      <w:rFonts w:ascii="Cambria Math" w:hAnsi="Cambria Math" w:cs="Times New Roman"/>
                      <w:i/>
                    </w:rPr>
                  </m:ctrlPr>
                </m:dPr>
                <m:e>
                  <m:r>
                    <w:rPr>
                      <w:rFonts w:ascii="Cambria Math" w:hAnsi="Cambria Math" w:cs="Times New Roman"/>
                    </w:rPr>
                    <m:t>z,t</m:t>
                  </m:r>
                </m:e>
              </m:d>
            </m:num>
            <m:den>
              <m:r>
                <w:rPr>
                  <w:rFonts w:ascii="Cambria Math" w:hAnsi="Cambria Math" w:cs="Times New Roman"/>
                </w:rPr>
                <m:t>∂z</m:t>
              </m:r>
            </m:den>
          </m:f>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z,t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mj</m:t>
                  </m:r>
                </m:sub>
              </m:sSub>
            </m:e>
          </m:d>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j</m:t>
              </m:r>
            </m:sub>
          </m:sSub>
          <m:r>
            <w:rPr>
              <w:rFonts w:ascii="Cambria Math" w:eastAsiaTheme="minorEastAsia" w:hAnsi="Cambria Math" w:cs="Times New Roman"/>
            </w:rPr>
            <m:t xml:space="preserve">    (13)</m:t>
          </m:r>
        </m:oMath>
      </m:oMathPara>
    </w:p>
    <w:p w14:paraId="567F8CAE" w14:textId="77777777" w:rsidR="006A6278" w:rsidRPr="00913500" w:rsidRDefault="006A6278" w:rsidP="006A6278">
      <w:pPr>
        <w:spacing w:line="360" w:lineRule="auto"/>
        <w:rPr>
          <w:rFonts w:ascii="Times New Roman" w:eastAsiaTheme="minorEastAsia" w:hAnsi="Times New Roman" w:cs="Times New Roman"/>
        </w:rPr>
      </w:pPr>
    </w:p>
    <w:p w14:paraId="7644C60D" w14:textId="4FBFB5F9" w:rsidR="006A6278" w:rsidRDefault="006A6278" w:rsidP="006A6278">
      <w:pPr>
        <w:spacing w:line="360" w:lineRule="auto"/>
        <w:rPr>
          <w:rFonts w:ascii="Times New Roman" w:eastAsiaTheme="minorEastAsia" w:hAnsi="Times New Roman" w:cs="Times New Roman"/>
        </w:rPr>
      </w:pPr>
      <w:r w:rsidRPr="00913500">
        <w:rPr>
          <w:rFonts w:ascii="Times New Roman" w:eastAsiaTheme="minorEastAsia" w:hAnsi="Times New Roman" w:cs="Times New Roman"/>
        </w:rPr>
        <w:t xml:space="preserve">Utilizing Equations </w:t>
      </w:r>
      <w:r w:rsidR="006E490E">
        <w:rPr>
          <w:rFonts w:ascii="Times New Roman" w:eastAsiaTheme="minorEastAsia" w:hAnsi="Times New Roman" w:cs="Times New Roman"/>
        </w:rPr>
        <w:t>7</w:t>
      </w:r>
      <w:r w:rsidRPr="00913500">
        <w:rPr>
          <w:rFonts w:ascii="Times New Roman" w:eastAsiaTheme="minorEastAsia" w:hAnsi="Times New Roman" w:cs="Times New Roman"/>
        </w:rPr>
        <w:t xml:space="preserve"> and </w:t>
      </w:r>
      <w:r w:rsidR="006E490E">
        <w:rPr>
          <w:rFonts w:ascii="Times New Roman" w:eastAsiaTheme="minorEastAsia" w:hAnsi="Times New Roman" w:cs="Times New Roman"/>
        </w:rPr>
        <w:t>10</w:t>
      </w:r>
      <w:r w:rsidRPr="00913500">
        <w:rPr>
          <w:rFonts w:ascii="Times New Roman" w:eastAsiaTheme="minorEastAsia" w:hAnsi="Times New Roman" w:cs="Times New Roman"/>
        </w:rPr>
        <w:t>-</w:t>
      </w:r>
      <w:r w:rsidR="006E490E">
        <w:rPr>
          <w:rFonts w:ascii="Times New Roman" w:eastAsiaTheme="minorEastAsia" w:hAnsi="Times New Roman" w:cs="Times New Roman"/>
        </w:rPr>
        <w:t>12</w:t>
      </w:r>
      <w:r w:rsidRPr="00913500">
        <w:rPr>
          <w:rFonts w:ascii="Times New Roman" w:eastAsiaTheme="minorEastAsia" w:hAnsi="Times New Roman" w:cs="Times New Roman"/>
        </w:rPr>
        <w:t>, the model was solved for BAPO at 0.1 wt%, 0.5 wt%, and 1.0 wt%, which are equivalent to molar concentrations of 0.00267 mol/L, 0.01329 mol/L, and 0.02645 mol/L, respectively.  A continuous, constant UV irradiation was assumed, with an intensity output matching the Altair 75 lamp, at peak irradiation of 380 mW/cm</w:t>
      </w:r>
      <w:r w:rsidRPr="00913500">
        <w:rPr>
          <w:rFonts w:ascii="Times New Roman" w:eastAsiaTheme="minorEastAsia" w:hAnsi="Times New Roman" w:cs="Times New Roman"/>
          <w:vertAlign w:val="superscript"/>
        </w:rPr>
        <w:t>2</w:t>
      </w:r>
      <w:r w:rsidRPr="00913500">
        <w:rPr>
          <w:rFonts w:ascii="Times New Roman" w:eastAsiaTheme="minorEastAsia" w:hAnsi="Times New Roman" w:cs="Times New Roman"/>
        </w:rPr>
        <w:t xml:space="preserve">.  </w:t>
      </w:r>
    </w:p>
    <w:p w14:paraId="08B4FBA2" w14:textId="77777777" w:rsidR="006E490E" w:rsidRPr="00913500" w:rsidRDefault="006E490E" w:rsidP="006A6278">
      <w:pPr>
        <w:spacing w:line="360" w:lineRule="auto"/>
        <w:rPr>
          <w:rFonts w:ascii="Times New Roman" w:eastAsiaTheme="minorEastAsia" w:hAnsi="Times New Roman" w:cs="Times New Roman"/>
        </w:rPr>
      </w:pPr>
    </w:p>
    <w:p w14:paraId="2478083A" w14:textId="40FF10C2" w:rsidR="001E18E0" w:rsidRDefault="00D306B9" w:rsidP="001E18E0">
      <w:pPr>
        <w:spacing w:line="360" w:lineRule="auto"/>
        <w:rPr>
          <w:rFonts w:ascii="Times New Roman" w:eastAsiaTheme="minorEastAsia" w:hAnsi="Times New Roman" w:cs="Times New Roman"/>
        </w:rPr>
      </w:pPr>
      <w:r w:rsidRPr="00D306B9">
        <w:rPr>
          <w:rFonts w:ascii="Times New Roman" w:eastAsiaTheme="minorEastAsia" w:hAnsi="Times New Roman" w:cs="Times New Roman"/>
        </w:rPr>
        <w:fldChar w:fldCharType="begin"/>
      </w:r>
      <w:r w:rsidRPr="00D306B9">
        <w:rPr>
          <w:rFonts w:ascii="Times New Roman" w:eastAsiaTheme="minorEastAsia" w:hAnsi="Times New Roman" w:cs="Times New Roman"/>
        </w:rPr>
        <w:instrText xml:space="preserve"> REF _Ref100931741 \h </w:instrText>
      </w:r>
      <w:r>
        <w:rPr>
          <w:rFonts w:ascii="Times New Roman" w:eastAsiaTheme="minorEastAsia" w:hAnsi="Times New Roman" w:cs="Times New Roman"/>
        </w:rPr>
        <w:instrText xml:space="preserve"> \* MERGEFORMAT </w:instrText>
      </w:r>
      <w:r w:rsidRPr="00D306B9">
        <w:rPr>
          <w:rFonts w:ascii="Times New Roman" w:eastAsiaTheme="minorEastAsia" w:hAnsi="Times New Roman" w:cs="Times New Roman"/>
        </w:rPr>
      </w:r>
      <w:r w:rsidRPr="00D306B9">
        <w:rPr>
          <w:rFonts w:ascii="Times New Roman" w:eastAsiaTheme="minorEastAsia"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36</w:t>
      </w:r>
      <w:r w:rsidRPr="00D306B9">
        <w:rPr>
          <w:rFonts w:ascii="Times New Roman" w:eastAsiaTheme="minorEastAsia" w:hAnsi="Times New Roman" w:cs="Times New Roman"/>
        </w:rPr>
        <w:fldChar w:fldCharType="end"/>
      </w:r>
      <w:r>
        <w:rPr>
          <w:rFonts w:ascii="Times New Roman" w:eastAsiaTheme="minorEastAsia" w:hAnsi="Times New Roman" w:cs="Times New Roman"/>
        </w:rPr>
        <w:t xml:space="preserve"> </w:t>
      </w:r>
      <w:r w:rsidR="006A6278" w:rsidRPr="00913500">
        <w:rPr>
          <w:rFonts w:ascii="Times New Roman" w:eastAsiaTheme="minorEastAsia" w:hAnsi="Times New Roman" w:cs="Times New Roman"/>
        </w:rPr>
        <w:t xml:space="preserve">shows the theoretical photoinitiation rates for BAPO at the 1.0 wt% concentration.  Note that the peak photoinitiation rate shifted over a 10 s period from 0.5 </w:t>
      </w:r>
      <w:r w:rsidR="001E18E0" w:rsidRPr="00913500">
        <w:rPr>
          <w:rFonts w:ascii="Times New Roman" w:eastAsiaTheme="minorEastAsia" w:hAnsi="Times New Roman" w:cs="Times New Roman"/>
        </w:rPr>
        <w:t>mm depth at 0.5 s to a depth of 4.7 mm, indicating an initiation wavefront due to photobleaching.  The peak initiation rate occurred closest to the irradiated surface, and as</w:t>
      </w:r>
      <w:r w:rsidR="001E18E0">
        <w:rPr>
          <w:rFonts w:ascii="Times New Roman" w:eastAsiaTheme="minorEastAsia" w:hAnsi="Times New Roman" w:cs="Times New Roman"/>
        </w:rPr>
        <w:t xml:space="preserve"> </w:t>
      </w:r>
      <w:r w:rsidR="001E18E0" w:rsidRPr="00913500">
        <w:rPr>
          <w:rFonts w:ascii="Times New Roman" w:eastAsiaTheme="minorEastAsia" w:hAnsi="Times New Roman" w:cs="Times New Roman"/>
        </w:rPr>
        <w:t>photoinitiation progressed into the polymer, the peak rate also decreased.  Kenning reported this same trend for BAPO at 0.0268 mol/L concentration and a 93 mW/cm</w:t>
      </w:r>
      <w:r w:rsidR="001E18E0" w:rsidRPr="00913500">
        <w:rPr>
          <w:rFonts w:ascii="Times New Roman" w:eastAsiaTheme="minorEastAsia" w:hAnsi="Times New Roman" w:cs="Times New Roman"/>
          <w:vertAlign w:val="superscript"/>
        </w:rPr>
        <w:t>2</w:t>
      </w:r>
      <w:r w:rsidR="001E18E0" w:rsidRPr="00913500">
        <w:rPr>
          <w:rFonts w:ascii="Times New Roman" w:eastAsiaTheme="minorEastAsia" w:hAnsi="Times New Roman" w:cs="Times New Roman"/>
        </w:rPr>
        <w:t xml:space="preserve"> light intensity, with falling peak initiation rates at increasing time and depth </w:t>
      </w:r>
      <w:r w:rsidR="001E18E0" w:rsidRPr="00913500">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mendeley":{"formattedCitation":"[107]","plainTextFormattedCitation":"[107]","previouslyFormattedCitation":"[107]"},"properties":{"noteIndex":0},"schema":"https://github.com/citation-style-language/schema/raw/master/csl-citation.json"}</w:instrText>
      </w:r>
      <w:r w:rsidR="001E18E0" w:rsidRPr="00913500">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[107]</w:t>
      </w:r>
      <w:r w:rsidR="001E18E0" w:rsidRPr="00913500">
        <w:rPr>
          <w:rFonts w:ascii="Times New Roman" w:eastAsiaTheme="minorEastAsia" w:hAnsi="Times New Roman" w:cs="Times New Roman"/>
        </w:rPr>
        <w:fldChar w:fldCharType="end"/>
      </w:r>
      <w:r w:rsidR="001E18E0" w:rsidRPr="00913500">
        <w:rPr>
          <w:rFonts w:ascii="Times New Roman" w:eastAsiaTheme="minorEastAsia" w:hAnsi="Times New Roman" w:cs="Times New Roman"/>
        </w:rPr>
        <w:t xml:space="preserve">.  </w:t>
      </w:r>
    </w:p>
    <w:p w14:paraId="2BE058B0" w14:textId="77777777" w:rsidR="001E18E0" w:rsidRDefault="001E18E0" w:rsidP="001E18E0">
      <w:pPr>
        <w:spacing w:line="360" w:lineRule="auto"/>
        <w:rPr>
          <w:rFonts w:ascii="Times New Roman" w:hAnsi="Times New Roman" w:cs="Times New Roman"/>
        </w:rPr>
      </w:pPr>
    </w:p>
    <w:p w14:paraId="48837681" w14:textId="2B0400FE" w:rsidR="001929AB" w:rsidRPr="00322976" w:rsidRDefault="001E18E0" w:rsidP="006A6278">
      <w:pPr>
        <w:spacing w:line="360" w:lineRule="auto"/>
        <w:rPr>
          <w:rFonts w:ascii="Times New Roman" w:hAnsi="Times New Roman" w:cs="Times New Roman"/>
        </w:rPr>
      </w:pPr>
      <w:r w:rsidRPr="00913500">
        <w:rPr>
          <w:rFonts w:ascii="Times New Roman" w:hAnsi="Times New Roman" w:cs="Times New Roman"/>
        </w:rPr>
        <w:t xml:space="preserve">The predicted photoinitiation rates at a depth of 3 mm are shown in </w:t>
      </w:r>
      <w:r w:rsidR="00D306B9" w:rsidRPr="00D306B9">
        <w:rPr>
          <w:rFonts w:ascii="Times New Roman" w:hAnsi="Times New Roman" w:cs="Times New Roman"/>
        </w:rPr>
        <w:fldChar w:fldCharType="begin"/>
      </w:r>
      <w:r w:rsidR="00D306B9" w:rsidRPr="00D306B9">
        <w:rPr>
          <w:rFonts w:ascii="Times New Roman" w:hAnsi="Times New Roman" w:cs="Times New Roman"/>
        </w:rPr>
        <w:instrText xml:space="preserve"> REF _Ref100931809 \h </w:instrText>
      </w:r>
      <w:r w:rsidR="00D306B9">
        <w:rPr>
          <w:rFonts w:ascii="Times New Roman" w:hAnsi="Times New Roman" w:cs="Times New Roman"/>
        </w:rPr>
        <w:instrText xml:space="preserve"> \* MERGEFORMAT </w:instrText>
      </w:r>
      <w:r w:rsidR="00D306B9" w:rsidRPr="00D306B9">
        <w:rPr>
          <w:rFonts w:ascii="Times New Roman" w:hAnsi="Times New Roman" w:cs="Times New Roman"/>
        </w:rPr>
      </w:r>
      <w:r w:rsidR="00D306B9" w:rsidRPr="00D306B9">
        <w:rPr>
          <w:rFonts w:ascii="Times New Roman" w:hAnsi="Times New Roman" w:cs="Times New Roman"/>
        </w:rPr>
        <w:fldChar w:fldCharType="separate"/>
      </w:r>
      <w:r w:rsidR="00DC290C" w:rsidRPr="00DC290C">
        <w:rPr>
          <w:rFonts w:ascii="Times New Roman" w:hAnsi="Times New Roman" w:cs="Times New Roman"/>
        </w:rPr>
        <w:t xml:space="preserve">Figure </w:t>
      </w:r>
      <w:r w:rsidR="00DC290C" w:rsidRPr="00DC290C">
        <w:rPr>
          <w:rFonts w:ascii="Times New Roman" w:hAnsi="Times New Roman" w:cs="Times New Roman"/>
          <w:noProof/>
        </w:rPr>
        <w:t>37</w:t>
      </w:r>
      <w:r w:rsidR="00D306B9" w:rsidRPr="00D306B9">
        <w:rPr>
          <w:rFonts w:ascii="Times New Roman" w:hAnsi="Times New Roman" w:cs="Times New Roman"/>
        </w:rPr>
        <w:fldChar w:fldCharType="end"/>
      </w:r>
      <w:r w:rsidRPr="00913500">
        <w:rPr>
          <w:rFonts w:ascii="Times New Roman" w:hAnsi="Times New Roman" w:cs="Times New Roman"/>
        </w:rPr>
        <w:t xml:space="preserve">.  As this figure shows, the Kenning optical model predicted the most rapid onset of photoinitiation at the 0.1 wt% BAPO concentration. In contrast, the highest PI concentration of 1.0 wt% BAPO yielded the highest photoinitiation rate.  However, at the 1.0 wt% BAPO </w:t>
      </w:r>
    </w:p>
    <w:p w14:paraId="378DE3DD" w14:textId="77777777" w:rsidR="008A7BB2" w:rsidRDefault="00913500" w:rsidP="008A7BB2">
      <w:pPr>
        <w:keepNext/>
        <w:spacing w:line="360" w:lineRule="auto"/>
        <w:jc w:val="center"/>
      </w:pPr>
      <w:r w:rsidRPr="00913500">
        <w:rPr>
          <w:rFonts w:ascii="Times New Roman" w:hAnsi="Times New Roman" w:cs="Times New Roman"/>
          <w:b/>
          <w:bCs/>
          <w:noProof/>
        </w:rPr>
        <w:lastRenderedPageBreak/>
        <w:drawing>
          <wp:inline distT="0" distB="0" distL="0" distR="0" wp14:anchorId="0B2E49C4" wp14:editId="1A3426E0">
            <wp:extent cx="4782556" cy="3481137"/>
            <wp:effectExtent l="0" t="0" r="0" b="5080"/>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989" t="7978" r="2871" b="3335"/>
                    <a:stretch/>
                  </pic:blipFill>
                  <pic:spPr bwMode="auto">
                    <a:xfrm>
                      <a:off x="0" y="0"/>
                      <a:ext cx="4833230" cy="3518022"/>
                    </a:xfrm>
                    <a:prstGeom prst="rect">
                      <a:avLst/>
                    </a:prstGeom>
                    <a:noFill/>
                    <a:ln>
                      <a:noFill/>
                    </a:ln>
                    <a:extLst>
                      <a:ext uri="{53640926-AAD7-44D8-BBD7-CCE9431645EC}">
                        <a14:shadowObscured xmlns:a14="http://schemas.microsoft.com/office/drawing/2010/main"/>
                      </a:ext>
                    </a:extLst>
                  </pic:spPr>
                </pic:pic>
              </a:graphicData>
            </a:graphic>
          </wp:inline>
        </w:drawing>
      </w:r>
    </w:p>
    <w:p w14:paraId="7E22C65E" w14:textId="682EDEE5" w:rsidR="00913500" w:rsidRPr="00913500" w:rsidRDefault="008A7BB2" w:rsidP="00F20503">
      <w:pPr>
        <w:pStyle w:val="Caption"/>
      </w:pPr>
      <w:bookmarkStart w:id="153" w:name="_Ref100931280"/>
      <w:bookmarkStart w:id="154" w:name="_Toc101365696"/>
      <w:r>
        <w:t xml:space="preserve">Figure </w:t>
      </w:r>
      <w:r w:rsidR="002F73EC">
        <w:fldChar w:fldCharType="begin"/>
      </w:r>
      <w:r w:rsidR="002F73EC">
        <w:instrText xml:space="preserve"> SEQ Figure \* ARABIC </w:instrText>
      </w:r>
      <w:r w:rsidR="002F73EC">
        <w:fldChar w:fldCharType="separate"/>
      </w:r>
      <w:r w:rsidR="00BF5717">
        <w:rPr>
          <w:noProof/>
        </w:rPr>
        <w:t>34</w:t>
      </w:r>
      <w:r w:rsidR="002F73EC">
        <w:rPr>
          <w:noProof/>
        </w:rPr>
        <w:fldChar w:fldCharType="end"/>
      </w:r>
      <w:bookmarkEnd w:id="153"/>
      <w:r>
        <w:t xml:space="preserve"> </w:t>
      </w:r>
      <w:r w:rsidRPr="00913500">
        <w:t>The molar absorptivity of BAPO and BDMB compared with the spectral output of an Altair 75 lamp using 395 nm LEDs.  The measured spectral output indicated a peak UV output at 398 nm.</w:t>
      </w:r>
      <w:bookmarkEnd w:id="154"/>
    </w:p>
    <w:p w14:paraId="6A01133C" w14:textId="1DA666EE" w:rsidR="00913500" w:rsidRDefault="00913500" w:rsidP="00913500">
      <w:pPr>
        <w:spacing w:line="360" w:lineRule="auto"/>
        <w:rPr>
          <w:rFonts w:ascii="Times New Roman" w:hAnsi="Times New Roman" w:cs="Times New Roman"/>
        </w:rPr>
      </w:pPr>
    </w:p>
    <w:p w14:paraId="13C7759B" w14:textId="77777777" w:rsidR="00D70EAD" w:rsidRPr="00913500" w:rsidRDefault="00D70EAD" w:rsidP="00913500">
      <w:pPr>
        <w:spacing w:line="360" w:lineRule="auto"/>
        <w:rPr>
          <w:rFonts w:ascii="Times New Roman" w:hAnsi="Times New Roman" w:cs="Times New Roman"/>
        </w:rPr>
      </w:pPr>
    </w:p>
    <w:p w14:paraId="25B2B61A" w14:textId="77777777" w:rsidR="006E490E" w:rsidRDefault="00913500" w:rsidP="006E490E">
      <w:pPr>
        <w:keepNext/>
        <w:spacing w:line="360" w:lineRule="auto"/>
        <w:jc w:val="center"/>
      </w:pPr>
      <w:r w:rsidRPr="00913500">
        <w:rPr>
          <w:rFonts w:ascii="Times New Roman" w:hAnsi="Times New Roman" w:cs="Times New Roman"/>
          <w:noProof/>
        </w:rPr>
        <w:drawing>
          <wp:inline distT="0" distB="0" distL="0" distR="0" wp14:anchorId="21860052" wp14:editId="14026A41">
            <wp:extent cx="5708441" cy="2053087"/>
            <wp:effectExtent l="0" t="0" r="6985" b="444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320" t="5386" r="6449" b="51269"/>
                    <a:stretch/>
                  </pic:blipFill>
                  <pic:spPr bwMode="auto">
                    <a:xfrm>
                      <a:off x="0" y="0"/>
                      <a:ext cx="5754024" cy="2069481"/>
                    </a:xfrm>
                    <a:prstGeom prst="rect">
                      <a:avLst/>
                    </a:prstGeom>
                    <a:noFill/>
                    <a:ln>
                      <a:noFill/>
                    </a:ln>
                    <a:extLst>
                      <a:ext uri="{53640926-AAD7-44D8-BBD7-CCE9431645EC}">
                        <a14:shadowObscured xmlns:a14="http://schemas.microsoft.com/office/drawing/2010/main"/>
                      </a:ext>
                    </a:extLst>
                  </pic:spPr>
                </pic:pic>
              </a:graphicData>
            </a:graphic>
          </wp:inline>
        </w:drawing>
      </w:r>
    </w:p>
    <w:p w14:paraId="464BCEBF" w14:textId="03F454DA" w:rsidR="00913500" w:rsidRPr="00913500" w:rsidRDefault="006E490E" w:rsidP="00F20503">
      <w:pPr>
        <w:pStyle w:val="Caption"/>
      </w:pPr>
      <w:bookmarkStart w:id="155" w:name="_Ref100931490"/>
      <w:bookmarkStart w:id="156" w:name="_Toc101365697"/>
      <w:r>
        <w:t xml:space="preserve">Figure </w:t>
      </w:r>
      <w:r w:rsidR="002F73EC">
        <w:fldChar w:fldCharType="begin"/>
      </w:r>
      <w:r w:rsidR="002F73EC">
        <w:instrText xml:space="preserve"> SEQ Figure \* ARABIC </w:instrText>
      </w:r>
      <w:r w:rsidR="002F73EC">
        <w:fldChar w:fldCharType="separate"/>
      </w:r>
      <w:r w:rsidR="00BF5717">
        <w:rPr>
          <w:noProof/>
        </w:rPr>
        <w:t>35</w:t>
      </w:r>
      <w:r w:rsidR="002F73EC">
        <w:rPr>
          <w:noProof/>
        </w:rPr>
        <w:fldChar w:fldCharType="end"/>
      </w:r>
      <w:bookmarkEnd w:id="155"/>
      <w:r>
        <w:t xml:space="preserve"> </w:t>
      </w:r>
      <w:r w:rsidRPr="00913500">
        <w:t>Comparison of initial molar absorptivity of the BAPO and BDMB PIs with the absorptivity of PI byproducts.  Reaction byproduct molar absorptivity is indicated by ‘Post UV.’</w:t>
      </w:r>
      <w:bookmarkEnd w:id="156"/>
    </w:p>
    <w:p w14:paraId="7ACB8058" w14:textId="77777777" w:rsidR="00913500" w:rsidRPr="00913500" w:rsidRDefault="00913500" w:rsidP="00913500">
      <w:pPr>
        <w:spacing w:line="360" w:lineRule="auto"/>
        <w:rPr>
          <w:rFonts w:ascii="Times New Roman" w:hAnsi="Times New Roman" w:cs="Times New Roman"/>
        </w:rPr>
      </w:pPr>
    </w:p>
    <w:p w14:paraId="2879212D" w14:textId="77777777" w:rsidR="00D306B9" w:rsidRDefault="00913500" w:rsidP="00D306B9">
      <w:pPr>
        <w:keepNext/>
        <w:spacing w:line="360" w:lineRule="auto"/>
        <w:jc w:val="center"/>
      </w:pPr>
      <w:r w:rsidRPr="00913500">
        <w:rPr>
          <w:rFonts w:ascii="Times New Roman" w:hAnsi="Times New Roman" w:cs="Times New Roman"/>
          <w:b/>
          <w:bCs/>
          <w:noProof/>
        </w:rPr>
        <w:lastRenderedPageBreak/>
        <w:drawing>
          <wp:inline distT="0" distB="0" distL="0" distR="0" wp14:anchorId="6A0F7267" wp14:editId="66D915E3">
            <wp:extent cx="3943350" cy="3276218"/>
            <wp:effectExtent l="0" t="0" r="0" b="635"/>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59310" cy="3289478"/>
                    </a:xfrm>
                    <a:prstGeom prst="rect">
                      <a:avLst/>
                    </a:prstGeom>
                    <a:noFill/>
                    <a:ln>
                      <a:noFill/>
                    </a:ln>
                  </pic:spPr>
                </pic:pic>
              </a:graphicData>
            </a:graphic>
          </wp:inline>
        </w:drawing>
      </w:r>
    </w:p>
    <w:p w14:paraId="607856F5" w14:textId="5EC6075F" w:rsidR="00913500" w:rsidRPr="00913500" w:rsidRDefault="00D306B9" w:rsidP="00F20503">
      <w:pPr>
        <w:pStyle w:val="Caption"/>
      </w:pPr>
      <w:bookmarkStart w:id="157" w:name="_Ref100931741"/>
      <w:bookmarkStart w:id="158" w:name="_Toc101365698"/>
      <w:r>
        <w:t xml:space="preserve">Figure </w:t>
      </w:r>
      <w:r w:rsidR="002F73EC">
        <w:fldChar w:fldCharType="begin"/>
      </w:r>
      <w:r w:rsidR="002F73EC">
        <w:instrText xml:space="preserve"> SEQ Figure \* ARABIC </w:instrText>
      </w:r>
      <w:r w:rsidR="002F73EC">
        <w:fldChar w:fldCharType="separate"/>
      </w:r>
      <w:r w:rsidR="00BF5717">
        <w:rPr>
          <w:noProof/>
        </w:rPr>
        <w:t>36</w:t>
      </w:r>
      <w:r w:rsidR="002F73EC">
        <w:rPr>
          <w:noProof/>
        </w:rPr>
        <w:fldChar w:fldCharType="end"/>
      </w:r>
      <w:bookmarkEnd w:id="157"/>
      <w:r>
        <w:t xml:space="preserve"> </w:t>
      </w:r>
      <w:r w:rsidRPr="00913500">
        <w:t>Photoinitiation rate for BAPO system at 1.0 wt% concentration, showing the temporal and spatial evolution of photoinitiation as the BAPO photobleaches.</w:t>
      </w:r>
      <w:bookmarkEnd w:id="158"/>
    </w:p>
    <w:p w14:paraId="3BDD5BC8" w14:textId="3616EE4F" w:rsidR="00D70EAD" w:rsidRDefault="00D70EAD" w:rsidP="00D70EAD"/>
    <w:p w14:paraId="28C120B2" w14:textId="77777777" w:rsidR="00D70EAD" w:rsidRPr="00D70EAD" w:rsidRDefault="00D70EAD" w:rsidP="00D70EAD"/>
    <w:p w14:paraId="014F719D" w14:textId="77777777" w:rsidR="00D306B9" w:rsidRDefault="00913500" w:rsidP="00D306B9">
      <w:pPr>
        <w:keepNext/>
        <w:spacing w:line="360" w:lineRule="auto"/>
        <w:jc w:val="center"/>
      </w:pPr>
      <w:r w:rsidRPr="00913500">
        <w:rPr>
          <w:rFonts w:ascii="Times New Roman" w:hAnsi="Times New Roman" w:cs="Times New Roman"/>
          <w:b/>
          <w:bCs/>
          <w:noProof/>
        </w:rPr>
        <w:drawing>
          <wp:inline distT="0" distB="0" distL="0" distR="0" wp14:anchorId="63CE0D84" wp14:editId="433DD039">
            <wp:extent cx="3818450" cy="3200400"/>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67796" cy="3241759"/>
                    </a:xfrm>
                    <a:prstGeom prst="rect">
                      <a:avLst/>
                    </a:prstGeom>
                    <a:noFill/>
                    <a:ln>
                      <a:noFill/>
                    </a:ln>
                  </pic:spPr>
                </pic:pic>
              </a:graphicData>
            </a:graphic>
          </wp:inline>
        </w:drawing>
      </w:r>
    </w:p>
    <w:p w14:paraId="4D02AB33" w14:textId="50368C20" w:rsidR="006E490E" w:rsidRPr="006E490E" w:rsidRDefault="00D306B9" w:rsidP="00F20503">
      <w:pPr>
        <w:pStyle w:val="Caption"/>
      </w:pPr>
      <w:bookmarkStart w:id="159" w:name="_Ref100931809"/>
      <w:bookmarkStart w:id="160" w:name="_Toc101365699"/>
      <w:r>
        <w:t xml:space="preserve">Figure </w:t>
      </w:r>
      <w:r w:rsidR="002F73EC">
        <w:fldChar w:fldCharType="begin"/>
      </w:r>
      <w:r w:rsidR="002F73EC">
        <w:instrText xml:space="preserve"> SEQ Figure \* ARABIC </w:instrText>
      </w:r>
      <w:r w:rsidR="002F73EC">
        <w:fldChar w:fldCharType="separate"/>
      </w:r>
      <w:r w:rsidR="00BF5717">
        <w:rPr>
          <w:noProof/>
        </w:rPr>
        <w:t>37</w:t>
      </w:r>
      <w:r w:rsidR="002F73EC">
        <w:rPr>
          <w:noProof/>
        </w:rPr>
        <w:fldChar w:fldCharType="end"/>
      </w:r>
      <w:bookmarkEnd w:id="159"/>
      <w:r>
        <w:t xml:space="preserve"> </w:t>
      </w:r>
      <w:r w:rsidRPr="00913500">
        <w:t>Photoinitiation rate at 3 mm depth with varying concentrations of BAPO</w:t>
      </w:r>
      <w:r>
        <w:t>.</w:t>
      </w:r>
      <w:bookmarkEnd w:id="160"/>
    </w:p>
    <w:p w14:paraId="65CE2989" w14:textId="311C6B79" w:rsidR="006E490E" w:rsidRPr="006E490E" w:rsidRDefault="006E490E" w:rsidP="006E490E">
      <w:pPr>
        <w:spacing w:line="360" w:lineRule="auto"/>
      </w:pPr>
      <w:r w:rsidRPr="00913500">
        <w:rPr>
          <w:rFonts w:ascii="Times New Roman" w:hAnsi="Times New Roman" w:cs="Times New Roman"/>
        </w:rPr>
        <w:lastRenderedPageBreak/>
        <w:t xml:space="preserve">concentration peak photoinitiation rate was not achieved until nearly 6 seconds of continuous irradiation.  </w:t>
      </w:r>
    </w:p>
    <w:p w14:paraId="5EA0BC93" w14:textId="330530AF" w:rsidR="00913500" w:rsidRPr="00913500" w:rsidRDefault="00913500" w:rsidP="009D06D1">
      <w:pPr>
        <w:pStyle w:val="Heading3"/>
        <w:rPr>
          <w:iCs/>
        </w:rPr>
      </w:pPr>
      <w:bookmarkStart w:id="161" w:name="_Toc101701773"/>
      <w:r w:rsidRPr="00913500">
        <w:t>5.3 Radiometry for 60 s Irradiation</w:t>
      </w:r>
      <w:bookmarkEnd w:id="161"/>
    </w:p>
    <w:p w14:paraId="679328FD" w14:textId="6C25828F" w:rsidR="00BB7068" w:rsidRDefault="00913500" w:rsidP="00913500">
      <w:pPr>
        <w:spacing w:line="360" w:lineRule="auto"/>
        <w:rPr>
          <w:rFonts w:ascii="Times New Roman" w:hAnsi="Times New Roman" w:cs="Times New Roman"/>
        </w:rPr>
      </w:pPr>
      <w:r w:rsidRPr="00913500">
        <w:rPr>
          <w:rFonts w:ascii="Times New Roman" w:hAnsi="Times New Roman" w:cs="Times New Roman"/>
        </w:rPr>
        <w:t>With continuous irradiation of 380 mW/cm</w:t>
      </w:r>
      <w:r w:rsidRPr="00913500">
        <w:rPr>
          <w:rFonts w:ascii="Times New Roman" w:hAnsi="Times New Roman" w:cs="Times New Roman"/>
          <w:vertAlign w:val="superscript"/>
        </w:rPr>
        <w:t xml:space="preserve">2 </w:t>
      </w:r>
      <w:r w:rsidRPr="00913500">
        <w:rPr>
          <w:rFonts w:ascii="Times New Roman" w:hAnsi="Times New Roman" w:cs="Times New Roman"/>
        </w:rPr>
        <w:t xml:space="preserve">for 60 s, the measured transmitted light intensity increased with time for BAPO and the BDMB control formulations.  As shown in </w:t>
      </w:r>
      <w:r w:rsidR="00CC0B39" w:rsidRPr="00CC0B39">
        <w:rPr>
          <w:rFonts w:ascii="Times New Roman" w:hAnsi="Times New Roman" w:cs="Times New Roman"/>
        </w:rPr>
        <w:fldChar w:fldCharType="begin"/>
      </w:r>
      <w:r w:rsidR="00CC0B39" w:rsidRPr="00CC0B39">
        <w:rPr>
          <w:rFonts w:ascii="Times New Roman" w:hAnsi="Times New Roman" w:cs="Times New Roman"/>
        </w:rPr>
        <w:instrText xml:space="preserve"> REF _Ref101261800 \h </w:instrText>
      </w:r>
      <w:r w:rsidR="00CC0B39">
        <w:rPr>
          <w:rFonts w:ascii="Times New Roman" w:hAnsi="Times New Roman" w:cs="Times New Roman"/>
        </w:rPr>
        <w:instrText xml:space="preserve"> \* MERGEFORMAT </w:instrText>
      </w:r>
      <w:r w:rsidR="00CC0B39" w:rsidRPr="00CC0B39">
        <w:rPr>
          <w:rFonts w:ascii="Times New Roman" w:hAnsi="Times New Roman" w:cs="Times New Roman"/>
        </w:rPr>
      </w:r>
      <w:r w:rsidR="00CC0B39" w:rsidRPr="00CC0B3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38</w:t>
      </w:r>
      <w:r w:rsidR="00CC0B39" w:rsidRPr="00CC0B39">
        <w:rPr>
          <w:rFonts w:ascii="Times New Roman" w:hAnsi="Times New Roman" w:cs="Times New Roman"/>
        </w:rPr>
        <w:fldChar w:fldCharType="end"/>
      </w:r>
      <w:r w:rsidRPr="00913500">
        <w:rPr>
          <w:rFonts w:ascii="Times New Roman" w:hAnsi="Times New Roman" w:cs="Times New Roman"/>
        </w:rPr>
        <w:t>, the formulations with the 0.1 wt% PI concentration allowed greater light transmission than the higher tested concentration levels. The BDMB control formulations also consistently allowed more light transmission than BAPO formulations at the same wt% concentration.  For the BAPO formulations, the highest transmitted light intensity at 60 s is 74.0 mW/cm</w:t>
      </w:r>
      <w:r w:rsidRPr="00913500">
        <w:rPr>
          <w:rFonts w:ascii="Times New Roman" w:hAnsi="Times New Roman" w:cs="Times New Roman"/>
          <w:vertAlign w:val="superscript"/>
        </w:rPr>
        <w:t>2</w:t>
      </w:r>
      <w:r w:rsidRPr="00913500">
        <w:rPr>
          <w:rFonts w:ascii="Times New Roman" w:hAnsi="Times New Roman" w:cs="Times New Roman"/>
        </w:rPr>
        <w:t>, only 19% light transmission.  The peak transmitted light intensity for the baseline Bis-EMA/PETIA without any PI was 136 mW/cm</w:t>
      </w:r>
      <w:r w:rsidRPr="00913500">
        <w:rPr>
          <w:rFonts w:ascii="Times New Roman" w:hAnsi="Times New Roman" w:cs="Times New Roman"/>
          <w:vertAlign w:val="superscript"/>
        </w:rPr>
        <w:t>2</w:t>
      </w:r>
      <w:r w:rsidRPr="00913500">
        <w:rPr>
          <w:rFonts w:ascii="Times New Roman" w:hAnsi="Times New Roman" w:cs="Times New Roman"/>
        </w:rPr>
        <w:t xml:space="preserve">, or 36% light transmission.  These findings indicate that complete photobleaching had not occurred by 60 s of irradiation even at 0.1 wt% BAPO.       </w:t>
      </w:r>
    </w:p>
    <w:p w14:paraId="5A5EBC16" w14:textId="77777777" w:rsidR="00BB7068" w:rsidRPr="00913500" w:rsidRDefault="00BB7068" w:rsidP="009D06D1">
      <w:pPr>
        <w:pStyle w:val="Heading3"/>
        <w:rPr>
          <w:iCs/>
        </w:rPr>
      </w:pPr>
      <w:bookmarkStart w:id="162" w:name="_Toc101701774"/>
      <w:r w:rsidRPr="00913500">
        <w:t>5.4 Rate of Conversion and Degree of Conversion for 60 s Irradiation</w:t>
      </w:r>
      <w:bookmarkEnd w:id="162"/>
    </w:p>
    <w:p w14:paraId="695DCF8A" w14:textId="029DE0BE" w:rsidR="001E18E0" w:rsidRDefault="00BB7068" w:rsidP="001E18E0">
      <w:pPr>
        <w:spacing w:line="360" w:lineRule="auto"/>
        <w:rPr>
          <w:rFonts w:ascii="Times New Roman" w:hAnsi="Times New Roman" w:cs="Times New Roman"/>
        </w:rPr>
      </w:pPr>
      <w:r w:rsidRPr="00913500">
        <w:rPr>
          <w:rFonts w:ascii="Times New Roman" w:hAnsi="Times New Roman" w:cs="Times New Roman"/>
        </w:rPr>
        <w:t xml:space="preserve">Using a previously described method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[109]</w:t>
      </w:r>
      <w:r w:rsidRPr="00913500">
        <w:rPr>
          <w:rFonts w:ascii="Times New Roman" w:hAnsi="Times New Roman" w:cs="Times New Roman"/>
        </w:rPr>
        <w:fldChar w:fldCharType="end"/>
      </w:r>
      <w:r w:rsidRPr="00913500">
        <w:rPr>
          <w:rFonts w:ascii="Times New Roman" w:hAnsi="Times New Roman" w:cs="Times New Roman"/>
        </w:rPr>
        <w:t>, the degree of conversion (DC) of C=C was</w:t>
      </w:r>
      <w:r>
        <w:rPr>
          <w:rFonts w:ascii="Times New Roman" w:hAnsi="Times New Roman" w:cs="Times New Roman"/>
        </w:rPr>
        <w:t xml:space="preserve"> </w:t>
      </w:r>
      <w:r w:rsidRPr="00913500">
        <w:rPr>
          <w:rFonts w:ascii="Times New Roman" w:hAnsi="Times New Roman" w:cs="Times New Roman"/>
        </w:rPr>
        <w:t>measured as the change in the ratio of the 1637 cm-1 methacrylate/acrylate pendant</w:t>
      </w:r>
      <w:r>
        <w:rPr>
          <w:rFonts w:ascii="Times New Roman" w:hAnsi="Times New Roman" w:cs="Times New Roman"/>
        </w:rPr>
        <w:t xml:space="preserve"> </w:t>
      </w:r>
      <w:r w:rsidRPr="00913500">
        <w:rPr>
          <w:rFonts w:ascii="Times New Roman" w:hAnsi="Times New Roman" w:cs="Times New Roman"/>
        </w:rPr>
        <w:t xml:space="preserve">group peak with 1608 cm-1 as an internal reference peak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{"citationItems":[{"id":"ITEM-1","itemData":{"DOI":"10.1590/S1806-83242013000600002","ISSN":"18073107","PMID":"24402058","abstract":"The purpose of this study was to evaluate the influence of the internal standard peak on the measured degree of conversion (DC) for methacrylate-based resins analyzed by Fourier-transform infrared spectroscopy (FTIR). The influence of different baseline measurement methods was also determined. Different blends were prepared, mixing BisGMA/BisEMA and BisGMA/TEGDMA at proportions of 0% to 100%, in weight. Camphoroquinone and ethyl-4-dimethylaminobenzoate were used to permit the light activation of blends. Degree of conversion was evaluated using FTIR equipped with an attenuated total reflectance (ATR) device. Samples were dispensed onto ATR crystal and light activated for 40 s. The DC was calculated by relating the height of the peak 1637 cm-1 to the intensity of different internal standard peaks (1715, 1608, or 1582 cm-1), measured using two different baseline methods, before and after polymerization. Data were compared by ANOVA at 5% significance. The relationship between DC and monomer ratio was obtained by regression analysis. Double-bond conversion ranged from 32.75% to 78.50% for BisGMA/BisEMA blends, and from 32.75% to 76.22% for BisGMA/TEGDMA blends. For the BisGMA/BisEMA blends, the DC showed a linear association with the composition of the comonomer blends, independent of the internal standard peak and baseline method used. In contrast, the trends in DC for BisGMA/TEGDMA blends were different for each method of measurement. The internal standard peaks and measurement baseline should be taken into account when using FTIR to calculate the DC of methacrylate-based resins, especially comonomer blends containing a high degree of monomers that lack aromatic rings.","author":[{"dropping-particle":"","family":"Collares","given":"Fabrício Mezzomo","non-dropping-particle":"","parse-names":false,"suffix":""},{"dropping-particle":"","family":"Portella","given":"Fernando Freitas","non-dropping-particle":"","parse-names":false,"suffix":""},{"dropping-particle":"","family":"Leitune","given":"Vicente Castelo Branco","non-dropping-particle":"","parse-names":false,"suffix":""},{"dropping-particle":"","family":"Samuel","given":"Susana Maria Werner","non-dropping-particle":"","parse-names":false,"suffix":""}],"container-title":"Brazilian Oral Research","id":"ITEM-1","issue":"1","issued":{"date-parts":[["2014","1","1"]]},"page":"9-15","publisher":"Sociedade Brasileira de Hematologia e Hemoterapia","title":"Discrepancies in degree of conversion measurements by FTIR","type":"article-journal","volume":"28"},"uris":["http://www.mendeley.com/documents/?uuid=65d2fc25-0cbf-3165-8578-c367d2fca7d8"]}],"mendeley":{"formattedCitation":"[31]","plainTextFormattedCitation":"[31]","previouslyFormattedCitation":"[31]"},"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[31]</w:t>
      </w:r>
      <w:r w:rsidRPr="00913500">
        <w:rPr>
          <w:rFonts w:ascii="Times New Roman" w:hAnsi="Times New Roman" w:cs="Times New Roman"/>
        </w:rPr>
        <w:fldChar w:fldCharType="end"/>
      </w:r>
      <w:r w:rsidRPr="00913500">
        <w:rPr>
          <w:rFonts w:ascii="Times New Roman" w:hAnsi="Times New Roman" w:cs="Times New Roman"/>
        </w:rPr>
        <w:t xml:space="preserve">.  As shown in </w:t>
      </w:r>
      <w:r w:rsidR="00CC0B39" w:rsidRPr="00CC0B39">
        <w:rPr>
          <w:rFonts w:ascii="Times New Roman" w:hAnsi="Times New Roman" w:cs="Times New Roman"/>
        </w:rPr>
        <w:fldChar w:fldCharType="begin"/>
      </w:r>
      <w:r w:rsidR="00CC0B39" w:rsidRPr="00CC0B39">
        <w:rPr>
          <w:rFonts w:ascii="Times New Roman" w:hAnsi="Times New Roman" w:cs="Times New Roman"/>
        </w:rPr>
        <w:instrText xml:space="preserve"> REF _Ref100931923 \h </w:instrText>
      </w:r>
      <w:r w:rsidR="00CC0B39">
        <w:rPr>
          <w:rFonts w:ascii="Times New Roman" w:hAnsi="Times New Roman" w:cs="Times New Roman"/>
        </w:rPr>
        <w:instrText xml:space="preserve"> \* MERGEFORMAT </w:instrText>
      </w:r>
      <w:r w:rsidR="00CC0B39" w:rsidRPr="00CC0B39">
        <w:rPr>
          <w:rFonts w:ascii="Times New Roman" w:hAnsi="Times New Roman" w:cs="Times New Roman"/>
        </w:rPr>
      </w:r>
      <w:r w:rsidR="00CC0B39" w:rsidRPr="00CC0B3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39</w:t>
      </w:r>
      <w:r w:rsidR="00CC0B39" w:rsidRPr="00CC0B39">
        <w:rPr>
          <w:rFonts w:ascii="Times New Roman" w:hAnsi="Times New Roman" w:cs="Times New Roman"/>
        </w:rPr>
        <w:fldChar w:fldCharType="end"/>
      </w:r>
      <w:r w:rsidRPr="00913500">
        <w:rPr>
          <w:rFonts w:ascii="Times New Roman" w:hAnsi="Times New Roman" w:cs="Times New Roman"/>
        </w:rPr>
        <w:t>,</w:t>
      </w:r>
      <w:r w:rsidR="001E18E0">
        <w:rPr>
          <w:rFonts w:ascii="Times New Roman" w:hAnsi="Times New Roman" w:cs="Times New Roman"/>
        </w:rPr>
        <w:t xml:space="preserve"> </w:t>
      </w:r>
      <w:r w:rsidR="001E18E0" w:rsidRPr="00913500">
        <w:rPr>
          <w:rFonts w:ascii="Times New Roman" w:hAnsi="Times New Roman" w:cs="Times New Roman"/>
        </w:rPr>
        <w:t xml:space="preserve">DC was calculated from RT-FTIR results over the 60 s irradiation time and converted into a polymerization rate.    </w:t>
      </w:r>
    </w:p>
    <w:p w14:paraId="4EEFD01A" w14:textId="77777777" w:rsidR="001E18E0" w:rsidRPr="00913500" w:rsidRDefault="001E18E0" w:rsidP="001E18E0">
      <w:pPr>
        <w:spacing w:line="360" w:lineRule="auto"/>
        <w:rPr>
          <w:rFonts w:ascii="Times New Roman" w:hAnsi="Times New Roman" w:cs="Times New Roman"/>
        </w:rPr>
      </w:pPr>
    </w:p>
    <w:p w14:paraId="578D14AB" w14:textId="035AD5D1" w:rsidR="00BB7068" w:rsidRPr="00913500" w:rsidRDefault="001E18E0" w:rsidP="001E18E0">
      <w:pPr>
        <w:spacing w:line="360" w:lineRule="auto"/>
        <w:rPr>
          <w:rFonts w:ascii="Times New Roman" w:hAnsi="Times New Roman" w:cs="Times New Roman"/>
        </w:rPr>
      </w:pPr>
      <w:r w:rsidRPr="00913500">
        <w:rPr>
          <w:rFonts w:ascii="Times New Roman" w:hAnsi="Times New Roman" w:cs="Times New Roman"/>
        </w:rPr>
        <w:t xml:space="preserve">The polymerization rate in </w:t>
      </w:r>
      <w:r w:rsidR="00CC0B39" w:rsidRPr="00CC0B39">
        <w:rPr>
          <w:rFonts w:ascii="Times New Roman" w:hAnsi="Times New Roman" w:cs="Times New Roman"/>
        </w:rPr>
        <w:fldChar w:fldCharType="begin"/>
      </w:r>
      <w:r w:rsidR="00CC0B39" w:rsidRPr="00CC0B39">
        <w:rPr>
          <w:rFonts w:ascii="Times New Roman" w:hAnsi="Times New Roman" w:cs="Times New Roman"/>
        </w:rPr>
        <w:instrText xml:space="preserve"> REF _Ref100931923 \h </w:instrText>
      </w:r>
      <w:r w:rsidR="00CC0B39">
        <w:rPr>
          <w:rFonts w:ascii="Times New Roman" w:hAnsi="Times New Roman" w:cs="Times New Roman"/>
        </w:rPr>
        <w:instrText xml:space="preserve"> \* MERGEFORMAT </w:instrText>
      </w:r>
      <w:r w:rsidR="00CC0B39" w:rsidRPr="00CC0B39">
        <w:rPr>
          <w:rFonts w:ascii="Times New Roman" w:hAnsi="Times New Roman" w:cs="Times New Roman"/>
        </w:rPr>
      </w:r>
      <w:r w:rsidR="00CC0B39" w:rsidRPr="00CC0B3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39</w:t>
      </w:r>
      <w:r w:rsidR="00CC0B39" w:rsidRPr="00CC0B39">
        <w:rPr>
          <w:rFonts w:ascii="Times New Roman" w:hAnsi="Times New Roman" w:cs="Times New Roman"/>
        </w:rPr>
        <w:fldChar w:fldCharType="end"/>
      </w:r>
      <w:r w:rsidR="00CC0B39">
        <w:rPr>
          <w:rFonts w:ascii="Times New Roman" w:hAnsi="Times New Roman" w:cs="Times New Roman"/>
        </w:rPr>
        <w:t xml:space="preserve"> </w:t>
      </w:r>
      <w:r w:rsidRPr="00913500">
        <w:rPr>
          <w:rFonts w:ascii="Times New Roman" w:hAnsi="Times New Roman" w:cs="Times New Roman"/>
        </w:rPr>
        <w:t xml:space="preserve">clearly distinguishes the curing behavior of BAPO formulations and the BDMB control.  As was predicted by the optical model in </w:t>
      </w:r>
      <w:r w:rsidR="00CC0B39" w:rsidRPr="00CC0B39">
        <w:rPr>
          <w:rFonts w:ascii="Times New Roman" w:hAnsi="Times New Roman" w:cs="Times New Roman"/>
        </w:rPr>
        <w:fldChar w:fldCharType="begin"/>
      </w:r>
      <w:r w:rsidR="00CC0B39" w:rsidRPr="00CC0B39">
        <w:rPr>
          <w:rFonts w:ascii="Times New Roman" w:hAnsi="Times New Roman" w:cs="Times New Roman"/>
        </w:rPr>
        <w:instrText xml:space="preserve"> REF _Ref100931809 \h </w:instrText>
      </w:r>
      <w:r w:rsidR="00CC0B39">
        <w:rPr>
          <w:rFonts w:ascii="Times New Roman" w:hAnsi="Times New Roman" w:cs="Times New Roman"/>
        </w:rPr>
        <w:instrText xml:space="preserve"> \* MERGEFORMAT </w:instrText>
      </w:r>
      <w:r w:rsidR="00CC0B39" w:rsidRPr="00CC0B39">
        <w:rPr>
          <w:rFonts w:ascii="Times New Roman" w:hAnsi="Times New Roman" w:cs="Times New Roman"/>
        </w:rPr>
      </w:r>
      <w:r w:rsidR="00CC0B39" w:rsidRPr="00CC0B3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37</w:t>
      </w:r>
      <w:r w:rsidR="00CC0B39" w:rsidRPr="00CC0B39">
        <w:rPr>
          <w:rFonts w:ascii="Times New Roman" w:hAnsi="Times New Roman" w:cs="Times New Roman"/>
        </w:rPr>
        <w:fldChar w:fldCharType="end"/>
      </w:r>
      <w:r w:rsidRPr="00913500">
        <w:rPr>
          <w:rFonts w:ascii="Times New Roman" w:hAnsi="Times New Roman" w:cs="Times New Roman"/>
        </w:rPr>
        <w:t>, higher concentrations of BAPO resulted in a delayed onset of the peak polymerization rate. The BDMB control formulations exhibited a less consistent delay, with the slowest start of polymerization for the lowest concentration of 0.1 wt%.  This delay confirms the influence of photobleaching on BAPO curing behavior during continuous irradiation and</w:t>
      </w:r>
      <w:r>
        <w:rPr>
          <w:rFonts w:ascii="Times New Roman" w:hAnsi="Times New Roman" w:cs="Times New Roman"/>
        </w:rPr>
        <w:t xml:space="preserve"> </w:t>
      </w:r>
      <w:r w:rsidRPr="00913500">
        <w:rPr>
          <w:rFonts w:ascii="Times New Roman" w:hAnsi="Times New Roman" w:cs="Times New Roman"/>
        </w:rPr>
        <w:t xml:space="preserve">the presence of an </w:t>
      </w:r>
      <w:r w:rsidRPr="00913500">
        <w:rPr>
          <w:rFonts w:ascii="Times New Roman" w:eastAsiaTheme="minorEastAsia" w:hAnsi="Times New Roman" w:cs="Times New Roman"/>
        </w:rPr>
        <w:t xml:space="preserve">initiation wavefront created by free-radical generation in response to changing light penetration over time.  However, the delay in cure observed by RT-FTIR </w:t>
      </w:r>
      <w:r w:rsidRPr="00913500">
        <w:rPr>
          <w:rFonts w:ascii="Times New Roman" w:hAnsi="Times New Roman" w:cs="Times New Roman"/>
        </w:rPr>
        <w:t xml:space="preserve">is higher than the delay in photoinitiation predicted by the optical model.  </w:t>
      </w:r>
      <w:r w:rsidR="00D306B9">
        <w:rPr>
          <w:rFonts w:ascii="Times New Roman" w:hAnsi="Times New Roman" w:cs="Times New Roman"/>
        </w:rPr>
        <w:t xml:space="preserve">                    </w:t>
      </w:r>
    </w:p>
    <w:p w14:paraId="7C117F2A" w14:textId="77777777" w:rsidR="00DC290C" w:rsidRDefault="00913500" w:rsidP="00DC290C">
      <w:pPr>
        <w:keepNext/>
        <w:spacing w:line="360" w:lineRule="auto"/>
        <w:jc w:val="center"/>
      </w:pPr>
      <w:r w:rsidRPr="00913500">
        <w:rPr>
          <w:rFonts w:ascii="Times New Roman" w:hAnsi="Times New Roman" w:cs="Times New Roman"/>
          <w:noProof/>
        </w:rPr>
        <w:lastRenderedPageBreak/>
        <w:drawing>
          <wp:inline distT="0" distB="0" distL="0" distR="0" wp14:anchorId="7FB9D37B" wp14:editId="3994966E">
            <wp:extent cx="3804249" cy="3098105"/>
            <wp:effectExtent l="0" t="0" r="6350" b="762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7817" t="6907" r="8041" b="3581"/>
                    <a:stretch/>
                  </pic:blipFill>
                  <pic:spPr bwMode="auto">
                    <a:xfrm>
                      <a:off x="0" y="0"/>
                      <a:ext cx="3857302" cy="3141310"/>
                    </a:xfrm>
                    <a:prstGeom prst="rect">
                      <a:avLst/>
                    </a:prstGeom>
                    <a:noFill/>
                    <a:ln>
                      <a:noFill/>
                    </a:ln>
                    <a:extLst>
                      <a:ext uri="{53640926-AAD7-44D8-BBD7-CCE9431645EC}">
                        <a14:shadowObscured xmlns:a14="http://schemas.microsoft.com/office/drawing/2010/main"/>
                      </a:ext>
                    </a:extLst>
                  </pic:spPr>
                </pic:pic>
              </a:graphicData>
            </a:graphic>
          </wp:inline>
        </w:drawing>
      </w:r>
    </w:p>
    <w:p w14:paraId="603E48A6" w14:textId="657D9F75" w:rsidR="00913500" w:rsidRPr="00913500" w:rsidRDefault="00DC290C" w:rsidP="00F20503">
      <w:pPr>
        <w:pStyle w:val="Caption"/>
      </w:pPr>
      <w:bookmarkStart w:id="163" w:name="_Ref101261800"/>
      <w:bookmarkStart w:id="164" w:name="_Toc101365700"/>
      <w:r>
        <w:t xml:space="preserve">Figure </w:t>
      </w:r>
      <w:r w:rsidR="002F73EC">
        <w:fldChar w:fldCharType="begin"/>
      </w:r>
      <w:r w:rsidR="002F73EC">
        <w:instrText xml:space="preserve"> SEQ Figure \* ARABIC </w:instrText>
      </w:r>
      <w:r w:rsidR="002F73EC">
        <w:fldChar w:fldCharType="separate"/>
      </w:r>
      <w:r w:rsidR="00BF5717">
        <w:rPr>
          <w:noProof/>
        </w:rPr>
        <w:t>38</w:t>
      </w:r>
      <w:r w:rsidR="002F73EC">
        <w:rPr>
          <w:noProof/>
        </w:rPr>
        <w:fldChar w:fldCharType="end"/>
      </w:r>
      <w:bookmarkEnd w:id="163"/>
      <w:r w:rsidR="00CC0B39">
        <w:t xml:space="preserve"> </w:t>
      </w:r>
      <w:r w:rsidR="00CC0B39" w:rsidRPr="00913500">
        <w:t>Experimental values for transmitted light intensity at varying concentrations of PI for BAPO and BDMB through 3 mm thickness of Bis-EMA/PETIA polymer</w:t>
      </w:r>
      <w:r w:rsidR="00CC0B39">
        <w:t>.</w:t>
      </w:r>
      <w:bookmarkEnd w:id="164"/>
    </w:p>
    <w:p w14:paraId="2F881E49" w14:textId="13FE9AC8" w:rsidR="00D70EAD" w:rsidRDefault="00D70EAD" w:rsidP="00D70EAD"/>
    <w:p w14:paraId="2984B057" w14:textId="77777777" w:rsidR="00D70EAD" w:rsidRPr="00D70EAD" w:rsidRDefault="00D70EAD" w:rsidP="00D70EAD"/>
    <w:p w14:paraId="549524F6" w14:textId="77777777" w:rsidR="00D306B9" w:rsidRDefault="00913500" w:rsidP="00D306B9">
      <w:pPr>
        <w:keepNext/>
        <w:spacing w:line="360" w:lineRule="auto"/>
        <w:jc w:val="center"/>
      </w:pPr>
      <w:r w:rsidRPr="00913500">
        <w:rPr>
          <w:rFonts w:ascii="Times New Roman" w:hAnsi="Times New Roman" w:cs="Times New Roman"/>
          <w:noProof/>
        </w:rPr>
        <w:drawing>
          <wp:inline distT="0" distB="0" distL="0" distR="0" wp14:anchorId="0565052F" wp14:editId="0715C0A1">
            <wp:extent cx="4468569" cy="3236847"/>
            <wp:effectExtent l="0" t="0" r="8255" b="1905"/>
            <wp:docPr id="14" name="Picture 14"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histo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20245" cy="3274279"/>
                    </a:xfrm>
                    <a:prstGeom prst="rect">
                      <a:avLst/>
                    </a:prstGeom>
                    <a:noFill/>
                    <a:ln>
                      <a:noFill/>
                    </a:ln>
                  </pic:spPr>
                </pic:pic>
              </a:graphicData>
            </a:graphic>
          </wp:inline>
        </w:drawing>
      </w:r>
    </w:p>
    <w:p w14:paraId="46657EB0" w14:textId="0E12D52E" w:rsidR="00D306B9" w:rsidRPr="00D306B9" w:rsidRDefault="00D306B9" w:rsidP="00F20503">
      <w:pPr>
        <w:pStyle w:val="Caption"/>
      </w:pPr>
      <w:bookmarkStart w:id="165" w:name="_Ref100931923"/>
      <w:bookmarkStart w:id="166" w:name="_Toc101365701"/>
      <w:r>
        <w:t xml:space="preserve">Figure </w:t>
      </w:r>
      <w:r w:rsidR="002F73EC">
        <w:fldChar w:fldCharType="begin"/>
      </w:r>
      <w:r w:rsidR="002F73EC">
        <w:instrText xml:space="preserve"> SEQ Figure \* ARABIC </w:instrText>
      </w:r>
      <w:r w:rsidR="002F73EC">
        <w:fldChar w:fldCharType="separate"/>
      </w:r>
      <w:r w:rsidR="00BF5717">
        <w:rPr>
          <w:noProof/>
        </w:rPr>
        <w:t>39</w:t>
      </w:r>
      <w:r w:rsidR="002F73EC">
        <w:rPr>
          <w:noProof/>
        </w:rPr>
        <w:fldChar w:fldCharType="end"/>
      </w:r>
      <w:bookmarkEnd w:id="165"/>
      <w:r>
        <w:t xml:space="preserve"> </w:t>
      </w:r>
      <w:r w:rsidRPr="00913500">
        <w:t>Polymerization rate</w:t>
      </w:r>
      <w:r>
        <w:t xml:space="preserve"> </w:t>
      </w:r>
      <w:r w:rsidRPr="00913500">
        <w:t>for BAPO and BDMB at various concentrations, measured at 3 mm depth under continuous irradiation of 380 mW/cm</w:t>
      </w:r>
      <w:r w:rsidRPr="00913500">
        <w:rPr>
          <w:vertAlign w:val="superscript"/>
        </w:rPr>
        <w:t xml:space="preserve">2 </w:t>
      </w:r>
      <w:r w:rsidRPr="00913500">
        <w:t>UV light.</w:t>
      </w:r>
      <w:bookmarkEnd w:id="166"/>
    </w:p>
    <w:p w14:paraId="6C632A37" w14:textId="04F031BB" w:rsidR="00D306B9" w:rsidRDefault="00D306B9" w:rsidP="007E5B56">
      <w:pPr>
        <w:spacing w:line="360" w:lineRule="auto"/>
        <w:rPr>
          <w:rFonts w:ascii="Times New Roman" w:hAnsi="Times New Roman" w:cs="Times New Roman"/>
        </w:rPr>
      </w:pPr>
      <w:r>
        <w:rPr>
          <w:rFonts w:ascii="Times New Roman" w:hAnsi="Times New Roman" w:cs="Times New Roman"/>
        </w:rPr>
        <w:lastRenderedPageBreak/>
        <w:t xml:space="preserve">For the 1.0 </w:t>
      </w:r>
      <w:r w:rsidRPr="00913500">
        <w:rPr>
          <w:rFonts w:ascii="Times New Roman" w:hAnsi="Times New Roman" w:cs="Times New Roman"/>
        </w:rPr>
        <w:t>wt% concentration of BAPO, peak polymerization rate occurred after 20 s, while the optical model predicted peak photoinitiation at 6 s.  Most notably, the trend in</w:t>
      </w:r>
      <w:r>
        <w:rPr>
          <w:rFonts w:ascii="Times New Roman" w:hAnsi="Times New Roman" w:cs="Times New Roman"/>
        </w:rPr>
        <w:t xml:space="preserve"> </w:t>
      </w:r>
      <w:r w:rsidRPr="00913500">
        <w:rPr>
          <w:rFonts w:ascii="Times New Roman" w:hAnsi="Times New Roman" w:cs="Times New Roman"/>
        </w:rPr>
        <w:t xml:space="preserve">polymerization rate (see </w:t>
      </w:r>
      <w:r w:rsidRPr="00D306B9">
        <w:rPr>
          <w:rFonts w:ascii="Times New Roman" w:hAnsi="Times New Roman" w:cs="Times New Roman"/>
        </w:rPr>
        <w:fldChar w:fldCharType="begin"/>
      </w:r>
      <w:r w:rsidRPr="00D306B9">
        <w:rPr>
          <w:rFonts w:ascii="Times New Roman" w:hAnsi="Times New Roman" w:cs="Times New Roman"/>
        </w:rPr>
        <w:instrText xml:space="preserve"> REF _Ref100931923 \h </w:instrText>
      </w:r>
      <w:r>
        <w:rPr>
          <w:rFonts w:ascii="Times New Roman" w:hAnsi="Times New Roman" w:cs="Times New Roman"/>
        </w:rPr>
        <w:instrText xml:space="preserve"> \* MERGEFORMAT </w:instrText>
      </w:r>
      <w:r w:rsidRPr="00D306B9">
        <w:rPr>
          <w:rFonts w:ascii="Times New Roman" w:hAnsi="Times New Roman" w:cs="Times New Roman"/>
        </w:rPr>
      </w:r>
      <w:r w:rsidRPr="00D306B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39</w:t>
      </w:r>
      <w:r w:rsidRPr="00D306B9">
        <w:rPr>
          <w:rFonts w:ascii="Times New Roman" w:hAnsi="Times New Roman" w:cs="Times New Roman"/>
        </w:rPr>
        <w:fldChar w:fldCharType="end"/>
      </w:r>
      <w:r w:rsidRPr="00913500">
        <w:rPr>
          <w:rFonts w:ascii="Times New Roman" w:hAnsi="Times New Roman" w:cs="Times New Roman"/>
        </w:rPr>
        <w:t>) versus predicted photoinitiation rate (</w:t>
      </w:r>
      <w:r w:rsidRPr="00D306B9">
        <w:rPr>
          <w:rFonts w:ascii="Times New Roman" w:hAnsi="Times New Roman" w:cs="Times New Roman"/>
        </w:rPr>
        <w:t xml:space="preserve">see </w:t>
      </w:r>
      <w:r w:rsidRPr="00D306B9">
        <w:rPr>
          <w:rFonts w:ascii="Times New Roman" w:hAnsi="Times New Roman" w:cs="Times New Roman"/>
        </w:rPr>
        <w:fldChar w:fldCharType="begin"/>
      </w:r>
      <w:r w:rsidRPr="00D306B9">
        <w:rPr>
          <w:rFonts w:ascii="Times New Roman" w:hAnsi="Times New Roman" w:cs="Times New Roman"/>
        </w:rPr>
        <w:instrText xml:space="preserve"> REF _Ref100931809 \h </w:instrText>
      </w:r>
      <w:r>
        <w:rPr>
          <w:rFonts w:ascii="Times New Roman" w:hAnsi="Times New Roman" w:cs="Times New Roman"/>
        </w:rPr>
        <w:instrText xml:space="preserve"> \* MERGEFORMAT </w:instrText>
      </w:r>
      <w:r w:rsidRPr="00D306B9">
        <w:rPr>
          <w:rFonts w:ascii="Times New Roman" w:hAnsi="Times New Roman" w:cs="Times New Roman"/>
        </w:rPr>
      </w:r>
      <w:r w:rsidRPr="00D306B9">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37</w:t>
      </w:r>
      <w:r w:rsidRPr="00D306B9">
        <w:rPr>
          <w:rFonts w:ascii="Times New Roman" w:hAnsi="Times New Roman" w:cs="Times New Roman"/>
        </w:rPr>
        <w:fldChar w:fldCharType="end"/>
      </w:r>
      <w:r w:rsidRPr="00913500">
        <w:rPr>
          <w:rFonts w:ascii="Times New Roman" w:hAnsi="Times New Roman" w:cs="Times New Roman"/>
        </w:rPr>
        <w:t>) is</w:t>
      </w:r>
    </w:p>
    <w:p w14:paraId="6B87D8B5" w14:textId="2E46C793" w:rsidR="007E5B56" w:rsidRDefault="00913500" w:rsidP="007E5B56">
      <w:pPr>
        <w:spacing w:line="360" w:lineRule="auto"/>
        <w:rPr>
          <w:rFonts w:ascii="Times New Roman" w:hAnsi="Times New Roman" w:cs="Times New Roman"/>
        </w:rPr>
      </w:pPr>
      <w:r w:rsidRPr="007E5B56">
        <w:rPr>
          <w:rFonts w:ascii="Times New Roman" w:hAnsi="Times New Roman" w:cs="Times New Roman"/>
        </w:rPr>
        <w:t>the opposite, with the polymerization rate peak decreasing as the PI concentration increases.</w:t>
      </w:r>
      <w:r w:rsidR="007E5B56" w:rsidRPr="007E5B56">
        <w:rPr>
          <w:rFonts w:ascii="Times New Roman" w:hAnsi="Times New Roman" w:cs="Times New Roman"/>
        </w:rPr>
        <w:t xml:space="preserve">  </w:t>
      </w:r>
    </w:p>
    <w:p w14:paraId="4BE4562B" w14:textId="77777777" w:rsidR="007E5B56" w:rsidRDefault="007E5B56" w:rsidP="007E5B56">
      <w:pPr>
        <w:spacing w:line="360" w:lineRule="auto"/>
        <w:rPr>
          <w:rFonts w:ascii="Times New Roman" w:hAnsi="Times New Roman" w:cs="Times New Roman"/>
        </w:rPr>
      </w:pPr>
    </w:p>
    <w:p w14:paraId="6933D6E6" w14:textId="172EC6CB" w:rsidR="00BB7068" w:rsidRPr="007E5B56" w:rsidRDefault="00BB7068" w:rsidP="007E5B56">
      <w:pPr>
        <w:spacing w:line="360" w:lineRule="auto"/>
        <w:rPr>
          <w:rFonts w:ascii="Times New Roman" w:hAnsi="Times New Roman" w:cs="Times New Roman"/>
        </w:rPr>
      </w:pPr>
      <w:r w:rsidRPr="007E5B56">
        <w:rPr>
          <w:rFonts w:ascii="Times New Roman" w:hAnsi="Times New Roman" w:cs="Times New Roman"/>
        </w:rPr>
        <w:t xml:space="preserve">As shown in </w:t>
      </w:r>
      <w:r w:rsidR="00A51D71" w:rsidRPr="00A51D71">
        <w:rPr>
          <w:rFonts w:ascii="Times New Roman" w:hAnsi="Times New Roman" w:cs="Times New Roman"/>
        </w:rPr>
        <w:fldChar w:fldCharType="begin"/>
      </w:r>
      <w:r w:rsidR="00A51D71" w:rsidRPr="00A51D71">
        <w:rPr>
          <w:rFonts w:ascii="Times New Roman" w:hAnsi="Times New Roman" w:cs="Times New Roman"/>
        </w:rPr>
        <w:instrText xml:space="preserve"> REF _Ref100932061 \h </w:instrText>
      </w:r>
      <w:r w:rsidR="00A51D71">
        <w:rPr>
          <w:rFonts w:ascii="Times New Roman" w:hAnsi="Times New Roman" w:cs="Times New Roman"/>
        </w:rPr>
        <w:instrText xml:space="preserve"> \* MERGEFORMAT </w:instrText>
      </w:r>
      <w:r w:rsidR="00A51D71" w:rsidRPr="00A51D71">
        <w:rPr>
          <w:rFonts w:ascii="Times New Roman" w:hAnsi="Times New Roman" w:cs="Times New Roman"/>
        </w:rPr>
      </w:r>
      <w:r w:rsidR="00A51D71" w:rsidRPr="00A51D71">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40</w:t>
      </w:r>
      <w:r w:rsidR="00A51D71" w:rsidRPr="00A51D71">
        <w:rPr>
          <w:rFonts w:ascii="Times New Roman" w:hAnsi="Times New Roman" w:cs="Times New Roman"/>
        </w:rPr>
        <w:fldChar w:fldCharType="end"/>
      </w:r>
      <w:r w:rsidRPr="007E5B56">
        <w:rPr>
          <w:rFonts w:ascii="Times New Roman" w:hAnsi="Times New Roman" w:cs="Times New Roman"/>
        </w:rPr>
        <w:t xml:space="preserve">, the ultimate DC for each photopolymer formulation was measured 10 min after 60 s of UV irradiation.  The average DC  was calculated with a minimum of three specimens per formulation. </w:t>
      </w:r>
      <w:r w:rsidRPr="007E5B56" w:rsidDel="000272C0">
        <w:rPr>
          <w:rFonts w:ascii="Times New Roman" w:hAnsi="Times New Roman" w:cs="Times New Roman"/>
        </w:rPr>
        <w:t xml:space="preserve"> </w:t>
      </w:r>
    </w:p>
    <w:p w14:paraId="2AD1B76A" w14:textId="77777777" w:rsidR="00BB7068" w:rsidRPr="00BB7068" w:rsidRDefault="00BB7068" w:rsidP="00BB7068"/>
    <w:p w14:paraId="437F9475" w14:textId="24FEF450" w:rsidR="001E18E0" w:rsidRDefault="00BB7068" w:rsidP="001E18E0">
      <w:pPr>
        <w:spacing w:line="360" w:lineRule="auto"/>
        <w:rPr>
          <w:rFonts w:ascii="Times New Roman" w:hAnsi="Times New Roman" w:cs="Times New Roman"/>
        </w:rPr>
      </w:pPr>
      <w:r w:rsidRPr="00913500">
        <w:rPr>
          <w:rFonts w:ascii="Times New Roman" w:hAnsi="Times New Roman" w:cs="Times New Roman"/>
        </w:rPr>
        <w:t xml:space="preserve">For statistical analysis, Tukey’s Honestly Significant Difference Procedure (Tukey HSD) was applied to the data sets for the bottom hardness measurements using MATLAB software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{"citationItems":[{"id":"ITEM-1","itemData":{"DOI":"10.4135/9781412961288.N478","abstract":"When an analysis of variance (anova) gives a significant result, this indicates that at least one group differs from the other groups. Yet, the omnibus test does not indicate which group differs. In order to analyze the pattern of difference between means, the anova is often followed by specific comparisons, and the most com- monly used involves comparing two means (the so called “pairwise comparisons”). The first pairwise comparison technique was developed by Fisher in 1935 and is called the least significant difference (lsd) test. This technique can be used only if the anova F omnibus is significant. The main idea of the lsd is to compute the smallest significant difference (i.e., the lsd) between two means as if these means had been the only means to be compared (i.e., with a t test) and to declare significant any difference larger than the lsd.","author":[{"dropping-particle":"","family":"Salkind","given":"Neil","non-dropping-particle":"","parse-names":false,"suffix":""}],"container-title":"Encyclopedia of Research Design","id":"ITEM-1","issued":{"date-parts":[["2012","10","5"]]},"publisher":"SAGE Publications, Inc.","title":"Tukey's Honestly Significant Difference (HSD)","type":"article-journal"},"uris":["http://www.mendeley.com/documents/?uuid=4f7133f9-df15-378c-be58-c41e402db140"]},{"id":"ITEM-2","itemData":{"DOI":"10.1016/j.dental.2013.10.011","abstract":"d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Materials","id":"ITEM-2","issued":{"date-parts":[["2014"]]},"page":"149-154","title":"ScienceDirect Post-cure depth of cure of bulk fill dental resin-composites","type":"article-journal","volume":"30"},"uris":["http://www.mendeley.com/documents/?uuid=278738b9-3e52-3005-b13a-01c7bec0ca56"]},{"id":"ITEM-3","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Manufacturing","id":"ITEM-3","issued":{"date-parts":[["2022","2","1"]]},"publisher":"Elsevier","title":"Photopolymer formulation towards large scale additive manufacturing of autoclave capable tooling","type":"article-journal","volume":"50"},"uris":["http://www.mendeley.com/documents/?uuid=18ee70bb-70b0-3bd1-96da-1ead90e9942c"]}],"mendeley":{"formattedCitation":"[48], [109], [131]","plainTextFormattedCitation":"[48], [109], [131]","previouslyFormattedCitation":"[48], [109], [131]"},"properties":{"noteIndex":0},"schema":"https://github.com/citation-style-language/schema/raw/master/csl-citation.json"}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[48], [109], [131]</w:t>
      </w:r>
      <w:r w:rsidRPr="00913500">
        <w:rPr>
          <w:rFonts w:ascii="Times New Roman" w:hAnsi="Times New Roman" w:cs="Times New Roman"/>
        </w:rPr>
        <w:fldChar w:fldCharType="end"/>
      </w:r>
      <w:r w:rsidRPr="00913500">
        <w:rPr>
          <w:rFonts w:ascii="Times New Roman" w:hAnsi="Times New Roman" w:cs="Times New Roman"/>
        </w:rPr>
        <w:t xml:space="preserve">.  Multiple comparison of means for one-way ANOVA determined that 0.1 wt% and 1.0 wt% BAPO formulations differed significantly, but 0.5 wt% BAPO was not significantly different from 1.0 wt% BAPO in the final DC.   The 1.0 wt% BAPO formulation had the lowest average DC, comparable to the 0.1 wt% BDMB formulation.  The 0.5 wt% BDMB formulation had the highest average DC but did not differ significantly from the 0.1 wt% BAPO formulation. </w:t>
      </w:r>
    </w:p>
    <w:p w14:paraId="1435A319" w14:textId="77777777" w:rsidR="001E18E0" w:rsidRDefault="001E18E0" w:rsidP="001E18E0">
      <w:pPr>
        <w:spacing w:line="360" w:lineRule="auto"/>
        <w:rPr>
          <w:rFonts w:ascii="Times New Roman" w:hAnsi="Times New Roman" w:cs="Times New Roman"/>
        </w:rPr>
      </w:pPr>
    </w:p>
    <w:p w14:paraId="0CAE6F6C" w14:textId="531BCF4E" w:rsidR="001E18E0" w:rsidRDefault="001E18E0" w:rsidP="001E18E0">
      <w:pPr>
        <w:spacing w:line="360" w:lineRule="auto"/>
        <w:rPr>
          <w:rFonts w:ascii="Times New Roman" w:hAnsi="Times New Roman" w:cs="Times New Roman"/>
        </w:rPr>
      </w:pPr>
      <w:r w:rsidRPr="00913500">
        <w:rPr>
          <w:rFonts w:ascii="Times New Roman" w:hAnsi="Times New Roman" w:cs="Times New Roman"/>
          <w:i/>
          <w:iCs/>
        </w:rPr>
        <w:t xml:space="preserve">Discussion:  </w:t>
      </w:r>
      <w:r w:rsidRPr="00913500">
        <w:rPr>
          <w:rFonts w:ascii="Times New Roman" w:hAnsi="Times New Roman" w:cs="Times New Roman"/>
        </w:rPr>
        <w:t xml:space="preserve">While complete cure occurs when all of the double bonds have been converted (100 % DC), phenomena such as the cage effect can trap unreacted free radicals within a growing polymer network and limit ultimate DC </w:t>
      </w:r>
      <w:r w:rsidRPr="00913500">
        <w:rPr>
          <w:rFonts w:ascii="Times New Roman" w:hAnsi="Times New Roman" w:cs="Times New Roman"/>
        </w:rPr>
        <w:fldChar w:fldCharType="begin" w:fldLock="1"/>
      </w:r>
      <w:r w:rsidR="0033427D">
        <w:rPr>
          <w:rFonts w:ascii="Times New Roman" w:hAnsi="Times New Roman" w:cs="Times New Roman"/>
        </w:rPr>
        <w:instrText>ADDIN CSL_CITATION {"citationItems":[{"id":"ITEM-1","itemData":{"DOI":"10.1002/pola.1987.080250227","ISSN":"0887624X","author":[{"dropping-particle":"","family":"Decker","given":"C.","non-dropping-particle":"","parse-names":false,"suffix":""},{"dropping-particle":"","family":"Moussa","given":"K.","non-dropping-particle":"","parse-names":false,"suffix":""}],"container-title":"Journal of Polymer Science Part A: Polymer Chemistry","id":"ITEM-1","issue":"2","issued":{"date-parts":[["1987","2","1"]]},"page":"739-742","publisher":"John Wiley &amp; Sons, Ltd","title":"Radical trapping in photopolymerized acrylic networks","type":"article-journal","volume":"25"},"uris":["http://www.mendeley.com/documents/?uuid=e2a3dc3b-61bf-310e-a7cd-901577694a41"]},{"id":"ITEM-2","itemData":{"DOI":"10.1002/marc.200290014","ISSN":"10221336","abstract":"Highly crosslinked polymers can be readily synthesized by photoinitiated polymerization of multifunctional monomers or functionalized polymers. The reaction can be followed in situ by real-time infrared (RT-IR) spectroscopy, a technique that records conversion versus time curves in photosensitive resins undergoing ultrafast polymerization upon UV exposure. For acrylate-based resins, UV-curing proceeds with long kinetic chains (7700 mol/radical) in spite of the high initiation rate. RT-IR spectroscopy proved very valuable in assessing the influence of various parameters, such as initiation efficiency, chemical structure of the telechelic oligomer, light intensity, inhibitory effect of oxygen, on polymerization kinetics. Interpenetrating polymer networks can be rapidly synthesized by means of UV irradiation of a mixture of difunctional acrylate and epoxy monomers in the presence of both radical and cationic-type photoinitiators. The same UV technology can be applied to crosslink solid polymers at ambient temperature, which bear different types of reactive groups (acrylate and vinyl double bonds, epoxy ring). UV radiation curing has been successfully used to produce within seconds weathering resistant protective coatings, high-resolution relief images, glass laminates and nanocomposites materials.","author":[{"dropping-particle":"","family":"Decker","given":"Christian","non-dropping-particle":"","parse-names":false,"suffix":""}],"container-title":"Macromolecular Rapid Communications","id":"ITEM-2","issue":"18","issued":{"date-parts":[["2002","12","20"]]},"page":"1067-1093","publisher":"John Wiley &amp; Sons, Ltd","title":"Kinetic study and new applications of UV radiation curing","type":"article-journal","volume":"23"},"uris":["http://www.mendeley.com/documents/?uuid=c60ec8b8-eb0a-3a6c-bb8f-715b6e36c30e"]}],"mendeley":{"formattedCitation":"[40], [62]","plainTextFormattedCitation":"[40], [62]","previouslyFormattedCitation":"[40], [62]"},"properties":{"noteIndex":0},"schema":"https://github.com/citation-style-language/schema/raw/master/csl-citation.json"}</w:instrText>
      </w:r>
      <w:r w:rsidRPr="00913500">
        <w:rPr>
          <w:rFonts w:ascii="Times New Roman" w:hAnsi="Times New Roman" w:cs="Times New Roman"/>
        </w:rPr>
        <w:fldChar w:fldCharType="separate"/>
      </w:r>
      <w:r w:rsidR="00115FB0" w:rsidRPr="00115FB0">
        <w:rPr>
          <w:rFonts w:ascii="Times New Roman" w:hAnsi="Times New Roman" w:cs="Times New Roman"/>
          <w:noProof/>
        </w:rPr>
        <w:t>[40], [62]</w:t>
      </w:r>
      <w:r w:rsidRPr="00913500">
        <w:rPr>
          <w:rFonts w:ascii="Times New Roman" w:hAnsi="Times New Roman" w:cs="Times New Roman"/>
        </w:rPr>
        <w:fldChar w:fldCharType="end"/>
      </w:r>
      <w:r w:rsidRPr="00913500">
        <w:rPr>
          <w:rFonts w:ascii="Times New Roman" w:hAnsi="Times New Roman" w:cs="Times New Roman"/>
        </w:rPr>
        <w:t xml:space="preserve"> (see </w:t>
      </w:r>
      <w:r w:rsidR="00A51D71" w:rsidRPr="00A51D71">
        <w:rPr>
          <w:rFonts w:ascii="Times New Roman" w:hAnsi="Times New Roman" w:cs="Times New Roman"/>
        </w:rPr>
        <w:fldChar w:fldCharType="begin"/>
      </w:r>
      <w:r w:rsidR="00A51D71" w:rsidRPr="00A51D71">
        <w:rPr>
          <w:rFonts w:ascii="Times New Roman" w:hAnsi="Times New Roman" w:cs="Times New Roman"/>
        </w:rPr>
        <w:instrText xml:space="preserve"> REF _Ref100932103 \h </w:instrText>
      </w:r>
      <w:r w:rsidR="00A51D71">
        <w:rPr>
          <w:rFonts w:ascii="Times New Roman" w:hAnsi="Times New Roman" w:cs="Times New Roman"/>
        </w:rPr>
        <w:instrText xml:space="preserve"> \* MERGEFORMAT </w:instrText>
      </w:r>
      <w:r w:rsidR="00A51D71" w:rsidRPr="00A51D71">
        <w:rPr>
          <w:rFonts w:ascii="Times New Roman" w:hAnsi="Times New Roman" w:cs="Times New Roman"/>
        </w:rPr>
      </w:r>
      <w:r w:rsidR="00A51D71" w:rsidRPr="00A51D71">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41</w:t>
      </w:r>
      <w:r w:rsidR="00A51D71" w:rsidRPr="00A51D71">
        <w:rPr>
          <w:rFonts w:ascii="Times New Roman" w:hAnsi="Times New Roman" w:cs="Times New Roman"/>
        </w:rPr>
        <w:fldChar w:fldCharType="end"/>
      </w:r>
      <w:r w:rsidRPr="00913500">
        <w:rPr>
          <w:rFonts w:ascii="Times New Roman" w:hAnsi="Times New Roman" w:cs="Times New Roman"/>
        </w:rPr>
        <w:t xml:space="preserve">).  Ultimate DC below 100% is typical for glassy acrylate polymers, as radical occlusion can surpass bimolecular termination by a ratio of 4 to 1 during vitrification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app.1987.070340420","ISSN":"00218995","author":[{"dropping-particle":"","family":"Decker","given":"C.","non-dropping-particle":"","parse-names":false,"suffix":""},{"dropping-particle":"","family":"Moussa","given":"K.","non-dropping-particle":"","parse-names":false,"suffix":""}],"container-title":"Journal of Applied Polymer Science","id":"ITEM-1","issue":"4","issued":{"date-parts":[["1987","9","1"]]},"page":"1603-1618","publisher":"John Wiley &amp; Sons, Ltd","title":"Photopolymerization of multifunctional monomers in condensed phase","type":"article-journal","volume":"34"},"uris":["http://www.mendeley.com/documents/?uuid=867f59bf-eee5-3159-a870-92cee7a16365"]}],"mendeley":{"formattedCitation":"[113]","plainTextFormattedCitation":"[113]","previouslyFormattedCitation":"[113]"},"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[113]</w:t>
      </w:r>
      <w:r w:rsidRPr="00913500">
        <w:rPr>
          <w:rFonts w:ascii="Times New Roman" w:hAnsi="Times New Roman" w:cs="Times New Roman"/>
        </w:rPr>
        <w:fldChar w:fldCharType="end"/>
      </w:r>
      <w:r w:rsidRPr="00913500">
        <w:rPr>
          <w:rFonts w:ascii="Times New Roman" w:hAnsi="Times New Roman" w:cs="Times New Roman"/>
        </w:rPr>
        <w:t xml:space="preserve">.  </w:t>
      </w:r>
      <w:bookmarkStart w:id="167" w:name="_Hlk97148285"/>
      <w:r w:rsidRPr="00913500">
        <w:rPr>
          <w:rFonts w:ascii="Times New Roman" w:hAnsi="Times New Roman" w:cs="Times New Roman"/>
        </w:rPr>
        <w:t xml:space="preserve">Trapped free radicals in a glassy system reportedly exceed active (e.g., mobile) free radicals at as low as 36% DC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{"citationItems":[{"id":"ITEM-1","itemData":{"DOI":"10.1021/MA0003351","ISSN":"00249297","abstract":"An improved kinetic model is presented which accounts for radical trapping during the photopolymerization of multifunctional monomers such as diacrylates and dimethacrylates. Following earlier sugg...","author":[{"dropping-particle":"","family":"Wen","given":"Mei","non-dropping-particle":"","parse-names":false,"suffix":""},{"dropping-particle":"V.","family":"McCormick","given":"Alon","non-dropping-particle":"","parse-names":false,"suffix":""}],"container-title":"Macromolecules","id":"ITEM-1","issue":"25","issued":{"date-parts":[["2000","12","12"]]},"page":"9247-9254","publisher":" American Chemical Society ","title":"A Kinetic Model for Radical Trapping in Photopolymerization of Multifunctional Monomers","type":"article-journal","volume":"33"},"uris":["http://www.mendeley.com/documents/?uuid=1c45f241-4b8a-30ff-a590-9aae2f636072"]}],"mendeley":{"formattedCitation":"[37]","plainTextFormattedCitation":"[37]","previouslyFormattedCitation":"[37]"},"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[37]</w:t>
      </w:r>
      <w:r w:rsidRPr="00913500">
        <w:rPr>
          <w:rFonts w:ascii="Times New Roman" w:hAnsi="Times New Roman" w:cs="Times New Roman"/>
        </w:rPr>
        <w:fldChar w:fldCharType="end"/>
      </w:r>
      <w:r w:rsidRPr="00913500">
        <w:rPr>
          <w:rFonts w:ascii="Times New Roman" w:hAnsi="Times New Roman" w:cs="Times New Roman"/>
        </w:rPr>
        <w:t xml:space="preserve">. </w:t>
      </w:r>
      <w:bookmarkEnd w:id="167"/>
      <w:r w:rsidRPr="00913500">
        <w:rPr>
          <w:rFonts w:ascii="Times New Roman" w:hAnsi="Times New Roman" w:cs="Times New Roman"/>
        </w:rPr>
        <w:t>The Bis-EMA: PETIA blend in the present study is a glassy polymer system as indicated by its (meth)acrylate chemistry, reported T</w:t>
      </w:r>
      <w:r w:rsidRPr="00913500">
        <w:rPr>
          <w:rFonts w:ascii="Times New Roman" w:hAnsi="Times New Roman" w:cs="Times New Roman"/>
          <w:vertAlign w:val="subscript"/>
        </w:rPr>
        <w:t>g</w:t>
      </w:r>
      <w:r w:rsidRPr="00913500">
        <w:rPr>
          <w:rFonts w:ascii="Times New Roman" w:hAnsi="Times New Roman" w:cs="Times New Roman"/>
        </w:rPr>
        <w:t xml:space="preserve"> of 150 ºC, high stiffness (tensile modulus &gt;2.0 GPa), and brittle failure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[109]</w:t>
      </w:r>
      <w:r w:rsidRPr="00913500">
        <w:rPr>
          <w:rFonts w:ascii="Times New Roman" w:hAnsi="Times New Roman" w:cs="Times New Roman"/>
        </w:rPr>
        <w:fldChar w:fldCharType="end"/>
      </w:r>
      <w:r w:rsidRPr="00913500">
        <w:rPr>
          <w:rFonts w:ascii="Times New Roman" w:hAnsi="Times New Roman" w:cs="Times New Roman"/>
        </w:rPr>
        <w:t xml:space="preserve">.  </w:t>
      </w:r>
    </w:p>
    <w:p w14:paraId="4E7B3F2F" w14:textId="78C01EFC" w:rsidR="00BB7068" w:rsidRDefault="00BB7068" w:rsidP="00913500">
      <w:pPr>
        <w:spacing w:line="360" w:lineRule="auto"/>
        <w:rPr>
          <w:rFonts w:ascii="Times New Roman" w:hAnsi="Times New Roman" w:cs="Times New Roman"/>
        </w:rPr>
      </w:pPr>
    </w:p>
    <w:p w14:paraId="06DADC67" w14:textId="77777777" w:rsidR="00A51D71" w:rsidRDefault="00913500" w:rsidP="00A51D71">
      <w:pPr>
        <w:keepNext/>
        <w:spacing w:line="360" w:lineRule="auto"/>
        <w:jc w:val="center"/>
      </w:pPr>
      <w:r w:rsidRPr="00913500">
        <w:rPr>
          <w:rFonts w:ascii="Times New Roman" w:hAnsi="Times New Roman" w:cs="Times New Roman"/>
          <w:noProof/>
        </w:rPr>
        <w:lastRenderedPageBreak/>
        <w:drawing>
          <wp:inline distT="0" distB="0" distL="0" distR="0" wp14:anchorId="6A339506" wp14:editId="77368800">
            <wp:extent cx="4933950" cy="3768462"/>
            <wp:effectExtent l="0" t="0" r="0" b="381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8506" t="9010" r="11708" b="11387"/>
                    <a:stretch/>
                  </pic:blipFill>
                  <pic:spPr bwMode="auto">
                    <a:xfrm>
                      <a:off x="0" y="0"/>
                      <a:ext cx="4940908" cy="3773777"/>
                    </a:xfrm>
                    <a:prstGeom prst="rect">
                      <a:avLst/>
                    </a:prstGeom>
                    <a:noFill/>
                    <a:ln>
                      <a:noFill/>
                    </a:ln>
                    <a:extLst>
                      <a:ext uri="{53640926-AAD7-44D8-BBD7-CCE9431645EC}">
                        <a14:shadowObscured xmlns:a14="http://schemas.microsoft.com/office/drawing/2010/main"/>
                      </a:ext>
                    </a:extLst>
                  </pic:spPr>
                </pic:pic>
              </a:graphicData>
            </a:graphic>
          </wp:inline>
        </w:drawing>
      </w:r>
    </w:p>
    <w:p w14:paraId="49242716" w14:textId="35EBCBCA" w:rsidR="00913500" w:rsidRPr="00913500" w:rsidRDefault="00A51D71" w:rsidP="00F20503">
      <w:pPr>
        <w:pStyle w:val="Caption"/>
      </w:pPr>
      <w:bookmarkStart w:id="168" w:name="_Ref100932061"/>
      <w:bookmarkStart w:id="169" w:name="_Toc101365702"/>
      <w:r>
        <w:t xml:space="preserve">Figure </w:t>
      </w:r>
      <w:r w:rsidR="002F73EC">
        <w:fldChar w:fldCharType="begin"/>
      </w:r>
      <w:r w:rsidR="002F73EC">
        <w:instrText xml:space="preserve"> SEQ Figure \* ARABIC </w:instrText>
      </w:r>
      <w:r w:rsidR="002F73EC">
        <w:fldChar w:fldCharType="separate"/>
      </w:r>
      <w:r w:rsidR="00BF5717">
        <w:rPr>
          <w:noProof/>
        </w:rPr>
        <w:t>40</w:t>
      </w:r>
      <w:r w:rsidR="002F73EC">
        <w:rPr>
          <w:noProof/>
        </w:rPr>
        <w:fldChar w:fldCharType="end"/>
      </w:r>
      <w:bookmarkEnd w:id="168"/>
      <w:r>
        <w:t xml:space="preserve"> </w:t>
      </w:r>
      <w:r w:rsidRPr="00913500">
        <w:t>DC post 60 s UV irradiation, measured at 3 mm polymer depth</w:t>
      </w:r>
      <w:r w:rsidR="00D3189E">
        <w:t xml:space="preserve"> 10 minutes post irradiation</w:t>
      </w:r>
      <w:r w:rsidRPr="00913500">
        <w:t>.  Error bars indicate +/- one standard deviation.</w:t>
      </w:r>
      <w:bookmarkEnd w:id="169"/>
    </w:p>
    <w:p w14:paraId="4E36B6B6" w14:textId="77777777" w:rsidR="00D70EAD" w:rsidRPr="00D70EAD" w:rsidRDefault="00D70EAD" w:rsidP="00D70EAD"/>
    <w:p w14:paraId="203DD465" w14:textId="7F09ED45" w:rsidR="00BA093B" w:rsidRDefault="00BA093B" w:rsidP="00BA093B"/>
    <w:p w14:paraId="7A506440" w14:textId="77777777" w:rsidR="00A51D71" w:rsidRDefault="00BA093B" w:rsidP="00A51D71">
      <w:pPr>
        <w:keepNext/>
        <w:spacing w:line="360" w:lineRule="auto"/>
        <w:jc w:val="center"/>
      </w:pPr>
      <w:r w:rsidRPr="00913500">
        <w:rPr>
          <w:rFonts w:ascii="Times New Roman" w:hAnsi="Times New Roman" w:cs="Times New Roman"/>
          <w:noProof/>
        </w:rPr>
        <w:drawing>
          <wp:inline distT="0" distB="0" distL="0" distR="0" wp14:anchorId="3983A9CA" wp14:editId="4842D3B9">
            <wp:extent cx="5693434" cy="1281023"/>
            <wp:effectExtent l="0" t="0" r="2540" b="0"/>
            <wp:docPr id="39" name="Picture 3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47"/>
                    <a:stretch>
                      <a:fillRect/>
                    </a:stretch>
                  </pic:blipFill>
                  <pic:spPr>
                    <a:xfrm>
                      <a:off x="0" y="0"/>
                      <a:ext cx="5700177" cy="1282540"/>
                    </a:xfrm>
                    <a:prstGeom prst="rect">
                      <a:avLst/>
                    </a:prstGeom>
                  </pic:spPr>
                </pic:pic>
              </a:graphicData>
            </a:graphic>
          </wp:inline>
        </w:drawing>
      </w:r>
    </w:p>
    <w:p w14:paraId="4FDB11D4" w14:textId="1495396D" w:rsidR="00BA093B" w:rsidRPr="00913500" w:rsidRDefault="00A51D71" w:rsidP="00F20503">
      <w:pPr>
        <w:pStyle w:val="Caption"/>
      </w:pPr>
      <w:bookmarkStart w:id="170" w:name="_Ref100932103"/>
      <w:bookmarkStart w:id="171" w:name="_Toc101365703"/>
      <w:r>
        <w:t xml:space="preserve">Figure </w:t>
      </w:r>
      <w:r w:rsidR="002F73EC">
        <w:fldChar w:fldCharType="begin"/>
      </w:r>
      <w:r w:rsidR="002F73EC">
        <w:instrText xml:space="preserve"> SEQ Figure \* ARABIC </w:instrText>
      </w:r>
      <w:r w:rsidR="002F73EC">
        <w:fldChar w:fldCharType="separate"/>
      </w:r>
      <w:r w:rsidR="00BF5717">
        <w:rPr>
          <w:noProof/>
        </w:rPr>
        <w:t>41</w:t>
      </w:r>
      <w:r w:rsidR="002F73EC">
        <w:rPr>
          <w:noProof/>
        </w:rPr>
        <w:fldChar w:fldCharType="end"/>
      </w:r>
      <w:bookmarkEnd w:id="170"/>
      <w:r>
        <w:t xml:space="preserve"> </w:t>
      </w:r>
      <w:r w:rsidRPr="00913500">
        <w:t>Cage effect, which can apply to occluded PI molecules.  As PI absorbs light and reacts, its reaction byproducts can become trapped within the tightly packed vitrified polymer network, and these will either recombine or dissociate.  Some free radicals can still react via diffusion, even in the glassy polymer.</w:t>
      </w:r>
      <w:bookmarkEnd w:id="171"/>
    </w:p>
    <w:p w14:paraId="69227918" w14:textId="4CF6C89E" w:rsidR="00BB7068" w:rsidRDefault="00BB7068" w:rsidP="00913500">
      <w:pPr>
        <w:spacing w:line="360" w:lineRule="auto"/>
        <w:rPr>
          <w:rFonts w:ascii="Times New Roman" w:hAnsi="Times New Roman" w:cs="Times New Roman"/>
        </w:rPr>
      </w:pPr>
    </w:p>
    <w:p w14:paraId="327B26D9" w14:textId="77777777" w:rsidR="00A51D71" w:rsidRDefault="00A51D71" w:rsidP="00913500">
      <w:pPr>
        <w:spacing w:line="360" w:lineRule="auto"/>
        <w:rPr>
          <w:rFonts w:ascii="Times New Roman" w:hAnsi="Times New Roman" w:cs="Times New Roman"/>
        </w:rPr>
      </w:pPr>
    </w:p>
    <w:p w14:paraId="2C4D327F" w14:textId="047BF84E" w:rsidR="00BB7068" w:rsidRDefault="00A51D71" w:rsidP="00913500">
      <w:pPr>
        <w:spacing w:line="360" w:lineRule="auto"/>
        <w:rPr>
          <w:rFonts w:ascii="Times New Roman" w:hAnsi="Times New Roman" w:cs="Times New Roman"/>
        </w:rPr>
      </w:pPr>
      <w:r w:rsidRPr="00913500">
        <w:rPr>
          <w:rFonts w:ascii="Times New Roman" w:hAnsi="Times New Roman" w:cs="Times New Roman"/>
        </w:rPr>
        <w:lastRenderedPageBreak/>
        <w:t>In previous FTIR testing of 1.0 wt% BDMB formulations of an 80:20 Bis-EMA: PETIA blend, the highest reported DC was 78.7% following a UV dose of 8.0 J/cm</w:t>
      </w:r>
      <w:r w:rsidRPr="00913500">
        <w:rPr>
          <w:rFonts w:ascii="Times New Roman" w:hAnsi="Times New Roman" w:cs="Times New Roman"/>
          <w:vertAlign w:val="superscript"/>
        </w:rPr>
        <w:t>2</w:t>
      </w:r>
      <w:r w:rsidRPr="00913500">
        <w:rPr>
          <w:rFonts w:ascii="Times New Roman" w:hAnsi="Times New Roman" w:cs="Times New Roman"/>
        </w:rPr>
        <w:t xml:space="preserve">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[109]</w:t>
      </w:r>
      <w:r w:rsidRPr="00913500">
        <w:rPr>
          <w:rFonts w:ascii="Times New Roman" w:hAnsi="Times New Roman" w:cs="Times New Roman"/>
        </w:rPr>
        <w:fldChar w:fldCharType="end"/>
      </w:r>
      <w:r w:rsidRPr="00913500">
        <w:rPr>
          <w:rFonts w:ascii="Times New Roman" w:hAnsi="Times New Roman" w:cs="Times New Roman"/>
        </w:rPr>
        <w:t xml:space="preserve">.  The 60 s irradiation results shown in </w:t>
      </w:r>
      <w:r w:rsidR="008F3E73" w:rsidRPr="008F3E73">
        <w:rPr>
          <w:rFonts w:ascii="Times New Roman" w:hAnsi="Times New Roman" w:cs="Times New Roman"/>
        </w:rPr>
        <w:fldChar w:fldCharType="begin"/>
      </w:r>
      <w:r w:rsidR="008F3E73" w:rsidRPr="008F3E73">
        <w:rPr>
          <w:rFonts w:ascii="Times New Roman" w:hAnsi="Times New Roman" w:cs="Times New Roman"/>
        </w:rPr>
        <w:instrText xml:space="preserve"> REF _Ref100932061 \h </w:instrText>
      </w:r>
      <w:r w:rsidR="008F3E73">
        <w:rPr>
          <w:rFonts w:ascii="Times New Roman" w:hAnsi="Times New Roman" w:cs="Times New Roman"/>
        </w:rPr>
        <w:instrText xml:space="preserve"> \* MERGEFORMAT </w:instrText>
      </w:r>
      <w:r w:rsidR="008F3E73" w:rsidRPr="008F3E73">
        <w:rPr>
          <w:rFonts w:ascii="Times New Roman" w:hAnsi="Times New Roman" w:cs="Times New Roman"/>
        </w:rPr>
      </w:r>
      <w:r w:rsidR="008F3E73" w:rsidRPr="008F3E73">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40</w:t>
      </w:r>
      <w:r w:rsidR="008F3E73" w:rsidRPr="008F3E73">
        <w:rPr>
          <w:rFonts w:ascii="Times New Roman" w:hAnsi="Times New Roman" w:cs="Times New Roman"/>
        </w:rPr>
        <w:fldChar w:fldCharType="end"/>
      </w:r>
      <w:r w:rsidR="008F3E73">
        <w:rPr>
          <w:rFonts w:ascii="Times New Roman" w:hAnsi="Times New Roman" w:cs="Times New Roman"/>
        </w:rPr>
        <w:t xml:space="preserve"> </w:t>
      </w:r>
      <w:r w:rsidRPr="00913500">
        <w:rPr>
          <w:rFonts w:ascii="Times New Roman" w:hAnsi="Times New Roman" w:cs="Times New Roman"/>
        </w:rPr>
        <w:t>followed a UV dose of 24.0 J/cm</w:t>
      </w:r>
      <w:r w:rsidRPr="00913500">
        <w:rPr>
          <w:rFonts w:ascii="Times New Roman" w:hAnsi="Times New Roman" w:cs="Times New Roman"/>
          <w:vertAlign w:val="superscript"/>
        </w:rPr>
        <w:t>2</w:t>
      </w:r>
      <w:r w:rsidRPr="00913500">
        <w:rPr>
          <w:rFonts w:ascii="Times New Roman" w:hAnsi="Times New Roman" w:cs="Times New Roman"/>
        </w:rPr>
        <w:t>, but the highest average DC was 76.0%, as measured at the bottom surface of the 0.5 wt% BDMB</w:t>
      </w:r>
    </w:p>
    <w:p w14:paraId="4BC9C229" w14:textId="32AB3B84" w:rsidR="00BB7068" w:rsidRPr="001E18E0" w:rsidRDefault="00BB7068" w:rsidP="00913500">
      <w:pPr>
        <w:spacing w:line="360" w:lineRule="auto"/>
        <w:rPr>
          <w:rFonts w:ascii="Times New Roman" w:hAnsi="Times New Roman" w:cs="Times New Roman"/>
          <w:i/>
          <w:iCs/>
        </w:rPr>
      </w:pPr>
      <w:r w:rsidRPr="00913500">
        <w:rPr>
          <w:rFonts w:ascii="Times New Roman" w:hAnsi="Times New Roman" w:cs="Times New Roman"/>
        </w:rPr>
        <w:t xml:space="preserve">formulation.  When compared against the previous finding of 78.7% DC at the irradiated surface, the results shown in </w:t>
      </w:r>
      <w:r w:rsidR="008F3E73" w:rsidRPr="008F3E73">
        <w:rPr>
          <w:rFonts w:ascii="Times New Roman" w:hAnsi="Times New Roman" w:cs="Times New Roman"/>
        </w:rPr>
        <w:fldChar w:fldCharType="begin"/>
      </w:r>
      <w:r w:rsidR="008F3E73" w:rsidRPr="008F3E73">
        <w:rPr>
          <w:rFonts w:ascii="Times New Roman" w:hAnsi="Times New Roman" w:cs="Times New Roman"/>
        </w:rPr>
        <w:instrText xml:space="preserve"> REF _Ref100932061 \h </w:instrText>
      </w:r>
      <w:r w:rsidR="008F3E73">
        <w:rPr>
          <w:rFonts w:ascii="Times New Roman" w:hAnsi="Times New Roman" w:cs="Times New Roman"/>
        </w:rPr>
        <w:instrText xml:space="preserve"> \* MERGEFORMAT </w:instrText>
      </w:r>
      <w:r w:rsidR="008F3E73" w:rsidRPr="008F3E73">
        <w:rPr>
          <w:rFonts w:ascii="Times New Roman" w:hAnsi="Times New Roman" w:cs="Times New Roman"/>
        </w:rPr>
      </w:r>
      <w:r w:rsidR="008F3E73" w:rsidRPr="008F3E73">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40</w:t>
      </w:r>
      <w:r w:rsidR="008F3E73" w:rsidRPr="008F3E73">
        <w:rPr>
          <w:rFonts w:ascii="Times New Roman" w:hAnsi="Times New Roman" w:cs="Times New Roman"/>
        </w:rPr>
        <w:fldChar w:fldCharType="end"/>
      </w:r>
      <w:r w:rsidR="008F3E73">
        <w:rPr>
          <w:rFonts w:ascii="Times New Roman" w:hAnsi="Times New Roman" w:cs="Times New Roman"/>
        </w:rPr>
        <w:t xml:space="preserve"> </w:t>
      </w:r>
      <w:r w:rsidRPr="00913500">
        <w:rPr>
          <w:rFonts w:ascii="Times New Roman" w:hAnsi="Times New Roman" w:cs="Times New Roman"/>
        </w:rPr>
        <w:t>indicate the presence of a cure variation even after extended 60 s irradiation times.</w:t>
      </w:r>
    </w:p>
    <w:p w14:paraId="64C7E647" w14:textId="77777777" w:rsidR="00BB7068" w:rsidRPr="00913500" w:rsidRDefault="00BB7068" w:rsidP="009D06D1">
      <w:pPr>
        <w:pStyle w:val="Heading3"/>
      </w:pPr>
      <w:bookmarkStart w:id="172" w:name="_Toc101701775"/>
      <w:r w:rsidRPr="00913500">
        <w:t>5.5 FTIR analysis for Pulse Irradiation Testing</w:t>
      </w:r>
      <w:bookmarkEnd w:id="172"/>
    </w:p>
    <w:p w14:paraId="63DA1645" w14:textId="77777777" w:rsidR="00BB7068" w:rsidRPr="00913500" w:rsidRDefault="00BB7068" w:rsidP="00BB7068">
      <w:pPr>
        <w:keepNext/>
        <w:spacing w:line="360" w:lineRule="auto"/>
        <w:rPr>
          <w:rFonts w:ascii="Times New Roman" w:hAnsi="Times New Roman" w:cs="Times New Roman"/>
        </w:rPr>
      </w:pPr>
      <w:r w:rsidRPr="00913500">
        <w:rPr>
          <w:rFonts w:ascii="Times New Roman" w:hAnsi="Times New Roman" w:cs="Times New Roman"/>
        </w:rPr>
        <w:t>Specimens from each formulation were cured under high-intensity UV light for an interval of 1.0 s or 3.7 s, equivalent to a dose of 1.4 J/cm</w:t>
      </w:r>
      <w:r w:rsidRPr="00913500">
        <w:rPr>
          <w:rFonts w:ascii="Times New Roman" w:hAnsi="Times New Roman" w:cs="Times New Roman"/>
          <w:vertAlign w:val="superscript"/>
        </w:rPr>
        <w:t xml:space="preserve">2 </w:t>
      </w:r>
      <w:r w:rsidRPr="00913500">
        <w:rPr>
          <w:rFonts w:ascii="Times New Roman" w:hAnsi="Times New Roman" w:cs="Times New Roman"/>
        </w:rPr>
        <w:t>and 5.5 J/cm</w:t>
      </w:r>
      <w:r w:rsidRPr="00913500">
        <w:rPr>
          <w:rFonts w:ascii="Times New Roman" w:hAnsi="Times New Roman" w:cs="Times New Roman"/>
          <w:vertAlign w:val="superscript"/>
        </w:rPr>
        <w:t>2</w:t>
      </w:r>
      <w:r w:rsidRPr="00913500">
        <w:rPr>
          <w:rFonts w:ascii="Times New Roman" w:hAnsi="Times New Roman" w:cs="Times New Roman"/>
        </w:rPr>
        <w:t xml:space="preserve">, respectively.  These specimens were irradiated at a higher lamp intensity than the 60 s irradiation specimens.  The lower intensity was used for the 60 s specimens to help improve resolution in the RT-FTIR data by reducing cure rates.  </w:t>
      </w:r>
    </w:p>
    <w:p w14:paraId="424ED180" w14:textId="398B058B" w:rsidR="00BB7068" w:rsidRDefault="00BB7068" w:rsidP="00913500">
      <w:pPr>
        <w:spacing w:line="360" w:lineRule="auto"/>
        <w:rPr>
          <w:rFonts w:ascii="Times New Roman" w:hAnsi="Times New Roman" w:cs="Times New Roman"/>
        </w:rPr>
      </w:pPr>
    </w:p>
    <w:p w14:paraId="2560828F" w14:textId="0A84ADDD" w:rsidR="00BB7068" w:rsidRDefault="00BB7068" w:rsidP="00913500">
      <w:pPr>
        <w:spacing w:line="360" w:lineRule="auto"/>
        <w:rPr>
          <w:rFonts w:ascii="Times New Roman" w:hAnsi="Times New Roman" w:cs="Times New Roman"/>
        </w:rPr>
      </w:pPr>
      <w:r w:rsidRPr="00913500">
        <w:rPr>
          <w:rFonts w:ascii="Times New Roman" w:hAnsi="Times New Roman" w:cs="Times New Roman"/>
        </w:rPr>
        <w:t xml:space="preserve">At 10 min post-irradiation, FTIR was used to determine the DC at 3 mm depth, with the 1.0 s irradiation indicated as ‘Low Dose’ in </w:t>
      </w:r>
      <w:r w:rsidR="008F3E73" w:rsidRPr="008F3E73">
        <w:rPr>
          <w:rFonts w:ascii="Times New Roman" w:hAnsi="Times New Roman" w:cs="Times New Roman"/>
        </w:rPr>
        <w:fldChar w:fldCharType="begin"/>
      </w:r>
      <w:r w:rsidR="008F3E73" w:rsidRPr="008F3E73">
        <w:rPr>
          <w:rFonts w:ascii="Times New Roman" w:hAnsi="Times New Roman" w:cs="Times New Roman"/>
        </w:rPr>
        <w:instrText xml:space="preserve"> REF _Ref100932496 \h </w:instrText>
      </w:r>
      <w:r w:rsidR="008F3E73">
        <w:rPr>
          <w:rFonts w:ascii="Times New Roman" w:hAnsi="Times New Roman" w:cs="Times New Roman"/>
        </w:rPr>
        <w:instrText xml:space="preserve"> \* MERGEFORMAT </w:instrText>
      </w:r>
      <w:r w:rsidR="008F3E73" w:rsidRPr="008F3E73">
        <w:rPr>
          <w:rFonts w:ascii="Times New Roman" w:hAnsi="Times New Roman" w:cs="Times New Roman"/>
        </w:rPr>
      </w:r>
      <w:r w:rsidR="008F3E73" w:rsidRPr="008F3E73">
        <w:rPr>
          <w:rFonts w:ascii="Times New Roman" w:hAnsi="Times New Roman" w:cs="Times New Roman"/>
        </w:rPr>
        <w:fldChar w:fldCharType="separate"/>
      </w:r>
      <w:r w:rsidR="00CC0B39" w:rsidRPr="00CC0B39">
        <w:rPr>
          <w:rFonts w:ascii="Times New Roman" w:hAnsi="Times New Roman" w:cs="Times New Roman"/>
        </w:rPr>
        <w:t xml:space="preserve">Figure </w:t>
      </w:r>
      <w:r w:rsidR="00CC0B39" w:rsidRPr="00CC0B39">
        <w:rPr>
          <w:rFonts w:ascii="Times New Roman" w:hAnsi="Times New Roman" w:cs="Times New Roman"/>
          <w:noProof/>
        </w:rPr>
        <w:t>42</w:t>
      </w:r>
      <w:r w:rsidR="008F3E73" w:rsidRPr="008F3E73">
        <w:rPr>
          <w:rFonts w:ascii="Times New Roman" w:hAnsi="Times New Roman" w:cs="Times New Roman"/>
        </w:rPr>
        <w:fldChar w:fldCharType="end"/>
      </w:r>
      <w:r w:rsidRPr="00913500">
        <w:rPr>
          <w:rFonts w:ascii="Times New Roman" w:hAnsi="Times New Roman" w:cs="Times New Roman"/>
        </w:rPr>
        <w:t>. In contrast, the 3.7 s irradiation is labeled ‘High Dose.’  While all formulations achieved a high DC in the 60 s irradiation testing, the 0.5 wt% and 1.0 wt% BAPO formulations had &lt; 5% DC at the Low Dose,</w:t>
      </w:r>
    </w:p>
    <w:p w14:paraId="6C8E3FD2" w14:textId="52A31F2B" w:rsidR="00BB7068" w:rsidRPr="00913500" w:rsidRDefault="00BB7068" w:rsidP="00913500">
      <w:pPr>
        <w:spacing w:line="360" w:lineRule="auto"/>
        <w:rPr>
          <w:rFonts w:ascii="Times New Roman" w:hAnsi="Times New Roman" w:cs="Times New Roman"/>
        </w:rPr>
      </w:pPr>
      <w:r w:rsidRPr="00913500">
        <w:rPr>
          <w:rFonts w:ascii="Times New Roman" w:hAnsi="Times New Roman" w:cs="Times New Roman"/>
        </w:rPr>
        <w:t>indicating no cure on the bottom (non-irradiated) surface.  Even at the higher dose, the</w:t>
      </w:r>
    </w:p>
    <w:p w14:paraId="703237C0" w14:textId="77777777" w:rsidR="00BA093B" w:rsidRPr="00913500" w:rsidRDefault="00BA093B" w:rsidP="00BA093B">
      <w:pPr>
        <w:keepNext/>
        <w:spacing w:line="360" w:lineRule="auto"/>
        <w:rPr>
          <w:rFonts w:ascii="Times New Roman" w:hAnsi="Times New Roman" w:cs="Times New Roman"/>
        </w:rPr>
      </w:pPr>
      <w:r w:rsidRPr="00913500">
        <w:rPr>
          <w:rFonts w:ascii="Times New Roman" w:hAnsi="Times New Roman" w:cs="Times New Roman"/>
        </w:rPr>
        <w:t xml:space="preserve">1.0 wt% BAPO formulation was still uncured at 3 mm depth, while both 0.5 wt% and 0.1 wt% BAPO formulations achieved &gt; 50% DC.  Among the BDMB controls, only the 0.1 wt% BDMB formulation did not cure at the Low Dose, although the higher concentration formulas only achieved &gt;50% DC at the higher dose.  Of the formulas tested, the 0.1 wt% BAPO formulation achieved the highest DC at Low Dose.  </w:t>
      </w:r>
    </w:p>
    <w:p w14:paraId="5191AFDE" w14:textId="77777777" w:rsidR="00BA093B" w:rsidRPr="00913500" w:rsidRDefault="00BA093B" w:rsidP="00BA093B">
      <w:pPr>
        <w:spacing w:line="360" w:lineRule="auto"/>
        <w:rPr>
          <w:rFonts w:ascii="Times New Roman" w:hAnsi="Times New Roman" w:cs="Times New Roman"/>
        </w:rPr>
      </w:pPr>
    </w:p>
    <w:p w14:paraId="5D14BFDF" w14:textId="77777777" w:rsidR="00BA093B" w:rsidRPr="00913500" w:rsidRDefault="00BA093B" w:rsidP="00BA093B">
      <w:pPr>
        <w:spacing w:line="360" w:lineRule="auto"/>
        <w:rPr>
          <w:rFonts w:ascii="Times New Roman" w:hAnsi="Times New Roman" w:cs="Times New Roman"/>
          <w:i/>
          <w:iCs/>
        </w:rPr>
      </w:pPr>
      <w:r w:rsidRPr="00913500">
        <w:rPr>
          <w:rFonts w:ascii="Times New Roman" w:hAnsi="Times New Roman" w:cs="Times New Roman"/>
          <w:i/>
          <w:iCs/>
        </w:rPr>
        <w:t xml:space="preserve">Discussion: </w:t>
      </w:r>
    </w:p>
    <w:p w14:paraId="0978CD82" w14:textId="28F51DE6" w:rsidR="00BA093B" w:rsidRPr="001E18E0" w:rsidRDefault="00BA093B" w:rsidP="001E18E0">
      <w:pPr>
        <w:spacing w:line="360" w:lineRule="auto"/>
        <w:rPr>
          <w:rFonts w:ascii="Times New Roman" w:hAnsi="Times New Roman" w:cs="Times New Roman"/>
          <w:b/>
          <w:bCs/>
        </w:rPr>
      </w:pPr>
      <w:r w:rsidRPr="00913500">
        <w:rPr>
          <w:rFonts w:ascii="Times New Roman" w:hAnsi="Times New Roman" w:cs="Times New Roman"/>
        </w:rPr>
        <w:t>As mentioned in the introduction, increased lamp intensity is a common approach to reducing through-cure time, and it can even lead to increased overall DC for a given dose.  The pulse irradiation had a total dose of 5.5 J/cm</w:t>
      </w:r>
      <w:r w:rsidRPr="00913500">
        <w:rPr>
          <w:rFonts w:ascii="Times New Roman" w:hAnsi="Times New Roman" w:cs="Times New Roman"/>
          <w:vertAlign w:val="superscript"/>
        </w:rPr>
        <w:t xml:space="preserve">2 </w:t>
      </w:r>
      <w:r w:rsidRPr="00913500">
        <w:rPr>
          <w:rFonts w:ascii="Times New Roman" w:hAnsi="Times New Roman" w:cs="Times New Roman"/>
        </w:rPr>
        <w:t xml:space="preserve">maximum, only 23% of the total </w:t>
      </w:r>
      <w:r w:rsidRPr="00913500">
        <w:rPr>
          <w:rFonts w:ascii="Times New Roman" w:hAnsi="Times New Roman" w:cs="Times New Roman"/>
        </w:rPr>
        <w:lastRenderedPageBreak/>
        <w:t>24.0 J/cm</w:t>
      </w:r>
      <w:r w:rsidRPr="00913500">
        <w:rPr>
          <w:rFonts w:ascii="Times New Roman" w:hAnsi="Times New Roman" w:cs="Times New Roman"/>
          <w:vertAlign w:val="superscript"/>
        </w:rPr>
        <w:t xml:space="preserve">2 </w:t>
      </w:r>
      <w:r w:rsidRPr="00913500">
        <w:rPr>
          <w:rFonts w:ascii="Times New Roman" w:hAnsi="Times New Roman" w:cs="Times New Roman"/>
        </w:rPr>
        <w:t>dose of the 60 s irradiated specimens.  However, the lamp intensity under this short irradiation time was 1600 mW/cm</w:t>
      </w:r>
      <w:r w:rsidRPr="00913500">
        <w:rPr>
          <w:rFonts w:ascii="Times New Roman" w:hAnsi="Times New Roman" w:cs="Times New Roman"/>
          <w:vertAlign w:val="superscript"/>
        </w:rPr>
        <w:t>2</w:t>
      </w:r>
      <w:r w:rsidRPr="00913500">
        <w:rPr>
          <w:rFonts w:ascii="Times New Roman" w:hAnsi="Times New Roman" w:cs="Times New Roman"/>
        </w:rPr>
        <w:t>, 4.2 times higher than the 380 mW/cm</w:t>
      </w:r>
      <w:r w:rsidRPr="00913500">
        <w:rPr>
          <w:rFonts w:ascii="Times New Roman" w:hAnsi="Times New Roman" w:cs="Times New Roman"/>
          <w:vertAlign w:val="superscript"/>
        </w:rPr>
        <w:t>2</w:t>
      </w:r>
      <w:r w:rsidRPr="00913500">
        <w:rPr>
          <w:rFonts w:ascii="Times New Roman" w:hAnsi="Times New Roman" w:cs="Times New Roman"/>
        </w:rPr>
        <w:t xml:space="preserve"> irradiation of the 60 s irradiated specimens.  All formulas achieved a lower overall DC with pulse irradiation than a 60 s continuous irradiation at a lower lamp intensity.  When comparing the high dose to 60 s irradiation, the 0.5 wt% BDMB formula had the highest DC of any tested formula and the smallest difference between the two doses, with only a 15.6% DC drop.  When comparing Low Dose to 60 s irradiation, the 0.1 wt% BAPO formula had the smallest difference between the two doses of any formula, with a 25.4% DC drop.  It is significant that the 0.1 wt% BAPO formula achieved &gt;45% DC at 3 mm depth even at 1.0 s irradiation. It demonstrates that this formula is not as sensitive to changes in dose as the other formulations.   </w:t>
      </w:r>
    </w:p>
    <w:p w14:paraId="1AA13315" w14:textId="77777777" w:rsidR="00BA093B" w:rsidRPr="00913500" w:rsidRDefault="00BA093B" w:rsidP="009D06D1">
      <w:pPr>
        <w:pStyle w:val="Heading3"/>
      </w:pPr>
      <w:bookmarkStart w:id="173" w:name="_Toc101701776"/>
      <w:r w:rsidRPr="00913500">
        <w:t>5.6 Flexural Testing</w:t>
      </w:r>
      <w:bookmarkEnd w:id="173"/>
    </w:p>
    <w:p w14:paraId="7CBAF783" w14:textId="779D221D" w:rsidR="001E18E0" w:rsidRDefault="00BA093B" w:rsidP="001E18E0">
      <w:pPr>
        <w:spacing w:line="360" w:lineRule="auto"/>
        <w:rPr>
          <w:rFonts w:ascii="Times New Roman" w:hAnsi="Times New Roman" w:cs="Times New Roman"/>
        </w:rPr>
      </w:pPr>
      <w:r w:rsidRPr="00913500">
        <w:rPr>
          <w:rFonts w:ascii="Times New Roman" w:hAnsi="Times New Roman" w:cs="Times New Roman"/>
        </w:rPr>
        <w:t>The pulse irradiation DC results selected four formulations for further mechanical testing: 0.5 wt% BAPO, 0.1 wt% BAPO, 0.5 wt% BDMB, and 1.0 wt% BDMB.  Flexural test specimens were irradiated at the high dose of 5.5 J/cm</w:t>
      </w:r>
      <w:r w:rsidRPr="00913500">
        <w:rPr>
          <w:rFonts w:ascii="Times New Roman" w:hAnsi="Times New Roman" w:cs="Times New Roman"/>
          <w:vertAlign w:val="superscript"/>
        </w:rPr>
        <w:t>2</w:t>
      </w:r>
      <w:r w:rsidRPr="00913500">
        <w:rPr>
          <w:rFonts w:ascii="Times New Roman" w:hAnsi="Times New Roman" w:cs="Times New Roman"/>
        </w:rPr>
        <w:t>. Specimens were tested a minimum of 24 h post-irradiation, with the UV irradiated side facing up in the three-point bend fixture.</w:t>
      </w:r>
      <w:r w:rsidR="001E18E0" w:rsidRPr="001E18E0">
        <w:rPr>
          <w:rFonts w:ascii="Times New Roman" w:hAnsi="Times New Roman" w:cs="Times New Roman"/>
        </w:rPr>
        <w:t xml:space="preserve"> </w:t>
      </w:r>
      <w:r w:rsidR="001E18E0" w:rsidRPr="00913500">
        <w:rPr>
          <w:rFonts w:ascii="Times New Roman" w:hAnsi="Times New Roman" w:cs="Times New Roman"/>
        </w:rPr>
        <w:t xml:space="preserve">The test results shown in </w:t>
      </w:r>
      <w:r w:rsidR="00000805" w:rsidRPr="00000805">
        <w:rPr>
          <w:rFonts w:ascii="Times New Roman" w:hAnsi="Times New Roman" w:cs="Times New Roman"/>
          <w:highlight w:val="yellow"/>
        </w:rPr>
        <w:fldChar w:fldCharType="begin"/>
      </w:r>
      <w:r w:rsidR="00000805" w:rsidRPr="00000805">
        <w:rPr>
          <w:rFonts w:ascii="Times New Roman" w:hAnsi="Times New Roman" w:cs="Times New Roman"/>
        </w:rPr>
        <w:instrText xml:space="preserve"> REF _Ref100932635 \h </w:instrText>
      </w:r>
      <w:r w:rsidR="00000805">
        <w:rPr>
          <w:rFonts w:ascii="Times New Roman" w:hAnsi="Times New Roman" w:cs="Times New Roman"/>
          <w:highlight w:val="yellow"/>
        </w:rPr>
        <w:instrText xml:space="preserve"> \* MERGEFORMAT </w:instrText>
      </w:r>
      <w:r w:rsidR="00000805" w:rsidRPr="00000805">
        <w:rPr>
          <w:rFonts w:ascii="Times New Roman" w:hAnsi="Times New Roman" w:cs="Times New Roman"/>
          <w:highlight w:val="yellow"/>
        </w:rPr>
      </w:r>
      <w:r w:rsidR="00000805" w:rsidRPr="00000805">
        <w:rPr>
          <w:rFonts w:ascii="Times New Roman" w:hAnsi="Times New Roman" w:cs="Times New Roman"/>
          <w:highlight w:val="yellow"/>
        </w:rPr>
        <w:fldChar w:fldCharType="separate"/>
      </w:r>
      <w:r w:rsidR="00CC0B39" w:rsidRPr="00CC0B39">
        <w:rPr>
          <w:rFonts w:ascii="Times New Roman" w:hAnsi="Times New Roman" w:cs="Times New Roman"/>
        </w:rPr>
        <w:t xml:space="preserve">Table </w:t>
      </w:r>
      <w:r w:rsidR="00CC0B39" w:rsidRPr="00CC0B39">
        <w:rPr>
          <w:rFonts w:ascii="Times New Roman" w:hAnsi="Times New Roman" w:cs="Times New Roman"/>
          <w:noProof/>
        </w:rPr>
        <w:t>6</w:t>
      </w:r>
      <w:r w:rsidR="00000805" w:rsidRPr="00000805">
        <w:rPr>
          <w:rFonts w:ascii="Times New Roman" w:hAnsi="Times New Roman" w:cs="Times New Roman"/>
          <w:highlight w:val="yellow"/>
        </w:rPr>
        <w:fldChar w:fldCharType="end"/>
      </w:r>
      <w:r w:rsidR="001E18E0" w:rsidRPr="00000805">
        <w:rPr>
          <w:rFonts w:ascii="Times New Roman" w:hAnsi="Times New Roman" w:cs="Times New Roman"/>
        </w:rPr>
        <w:t xml:space="preserve"> </w:t>
      </w:r>
      <w:r w:rsidR="001E18E0" w:rsidRPr="00913500">
        <w:rPr>
          <w:rFonts w:ascii="Times New Roman" w:hAnsi="Times New Roman" w:cs="Times New Roman"/>
        </w:rPr>
        <w:t xml:space="preserve">show that the four formulations exhibited similar mechanical properties.  By Tukey HSD and multiple comparison of means, none of the groups differ in flexural strength.  However, the 0.5 wt% BAPO formula had the lowest flexural modulus, while 0.1 wt% BAPO and 0.5 wt% BDMB had the highest flexural modulus.  </w:t>
      </w:r>
    </w:p>
    <w:p w14:paraId="2BB666C2" w14:textId="77777777" w:rsidR="001E18E0" w:rsidRPr="00913500" w:rsidRDefault="001E18E0" w:rsidP="001E18E0">
      <w:pPr>
        <w:spacing w:line="360" w:lineRule="auto"/>
        <w:rPr>
          <w:rFonts w:ascii="Times New Roman" w:hAnsi="Times New Roman" w:cs="Times New Roman"/>
        </w:rPr>
      </w:pPr>
    </w:p>
    <w:p w14:paraId="0F90F839" w14:textId="77777777" w:rsidR="001E18E0" w:rsidRPr="00913500" w:rsidRDefault="001E18E0" w:rsidP="001E18E0">
      <w:pPr>
        <w:spacing w:line="360" w:lineRule="auto"/>
        <w:rPr>
          <w:rFonts w:ascii="Times New Roman" w:hAnsi="Times New Roman" w:cs="Times New Roman"/>
        </w:rPr>
      </w:pPr>
      <w:r w:rsidRPr="00913500">
        <w:rPr>
          <w:rFonts w:ascii="Times New Roman" w:hAnsi="Times New Roman" w:cs="Times New Roman"/>
          <w:i/>
          <w:iCs/>
        </w:rPr>
        <w:t>Discussion:</w:t>
      </w:r>
      <w:r w:rsidRPr="00913500">
        <w:rPr>
          <w:rFonts w:ascii="Times New Roman" w:hAnsi="Times New Roman" w:cs="Times New Roman"/>
        </w:rPr>
        <w:t xml:space="preserve"> </w:t>
      </w:r>
    </w:p>
    <w:p w14:paraId="6A8F684D" w14:textId="2A46DDCA" w:rsidR="00BA093B" w:rsidRPr="001E18E0" w:rsidRDefault="001E18E0" w:rsidP="001E18E0">
      <w:pPr>
        <w:spacing w:line="360" w:lineRule="auto"/>
        <w:rPr>
          <w:rFonts w:ascii="Times New Roman" w:hAnsi="Times New Roman" w:cs="Times New Roman"/>
        </w:rPr>
      </w:pPr>
      <w:r w:rsidRPr="00913500">
        <w:rPr>
          <w:rFonts w:ascii="Times New Roman" w:hAnsi="Times New Roman" w:cs="Times New Roman"/>
        </w:rPr>
        <w:t xml:space="preserve">The most common feedstock for LFAM printers is acrylonitrile butadiene styrene (ABS), often blended with chopped fibers to improve mechanical properties and reduce warp </w:t>
      </w:r>
      <w:r w:rsidRPr="00913500">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{"citationItems":[{"id":"ITEM-1","itemData":{"DOI":"10.1557/jmr.2014.212","ISSN":"20445326","abstract":"Additive manufacturing (AM) holds tremendous promise in terms of revolutionizing manufacturing. However, fundamental hurdles limit the widespread adoption of this technology. First, production rates are extremely low. Second, the physical size of the parts is generally small, less than a cubic foot. Third, the mechanical properties of the polymer parts are generally poor, limiting the potential for direct part replacement and functional use of the polymer components. This article describes various ways in which carbon fibers (CFs) can be used to address these fundamental hurdles. First, CF-reinforced polymers developed for AM have demonstrated specific strengths approaching aerospace-quality aluminum. Second, CF additions can radically reduce the distortion and warping of the material during deposition, which enables large-scale, out-of-the-oven, high deposition rate manufacturing. Finally, the complementary nature of CF technology and AM is discussed, showing how merging the two manufacturing processes enables the construction of complex components that would not be possible with either technology alone.","author":[{"dropping-particle":"","family":"Love","given":"Lonnie J.","non-dropping-particle":"","parse-names":false,"suffix":""},{"dropping-particle":"","family":"Kunc","given":"Vlastamil","non-dropping-particle":"","parse-names":false,"suffix":""},{"dropping-particle":"","family":"Rios","given":"Orlando","non-dropping-particle":"","parse-names":false,"suffix":""},{"dropping-particle":"","family":"Duty","given":"Chad E.","non-dropping-particle":"","parse-names":false,"suffix":""},{"dropping-particle":"","family":"Elliott","given":"Amelia M.","non-dropping-particle":"","parse-names":false,"suffix":""},{"dropping-particle":"","family":"Post","given":"Brian K.","non-dropping-particle":"","parse-names":false,"suffix":""},{"dropping-particle":"","family":"Smith","given":"Rachel J.","non-dropping-particle":"","parse-names":false,"suffix":""},{"dropping-particle":"","family":"Blue","given":"Craig A.","non-dropping-particle":"","parse-names":false,"suffix":""}],"container-title":"Journal of Materials Research","id":"ITEM-1","issue":"17","issued":{"date-parts":[["2014","6","17"]]},"page":"1893-1898","publisher":"Cambridge University Press","title":"The importance of carbon fiber to polymer additive manufacturing","type":"article-journal","volume":"29"},"uris":["http://www.mendeley.com/documents/?uuid=b2a00024-2d24-3c87-92bd-0f1c2f0da9a1"]},{"id":"ITEM-2","itemData":{"DOI":"10.1108/RPJ-12-2015-0183","ISSN":"1355-2546","author":[{"dropping-particle":"","family":"Duty","given":"Chad E.","non-dropping-particle":"","parse-names":false,"suffix":""},{"dropping-particle":"","family":"Kunc","given":"Vlastimil","non-dropping-particle":"","parse-names":false,"suffix":""},{"dropping-particle":"","family":"Compton","given":"Brett","non-dropping-particle":"","parse-names":false,"suffix":""},{"dropping-particle":"","family":"Post","given":"Brian","non-dropping-particle":"","parse-names":false,"suffix":""},{"dropping-particle":"","family":"Erdman","given":"Donald","non-dropping-particle":"","parse-names":false,"suffix":""},{"dropping-particle":"","family":"Smith","given":"Rachel","non-dropping-particle":"","parse-names":false,"suffix":""},{"dropping-particle":"","family":"Lind","given":"Randall","non-dropping-particle":"","parse-names":false,"suffix":""},{"dropping-particle":"","family":"Lloyd","given":"Peter","non-dropping-particle":"","parse-names":false,"suffix":""},{"dropping-particle":"","family":"Love","given":"Lonnie","non-dropping-particle":"","parse-names":false,"suffix":""}],"container-title":"Rapid Prototyping Journal","id":"ITEM-2","issue":"1","issued":{"date-parts":[["2017","1","16"]]},"page":"181-189","title":"Structure and mechanical behavior of Big Area Additive Manufacturing (BAAM) materials","type":"article-journal","volume":"23"},"uris":["http://www.mendeley.com/documents/?uuid=5c5efab5-f69e-33d0-830f-c95bd1c91664"]},{"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mendeley":{"formattedCitation":"[12]–[14]","plainTextFormattedCitation":"[12]–[14]","previouslyFormattedCitation":"[12]–[14]"},"properties":{"noteIndex":0},"schema":"https://github.com/citation-style-language/schema/raw/master/csl-citation.json"}</w:instrText>
      </w:r>
      <w:r w:rsidRPr="00913500">
        <w:rPr>
          <w:rFonts w:ascii="Times New Roman" w:hAnsi="Times New Roman" w:cs="Times New Roman"/>
        </w:rPr>
        <w:fldChar w:fldCharType="separate"/>
      </w:r>
      <w:r w:rsidR="004502D6" w:rsidRPr="004502D6">
        <w:rPr>
          <w:rFonts w:ascii="Times New Roman" w:hAnsi="Times New Roman" w:cs="Times New Roman"/>
          <w:noProof/>
        </w:rPr>
        <w:t>[12]–[14]</w:t>
      </w:r>
      <w:r w:rsidRPr="00913500">
        <w:rPr>
          <w:rFonts w:ascii="Times New Roman" w:hAnsi="Times New Roman" w:cs="Times New Roman"/>
        </w:rPr>
        <w:fldChar w:fldCharType="end"/>
      </w:r>
      <w:r w:rsidRPr="00913500">
        <w:rPr>
          <w:rFonts w:ascii="Times New Roman" w:hAnsi="Times New Roman" w:cs="Times New Roman"/>
        </w:rPr>
        <w:t>.  The reported flexural modulus for neat ABS used in the BAAM printer ranges from 1.87 GPa – 2.45 GPa, while flexural strength varied from 58.6 MPa – 68.3 MPa,</w:t>
      </w:r>
      <w:r>
        <w:rPr>
          <w:rFonts w:ascii="Times New Roman" w:hAnsi="Times New Roman" w:cs="Times New Roman"/>
        </w:rPr>
        <w:t xml:space="preserve"> </w:t>
      </w:r>
      <w:r w:rsidRPr="00913500">
        <w:rPr>
          <w:rFonts w:ascii="Times New Roman" w:hAnsi="Times New Roman" w:cs="Times New Roman"/>
        </w:rPr>
        <w:t xml:space="preserve">depending on the processing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{"citationItems":[{"id":"ITEM-1","itemData":{"DOI":"10.1016/J.ADDMA.2020.101733","ISSN":"2214-8604","abstract":"In this work, large-scale multimaterial preforms produced by additive manufacturing (AM) underwent compression molding (CM) to produce high-performance thermoplastic composites reinforced with short carbon fibers. AM and CM techniques were integrated to control the fiber orientation (microstructure) and to reduce void content for the improved mechanical performance of the composite. The new integrated manufacturing technique is termed “additive manufacturing-compression molding” (AM-CM). For the present study, the most common materials were used for large-scale printing, i.e., acrylonitrile butadiene styrene (ABS), carbon fiber (CF)–filled ABS (CF/ABS) and glass fiber (GF)–filled ABS (GF/ABS). Three different manufacturing processes; (a) AM (b) extrusion compression molding (ECM), and (c) AM-CM were used to prepare four different panel configurations: (1) neat ABS, (2) CF/ABS, (3) overmold (CF/ABS over neat ABS), and (4) sandwich (neat ABS between two CF/ABS layers). The mechanical properties (tensile and flexural strength and modulus, and Izod impact energy) of samples prepared via all three manufacturing processes were compared. X-ray microcomputer tomography was employed to evaluate the fiber orientation distribution and the volumetric porosity content. The preform maintained high fiber alignment (≈ 82% of fibers within the range of 0–20° in the deposition direction), and the volumetric porosity was reduced by 50% from 3.79% to 1.91% after compression. The alignment of long pores along the deposition direction was also observed. The mechanical properties are discussed with correlation to the fiber alignment and void content in the samples. CF/ABS samples prepared by AM-CM showed significant improvement of 11.15%, 35.27%, 28.6%, and 74.3% in the tensile strength, tensile modulus, flexural strength, and flexural modulus, respectively, when compared with samples prepared by ECM. Unique aspects of this study are the demonstration of large-scale multimaterial AM and the use of multimaterials as preforms to make high-performance composites.","author":[{"dropping-particle":"","family":"Kumar","given":"Vipin","non-dropping-particle":"","parse-names":false,"suffix":""},{"dropping-particle":"","family":"Alwekar","given":"Shailesh P.","non-dropping-particle":"","parse-names":false,"suffix":""},{"dropping-particle":"","family":"Kunc","given":"Vlastimil","non-dropping-particle":"","parse-names":false,"suffix":""},{"dropping-particle":"","family":"Cakmak","given":"Ercan","non-dropping-particle":"","parse-names":false,"suffix":""},{"dropping-particle":"","family":"Kishore","given":"Vidya","non-dropping-particle":"","parse-names":false,"suffix":""},{"dropping-particle":"","family":"Smith","given":"Tyler","non-dropping-particle":"","parse-names":false,"suffix":""},{"dropping-particle":"","family":"Lindahl","given":"John","non-dropping-particle":"","parse-names":false,"suffix":""},{"dropping-particle":"","family":"Vaidya","given":"Uday","non-dropping-particle":"","parse-names":false,"suffix":""},{"dropping-particle":"","family":"Blue","given":"Craig","non-dropping-particle":"","parse-names":false,"suffix":""},{"dropping-particle":"","family":"Theodore","given":"Merlin","non-dropping-particle":"","parse-names":false,"suffix":""},{"dropping-particle":"","family":"Kim","given":"Seokpum","non-dropping-particle":"","parse-names":false,"suffix":""},{"dropping-particle":"","family":"Hassen","given":"Ahmed Arabi","non-dropping-particle":"","parse-names":false,"suffix":""}],"container-title":"Additive Manufacturing","id":"ITEM-1","issued":{"date-parts":[["2021","1","1"]]},"page":"101733","publisher":"Elsevier","title":"High-performance molded composites using additively manufactured preforms with controlled fiber and pore morphology","type":"article-journal","volume":"37"},"uris":["http://www.mendeley.com/documents/?uuid=aed3b911-135d-36d4-a380-6a2f1b94debc"]}],"mendeley":{"formattedCitation":"[132]","plainTextFormattedCitation":"[132]","previouslyFormattedCitation":"[132]"},"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[132]</w:t>
      </w:r>
      <w:r w:rsidRPr="00913500">
        <w:rPr>
          <w:rFonts w:ascii="Times New Roman" w:hAnsi="Times New Roman" w:cs="Times New Roman"/>
        </w:rPr>
        <w:fldChar w:fldCharType="end"/>
      </w:r>
      <w:r w:rsidRPr="00913500">
        <w:rPr>
          <w:rFonts w:ascii="Times New Roman" w:hAnsi="Times New Roman" w:cs="Times New Roman"/>
        </w:rPr>
        <w:t xml:space="preserve">.  All tested photopolymer formulations in the present study exceeded the flexural strength of ABS by an average of 46-71% and flexural </w:t>
      </w:r>
    </w:p>
    <w:p w14:paraId="62C5BA19" w14:textId="77777777" w:rsidR="008F3E73" w:rsidRDefault="00913500" w:rsidP="008F3E73">
      <w:pPr>
        <w:keepNext/>
        <w:spacing w:line="360" w:lineRule="auto"/>
        <w:jc w:val="center"/>
      </w:pPr>
      <w:r w:rsidRPr="00913500">
        <w:rPr>
          <w:rFonts w:ascii="Times New Roman" w:hAnsi="Times New Roman" w:cs="Times New Roman"/>
          <w:b/>
          <w:bCs/>
          <w:noProof/>
        </w:rPr>
        <w:lastRenderedPageBreak/>
        <w:drawing>
          <wp:inline distT="0" distB="0" distL="0" distR="0" wp14:anchorId="5C99D27C" wp14:editId="3C3A6B1C">
            <wp:extent cx="4410075" cy="3625052"/>
            <wp:effectExtent l="0" t="0" r="0" b="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8276" t="8410" r="11719" b="5685"/>
                    <a:stretch/>
                  </pic:blipFill>
                  <pic:spPr bwMode="auto">
                    <a:xfrm>
                      <a:off x="0" y="0"/>
                      <a:ext cx="4440859" cy="3650356"/>
                    </a:xfrm>
                    <a:prstGeom prst="rect">
                      <a:avLst/>
                    </a:prstGeom>
                    <a:noFill/>
                    <a:ln>
                      <a:noFill/>
                    </a:ln>
                    <a:extLst>
                      <a:ext uri="{53640926-AAD7-44D8-BBD7-CCE9431645EC}">
                        <a14:shadowObscured xmlns:a14="http://schemas.microsoft.com/office/drawing/2010/main"/>
                      </a:ext>
                    </a:extLst>
                  </pic:spPr>
                </pic:pic>
              </a:graphicData>
            </a:graphic>
          </wp:inline>
        </w:drawing>
      </w:r>
    </w:p>
    <w:p w14:paraId="527E252B" w14:textId="26777DD8" w:rsidR="00913500" w:rsidRPr="00913500" w:rsidRDefault="008F3E73" w:rsidP="00F20503">
      <w:pPr>
        <w:pStyle w:val="Caption"/>
      </w:pPr>
      <w:bookmarkStart w:id="174" w:name="_Ref100932496"/>
      <w:bookmarkStart w:id="175" w:name="_Toc101365704"/>
      <w:r>
        <w:t xml:space="preserve">Figure </w:t>
      </w:r>
      <w:r w:rsidR="002F73EC">
        <w:fldChar w:fldCharType="begin"/>
      </w:r>
      <w:r w:rsidR="002F73EC">
        <w:instrText xml:space="preserve"> SEQ Figure \* ARABIC </w:instrText>
      </w:r>
      <w:r w:rsidR="002F73EC">
        <w:fldChar w:fldCharType="separate"/>
      </w:r>
      <w:r w:rsidR="00BF5717">
        <w:rPr>
          <w:noProof/>
        </w:rPr>
        <w:t>42</w:t>
      </w:r>
      <w:r w:rsidR="002F73EC">
        <w:rPr>
          <w:noProof/>
        </w:rPr>
        <w:fldChar w:fldCharType="end"/>
      </w:r>
      <w:bookmarkEnd w:id="174"/>
      <w:r>
        <w:t xml:space="preserve"> </w:t>
      </w:r>
      <w:r w:rsidRPr="00913500">
        <w:t>DC for all six formulas as measured at 3 mm depth, with Low Dose irradiation of 1.4 J/cm</w:t>
      </w:r>
      <w:r w:rsidRPr="00913500">
        <w:rPr>
          <w:vertAlign w:val="superscript"/>
        </w:rPr>
        <w:t xml:space="preserve">2 </w:t>
      </w:r>
      <w:r w:rsidRPr="00913500">
        <w:t>or High Dose irradiation of 5.5 J/cm</w:t>
      </w:r>
      <w:r w:rsidRPr="00913500">
        <w:rPr>
          <w:vertAlign w:val="superscript"/>
        </w:rPr>
        <w:t>2</w:t>
      </w:r>
      <w:r w:rsidRPr="00913500">
        <w:t>. Error bars indicate +/- one standard deviation.</w:t>
      </w:r>
      <w:bookmarkEnd w:id="175"/>
    </w:p>
    <w:p w14:paraId="64CBBA3A" w14:textId="46C14463" w:rsidR="00BA093B" w:rsidRDefault="00BA093B" w:rsidP="00BB7068">
      <w:pPr>
        <w:keepNext/>
        <w:spacing w:line="360" w:lineRule="auto"/>
        <w:rPr>
          <w:rFonts w:ascii="Times New Roman" w:hAnsi="Times New Roman" w:cs="Times New Roman"/>
        </w:rPr>
      </w:pPr>
    </w:p>
    <w:p w14:paraId="7F695E2E" w14:textId="77777777" w:rsidR="00D70EAD" w:rsidRDefault="00D70EAD" w:rsidP="00BB7068">
      <w:pPr>
        <w:keepNext/>
        <w:spacing w:line="360" w:lineRule="auto"/>
        <w:rPr>
          <w:rFonts w:ascii="Times New Roman" w:hAnsi="Times New Roman" w:cs="Times New Roman"/>
        </w:rPr>
      </w:pPr>
    </w:p>
    <w:p w14:paraId="1FF94322" w14:textId="382B001C" w:rsidR="00000805" w:rsidRDefault="00000805" w:rsidP="00F20503">
      <w:pPr>
        <w:pStyle w:val="Caption"/>
      </w:pPr>
      <w:bookmarkStart w:id="176" w:name="_Ref100932635"/>
      <w:bookmarkStart w:id="177" w:name="_Toc101382367"/>
      <w:r>
        <w:t xml:space="preserve">Table </w:t>
      </w:r>
      <w:r w:rsidR="002F73EC">
        <w:fldChar w:fldCharType="begin"/>
      </w:r>
      <w:r w:rsidR="002F73EC">
        <w:instrText xml:space="preserve"> SEQ Table \* ARABIC </w:instrText>
      </w:r>
      <w:r w:rsidR="002F73EC">
        <w:fldChar w:fldCharType="separate"/>
      </w:r>
      <w:r w:rsidR="00B30A2A">
        <w:rPr>
          <w:noProof/>
        </w:rPr>
        <w:t>6</w:t>
      </w:r>
      <w:r w:rsidR="002F73EC">
        <w:rPr>
          <w:noProof/>
        </w:rPr>
        <w:fldChar w:fldCharType="end"/>
      </w:r>
      <w:bookmarkEnd w:id="176"/>
      <w:r>
        <w:t xml:space="preserve"> </w:t>
      </w:r>
      <w:r w:rsidRPr="00913500">
        <w:t>Average flexural properties from three-point bend testing, [x] indicates standard deviation.</w:t>
      </w:r>
      <w:bookmarkEnd w:id="177"/>
    </w:p>
    <w:tbl>
      <w:tblPr>
        <w:tblW w:w="8100" w:type="dxa"/>
        <w:tblLook w:val="04A0" w:firstRow="1" w:lastRow="0" w:firstColumn="1" w:lastColumn="0" w:noHBand="0" w:noVBand="1"/>
      </w:tblPr>
      <w:tblGrid>
        <w:gridCol w:w="2610"/>
        <w:gridCol w:w="1397"/>
        <w:gridCol w:w="1193"/>
        <w:gridCol w:w="1410"/>
        <w:gridCol w:w="1490"/>
      </w:tblGrid>
      <w:tr w:rsidR="00913500" w:rsidRPr="00913500" w14:paraId="167F3A09" w14:textId="77777777" w:rsidTr="00E250FD">
        <w:trPr>
          <w:trHeight w:val="402"/>
        </w:trPr>
        <w:tc>
          <w:tcPr>
            <w:tcW w:w="2610" w:type="dxa"/>
            <w:tcBorders>
              <w:top w:val="nil"/>
              <w:left w:val="nil"/>
              <w:bottom w:val="nil"/>
              <w:right w:val="nil"/>
            </w:tcBorders>
            <w:shd w:val="clear" w:color="000000" w:fill="FFFFFF"/>
            <w:noWrap/>
            <w:vAlign w:val="bottom"/>
            <w:hideMark/>
          </w:tcPr>
          <w:p w14:paraId="0058C182" w14:textId="77777777" w:rsidR="00913500" w:rsidRPr="00913500" w:rsidRDefault="00913500" w:rsidP="00913500">
            <w:pPr>
              <w:spacing w:line="360" w:lineRule="auto"/>
              <w:rPr>
                <w:rFonts w:ascii="Times New Roman" w:hAnsi="Times New Roman" w:cs="Times New Roman"/>
                <w:color w:val="000000"/>
              </w:rPr>
            </w:pPr>
            <w:r w:rsidRPr="00913500">
              <w:rPr>
                <w:rFonts w:ascii="Times New Roman" w:hAnsi="Times New Roman" w:cs="Times New Roman"/>
                <w:color w:val="000000"/>
              </w:rPr>
              <w:t> </w:t>
            </w:r>
          </w:p>
        </w:tc>
        <w:tc>
          <w:tcPr>
            <w:tcW w:w="2590" w:type="dxa"/>
            <w:gridSpan w:val="2"/>
            <w:tcBorders>
              <w:top w:val="nil"/>
              <w:left w:val="nil"/>
              <w:bottom w:val="nil"/>
              <w:right w:val="nil"/>
            </w:tcBorders>
            <w:shd w:val="clear" w:color="000000" w:fill="FFFFFF"/>
            <w:noWrap/>
            <w:vAlign w:val="bottom"/>
            <w:hideMark/>
          </w:tcPr>
          <w:p w14:paraId="680454FE"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BAPO</w:t>
            </w:r>
          </w:p>
        </w:tc>
        <w:tc>
          <w:tcPr>
            <w:tcW w:w="2900" w:type="dxa"/>
            <w:gridSpan w:val="2"/>
            <w:tcBorders>
              <w:top w:val="nil"/>
              <w:left w:val="nil"/>
              <w:bottom w:val="nil"/>
              <w:right w:val="nil"/>
            </w:tcBorders>
            <w:shd w:val="clear" w:color="000000" w:fill="FFFFFF"/>
            <w:noWrap/>
            <w:vAlign w:val="bottom"/>
            <w:hideMark/>
          </w:tcPr>
          <w:p w14:paraId="093D7A08"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BDMB</w:t>
            </w:r>
          </w:p>
        </w:tc>
      </w:tr>
      <w:tr w:rsidR="00913500" w:rsidRPr="00913500" w14:paraId="32C1AD37" w14:textId="77777777" w:rsidTr="00E250FD">
        <w:trPr>
          <w:trHeight w:val="402"/>
        </w:trPr>
        <w:tc>
          <w:tcPr>
            <w:tcW w:w="2610" w:type="dxa"/>
            <w:tcBorders>
              <w:top w:val="nil"/>
              <w:left w:val="nil"/>
              <w:bottom w:val="single" w:sz="8" w:space="0" w:color="auto"/>
              <w:right w:val="nil"/>
            </w:tcBorders>
            <w:shd w:val="clear" w:color="000000" w:fill="FFFFFF"/>
            <w:noWrap/>
            <w:vAlign w:val="bottom"/>
            <w:hideMark/>
          </w:tcPr>
          <w:p w14:paraId="29E2166E" w14:textId="77777777" w:rsidR="00913500" w:rsidRPr="00913500" w:rsidRDefault="00913500" w:rsidP="00913500">
            <w:pPr>
              <w:spacing w:line="360" w:lineRule="auto"/>
              <w:rPr>
                <w:rFonts w:ascii="Times New Roman" w:hAnsi="Times New Roman" w:cs="Times New Roman"/>
                <w:color w:val="000000"/>
              </w:rPr>
            </w:pPr>
            <w:r w:rsidRPr="00913500">
              <w:rPr>
                <w:rFonts w:ascii="Times New Roman" w:hAnsi="Times New Roman" w:cs="Times New Roman"/>
                <w:color w:val="000000"/>
              </w:rPr>
              <w:t> </w:t>
            </w:r>
          </w:p>
        </w:tc>
        <w:tc>
          <w:tcPr>
            <w:tcW w:w="1397" w:type="dxa"/>
            <w:tcBorders>
              <w:top w:val="nil"/>
              <w:left w:val="nil"/>
              <w:bottom w:val="single" w:sz="8" w:space="0" w:color="auto"/>
              <w:right w:val="nil"/>
            </w:tcBorders>
            <w:shd w:val="clear" w:color="000000" w:fill="FFFFFF"/>
            <w:noWrap/>
            <w:vAlign w:val="bottom"/>
            <w:hideMark/>
          </w:tcPr>
          <w:p w14:paraId="61834569"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0.1 wt%</w:t>
            </w:r>
          </w:p>
        </w:tc>
        <w:tc>
          <w:tcPr>
            <w:tcW w:w="1193" w:type="dxa"/>
            <w:tcBorders>
              <w:top w:val="nil"/>
              <w:left w:val="nil"/>
              <w:bottom w:val="single" w:sz="8" w:space="0" w:color="auto"/>
              <w:right w:val="nil"/>
            </w:tcBorders>
            <w:shd w:val="clear" w:color="000000" w:fill="FFFFFF"/>
            <w:noWrap/>
            <w:vAlign w:val="bottom"/>
            <w:hideMark/>
          </w:tcPr>
          <w:p w14:paraId="040AC9FB"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0.5 wt%</w:t>
            </w:r>
          </w:p>
        </w:tc>
        <w:tc>
          <w:tcPr>
            <w:tcW w:w="1410" w:type="dxa"/>
            <w:tcBorders>
              <w:top w:val="nil"/>
              <w:left w:val="nil"/>
              <w:bottom w:val="single" w:sz="8" w:space="0" w:color="auto"/>
              <w:right w:val="nil"/>
            </w:tcBorders>
            <w:shd w:val="clear" w:color="000000" w:fill="FFFFFF"/>
            <w:noWrap/>
            <w:vAlign w:val="bottom"/>
            <w:hideMark/>
          </w:tcPr>
          <w:p w14:paraId="2CF346D3"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0.5 wt%</w:t>
            </w:r>
          </w:p>
        </w:tc>
        <w:tc>
          <w:tcPr>
            <w:tcW w:w="1490" w:type="dxa"/>
            <w:tcBorders>
              <w:top w:val="nil"/>
              <w:left w:val="nil"/>
              <w:bottom w:val="single" w:sz="8" w:space="0" w:color="auto"/>
              <w:right w:val="nil"/>
            </w:tcBorders>
            <w:shd w:val="clear" w:color="000000" w:fill="FFFFFF"/>
            <w:noWrap/>
            <w:vAlign w:val="bottom"/>
            <w:hideMark/>
          </w:tcPr>
          <w:p w14:paraId="0BF0DFAD"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1.0 wt%</w:t>
            </w:r>
          </w:p>
        </w:tc>
      </w:tr>
      <w:tr w:rsidR="00913500" w:rsidRPr="00913500" w14:paraId="6A417FBD" w14:textId="77777777" w:rsidTr="00E250FD">
        <w:trPr>
          <w:trHeight w:val="402"/>
        </w:trPr>
        <w:tc>
          <w:tcPr>
            <w:tcW w:w="2610" w:type="dxa"/>
            <w:tcBorders>
              <w:top w:val="nil"/>
              <w:left w:val="nil"/>
              <w:bottom w:val="nil"/>
              <w:right w:val="nil"/>
            </w:tcBorders>
            <w:shd w:val="clear" w:color="000000" w:fill="FFFFFF"/>
            <w:noWrap/>
            <w:vAlign w:val="bottom"/>
            <w:hideMark/>
          </w:tcPr>
          <w:p w14:paraId="4B1EE7C1" w14:textId="77777777" w:rsidR="00913500" w:rsidRPr="00913500" w:rsidRDefault="00913500" w:rsidP="00913500">
            <w:pPr>
              <w:spacing w:line="360" w:lineRule="auto"/>
              <w:rPr>
                <w:rFonts w:ascii="Times New Roman" w:hAnsi="Times New Roman" w:cs="Times New Roman"/>
                <w:color w:val="000000"/>
              </w:rPr>
            </w:pPr>
            <w:r w:rsidRPr="00913500">
              <w:rPr>
                <w:rFonts w:ascii="Times New Roman" w:hAnsi="Times New Roman" w:cs="Times New Roman"/>
                <w:color w:val="000000"/>
              </w:rPr>
              <w:t>Flexural Strength (MPa)</w:t>
            </w:r>
          </w:p>
        </w:tc>
        <w:tc>
          <w:tcPr>
            <w:tcW w:w="1397" w:type="dxa"/>
            <w:tcBorders>
              <w:top w:val="nil"/>
              <w:left w:val="nil"/>
              <w:bottom w:val="nil"/>
              <w:right w:val="nil"/>
            </w:tcBorders>
            <w:shd w:val="clear" w:color="000000" w:fill="FFFFFF"/>
            <w:noWrap/>
            <w:vAlign w:val="bottom"/>
            <w:hideMark/>
          </w:tcPr>
          <w:p w14:paraId="7BADA99B"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108.4 [11.8]</w:t>
            </w:r>
          </w:p>
        </w:tc>
        <w:tc>
          <w:tcPr>
            <w:tcW w:w="1193" w:type="dxa"/>
            <w:tcBorders>
              <w:top w:val="nil"/>
              <w:left w:val="nil"/>
              <w:bottom w:val="nil"/>
              <w:right w:val="nil"/>
            </w:tcBorders>
            <w:shd w:val="clear" w:color="000000" w:fill="FFFFFF"/>
            <w:noWrap/>
            <w:vAlign w:val="bottom"/>
            <w:hideMark/>
          </w:tcPr>
          <w:p w14:paraId="50509EFC"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92.5 [9.1]</w:t>
            </w:r>
          </w:p>
        </w:tc>
        <w:tc>
          <w:tcPr>
            <w:tcW w:w="1410" w:type="dxa"/>
            <w:tcBorders>
              <w:top w:val="nil"/>
              <w:left w:val="nil"/>
              <w:bottom w:val="nil"/>
              <w:right w:val="nil"/>
            </w:tcBorders>
            <w:shd w:val="clear" w:color="000000" w:fill="FFFFFF"/>
            <w:noWrap/>
            <w:vAlign w:val="bottom"/>
            <w:hideMark/>
          </w:tcPr>
          <w:p w14:paraId="3FF0172B"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103.6 [11.6]</w:t>
            </w:r>
          </w:p>
        </w:tc>
        <w:tc>
          <w:tcPr>
            <w:tcW w:w="1490" w:type="dxa"/>
            <w:tcBorders>
              <w:top w:val="nil"/>
              <w:left w:val="nil"/>
              <w:bottom w:val="nil"/>
              <w:right w:val="nil"/>
            </w:tcBorders>
            <w:shd w:val="clear" w:color="000000" w:fill="FFFFFF"/>
            <w:noWrap/>
            <w:vAlign w:val="bottom"/>
            <w:hideMark/>
          </w:tcPr>
          <w:p w14:paraId="78B59C7E"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95.4 [14.9]</w:t>
            </w:r>
          </w:p>
        </w:tc>
      </w:tr>
      <w:tr w:rsidR="00913500" w:rsidRPr="00913500" w14:paraId="3976AB38" w14:textId="77777777" w:rsidTr="00E250FD">
        <w:trPr>
          <w:trHeight w:val="402"/>
        </w:trPr>
        <w:tc>
          <w:tcPr>
            <w:tcW w:w="2610" w:type="dxa"/>
            <w:tcBorders>
              <w:top w:val="nil"/>
              <w:left w:val="nil"/>
              <w:bottom w:val="nil"/>
              <w:right w:val="nil"/>
            </w:tcBorders>
            <w:shd w:val="clear" w:color="000000" w:fill="FFFFFF"/>
            <w:noWrap/>
            <w:vAlign w:val="bottom"/>
            <w:hideMark/>
          </w:tcPr>
          <w:p w14:paraId="6DCE5A23" w14:textId="77777777" w:rsidR="00913500" w:rsidRPr="00913500" w:rsidRDefault="00913500" w:rsidP="00913500">
            <w:pPr>
              <w:spacing w:line="360" w:lineRule="auto"/>
              <w:rPr>
                <w:rFonts w:ascii="Times New Roman" w:hAnsi="Times New Roman" w:cs="Times New Roman"/>
                <w:color w:val="000000"/>
              </w:rPr>
            </w:pPr>
            <w:r w:rsidRPr="00913500">
              <w:rPr>
                <w:rFonts w:ascii="Times New Roman" w:hAnsi="Times New Roman" w:cs="Times New Roman"/>
                <w:color w:val="000000"/>
              </w:rPr>
              <w:t>Flexural Modulus (GPa)</w:t>
            </w:r>
          </w:p>
        </w:tc>
        <w:tc>
          <w:tcPr>
            <w:tcW w:w="1397" w:type="dxa"/>
            <w:tcBorders>
              <w:top w:val="nil"/>
              <w:left w:val="nil"/>
              <w:bottom w:val="nil"/>
              <w:right w:val="nil"/>
            </w:tcBorders>
            <w:shd w:val="clear" w:color="000000" w:fill="FFFFFF"/>
            <w:noWrap/>
            <w:vAlign w:val="bottom"/>
            <w:hideMark/>
          </w:tcPr>
          <w:p w14:paraId="2064E0CF"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3.1 [0.1]</w:t>
            </w:r>
          </w:p>
        </w:tc>
        <w:tc>
          <w:tcPr>
            <w:tcW w:w="1193" w:type="dxa"/>
            <w:tcBorders>
              <w:top w:val="nil"/>
              <w:left w:val="nil"/>
              <w:bottom w:val="nil"/>
              <w:right w:val="nil"/>
            </w:tcBorders>
            <w:shd w:val="clear" w:color="000000" w:fill="FFFFFF"/>
            <w:noWrap/>
            <w:vAlign w:val="bottom"/>
            <w:hideMark/>
          </w:tcPr>
          <w:p w14:paraId="591134D9"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2.7 [0.1]</w:t>
            </w:r>
          </w:p>
        </w:tc>
        <w:tc>
          <w:tcPr>
            <w:tcW w:w="1410" w:type="dxa"/>
            <w:tcBorders>
              <w:top w:val="nil"/>
              <w:left w:val="nil"/>
              <w:bottom w:val="nil"/>
              <w:right w:val="nil"/>
            </w:tcBorders>
            <w:shd w:val="clear" w:color="000000" w:fill="FFFFFF"/>
            <w:noWrap/>
            <w:vAlign w:val="bottom"/>
            <w:hideMark/>
          </w:tcPr>
          <w:p w14:paraId="042545E6"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3.1 [0.1]</w:t>
            </w:r>
          </w:p>
        </w:tc>
        <w:tc>
          <w:tcPr>
            <w:tcW w:w="1490" w:type="dxa"/>
            <w:tcBorders>
              <w:top w:val="nil"/>
              <w:left w:val="nil"/>
              <w:bottom w:val="nil"/>
              <w:right w:val="nil"/>
            </w:tcBorders>
            <w:shd w:val="clear" w:color="000000" w:fill="FFFFFF"/>
            <w:noWrap/>
            <w:vAlign w:val="bottom"/>
            <w:hideMark/>
          </w:tcPr>
          <w:p w14:paraId="24F72C99"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2.9 [0.1]</w:t>
            </w:r>
          </w:p>
        </w:tc>
      </w:tr>
      <w:tr w:rsidR="00913500" w:rsidRPr="00913500" w14:paraId="13216BE8" w14:textId="77777777" w:rsidTr="00E250FD">
        <w:trPr>
          <w:trHeight w:val="402"/>
        </w:trPr>
        <w:tc>
          <w:tcPr>
            <w:tcW w:w="2610" w:type="dxa"/>
            <w:tcBorders>
              <w:top w:val="nil"/>
              <w:left w:val="nil"/>
              <w:bottom w:val="nil"/>
              <w:right w:val="nil"/>
            </w:tcBorders>
            <w:shd w:val="clear" w:color="000000" w:fill="FFFFFF"/>
            <w:noWrap/>
            <w:vAlign w:val="bottom"/>
            <w:hideMark/>
          </w:tcPr>
          <w:p w14:paraId="189361AE" w14:textId="77777777" w:rsidR="00913500" w:rsidRPr="00913500" w:rsidRDefault="00913500" w:rsidP="00913500">
            <w:pPr>
              <w:spacing w:line="360" w:lineRule="auto"/>
              <w:rPr>
                <w:rFonts w:ascii="Times New Roman" w:hAnsi="Times New Roman" w:cs="Times New Roman"/>
                <w:color w:val="000000"/>
              </w:rPr>
            </w:pPr>
            <w:r w:rsidRPr="00913500">
              <w:rPr>
                <w:rFonts w:ascii="Times New Roman" w:hAnsi="Times New Roman" w:cs="Times New Roman"/>
                <w:color w:val="000000"/>
              </w:rPr>
              <w:t>Failure Strain (%)</w:t>
            </w:r>
          </w:p>
        </w:tc>
        <w:tc>
          <w:tcPr>
            <w:tcW w:w="1397" w:type="dxa"/>
            <w:tcBorders>
              <w:top w:val="nil"/>
              <w:left w:val="nil"/>
              <w:bottom w:val="nil"/>
              <w:right w:val="nil"/>
            </w:tcBorders>
            <w:shd w:val="clear" w:color="000000" w:fill="FFFFFF"/>
            <w:noWrap/>
            <w:vAlign w:val="bottom"/>
            <w:hideMark/>
          </w:tcPr>
          <w:p w14:paraId="69171DFC"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4.2 [1.1]</w:t>
            </w:r>
          </w:p>
        </w:tc>
        <w:tc>
          <w:tcPr>
            <w:tcW w:w="1193" w:type="dxa"/>
            <w:tcBorders>
              <w:top w:val="nil"/>
              <w:left w:val="nil"/>
              <w:bottom w:val="nil"/>
              <w:right w:val="nil"/>
            </w:tcBorders>
            <w:shd w:val="clear" w:color="000000" w:fill="FFFFFF"/>
            <w:noWrap/>
            <w:vAlign w:val="bottom"/>
            <w:hideMark/>
          </w:tcPr>
          <w:p w14:paraId="36E63B38"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4.0 [0.7]</w:t>
            </w:r>
          </w:p>
        </w:tc>
        <w:tc>
          <w:tcPr>
            <w:tcW w:w="1410" w:type="dxa"/>
            <w:tcBorders>
              <w:top w:val="nil"/>
              <w:left w:val="nil"/>
              <w:bottom w:val="nil"/>
              <w:right w:val="nil"/>
            </w:tcBorders>
            <w:shd w:val="clear" w:color="000000" w:fill="FFFFFF"/>
            <w:noWrap/>
            <w:vAlign w:val="bottom"/>
            <w:hideMark/>
          </w:tcPr>
          <w:p w14:paraId="397A91AF"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3.7 [0.7]</w:t>
            </w:r>
          </w:p>
        </w:tc>
        <w:tc>
          <w:tcPr>
            <w:tcW w:w="1490" w:type="dxa"/>
            <w:tcBorders>
              <w:top w:val="nil"/>
              <w:left w:val="nil"/>
              <w:bottom w:val="nil"/>
              <w:right w:val="nil"/>
            </w:tcBorders>
            <w:shd w:val="clear" w:color="000000" w:fill="FFFFFF"/>
            <w:noWrap/>
            <w:vAlign w:val="bottom"/>
            <w:hideMark/>
          </w:tcPr>
          <w:p w14:paraId="2E33C536" w14:textId="77777777" w:rsidR="00913500" w:rsidRPr="00913500" w:rsidRDefault="00913500" w:rsidP="00913500">
            <w:pPr>
              <w:spacing w:line="360" w:lineRule="auto"/>
              <w:jc w:val="center"/>
              <w:rPr>
                <w:rFonts w:ascii="Times New Roman" w:hAnsi="Times New Roman" w:cs="Times New Roman"/>
                <w:color w:val="000000"/>
              </w:rPr>
            </w:pPr>
            <w:r w:rsidRPr="00913500">
              <w:rPr>
                <w:rFonts w:ascii="Times New Roman" w:hAnsi="Times New Roman" w:cs="Times New Roman"/>
                <w:color w:val="000000"/>
              </w:rPr>
              <w:t>3.7 [0.9]</w:t>
            </w:r>
          </w:p>
        </w:tc>
      </w:tr>
    </w:tbl>
    <w:p w14:paraId="0AB3AAAD" w14:textId="77777777" w:rsidR="00000805" w:rsidRDefault="00000805" w:rsidP="00913500">
      <w:pPr>
        <w:spacing w:line="360" w:lineRule="auto"/>
        <w:rPr>
          <w:rFonts w:ascii="Times New Roman" w:hAnsi="Times New Roman" w:cs="Times New Roman"/>
        </w:rPr>
      </w:pPr>
    </w:p>
    <w:p w14:paraId="17C6E10E" w14:textId="77777777" w:rsidR="00000805" w:rsidRDefault="00000805" w:rsidP="00913500">
      <w:pPr>
        <w:spacing w:line="360" w:lineRule="auto"/>
        <w:rPr>
          <w:rFonts w:ascii="Times New Roman" w:hAnsi="Times New Roman" w:cs="Times New Roman"/>
        </w:rPr>
      </w:pPr>
    </w:p>
    <w:p w14:paraId="0460D933" w14:textId="77777777" w:rsidR="00000805" w:rsidRDefault="00000805" w:rsidP="00913500">
      <w:pPr>
        <w:spacing w:line="360" w:lineRule="auto"/>
        <w:rPr>
          <w:rFonts w:ascii="Times New Roman" w:hAnsi="Times New Roman" w:cs="Times New Roman"/>
        </w:rPr>
      </w:pPr>
    </w:p>
    <w:p w14:paraId="142E7860" w14:textId="28A828C8" w:rsidR="00BA093B" w:rsidRPr="00913500" w:rsidRDefault="00000805" w:rsidP="00913500">
      <w:pPr>
        <w:spacing w:line="360" w:lineRule="auto"/>
        <w:rPr>
          <w:rFonts w:ascii="Times New Roman" w:hAnsi="Times New Roman" w:cs="Times New Roman"/>
        </w:rPr>
      </w:pPr>
      <w:r w:rsidRPr="00913500">
        <w:rPr>
          <w:rFonts w:ascii="Times New Roman" w:hAnsi="Times New Roman" w:cs="Times New Roman"/>
        </w:rPr>
        <w:lastRenderedPageBreak/>
        <w:t xml:space="preserve">modulus of ABS by an average of 25-44%.  It is important to note that the photopolymer formulations achieved these mechanical properties despite the presence of a cure gradient.  </w:t>
      </w:r>
      <w:r w:rsidR="00D3189E">
        <w:rPr>
          <w:rFonts w:ascii="Times New Roman" w:hAnsi="Times New Roman" w:cs="Times New Roman"/>
        </w:rPr>
        <w:t>T</w:t>
      </w:r>
      <w:r w:rsidRPr="00913500">
        <w:rPr>
          <w:rFonts w:ascii="Times New Roman" w:hAnsi="Times New Roman" w:cs="Times New Roman"/>
        </w:rPr>
        <w:t>he DC at the</w:t>
      </w:r>
      <w:r w:rsidRPr="001E18E0">
        <w:rPr>
          <w:rFonts w:ascii="Times New Roman" w:hAnsi="Times New Roman" w:cs="Times New Roman"/>
        </w:rPr>
        <w:t xml:space="preserve"> </w:t>
      </w:r>
      <w:r w:rsidRPr="00913500">
        <w:rPr>
          <w:rFonts w:ascii="Times New Roman" w:hAnsi="Times New Roman" w:cs="Times New Roman"/>
        </w:rPr>
        <w:t>non-irradiated surface was between 53% and 60% when measured 10 minutes post-</w:t>
      </w:r>
      <w:r w:rsidR="00913500" w:rsidRPr="00913500">
        <w:rPr>
          <w:rFonts w:ascii="Times New Roman" w:hAnsi="Times New Roman" w:cs="Times New Roman"/>
        </w:rPr>
        <w:t xml:space="preserve">irradiation (see </w:t>
      </w:r>
      <w:r w:rsidRPr="00000805">
        <w:rPr>
          <w:rFonts w:ascii="Times New Roman" w:hAnsi="Times New Roman" w:cs="Times New Roman"/>
        </w:rPr>
        <w:fldChar w:fldCharType="begin"/>
      </w:r>
      <w:r w:rsidRPr="00000805">
        <w:rPr>
          <w:rFonts w:ascii="Times New Roman" w:hAnsi="Times New Roman" w:cs="Times New Roman"/>
        </w:rPr>
        <w:instrText xml:space="preserve"> REF _Ref100932496 \h </w:instrText>
      </w:r>
      <w:r>
        <w:rPr>
          <w:rFonts w:ascii="Times New Roman" w:hAnsi="Times New Roman" w:cs="Times New Roman"/>
        </w:rPr>
        <w:instrText xml:space="preserve"> \* MERGEFORMAT </w:instrText>
      </w:r>
      <w:r w:rsidRPr="00000805">
        <w:rPr>
          <w:rFonts w:ascii="Times New Roman" w:hAnsi="Times New Roman" w:cs="Times New Roman"/>
        </w:rPr>
      </w:r>
      <w:r w:rsidRPr="00000805">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42</w:t>
      </w:r>
      <w:r w:rsidRPr="00000805">
        <w:rPr>
          <w:rFonts w:ascii="Times New Roman" w:hAnsi="Times New Roman" w:cs="Times New Roman"/>
        </w:rPr>
        <w:fldChar w:fldCharType="end"/>
      </w:r>
      <w:r w:rsidR="00913500" w:rsidRPr="00913500">
        <w:rPr>
          <w:rFonts w:ascii="Times New Roman" w:hAnsi="Times New Roman" w:cs="Times New Roman"/>
        </w:rPr>
        <w:t>)</w:t>
      </w:r>
      <w:r w:rsidR="00D3189E">
        <w:rPr>
          <w:rFonts w:ascii="Times New Roman" w:hAnsi="Times New Roman" w:cs="Times New Roman"/>
        </w:rPr>
        <w:t>, which was below the</w:t>
      </w:r>
      <w:r w:rsidR="000827EF">
        <w:rPr>
          <w:rFonts w:ascii="Times New Roman" w:hAnsi="Times New Roman" w:cs="Times New Roman"/>
        </w:rPr>
        <w:t xml:space="preserve"> 66% to 75% DC measured under longer irradiation time (see </w:t>
      </w:r>
      <w:r w:rsidR="000827EF" w:rsidRPr="000827EF">
        <w:rPr>
          <w:rFonts w:ascii="Times New Roman" w:hAnsi="Times New Roman" w:cs="Times New Roman"/>
        </w:rPr>
        <w:fldChar w:fldCharType="begin"/>
      </w:r>
      <w:r w:rsidR="000827EF" w:rsidRPr="000827EF">
        <w:rPr>
          <w:rFonts w:ascii="Times New Roman" w:hAnsi="Times New Roman" w:cs="Times New Roman"/>
        </w:rPr>
        <w:instrText xml:space="preserve"> REF _Ref100932061 \h </w:instrText>
      </w:r>
      <w:r w:rsidR="000827EF">
        <w:rPr>
          <w:rFonts w:ascii="Times New Roman" w:hAnsi="Times New Roman" w:cs="Times New Roman"/>
        </w:rPr>
        <w:instrText xml:space="preserve"> \* MERGEFORMAT </w:instrText>
      </w:r>
      <w:r w:rsidR="000827EF" w:rsidRPr="000827EF">
        <w:rPr>
          <w:rFonts w:ascii="Times New Roman" w:hAnsi="Times New Roman" w:cs="Times New Roman"/>
        </w:rPr>
      </w:r>
      <w:r w:rsidR="000827EF" w:rsidRPr="000827EF">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40</w:t>
      </w:r>
      <w:r w:rsidR="000827EF" w:rsidRPr="000827EF">
        <w:rPr>
          <w:rFonts w:ascii="Times New Roman" w:hAnsi="Times New Roman" w:cs="Times New Roman"/>
        </w:rPr>
        <w:fldChar w:fldCharType="end"/>
      </w:r>
      <w:r w:rsidR="000827EF">
        <w:rPr>
          <w:rFonts w:ascii="Times New Roman" w:hAnsi="Times New Roman" w:cs="Times New Roman"/>
        </w:rPr>
        <w:t>)</w:t>
      </w:r>
      <w:r w:rsidR="00913500" w:rsidRPr="00913500">
        <w:rPr>
          <w:rFonts w:ascii="Times New Roman" w:hAnsi="Times New Roman" w:cs="Times New Roman"/>
        </w:rPr>
        <w:t xml:space="preserve">.  </w:t>
      </w:r>
      <w:r w:rsidR="00913500" w:rsidRPr="00D3189E">
        <w:rPr>
          <w:rFonts w:ascii="Times New Roman" w:hAnsi="Times New Roman" w:cs="Times New Roman"/>
        </w:rPr>
        <w:t>Therefore, these findings indicate that Bis-EMA: PETIA photopolymers do not have to achieve the maximum possible DC to achieve mechanical properties higher than ABS.</w:t>
      </w:r>
      <w:r w:rsidR="00913500" w:rsidRPr="00913500">
        <w:rPr>
          <w:rFonts w:ascii="Times New Roman" w:hAnsi="Times New Roman" w:cs="Times New Roman"/>
        </w:rPr>
        <w:t xml:space="preserve">       </w:t>
      </w:r>
    </w:p>
    <w:p w14:paraId="6F78FC7B" w14:textId="77777777" w:rsidR="00913500" w:rsidRPr="00913500" w:rsidRDefault="00913500" w:rsidP="00DB3040">
      <w:pPr>
        <w:pStyle w:val="Heading2"/>
      </w:pPr>
      <w:bookmarkStart w:id="178" w:name="_Toc101701777"/>
      <w:r w:rsidRPr="00913500">
        <w:t>6.0 Overall Discussion</w:t>
      </w:r>
      <w:bookmarkEnd w:id="178"/>
    </w:p>
    <w:p w14:paraId="0F7AE742" w14:textId="77777777" w:rsidR="00913500" w:rsidRPr="00913500" w:rsidRDefault="00913500" w:rsidP="00913500">
      <w:pPr>
        <w:spacing w:line="360" w:lineRule="auto"/>
        <w:rPr>
          <w:rFonts w:ascii="Times New Roman" w:hAnsi="Times New Roman" w:cs="Times New Roman"/>
          <w:i/>
          <w:iCs/>
        </w:rPr>
      </w:pPr>
      <w:r w:rsidRPr="00913500">
        <w:rPr>
          <w:rFonts w:ascii="Times New Roman" w:hAnsi="Times New Roman" w:cs="Times New Roman"/>
          <w:i/>
          <w:iCs/>
        </w:rPr>
        <w:t>Effect of PI Concentration</w:t>
      </w:r>
    </w:p>
    <w:p w14:paraId="79068A18" w14:textId="0EED030A"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Of the formulations tested, the 0.1 wt% BAPO concentration proved the optimal concentration of BAPO for 3 mm layer thickness.  Radiometry testing demonstrated a high level of light transmission, which correlated with the rapid onset of curing at depth as measured by RT-FTIR.  The 0.5 wt% BDMB control formula achieved the highest average DC in the high dose pulse and continuous irradiation. Still, flexural testing showed that the 0.1 wt% BAPO formula achieved comparable mechanical properties even with a slightly lower DC of 55.5% vs. 60.4% for 0.5 wt% BDMB as measured at 3 mm depth.  </w:t>
      </w:r>
    </w:p>
    <w:p w14:paraId="359A5B6B" w14:textId="77777777" w:rsidR="00C429EC" w:rsidRPr="00913500" w:rsidRDefault="00C429EC" w:rsidP="00913500">
      <w:pPr>
        <w:spacing w:line="360" w:lineRule="auto"/>
        <w:rPr>
          <w:rFonts w:ascii="Times New Roman" w:hAnsi="Times New Roman" w:cs="Times New Roman"/>
        </w:rPr>
      </w:pPr>
    </w:p>
    <w:p w14:paraId="0AECA0A0" w14:textId="77777777" w:rsidR="00913500" w:rsidRPr="00913500" w:rsidRDefault="00913500" w:rsidP="00913500">
      <w:pPr>
        <w:spacing w:line="360" w:lineRule="auto"/>
        <w:rPr>
          <w:rFonts w:ascii="Times New Roman" w:hAnsi="Times New Roman" w:cs="Times New Roman"/>
          <w:i/>
          <w:iCs/>
        </w:rPr>
      </w:pPr>
      <w:r w:rsidRPr="00913500">
        <w:rPr>
          <w:rFonts w:ascii="Times New Roman" w:hAnsi="Times New Roman" w:cs="Times New Roman"/>
          <w:i/>
          <w:iCs/>
        </w:rPr>
        <w:t>Optical model</w:t>
      </w:r>
    </w:p>
    <w:p w14:paraId="487DBF36" w14:textId="08F02F1A" w:rsidR="00D06F7A" w:rsidRDefault="00913500" w:rsidP="00913500">
      <w:pPr>
        <w:spacing w:line="360" w:lineRule="auto"/>
        <w:rPr>
          <w:rFonts w:ascii="Times New Roman" w:eastAsiaTheme="minorEastAsia" w:hAnsi="Times New Roman" w:cs="Times New Roman"/>
        </w:rPr>
      </w:pPr>
      <w:r w:rsidRPr="00913500">
        <w:rPr>
          <w:rFonts w:ascii="Times New Roman" w:hAnsi="Times New Roman" w:cs="Times New Roman"/>
        </w:rPr>
        <w:t xml:space="preserve">In the present study, the Kenning optical model proved helpful in predicting the delayed onset of photoinitiation with a photobleaching initiator.  However, there was an inverse correlation between the predicted photoinitiation </w:t>
      </w:r>
      <w:proofErr w:type="gramStart"/>
      <w:r w:rsidRPr="00913500">
        <w:rPr>
          <w:rFonts w:ascii="Times New Roman" w:hAnsi="Times New Roman" w:cs="Times New Roman"/>
        </w:rPr>
        <w:t>rate</w:t>
      </w:r>
      <w:proofErr w:type="gramEnd"/>
      <w:r w:rsidRPr="00913500">
        <w:rPr>
          <w:rFonts w:ascii="Times New Roman" w:hAnsi="Times New Roman" w:cs="Times New Roman"/>
        </w:rPr>
        <w:t xml:space="preserve"> and the conversion rates measured via RT-FTIR.  The trend in the Kenning model is supported experimentally by </w:t>
      </w:r>
      <w:proofErr w:type="spellStart"/>
      <w:r w:rsidRPr="00913500">
        <w:rPr>
          <w:rFonts w:ascii="Times New Roman" w:hAnsi="Times New Roman" w:cs="Times New Roman"/>
        </w:rPr>
        <w:t>Christmann</w:t>
      </w:r>
      <w:proofErr w:type="spellEnd"/>
      <w:r w:rsidRPr="00913500">
        <w:rPr>
          <w:rFonts w:ascii="Times New Roman" w:hAnsi="Times New Roman" w:cs="Times New Roman"/>
        </w:rPr>
        <w:t xml:space="preserve"> et al., albeit for thin-film specimens of 25 </w:t>
      </w:r>
      <m:oMath>
        <m:r>
          <m:rPr>
            <m:sty m:val="p"/>
          </m:rPr>
          <w:rPr>
            <w:rFonts w:ascii="Cambria Math" w:hAnsi="Cambria Math" w:cs="Times New Roman"/>
          </w:rPr>
          <m:t>μm</m:t>
        </m:r>
      </m:oMath>
      <w:r w:rsidRPr="00913500">
        <w:rPr>
          <w:rFonts w:ascii="Times New Roman" w:hAnsi="Times New Roman" w:cs="Times New Roman"/>
        </w:rPr>
        <w:t xml:space="preserve"> thickness and low light intensity of 10 mW/cm</w:t>
      </w:r>
      <w:r w:rsidRPr="00913500">
        <w:rPr>
          <w:rFonts w:ascii="Times New Roman" w:hAnsi="Times New Roman" w:cs="Times New Roman"/>
          <w:vertAlign w:val="superscript"/>
        </w:rPr>
        <w:t xml:space="preserve">2 </w:t>
      </w:r>
      <w:r w:rsidRPr="00913500">
        <w:rPr>
          <w:rFonts w:ascii="Times New Roman" w:hAnsi="Times New Roman" w:cs="Times New Roman"/>
          <w:vertAlign w:val="superscript"/>
        </w:rPr>
        <w:fldChar w:fldCharType="begin" w:fldLock="1"/>
      </w:r>
      <w:r w:rsidR="00BF7344">
        <w:rPr>
          <w:rFonts w:ascii="Times New Roman" w:hAnsi="Times New Roman" w:cs="Times New Roman"/>
          <w:vertAlign w:val="superscript"/>
        </w:rPr>
        <w:instrText>ADDIN CSL_CITATION {"citationItems":[{"id":"ITEM-1","itemData":{"DOI":"10.1016/J.POLYMER.2018.11.057","ISSN":"0032-3861","abstract":"In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-1","issued":{"date-parts":[["2019","1","3"]]},"page":"254-264","publisher":"Elsevier","title":"Experimental and theoretical investigations of free radical photopolymerization: Inhibition and termination reactions","type":"article-journal","volume":"160"},"uris":["http://www.mendeley.com/documents/?uuid=2de111e7-9b3a-3cbd-9a03-aff65e35323f"]}],"mendeley":{"formattedCitation":"[33]","plainTextFormattedCitation":"[33]","previouslyFormattedCitation":"[33]"},"properties":{"noteIndex":0},"schema":"https://github.com/citation-style-language/schema/raw/master/csl-citation.json"}</w:instrText>
      </w:r>
      <w:r w:rsidRPr="00913500">
        <w:rPr>
          <w:rFonts w:ascii="Times New Roman" w:hAnsi="Times New Roman" w:cs="Times New Roman"/>
          <w:vertAlign w:val="superscript"/>
        </w:rPr>
        <w:fldChar w:fldCharType="separate"/>
      </w:r>
      <w:r w:rsidR="00BF7344" w:rsidRPr="00BF7344">
        <w:rPr>
          <w:rFonts w:ascii="Times New Roman" w:hAnsi="Times New Roman" w:cs="Times New Roman"/>
          <w:noProof/>
        </w:rPr>
        <w:t>[33]</w:t>
      </w:r>
      <w:r w:rsidRPr="00913500">
        <w:rPr>
          <w:rFonts w:ascii="Times New Roman" w:hAnsi="Times New Roman" w:cs="Times New Roman"/>
          <w:vertAlign w:val="superscript"/>
        </w:rPr>
        <w:fldChar w:fldCharType="end"/>
      </w:r>
      <w:r w:rsidRPr="00913500">
        <w:rPr>
          <w:rFonts w:ascii="Times New Roman" w:hAnsi="Times New Roman" w:cs="Times New Roman"/>
        </w:rPr>
        <w:t xml:space="preserve">.    </w:t>
      </w:r>
      <w:r w:rsidRPr="00913500">
        <w:rPr>
          <w:rFonts w:ascii="Times New Roman" w:eastAsiaTheme="minorEastAsia" w:hAnsi="Times New Roman" w:cs="Times New Roman"/>
        </w:rPr>
        <w:t xml:space="preserve">They reported that doubling the concentration of TPO in a glassy acrylate system from 0.5 wt% to 1.0 wt% increased the polymerization rate by 140% and reduced the time interval to peak conversion rate by half </w:t>
      </w:r>
      <w:r w:rsidRPr="00913500">
        <w:rPr>
          <w:rFonts w:ascii="Times New Roman" w:eastAsiaTheme="minorEastAsia" w:hAnsi="Times New Roman" w:cs="Times New Roman"/>
        </w:rPr>
        <w:fldChar w:fldCharType="begin" w:fldLock="1"/>
      </w:r>
      <w:r w:rsidR="00BF7344">
        <w:rPr>
          <w:rFonts w:ascii="Times New Roman" w:eastAsiaTheme="minorEastAsia" w:hAnsi="Times New Roman" w:cs="Times New Roman"/>
        </w:rPr>
        <w:instrText>ADDIN CSL_CITATION {"citationItems":[{"id":"ITEM-1","itemData":{"DOI":"10.1016/J.POLYMER.2018.11.057","ISSN":"0032-3861","abstract":"In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-1","issued":{"date-parts":[["2019","1","3"]]},"page":"254-264","publisher":"Elsevier","title":"Experimental and theoretical investigations of free radical photopolymerization: Inhibition and termination reactions","type":"article-journal","volume":"160"},"uris":["http://www.mendeley.com/documents/?uuid=2de111e7-9b3a-3cbd-9a03-aff65e35323f"]}],"mendeley":{"formattedCitation":"[33]","plainTextFormattedCitation":"[33]","previouslyFormattedCitation":"[33]"},"properties":{"noteIndex":0},"schema":"https://github.com/citation-style-language/schema/raw/master/csl-citation.json"}</w:instrText>
      </w:r>
      <w:r w:rsidRPr="00913500">
        <w:rPr>
          <w:rFonts w:ascii="Times New Roman" w:eastAsiaTheme="minorEastAsia" w:hAnsi="Times New Roman" w:cs="Times New Roman"/>
        </w:rPr>
        <w:fldChar w:fldCharType="separate"/>
      </w:r>
      <w:r w:rsidR="00BF7344" w:rsidRPr="00BF7344">
        <w:rPr>
          <w:rFonts w:ascii="Times New Roman" w:eastAsiaTheme="minorEastAsia" w:hAnsi="Times New Roman" w:cs="Times New Roman"/>
          <w:noProof/>
        </w:rPr>
        <w:t>[33]</w:t>
      </w:r>
      <w:r w:rsidRPr="00913500">
        <w:rPr>
          <w:rFonts w:ascii="Times New Roman" w:eastAsiaTheme="minorEastAsia" w:hAnsi="Times New Roman" w:cs="Times New Roman"/>
        </w:rPr>
        <w:fldChar w:fldCharType="end"/>
      </w:r>
      <w:r w:rsidRPr="00913500">
        <w:rPr>
          <w:rFonts w:ascii="Times New Roman" w:eastAsiaTheme="minorEastAsia" w:hAnsi="Times New Roman" w:cs="Times New Roman"/>
        </w:rPr>
        <w:t xml:space="preserve">. </w:t>
      </w:r>
      <w:proofErr w:type="spellStart"/>
      <w:r w:rsidRPr="00913500">
        <w:rPr>
          <w:rFonts w:ascii="Times New Roman" w:eastAsiaTheme="minorEastAsia" w:hAnsi="Times New Roman" w:cs="Times New Roman"/>
        </w:rPr>
        <w:t>Christmann</w:t>
      </w:r>
      <w:proofErr w:type="spellEnd"/>
      <w:r w:rsidRPr="00913500">
        <w:rPr>
          <w:rFonts w:ascii="Times New Roman" w:eastAsiaTheme="minorEastAsia" w:hAnsi="Times New Roman" w:cs="Times New Roman"/>
        </w:rPr>
        <w:t xml:space="preserve"> et al.’s findings support the trends predicted by the Kenning optical model, but not the present study results.  At thin films such as those in </w:t>
      </w:r>
      <w:proofErr w:type="spellStart"/>
      <w:r w:rsidRPr="00913500">
        <w:rPr>
          <w:rFonts w:ascii="Times New Roman" w:eastAsiaTheme="minorEastAsia" w:hAnsi="Times New Roman" w:cs="Times New Roman"/>
        </w:rPr>
        <w:t>Christmann</w:t>
      </w:r>
      <w:proofErr w:type="spellEnd"/>
      <w:r w:rsidRPr="00913500">
        <w:rPr>
          <w:rFonts w:ascii="Times New Roman" w:eastAsiaTheme="minorEastAsia" w:hAnsi="Times New Roman" w:cs="Times New Roman"/>
        </w:rPr>
        <w:t xml:space="preserve"> et al.’s study, the light </w:t>
      </w:r>
      <w:r w:rsidRPr="00913500">
        <w:rPr>
          <w:rFonts w:ascii="Times New Roman" w:eastAsiaTheme="minorEastAsia" w:hAnsi="Times New Roman" w:cs="Times New Roman"/>
        </w:rPr>
        <w:lastRenderedPageBreak/>
        <w:t xml:space="preserve">intensity is assumed to be equal throughout the entire specimen, with no light gradient and therefore no gradient in photoinitiation or photofrontal polymerization </w:t>
      </w:r>
      <w:r w:rsidRPr="00913500">
        <w:rPr>
          <w:rFonts w:ascii="Times New Roman" w:eastAsiaTheme="minorEastAsia" w:hAnsi="Times New Roman" w:cs="Times New Roman"/>
        </w:rPr>
        <w:fldChar w:fldCharType="begin" w:fldLock="1"/>
      </w:r>
      <w:r w:rsidR="00115FB0">
        <w:rPr>
          <w:rFonts w:ascii="Times New Roman" w:eastAsiaTheme="minorEastAsia" w:hAnsi="Times New Roman" w:cs="Times New Roman"/>
        </w:rPr>
        <w:instrText>ADDIN CSL_CITATION {"citationItems":[{"id":"ITEM-1","itemData":{"DOI":"10.1016/0032-3861(94)90129-5","ISSN":"0032-3861","abstract":"The polymerization behaviour of a series of multifunctional methacrylate and acrylate monomers was studied using differential scanning calorimetry to characterize the reaction rate profiles. The polymerization rates, double-bond conversion and kinetic constants were determined for each of the monomers, as well as the effects of monomer type, functionality and rates of polymerization on the reaction behaviour. In particular, by quantifying the kinetic constants for termination and propagation, the controlling mechanism for each of these processes was determined as a function of conversion. In contrast to linear polymerizations, the termination mechanism for these reactions proceeded primarily through reaction diffusion. This behaviour was seen as the termination kinetic constant became proportional to the propagation kinetic constant at very low double-bond conversions. In comparing the acrylates to the methacrylates, the increased reactivity of the acrylates was apparent in the greater values (by three orders of magnitude) of both the termination and propagation kinetic constants. Also, as the number of acrylate or methacrylate groups in the monomer was increased, the kinetic constants correspondingly decreased. This decrease resulted mainly from the greater viscosity of the higher-functionality monomers, attributed to their large molecular weights. Finally, with the exception of the trimethacrylate and triacrylate, the average number of double bonds reacted per monomer at the maximum conversion was near unity, independent of the monomer type or functionality. © 1994.","author":[{"dropping-particle":"","family":"Anseth","given":"Kristi S.","non-dropping-particle":"","parse-names":false,"suffix":""},{"dropping-particle":"","family":"Wang","given":"Cynthia M.","non-dropping-particle":"","parse-names":false,"suffix":""},{"dropping-particle":"","family":"Bowman","given":"Christopher N.","non-dropping-particle":"","parse-names":false,"suffix":""}],"container-title":"Polymer","id":"ITEM-1","issue":"15","issued":{"date-parts":[["1994","7","1"]]},"page":"3243-3250","publisher":"Elsevier","title":"Reaction behaviour and kinetic constants for photopolymerizations of multi(meth)acrylate monomers","type":"article-journal","volume":"35"},"uris":["http://www.mendeley.com/documents/?uuid=adf33ef0-b2aa-3fad-8127-8015fea71433"]},{"id":"ITEM-2","itemData":{"DOI":"10.1021/MA901535P","abstract":"UV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-2","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Profiles","type":"article-journal","volume":"43"},"uris":["http://www.mendeley.com/documents/?uuid=4141b808-f33a-31ea-86a3-8be202718b9c"]}],"mendeley":{"formattedCitation":"[45], [47]","plainTextFormattedCitation":"[45], [47]","previouslyFormattedCitation":"[45], [47]"},"properties":{"noteIndex":0},"schema":"https://github.com/citation-style-language/schema/raw/master/csl-citation.json"}</w:instrText>
      </w:r>
      <w:r w:rsidRPr="00913500">
        <w:rPr>
          <w:rFonts w:ascii="Times New Roman" w:eastAsiaTheme="minorEastAsia" w:hAnsi="Times New Roman" w:cs="Times New Roman"/>
        </w:rPr>
        <w:fldChar w:fldCharType="separate"/>
      </w:r>
      <w:r w:rsidR="00115FB0" w:rsidRPr="00115FB0">
        <w:rPr>
          <w:rFonts w:ascii="Times New Roman" w:eastAsiaTheme="minorEastAsia" w:hAnsi="Times New Roman" w:cs="Times New Roman"/>
          <w:noProof/>
        </w:rPr>
        <w:t>[45], [47]</w:t>
      </w:r>
      <w:r w:rsidRPr="00913500">
        <w:rPr>
          <w:rFonts w:ascii="Times New Roman" w:eastAsiaTheme="minorEastAsia" w:hAnsi="Times New Roman" w:cs="Times New Roman"/>
        </w:rPr>
        <w:fldChar w:fldCharType="end"/>
      </w:r>
      <w:r w:rsidRPr="00913500">
        <w:rPr>
          <w:rFonts w:ascii="Times New Roman" w:eastAsiaTheme="minorEastAsia" w:hAnsi="Times New Roman" w:cs="Times New Roman"/>
        </w:rPr>
        <w:t xml:space="preserve">.  The difference between the predicted light gradient and the measured light gradient is a likely cause for the discrepancy between the optical model and the conversion rate.  </w:t>
      </w:r>
    </w:p>
    <w:p w14:paraId="203DD6A9" w14:textId="77777777" w:rsidR="005C0A5E" w:rsidRDefault="005C0A5E" w:rsidP="00913500">
      <w:pPr>
        <w:spacing w:line="360" w:lineRule="auto"/>
        <w:rPr>
          <w:rFonts w:ascii="Times New Roman" w:eastAsiaTheme="minorEastAsia" w:hAnsi="Times New Roman" w:cs="Times New Roman"/>
        </w:rPr>
      </w:pPr>
    </w:p>
    <w:p w14:paraId="0F3C5C8D" w14:textId="2AC079F0" w:rsidR="00913500" w:rsidRPr="00482C24" w:rsidRDefault="00913500" w:rsidP="00913500">
      <w:pPr>
        <w:spacing w:line="360" w:lineRule="auto"/>
        <w:rPr>
          <w:rFonts w:ascii="Times New Roman" w:hAnsi="Times New Roman" w:cs="Times New Roman"/>
        </w:rPr>
      </w:pPr>
      <w:r w:rsidRPr="00913500">
        <w:rPr>
          <w:rFonts w:ascii="Times New Roman" w:hAnsi="Times New Roman" w:cs="Times New Roman"/>
          <w:i/>
          <w:iCs/>
        </w:rPr>
        <w:t>Effect of radical trapping</w:t>
      </w:r>
    </w:p>
    <w:p w14:paraId="19B74B0B" w14:textId="609EFDAD" w:rsidR="00913500" w:rsidRDefault="00913500" w:rsidP="00913500">
      <w:pPr>
        <w:spacing w:line="360" w:lineRule="auto"/>
        <w:rPr>
          <w:rFonts w:ascii="Times New Roman" w:eastAsiaTheme="minorEastAsia" w:hAnsi="Times New Roman" w:cs="Times New Roman"/>
        </w:rPr>
      </w:pPr>
      <w:r w:rsidRPr="00913500">
        <w:rPr>
          <w:rFonts w:ascii="Times New Roman" w:hAnsi="Times New Roman" w:cs="Times New Roman"/>
        </w:rPr>
        <w:t xml:space="preserve">As described in section 5.4, glassy polymers such as Bis-EMA can cause significant radical trapping as the polymer network vitrifies.  These trapped free radicals can become dislocated and eventually react through diffusion, or they can recombine back into a PI molecule.  </w:t>
      </w:r>
      <w:proofErr w:type="spellStart"/>
      <w:r w:rsidRPr="00913500">
        <w:rPr>
          <w:rFonts w:ascii="Times New Roman" w:hAnsi="Times New Roman" w:cs="Times New Roman"/>
        </w:rPr>
        <w:t>Eibel</w:t>
      </w:r>
      <w:proofErr w:type="spellEnd"/>
      <w:r w:rsidRPr="00913500">
        <w:rPr>
          <w:rFonts w:ascii="Times New Roman" w:hAnsi="Times New Roman" w:cs="Times New Roman"/>
        </w:rPr>
        <w:t xml:space="preserve"> et al. considered recombination the most likely side reaction for initiator radicals, noting that this becomes insignificant at high monomer concentration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{"citationItems":[{"id":"ITEM-1","itemData":{"DOI":"10.1039/C8PY01195H","ISSN":"17599962","abstract":"We present a tool for predicting the initiation efficiency of various type 1 (α-cleavage) photoinitiators for free radical photopolymerization. The amount of initiated polymer chains is crucial for the successful outcome of radical polymerizations. This is based on a subtle combination of intrinsic photoinitiator characteristics, i.e. quantum yields for dissociation, the absorption spectrum of the initiator in terms of its absorption bands and the corresponding absorption coefficients (ϵ), the rate constants of the primary radicals toward the monomer, and side reactions such as oxygen quenching. Equally important are the emission properties of the utilized light source (irradiation wavelengths, light intensity). We highlight that a balanced combination of all these factors is crucial for achieving optimal initiation performance.","author":[{"dropping-particle":"","family":"Eibel","given":"Anna","non-dropping-particle":"","parse-names":false,"suffix":""},{"dropping-particle":"","family":"Fast","given":"David E.","non-dropping-particle":"","parse-names":false,"suffix":""},{"dropping-particle":"","family":"Gescheidt","given":"Georg","non-dropping-particle":"","parse-names":false,"suffix":""}],"container-title":"Polymer Chemistry","id":"ITEM-1","issue":"41","issued":{"date-parts":[["2018","10","23"]]},"page":"5107-5115","publisher":"Royal Society of Chemistry","title":"Choosing the ideal photoinitiator for free radical photopolymerizations: predictions based on simulations using established data","type":"article-journal","volume":"9"},"uris":["http://www.mendeley.com/documents/?uuid=166ced04-3106-328b-81dc-d54deab2c662"]}],"mendeley":{"formattedCitation":"[133]","plainTextFormattedCitation":"[133]","previouslyFormattedCitation":"[133]"},"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[133]</w:t>
      </w:r>
      <w:r w:rsidRPr="00913500">
        <w:rPr>
          <w:rFonts w:ascii="Times New Roman" w:hAnsi="Times New Roman" w:cs="Times New Roman"/>
        </w:rPr>
        <w:fldChar w:fldCharType="end"/>
      </w:r>
      <w:r w:rsidRPr="00913500">
        <w:rPr>
          <w:rFonts w:ascii="Times New Roman" w:hAnsi="Times New Roman" w:cs="Times New Roman"/>
        </w:rPr>
        <w:t xml:space="preserve">.  However, when monomer concentration drops and a polymer network vitrifies, the likelihood of in-cage recombination increases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{"citationItems":[{"id":"ITEM-1","itemData":{"DOI":"10.1039/B609219E","ISSN":"1463-9084","PMID":"17047769","abstract":"While there is increasing evidence for unique chemical reactions at interfaces, there are fewer data on photochemistry at liquid–vapor junctions. This paper reports a comparison of the photolysis of molybdenum hexacarbonyl, Mo(CO)6, in 1-decene either as liquid droplets or in bulk-liquid solutions. Mo(CO)6 photolysis is faster by at least three orders of magnitude in the aerosols than in bulk-liquids. Two possible sources of this enhancement are considered: (1) increased light intensity due to either Morphology-Dependent Resonances (MDRs) in the spherical aerosol particles and/or to increased pathlengths for light inside the droplet due to refraction, which are termed physical effects in this paper; and (2) interface effects such as an incomplete solvent-cage at the gas–liquid boundary and/or enhanced interfacial concentrations of Mo(CO)6, which are termed chemical effects. Quantitative calculations of the first possibility were carried out in which the light intensity distribution in the droplets averaged over 215–360 nm was obtained for 1-decene droplets. Calculations show that the average increase in light intensity over the entire droplet is 106%, with an average increase of 51% at the interface. These increases are much smaller than the observed increase in the apparent photolysis rate of droplets compared to the bulk. Thus, chemical effects, i.e., a decreased solvent-cage effect at the interface and/or enhancement in the surface concentration of Mo(CO)6, are most likely responsible for the dramatic increase in the photolysis rate. Similar calculations were also carried out for broadband (290–600 nm) solar irradiation of water droplets, relevant to atmospheric conditions. These calculations show that, in agreement with previous calculations by Mayer and Madronich [B. Mayer and S. Madronich, Atmos. Chem. Phys., 2004, 4, 2241] MDRs produce only a moderate average intensity enhancement relative to the corresponding bulk-liquid slabs when averaged over a range of wavelengths characteristic of solar radiation at the Earth’s surface. However, as in the case of Mo(CO)6 in 1-decene, chemical effects may play a role in enhanced photochemistry at the aerosol–air interface for airborne particles.","author":[{"dropping-particle":"","family":"Nissenson","given":"Paul","non-dropping-particle":"","parse-names":false,"suffix":""},{"dropping-particle":"","family":"Knox","given":"Christopher J.H.","non-dropping-particle":"","parse-names":false,"suffix":""},{"dropping-particle":"","family":"Finlayson-Pitts","given":"Barbara J.","non-dropping-particle":"","parse-names":false,"suffix":""},{"dropping-particle":"","family":"Phillips","given":"Leon F.","non-dropping-particle":"","parse-names":false,"suffix":""},{"dropping-particle":"","family":"Dabdub","given":"Donald","non-dropping-particle":"","parse-names":false,"suffix":""}],"container-title":"Physical Chemistry Chemical Physics","id":"ITEM-1","issue":"40","issued":{"date-parts":[["2006","10","11"]]},"page":"4700-4710","publisher":"The Royal Society of Chemistry","title":"Enhanced photolysis in aerosols: evidence for important surface effects","type":"article-journal","volume":"8"},"uris":["http://www.mendeley.com/documents/?uuid=a14b1447-81c5-3f2d-bd1d-10074f57a89a"]}],"mendeley":{"formattedCitation":"[134]","plainTextFormattedCitation":"[134]","previouslyFormattedCitation":"[134]"},"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[134]</w:t>
      </w:r>
      <w:r w:rsidRPr="00913500">
        <w:rPr>
          <w:rFonts w:ascii="Times New Roman" w:hAnsi="Times New Roman" w:cs="Times New Roman"/>
        </w:rPr>
        <w:fldChar w:fldCharType="end"/>
      </w:r>
      <w:r w:rsidRPr="00913500">
        <w:rPr>
          <w:rFonts w:ascii="Times New Roman" w:hAnsi="Times New Roman" w:cs="Times New Roman"/>
        </w:rPr>
        <w:t xml:space="preserve">.  In addition to reducing the effective quantum yield of a reaction </w:t>
      </w:r>
      <w:r w:rsidRPr="00913500">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{"citationItems":[{"id":"ITEM-1","itemData":{"DOI":"10.1021/JACS.7B04499/SUPPL_FILE/JA7B04499_SI_001.PDF","ISSN":"15205126","PMID":"28931277","abstract":"This study reports a method for correlating the radical recombination efficiencies (FcP) of geminate radical cage pairs to the properties of the solvent. Although bulk viscosity (macroviscosity) is typically used to predict or interpret radical recombination efficiencies, the work reported here shows that microviscosity is a much better parameter. The use of microviscosity is valid over a range of different solvent system types, including nonpolar, aromatic, polar, and hydrogen bonding solvents. In addition, the relationship of FcP to microviscosity holds for solvent systems containing mixtures of these solvent types. The microviscosities of the solvent systems were straightforwardly determined by measuring the diffusion coefficient of an appropriate probe by NMR DOSY spectroscopy. By using solvent mixtures, selective solvation was shown to not affect the correlation between FcP and microviscosity. In addition, neither solvent polarity nor radical rotation affects the correlation between FcP and the microviscosity.","author":[{"dropping-particle":"","family":"Barry","given":"Justin T.","non-dropping-particle":"","parse-names":false,"suffix":""},{"dropping-particle":"","family":"Berg","given":"Daniel J.","non-dropping-particle":"","parse-names":false,"suffix":""},{"dropping-particle":"","family":"Tyler","given":"David R.","non-dropping-particle":"","parse-names":false,"suffix":""}],"container-title":"Journal of the American Chemical Society","id":"ITEM-1","issue":"41","issued":{"date-parts":[["2017","10","18"]]},"page":"14399-14405","publisher":"American Chemical Society","title":"Radical Cage Effects: The Prediction of Radical Cage Pair Recombination Efficiencies Using Microviscosity Across a Range of Solvent Types","type":"article-journal","volume":"139"},"uris":["http://www.mendeley.com/documents/?uuid=36fb3ef9-682d-3b39-bb0b-b8279b054f3b"]}],"mendeley":{"formattedCitation":"[135]","plainTextFormattedCitation":"[135]","previouslyFormattedCitation":"[135]"},"properties":{"noteIndex":0},"schema":"https://github.com/citation-style-language/schema/raw/master/csl-citation.json"}</w:instrText>
      </w:r>
      <w:r w:rsidRPr="00913500">
        <w:rPr>
          <w:rFonts w:ascii="Times New Roman" w:hAnsi="Times New Roman" w:cs="Times New Roman"/>
        </w:rPr>
        <w:fldChar w:fldCharType="separate"/>
      </w:r>
      <w:r w:rsidR="00280E34" w:rsidRPr="00280E34">
        <w:rPr>
          <w:rFonts w:ascii="Times New Roman" w:hAnsi="Times New Roman" w:cs="Times New Roman"/>
          <w:noProof/>
        </w:rPr>
        <w:t>[135]</w:t>
      </w:r>
      <w:r w:rsidRPr="00913500">
        <w:rPr>
          <w:rFonts w:ascii="Times New Roman" w:hAnsi="Times New Roman" w:cs="Times New Roman"/>
        </w:rPr>
        <w:fldChar w:fldCharType="end"/>
      </w:r>
      <w:r w:rsidRPr="00913500">
        <w:rPr>
          <w:rFonts w:ascii="Times New Roman" w:hAnsi="Times New Roman" w:cs="Times New Roman"/>
        </w:rPr>
        <w:t xml:space="preserve">, in-cage recombination could also serve to counteract photobleaching as recombined PI molecules absorb light in regions that have already vitrified.  This phenomenon is not factored into the optical model, which does not predict DC or the likelihood of free-radical trapping. The radiometry data support the hypothesis of free-radical trapping and in-cage recombination, with transmitted light intensity 100 times lower for 1.0 wt% BAPO than for 0.1 wt% BAPO after 60 s of irradiation.  The delayed curing reaction observed in RT-FTIR provides evidence of photobleaching. Still, the lower reaction rate and low light transmission at higher PI concentrations may indicate a high residual PI content trapped within the cured polymer.  This trend is confirmed by </w:t>
      </w:r>
      <w:proofErr w:type="spellStart"/>
      <w:r w:rsidRPr="00913500">
        <w:rPr>
          <w:rFonts w:ascii="Times New Roman" w:hAnsi="Times New Roman" w:cs="Times New Roman"/>
        </w:rPr>
        <w:t>Christmann</w:t>
      </w:r>
      <w:proofErr w:type="spellEnd"/>
      <w:r w:rsidRPr="00913500">
        <w:rPr>
          <w:rFonts w:ascii="Times New Roman" w:hAnsi="Times New Roman" w:cs="Times New Roman"/>
        </w:rPr>
        <w:t xml:space="preserve"> et al., who reported that increased PI concentration increases radical trapping by occlusion in the glassy 3D polymer networks </w:t>
      </w:r>
      <w:r w:rsidRPr="00913500">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{"citationItems":[{"id":"ITEM-1","itemData":{"DOI":"10.1016/J.POLYMER.2018.11.057","ISSN":"0032-3861","abstract":"In this work, the inhibition and termination reactions occurring throughout a free radical photopolymerization initiated by a type-I photoinitiator are studied by kinetic modeling. The role of the macroradicals as the main oxygen trapping agents during the inhibition time is identified, and the absence of primary radical consumption by oxygen can be related to a high initiation efficiency at early times. The ratio of the termination reactions reveals that bimolecular termination remains the principal pathway for the cessation of macromolecule growth, even at high polymer conversion. Moreover, the evolution of the termination ratio during the polymerization can be correlated to both the diffusional control of the polymerization reactions as the polymer network grows and the photoinitiator consumption. Finally, the effect of the incident light intensity and the initial photoinitiator concentration on the termination reactions is assessed, and the validity of the steady-state assumption applied to the macroradical concentration discussed.","author":[{"dropping-particle":"","family":"Christmann","given":"Julien","non-dropping-particle":"","parse-names":false,"suffix":""},{"dropping-particle":"","family":"Ley","given":"Christian","non-dropping-particle":"","parse-names":false,"suffix":""},{"dropping-particle":"","family":"Allonas","given":"Xavier","non-dropping-particle":"","parse-names":false,"suffix":""},{"dropping-particle":"","family":"Ibrahim","given":"Ahmad","non-dropping-particle":"","parse-names":false,"suffix":""},{"dropping-particle":"","family":"Croutxé-Barghorn","given":"Céline","non-dropping-particle":"","parse-names":false,"suffix":""}],"container-title":"Polymer","id":"ITEM-1","issued":{"date-parts":[["2019","1","3"]]},"page":"254-264","publisher":"Elsevier","title":"Experimental and theoretical investigations of free radical photopolymerization: Inhibition and termination reactions","type":"article-journal","volume":"160"},"uris":["http://www.mendeley.com/documents/?uuid=2de111e7-9b3a-3cbd-9a03-aff65e35323f"]}],"mendeley":{"formattedCitation":"[33]","plainTextFormattedCitation":"[33]","previouslyFormattedCitation":"[33]"},"properties":{"noteIndex":0},"schema":"https://github.com/citation-style-language/schema/raw/master/csl-citation.json"}</w:instrText>
      </w:r>
      <w:r w:rsidRPr="00913500">
        <w:rPr>
          <w:rFonts w:ascii="Times New Roman" w:hAnsi="Times New Roman" w:cs="Times New Roman"/>
        </w:rPr>
        <w:fldChar w:fldCharType="separate"/>
      </w:r>
      <w:r w:rsidR="00BF7344" w:rsidRPr="00BF7344">
        <w:rPr>
          <w:rFonts w:ascii="Times New Roman" w:hAnsi="Times New Roman" w:cs="Times New Roman"/>
          <w:noProof/>
        </w:rPr>
        <w:t>[33]</w:t>
      </w:r>
      <w:r w:rsidRPr="00913500">
        <w:rPr>
          <w:rFonts w:ascii="Times New Roman" w:hAnsi="Times New Roman" w:cs="Times New Roman"/>
        </w:rPr>
        <w:fldChar w:fldCharType="end"/>
      </w:r>
      <w:r w:rsidRPr="00913500">
        <w:rPr>
          <w:rFonts w:ascii="Times New Roman" w:hAnsi="Times New Roman" w:cs="Times New Roman"/>
        </w:rPr>
        <w:t xml:space="preserve">. The optical model from Kenning and Miller does not account for this behavior directly, although it could be considered as ‘partial photobleaching’ where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pj</m:t>
            </m:r>
          </m:sub>
        </m:sSub>
        <m:r>
          <w:rPr>
            <w:rFonts w:ascii="Cambria Math" w:hAnsi="Cambria Math" w:cs="Times New Roman"/>
          </w:rPr>
          <m:t>≠0</m:t>
        </m:r>
      </m:oMath>
      <w:r w:rsidRPr="00913500">
        <w:rPr>
          <w:rFonts w:ascii="Times New Roman" w:eastAsiaTheme="minorEastAsia" w:hAnsi="Times New Roman" w:cs="Times New Roman"/>
        </w:rPr>
        <w:t xml:space="preserve"> as described by Hayki et al </w:t>
      </w:r>
      <w:r w:rsidRPr="00913500">
        <w:rPr>
          <w:rFonts w:ascii="Times New Roman" w:eastAsiaTheme="minorEastAsia" w:hAnsi="Times New Roman" w:cs="Times New Roman"/>
        </w:rPr>
        <w:fldChar w:fldCharType="begin" w:fldLock="1"/>
      </w:r>
      <w:r w:rsidR="00115FB0">
        <w:rPr>
          <w:rFonts w:ascii="Times New Roman" w:eastAsiaTheme="minorEastAsia" w:hAnsi="Times New Roman" w:cs="Times New Roman"/>
        </w:rPr>
        <w:instrText>ADDIN CSL_CITATION {"citationItems":[{"id":"ITEM-1","itemData":{"DOI":"10.1021/MA901535P","abstract":"UV polymerizations in the presence of a photobleachable initiator are studied. The photoinitiator concentration vs time and the UV radiation intensity evolution within the sample are calculated acc...","author":[{"dropping-particle":"","family":"Hayki","given":"N.","non-dropping-particle":"","parse-names":false,"suffix":""},{"dropping-particle":"","family":"Lecamp","given":"L.","non-dropping-particle":"","parse-names":false,"suffix":""},{"dropping-particle":"","family":"Désilles","given":"N.","non-dropping-particle":"","parse-names":false,"suffix":""},{"dropping-particle":"","family":"Lebaudy","given":"P.","non-dropping-particle":"","parse-names":false,"suffix":""}],"container-title":"Macromolecules","id":"ITEM-1","issue":"1","issued":{"date-parts":[["2009","1","12"]]},"page":"177-184","publisher":"American Chemical Society","title":"Kinetic Study of Photoinitiated Frontal Polymerization. Influence of UV Light Intensity Variations on the Conversion Profiles","type":"article-journal","volume":"43"},"uris":["http://www.mendeley.com/documents/?uuid=4141b808-f33a-31ea-86a3-8be202718b9c"]}],"mendeley":{"formattedCitation":"[45]","plainTextFormattedCitation":"[45]","previouslyFormattedCitation":"[45]"},"properties":{"noteIndex":0},"schema":"https://github.com/citation-style-language/schema/raw/master/csl-citation.json"}</w:instrText>
      </w:r>
      <w:r w:rsidRPr="00913500">
        <w:rPr>
          <w:rFonts w:ascii="Times New Roman" w:eastAsiaTheme="minorEastAsia" w:hAnsi="Times New Roman" w:cs="Times New Roman"/>
        </w:rPr>
        <w:fldChar w:fldCharType="separate"/>
      </w:r>
      <w:r w:rsidR="00115FB0" w:rsidRPr="00115FB0">
        <w:rPr>
          <w:rFonts w:ascii="Times New Roman" w:eastAsiaTheme="minorEastAsia" w:hAnsi="Times New Roman" w:cs="Times New Roman"/>
          <w:noProof/>
        </w:rPr>
        <w:t>[45]</w:t>
      </w:r>
      <w:r w:rsidRPr="00913500">
        <w:rPr>
          <w:rFonts w:ascii="Times New Roman" w:eastAsiaTheme="minorEastAsia" w:hAnsi="Times New Roman" w:cs="Times New Roman"/>
        </w:rPr>
        <w:fldChar w:fldCharType="end"/>
      </w:r>
      <w:r w:rsidRPr="00913500">
        <w:rPr>
          <w:rFonts w:ascii="Times New Roman" w:eastAsiaTheme="minorEastAsia" w:hAnsi="Times New Roman" w:cs="Times New Roman"/>
        </w:rPr>
        <w:t xml:space="preserve">.  </w:t>
      </w:r>
    </w:p>
    <w:p w14:paraId="781EA900" w14:textId="77777777" w:rsidR="00C429EC" w:rsidRPr="00913500" w:rsidRDefault="00C429EC" w:rsidP="00913500">
      <w:pPr>
        <w:spacing w:line="360" w:lineRule="auto"/>
        <w:rPr>
          <w:rFonts w:ascii="Times New Roman" w:eastAsiaTheme="minorEastAsia" w:hAnsi="Times New Roman" w:cs="Times New Roman"/>
        </w:rPr>
      </w:pPr>
    </w:p>
    <w:p w14:paraId="27C692DB" w14:textId="77777777" w:rsidR="00913500" w:rsidRPr="00913500" w:rsidRDefault="00913500" w:rsidP="00913500">
      <w:pPr>
        <w:spacing w:line="360" w:lineRule="auto"/>
        <w:rPr>
          <w:rFonts w:ascii="Times New Roman" w:hAnsi="Times New Roman" w:cs="Times New Roman"/>
          <w:i/>
          <w:iCs/>
        </w:rPr>
      </w:pPr>
      <w:r w:rsidRPr="00913500">
        <w:rPr>
          <w:rFonts w:ascii="Times New Roman" w:hAnsi="Times New Roman" w:cs="Times New Roman"/>
          <w:i/>
          <w:iCs/>
        </w:rPr>
        <w:t>Utility of optical properties in formulation pre-screening</w:t>
      </w:r>
    </w:p>
    <w:p w14:paraId="4929F90E" w14:textId="7C061DF7" w:rsidR="00C429EC" w:rsidRDefault="00913500" w:rsidP="00913500">
      <w:pPr>
        <w:spacing w:line="360" w:lineRule="auto"/>
        <w:rPr>
          <w:rFonts w:ascii="Times New Roman" w:eastAsiaTheme="minorEastAsia" w:hAnsi="Times New Roman" w:cs="Times New Roman"/>
        </w:rPr>
      </w:pPr>
      <w:r w:rsidRPr="00913500">
        <w:rPr>
          <w:rFonts w:ascii="Times New Roman" w:hAnsi="Times New Roman" w:cs="Times New Roman"/>
        </w:rPr>
        <w:t xml:space="preserve">For applications such as LFAM where a short irradiation time (&lt; 5 s) is desirable, another potential pre-screening tool is the predicted light intensity through the polymer at </w:t>
      </w:r>
      <m:oMath>
        <m:r>
          <w:rPr>
            <w:rFonts w:ascii="Cambria Math" w:hAnsi="Cambria Math" w:cs="Times New Roman"/>
          </w:rPr>
          <m:t>t=0</m:t>
        </m:r>
      </m:oMath>
      <w:r w:rsidRPr="00913500">
        <w:rPr>
          <w:rFonts w:ascii="Times New Roman" w:eastAsiaTheme="minorEastAsia" w:hAnsi="Times New Roman" w:cs="Times New Roman"/>
        </w:rPr>
        <w:t xml:space="preserve">, </w:t>
      </w:r>
      <w:r w:rsidRPr="00913500">
        <w:rPr>
          <w:rFonts w:ascii="Times New Roman" w:eastAsiaTheme="minorEastAsia" w:hAnsi="Times New Roman" w:cs="Times New Roman"/>
        </w:rPr>
        <w:lastRenderedPageBreak/>
        <w:t xml:space="preserve">or the starting point of irradiation.  As shown in </w:t>
      </w:r>
      <w:r w:rsidR="005C0A5E" w:rsidRPr="005C0A5E">
        <w:rPr>
          <w:rFonts w:ascii="Times New Roman" w:eastAsiaTheme="minorEastAsia" w:hAnsi="Times New Roman" w:cs="Times New Roman"/>
        </w:rPr>
        <w:fldChar w:fldCharType="begin"/>
      </w:r>
      <w:r w:rsidR="005C0A5E" w:rsidRPr="005C0A5E">
        <w:rPr>
          <w:rFonts w:ascii="Times New Roman" w:eastAsiaTheme="minorEastAsia" w:hAnsi="Times New Roman" w:cs="Times New Roman"/>
        </w:rPr>
        <w:instrText xml:space="preserve"> REF _Ref100933011 \h </w:instrText>
      </w:r>
      <w:r w:rsidR="005C0A5E">
        <w:rPr>
          <w:rFonts w:ascii="Times New Roman" w:eastAsiaTheme="minorEastAsia" w:hAnsi="Times New Roman" w:cs="Times New Roman"/>
        </w:rPr>
        <w:instrText xml:space="preserve"> \* MERGEFORMAT </w:instrText>
      </w:r>
      <w:r w:rsidR="005C0A5E" w:rsidRPr="005C0A5E">
        <w:rPr>
          <w:rFonts w:ascii="Times New Roman" w:eastAsiaTheme="minorEastAsia" w:hAnsi="Times New Roman" w:cs="Times New Roman"/>
        </w:rPr>
      </w:r>
      <w:r w:rsidR="005C0A5E" w:rsidRPr="005C0A5E">
        <w:rPr>
          <w:rFonts w:ascii="Times New Roman" w:eastAsiaTheme="minorEastAsia"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43</w:t>
      </w:r>
      <w:r w:rsidR="005C0A5E" w:rsidRPr="005C0A5E">
        <w:rPr>
          <w:rFonts w:ascii="Times New Roman" w:eastAsiaTheme="minorEastAsia" w:hAnsi="Times New Roman" w:cs="Times New Roman"/>
        </w:rPr>
        <w:fldChar w:fldCharType="end"/>
      </w:r>
      <w:r w:rsidRPr="00913500">
        <w:rPr>
          <w:rFonts w:ascii="Times New Roman" w:eastAsiaTheme="minorEastAsia" w:hAnsi="Times New Roman" w:cs="Times New Roman"/>
        </w:rPr>
        <w:t>, the Kenning optical model predicts light intensity &gt; 0 throughout the entire 3 mm polymer thickness for formulations with 0.1 wt% BAPO, 0.1 wt% BDMB, and 0.5 wt% BDMB.  Two of these formulas proved the best suited for rapid cure under short irradiation times, but the 0.1 wt% BDMB formulation had the lowest DC of the tested BDMB formulations.  This limited use of the Kenning optical model may be a helpful tool for screening out formulations with too much PI, but other approaches such as FTIR are required to screen for formulations with PI levels too low for complete cure.</w:t>
      </w:r>
    </w:p>
    <w:p w14:paraId="36AE8107" w14:textId="77777777" w:rsidR="00482C24" w:rsidRPr="00913500" w:rsidRDefault="00482C24" w:rsidP="00DB3040">
      <w:pPr>
        <w:pStyle w:val="Heading2"/>
      </w:pPr>
      <w:bookmarkStart w:id="179" w:name="_Toc101701778"/>
      <w:r w:rsidRPr="00913500">
        <w:t>7.0 Conclusions</w:t>
      </w:r>
      <w:bookmarkEnd w:id="179"/>
    </w:p>
    <w:p w14:paraId="5EC0E3E2" w14:textId="77777777" w:rsidR="00D3189E" w:rsidRDefault="00482C24" w:rsidP="00D3189E">
      <w:pPr>
        <w:spacing w:line="360" w:lineRule="auto"/>
        <w:rPr>
          <w:rFonts w:ascii="Times New Roman" w:hAnsi="Times New Roman" w:cs="Times New Roman"/>
        </w:rPr>
      </w:pPr>
      <w:r w:rsidRPr="00913500">
        <w:rPr>
          <w:rFonts w:ascii="Times New Roman" w:hAnsi="Times New Roman" w:cs="Times New Roman"/>
        </w:rPr>
        <w:t xml:space="preserve">This study investigated light transmission and through-thickness cure behavior in vinyl ester photopolymer formulations with the photobleaching initiator BAPO cured at 3 mm thickness. Formulations with BDMB were also tested as a control.  A theoretical optical model was employed to predict photoinitiation rates with BAPO as a potential screening tool for LFAM formulations.  The model predicted an increase in photoinitiation rate at higher initiator concentrations, accompanied by a temporal delay in the onset of peak initiation due to photobleaching.  BAPO formulations were prepared and irradiated for 60 s for comparison against the optical model.  At 3 mm depth, experimental results indicate </w:t>
      </w:r>
      <w:r w:rsidR="00D3189E" w:rsidRPr="00913500">
        <w:rPr>
          <w:rFonts w:ascii="Times New Roman" w:hAnsi="Times New Roman" w:cs="Times New Roman"/>
        </w:rPr>
        <w:t>increasing BAPO concentration from 0.1 wt% to 1.0 wt% delayed peak conversion time by over 18 s, confirming photobleaching behavior.  Increased BAPO concentration also</w:t>
      </w:r>
      <w:r w:rsidR="00D3189E" w:rsidRPr="00482C24">
        <w:rPr>
          <w:rFonts w:ascii="Times New Roman" w:hAnsi="Times New Roman" w:cs="Times New Roman"/>
        </w:rPr>
        <w:t xml:space="preserve"> </w:t>
      </w:r>
      <w:r w:rsidR="00D3189E" w:rsidRPr="00913500">
        <w:rPr>
          <w:rFonts w:ascii="Times New Roman" w:hAnsi="Times New Roman" w:cs="Times New Roman"/>
        </w:rPr>
        <w:t>reduced peak conversion rate by 75% over the same range, an inverse trend to the optical</w:t>
      </w:r>
    </w:p>
    <w:p w14:paraId="28F3316A" w14:textId="12B89C56" w:rsidR="00D3189E" w:rsidRDefault="00D3189E" w:rsidP="00D3189E">
      <w:pPr>
        <w:spacing w:line="360" w:lineRule="auto"/>
        <w:rPr>
          <w:rFonts w:ascii="Times New Roman" w:hAnsi="Times New Roman" w:cs="Times New Roman"/>
        </w:rPr>
      </w:pPr>
      <w:r w:rsidRPr="00913500">
        <w:rPr>
          <w:rFonts w:ascii="Times New Roman" w:hAnsi="Times New Roman" w:cs="Times New Roman"/>
        </w:rPr>
        <w:t>model predictions.  This reduction may be attributed to in-cage recombination of photoinitiators in the vitrified polymer, which increases light attenuation.  This hypothesis is supported by radiometry results, which show that peak light transmission at 0.1 wt% BAPO is 50% lower than the light transmission through the polymer without any photoinitiator.</w:t>
      </w:r>
    </w:p>
    <w:p w14:paraId="4F525154" w14:textId="77777777" w:rsidR="00D3189E" w:rsidRDefault="00D3189E" w:rsidP="00D3189E">
      <w:pPr>
        <w:spacing w:line="360" w:lineRule="auto"/>
        <w:rPr>
          <w:rFonts w:ascii="Times New Roman" w:hAnsi="Times New Roman" w:cs="Times New Roman"/>
        </w:rPr>
      </w:pPr>
    </w:p>
    <w:p w14:paraId="2F2777B5" w14:textId="0FE08D85" w:rsidR="00C429EC" w:rsidRPr="00913500" w:rsidRDefault="00D3189E" w:rsidP="00FD7C8C">
      <w:pPr>
        <w:widowControl w:val="0"/>
        <w:spacing w:line="360" w:lineRule="auto"/>
        <w:rPr>
          <w:rFonts w:ascii="Times New Roman" w:hAnsi="Times New Roman" w:cs="Times New Roman"/>
        </w:rPr>
      </w:pPr>
      <w:r w:rsidRPr="00913500">
        <w:rPr>
          <w:rFonts w:ascii="Times New Roman" w:hAnsi="Times New Roman" w:cs="Times New Roman"/>
        </w:rPr>
        <w:t xml:space="preserve">Although predicted photoinitiation rates from optical modeling did not match measured polymerization rates, the optical model does offer some utility as a screening tool for </w:t>
      </w:r>
      <w:r w:rsidR="00FD7C8C" w:rsidRPr="00913500">
        <w:rPr>
          <w:rFonts w:ascii="Times New Roman" w:hAnsi="Times New Roman" w:cs="Times New Roman"/>
        </w:rPr>
        <w:t xml:space="preserve">establishing an upper limit initiator concentration.  The tested formulations that cured </w:t>
      </w:r>
    </w:p>
    <w:p w14:paraId="3AE5A9E3" w14:textId="77777777" w:rsidR="005C0A5E" w:rsidRDefault="00913500" w:rsidP="005C0A5E">
      <w:pPr>
        <w:keepNext/>
        <w:spacing w:line="360" w:lineRule="auto"/>
        <w:jc w:val="center"/>
      </w:pPr>
      <w:r w:rsidRPr="00913500">
        <w:rPr>
          <w:rFonts w:ascii="Times New Roman" w:hAnsi="Times New Roman" w:cs="Times New Roman"/>
          <w:noProof/>
        </w:rPr>
        <w:lastRenderedPageBreak/>
        <w:drawing>
          <wp:inline distT="0" distB="0" distL="0" distR="0" wp14:anchorId="15726EF9" wp14:editId="08F28FBA">
            <wp:extent cx="5476629" cy="3968151"/>
            <wp:effectExtent l="0" t="0" r="0" b="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260" t="1840" r="2247" b="3218"/>
                    <a:stretch/>
                  </pic:blipFill>
                  <pic:spPr bwMode="auto">
                    <a:xfrm>
                      <a:off x="0" y="0"/>
                      <a:ext cx="5536430" cy="4011481"/>
                    </a:xfrm>
                    <a:prstGeom prst="rect">
                      <a:avLst/>
                    </a:prstGeom>
                    <a:noFill/>
                    <a:ln>
                      <a:noFill/>
                    </a:ln>
                    <a:extLst>
                      <a:ext uri="{53640926-AAD7-44D8-BBD7-CCE9431645EC}">
                        <a14:shadowObscured xmlns:a14="http://schemas.microsoft.com/office/drawing/2010/main"/>
                      </a:ext>
                    </a:extLst>
                  </pic:spPr>
                </pic:pic>
              </a:graphicData>
            </a:graphic>
          </wp:inline>
        </w:drawing>
      </w:r>
    </w:p>
    <w:p w14:paraId="7FF99313" w14:textId="048FD46F" w:rsidR="00913500" w:rsidRPr="00913500" w:rsidRDefault="005C0A5E" w:rsidP="00F20503">
      <w:pPr>
        <w:pStyle w:val="Caption"/>
      </w:pPr>
      <w:bookmarkStart w:id="180" w:name="_Ref100933011"/>
      <w:bookmarkStart w:id="181" w:name="_Toc101365705"/>
      <w:r>
        <w:t xml:space="preserve">Figure </w:t>
      </w:r>
      <w:r w:rsidR="002F73EC">
        <w:fldChar w:fldCharType="begin"/>
      </w:r>
      <w:r w:rsidR="002F73EC">
        <w:instrText xml:space="preserve"> SEQ Figure \* ARABIC </w:instrText>
      </w:r>
      <w:r w:rsidR="002F73EC">
        <w:fldChar w:fldCharType="separate"/>
      </w:r>
      <w:r w:rsidR="00BF5717">
        <w:rPr>
          <w:noProof/>
        </w:rPr>
        <w:t>43</w:t>
      </w:r>
      <w:r w:rsidR="002F73EC">
        <w:rPr>
          <w:noProof/>
        </w:rPr>
        <w:fldChar w:fldCharType="end"/>
      </w:r>
      <w:bookmarkEnd w:id="180"/>
      <w:r>
        <w:t xml:space="preserve"> </w:t>
      </w:r>
      <w:r w:rsidRPr="00913500">
        <w:t>Predicted transmitted light intensity at t=0 across the 3.0 mm polymer depth, at 398 nm wavelength and an incident light intensity of 380 mW/cm</w:t>
      </w:r>
      <w:r w:rsidRPr="00913500">
        <w:rPr>
          <w:vertAlign w:val="superscript"/>
        </w:rPr>
        <w:t>2</w:t>
      </w:r>
      <w:r w:rsidRPr="00913500">
        <w:t>.</w:t>
      </w:r>
      <w:bookmarkEnd w:id="181"/>
    </w:p>
    <w:p w14:paraId="6C295A5E" w14:textId="084F1136" w:rsidR="00913500" w:rsidRPr="00913500" w:rsidRDefault="00913500" w:rsidP="00322976">
      <w:pPr>
        <w:keepNext/>
        <w:spacing w:line="360" w:lineRule="auto"/>
        <w:jc w:val="center"/>
        <w:rPr>
          <w:rFonts w:ascii="Times New Roman" w:hAnsi="Times New Roman" w:cs="Times New Roman"/>
        </w:rPr>
      </w:pPr>
    </w:p>
    <w:p w14:paraId="1CA67F4A" w14:textId="77777777" w:rsidR="00D70EAD" w:rsidRDefault="00D70EAD" w:rsidP="00913500">
      <w:pPr>
        <w:spacing w:line="360" w:lineRule="auto"/>
        <w:rPr>
          <w:rFonts w:ascii="Times New Roman" w:hAnsi="Times New Roman" w:cs="Times New Roman"/>
        </w:rPr>
      </w:pPr>
    </w:p>
    <w:p w14:paraId="289358F0" w14:textId="77777777" w:rsidR="00D70EAD" w:rsidRDefault="00D70EAD" w:rsidP="00913500">
      <w:pPr>
        <w:spacing w:line="360" w:lineRule="auto"/>
        <w:rPr>
          <w:rFonts w:ascii="Times New Roman" w:hAnsi="Times New Roman" w:cs="Times New Roman"/>
        </w:rPr>
      </w:pPr>
    </w:p>
    <w:p w14:paraId="033088FB" w14:textId="77777777" w:rsidR="00D70EAD" w:rsidRDefault="00D70EAD" w:rsidP="00913500">
      <w:pPr>
        <w:spacing w:line="360" w:lineRule="auto"/>
        <w:rPr>
          <w:rFonts w:ascii="Times New Roman" w:hAnsi="Times New Roman" w:cs="Times New Roman"/>
        </w:rPr>
      </w:pPr>
    </w:p>
    <w:p w14:paraId="43DB2588" w14:textId="77777777" w:rsidR="00D70EAD" w:rsidRDefault="00D70EAD" w:rsidP="00913500">
      <w:pPr>
        <w:spacing w:line="360" w:lineRule="auto"/>
        <w:rPr>
          <w:rFonts w:ascii="Times New Roman" w:hAnsi="Times New Roman" w:cs="Times New Roman"/>
        </w:rPr>
      </w:pPr>
    </w:p>
    <w:p w14:paraId="11853BFA" w14:textId="77777777" w:rsidR="00D70EAD" w:rsidRDefault="00D70EAD" w:rsidP="00913500">
      <w:pPr>
        <w:spacing w:line="360" w:lineRule="auto"/>
        <w:rPr>
          <w:rFonts w:ascii="Times New Roman" w:hAnsi="Times New Roman" w:cs="Times New Roman"/>
        </w:rPr>
      </w:pPr>
    </w:p>
    <w:p w14:paraId="10CC14E4" w14:textId="34A1EAFA" w:rsidR="00D70EAD" w:rsidRDefault="00D70EAD" w:rsidP="00913500">
      <w:pPr>
        <w:spacing w:line="360" w:lineRule="auto"/>
        <w:rPr>
          <w:rFonts w:ascii="Times New Roman" w:hAnsi="Times New Roman" w:cs="Times New Roman"/>
        </w:rPr>
      </w:pPr>
    </w:p>
    <w:p w14:paraId="42C0537C" w14:textId="674F8DA4" w:rsidR="00FD7C8C" w:rsidRDefault="00FD7C8C" w:rsidP="00913500">
      <w:pPr>
        <w:spacing w:line="360" w:lineRule="auto"/>
        <w:rPr>
          <w:rFonts w:ascii="Times New Roman" w:hAnsi="Times New Roman" w:cs="Times New Roman"/>
        </w:rPr>
      </w:pPr>
    </w:p>
    <w:p w14:paraId="71F9C55C" w14:textId="77777777" w:rsidR="00FD7C8C" w:rsidRDefault="00FD7C8C" w:rsidP="00913500">
      <w:pPr>
        <w:spacing w:line="360" w:lineRule="auto"/>
        <w:rPr>
          <w:rFonts w:ascii="Times New Roman" w:hAnsi="Times New Roman" w:cs="Times New Roman"/>
        </w:rPr>
      </w:pPr>
    </w:p>
    <w:p w14:paraId="35E7E975" w14:textId="39839A72" w:rsidR="00D70EAD" w:rsidRDefault="00D70EAD" w:rsidP="00913500">
      <w:pPr>
        <w:spacing w:line="360" w:lineRule="auto"/>
        <w:rPr>
          <w:rFonts w:ascii="Times New Roman" w:hAnsi="Times New Roman" w:cs="Times New Roman"/>
        </w:rPr>
      </w:pPr>
    </w:p>
    <w:p w14:paraId="08C8CADA" w14:textId="77777777" w:rsidR="005C0A5E" w:rsidRDefault="005C0A5E" w:rsidP="00913500">
      <w:pPr>
        <w:spacing w:line="360" w:lineRule="auto"/>
        <w:rPr>
          <w:rFonts w:ascii="Times New Roman" w:hAnsi="Times New Roman" w:cs="Times New Roman"/>
        </w:rPr>
      </w:pPr>
    </w:p>
    <w:p w14:paraId="59B6506C" w14:textId="77777777" w:rsidR="00D70EAD" w:rsidRDefault="00D70EAD" w:rsidP="00913500">
      <w:pPr>
        <w:spacing w:line="360" w:lineRule="auto"/>
        <w:rPr>
          <w:rFonts w:ascii="Times New Roman" w:hAnsi="Times New Roman" w:cs="Times New Roman"/>
        </w:rPr>
      </w:pPr>
    </w:p>
    <w:p w14:paraId="059DB8A3" w14:textId="6A5E62F4" w:rsidR="00C429EC" w:rsidRPr="00913500" w:rsidRDefault="00FD7C8C" w:rsidP="00913500">
      <w:pPr>
        <w:spacing w:line="360" w:lineRule="auto"/>
        <w:rPr>
          <w:rFonts w:ascii="Times New Roman" w:hAnsi="Times New Roman" w:cs="Times New Roman"/>
        </w:rPr>
      </w:pPr>
      <w:r w:rsidRPr="00913500">
        <w:rPr>
          <w:rFonts w:ascii="Times New Roman" w:hAnsi="Times New Roman" w:cs="Times New Roman"/>
        </w:rPr>
        <w:lastRenderedPageBreak/>
        <w:t>most rapidly through 3 mm thickness also had predicted light transmission &gt; 0</w:t>
      </w:r>
    </w:p>
    <w:p w14:paraId="453CDDD6" w14:textId="630891F3" w:rsid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throughout the thickness at t=0.  For the resin and lamp configuration in this study, an absorbance &lt;1.1 at 3.0 mm depth yielded the most rapid through-thickness cure.  These potential screening tools confirm the importance of balancing PI concentration with PI light absorption to allow the greatest initial light transmission.  </w:t>
      </w:r>
    </w:p>
    <w:p w14:paraId="1B92F5AA" w14:textId="77777777" w:rsidR="00C429EC" w:rsidRPr="00913500" w:rsidRDefault="00C429EC" w:rsidP="00913500">
      <w:pPr>
        <w:spacing w:line="360" w:lineRule="auto"/>
        <w:rPr>
          <w:rFonts w:ascii="Times New Roman" w:hAnsi="Times New Roman" w:cs="Times New Roman"/>
        </w:rPr>
      </w:pPr>
    </w:p>
    <w:p w14:paraId="4B174717" w14:textId="172C59E5" w:rsidR="00913500" w:rsidRPr="00913500" w:rsidRDefault="00913500" w:rsidP="00913500">
      <w:pPr>
        <w:spacing w:line="360" w:lineRule="auto"/>
        <w:rPr>
          <w:rFonts w:ascii="Times New Roman" w:hAnsi="Times New Roman" w:cs="Times New Roman"/>
        </w:rPr>
      </w:pPr>
      <w:r w:rsidRPr="00913500">
        <w:rPr>
          <w:rFonts w:ascii="Times New Roman" w:hAnsi="Times New Roman" w:cs="Times New Roman"/>
        </w:rPr>
        <w:t xml:space="preserve">For a layer thicknesses of 3 mm, this study found that an 80:20 Bis-EMA: PETIA achieved the most rapid through-thickness cure response with BAPO as PI at a concentration of 0.1 wt%.  For the same 3.7 s irradiation, 0.1 wt% BAPO and 0.5 wt% BDMB formulations achieved an average flexural strength &gt;100 MPa and flexural modulus of 3.1 GPa, superior to ABS and well-suited to comparable LFAM applications.  While photobleaching in BAPO appeared to provide minimal benefit under simulated LFAM conditions, the higher molar absorptivity of BAPO relative to BDMB enabled comparable performance at lower concentrations.  With the most rapid through-cure response under irradiation times &lt; 5s, the 0.1 wt% BAPO formulation is recommended over the previously reported 1.0 wt% BDMB formulation for potential LFAM applications.   </w:t>
      </w:r>
    </w:p>
    <w:p w14:paraId="570F09DB" w14:textId="77777777" w:rsidR="00913500" w:rsidRPr="00913500" w:rsidRDefault="00913500" w:rsidP="00DB3040">
      <w:pPr>
        <w:pStyle w:val="Heading2"/>
      </w:pPr>
      <w:bookmarkStart w:id="182" w:name="_Toc101701779"/>
      <w:r w:rsidRPr="00913500">
        <w:t>Acknowledgments</w:t>
      </w:r>
      <w:bookmarkEnd w:id="182"/>
    </w:p>
    <w:p w14:paraId="76FA01DA" w14:textId="4032A8BF" w:rsidR="00913500" w:rsidRDefault="00913500" w:rsidP="00913500">
      <w:pPr>
        <w:spacing w:line="360" w:lineRule="auto"/>
        <w:jc w:val="both"/>
        <w:rPr>
          <w:rFonts w:ascii="Times New Roman" w:hAnsi="Times New Roman" w:cs="Times New Roman"/>
        </w:rPr>
      </w:pPr>
      <w:r w:rsidRPr="00913500">
        <w:rPr>
          <w:rFonts w:ascii="Times New Roman" w:hAnsi="Times New Roman" w:cs="Times New Roman"/>
          <w:iCs/>
          <w:color w:val="000000"/>
        </w:rPr>
        <w:t xml:space="preserve">The authors would like to thank Alex Allen and Jacob Williams for their contributions to this work as undergraduate student interns at the Fibers and Composites Manufacturing Facility at the University of Tennessee, Knoxville.  The funding for this work was provided in part by the Office of Energy Efficiency and Renewable Energy (EERE), U.S. Department of Energy, under Award Number DE-EE0006926 and gratefully acknowledged. </w:t>
      </w:r>
      <w:r w:rsidRPr="00913500">
        <w:rPr>
          <w:rFonts w:ascii="Times New Roman" w:hAnsi="Times New Roman" w:cs="Times New Roman"/>
        </w:rPr>
        <w:t>We thank the Institute of Advanced Composites Manufacturing Innovation (IACMI), Knoxville, TN, USA, for partial support of this work.  We also thank Polynt Composites USA, Allnex, Lambson, and IGM Resins for donating materials.</w:t>
      </w:r>
    </w:p>
    <w:p w14:paraId="7280887E" w14:textId="4CB7CF55" w:rsidR="000D7162" w:rsidRDefault="000D7162" w:rsidP="00913500">
      <w:pPr>
        <w:spacing w:line="360" w:lineRule="auto"/>
        <w:jc w:val="both"/>
        <w:rPr>
          <w:rFonts w:ascii="Times New Roman" w:hAnsi="Times New Roman" w:cs="Times New Roman"/>
        </w:rPr>
      </w:pPr>
    </w:p>
    <w:p w14:paraId="4299BC28" w14:textId="1ED420ED" w:rsidR="000D7162" w:rsidRDefault="000D7162" w:rsidP="00913500">
      <w:pPr>
        <w:spacing w:line="360" w:lineRule="auto"/>
        <w:jc w:val="both"/>
        <w:rPr>
          <w:rFonts w:ascii="Times New Roman" w:hAnsi="Times New Roman" w:cs="Times New Roman"/>
        </w:rPr>
      </w:pPr>
    </w:p>
    <w:p w14:paraId="190ED08D" w14:textId="68635F9A" w:rsidR="00C1521B" w:rsidRDefault="00C1521B" w:rsidP="00913500">
      <w:pPr>
        <w:spacing w:line="360" w:lineRule="auto"/>
        <w:jc w:val="both"/>
        <w:rPr>
          <w:rFonts w:ascii="Times New Roman" w:hAnsi="Times New Roman" w:cs="Times New Roman"/>
        </w:rPr>
      </w:pPr>
    </w:p>
    <w:p w14:paraId="42DD2185" w14:textId="249EA7A3" w:rsidR="00C1521B" w:rsidRDefault="00C1521B" w:rsidP="00BF3517">
      <w:pPr>
        <w:pStyle w:val="AltHeading1"/>
        <w:rPr>
          <w:bCs/>
        </w:rPr>
      </w:pPr>
      <w:bookmarkStart w:id="183" w:name="_Toc101701780"/>
      <w:r w:rsidRPr="00492ADF">
        <w:lastRenderedPageBreak/>
        <w:t xml:space="preserve">CHAPTER </w:t>
      </w:r>
      <w:r w:rsidR="00322976">
        <w:t>I</w:t>
      </w:r>
      <w:r w:rsidRPr="00492ADF">
        <w:t>II</w:t>
      </w:r>
      <w:bookmarkEnd w:id="183"/>
    </w:p>
    <w:p w14:paraId="7492F312" w14:textId="26D75BA7" w:rsidR="00C1521B" w:rsidRDefault="00C1521B" w:rsidP="00BF3517">
      <w:pPr>
        <w:pStyle w:val="AltHeading1"/>
      </w:pPr>
      <w:bookmarkStart w:id="184" w:name="_Toc101701781"/>
      <w:r>
        <w:t>Investigation of multi-layer cure effects in photopolymers towards large format additive manufacturing</w:t>
      </w:r>
      <w:bookmarkEnd w:id="184"/>
    </w:p>
    <w:p w14:paraId="2EE3E638" w14:textId="7803AFEF" w:rsidR="00C1521B" w:rsidRDefault="00C1521B" w:rsidP="00BF3517">
      <w:pPr>
        <w:pStyle w:val="AltHeading1"/>
      </w:pPr>
    </w:p>
    <w:p w14:paraId="40814981" w14:textId="3AEDA012" w:rsidR="00C1521B" w:rsidRDefault="00C1521B" w:rsidP="00BF3517">
      <w:pPr>
        <w:pStyle w:val="AltHeading1"/>
      </w:pPr>
    </w:p>
    <w:p w14:paraId="4922B3F2" w14:textId="535E29D9" w:rsidR="00C1521B" w:rsidRDefault="00C1521B" w:rsidP="00BF3517">
      <w:pPr>
        <w:pStyle w:val="AltHeading1"/>
      </w:pPr>
    </w:p>
    <w:p w14:paraId="5E7848FD" w14:textId="479505F9" w:rsidR="00C1521B" w:rsidRDefault="00C1521B" w:rsidP="00BF3517">
      <w:pPr>
        <w:pStyle w:val="AltHeading1"/>
      </w:pPr>
    </w:p>
    <w:p w14:paraId="3B130929" w14:textId="64532C5B" w:rsidR="00C1521B" w:rsidRDefault="00C1521B" w:rsidP="00BF3517">
      <w:pPr>
        <w:pStyle w:val="AltHeading1"/>
      </w:pPr>
    </w:p>
    <w:p w14:paraId="65D97D51" w14:textId="63A97998" w:rsidR="00C1521B" w:rsidRDefault="00C1521B" w:rsidP="00BF3517">
      <w:pPr>
        <w:pStyle w:val="AltHeading1"/>
      </w:pPr>
    </w:p>
    <w:p w14:paraId="77AAAF01" w14:textId="6A08C40E" w:rsidR="00C1521B" w:rsidRDefault="00C1521B" w:rsidP="00BF3517">
      <w:pPr>
        <w:pStyle w:val="AltHeading1"/>
      </w:pPr>
    </w:p>
    <w:p w14:paraId="6D562F51" w14:textId="1E62154A" w:rsidR="00C1521B" w:rsidRDefault="00C1521B" w:rsidP="00BF3517">
      <w:pPr>
        <w:pStyle w:val="AltHeading1"/>
      </w:pPr>
    </w:p>
    <w:p w14:paraId="33D769DC" w14:textId="6A04FCAE" w:rsidR="00C1521B" w:rsidRDefault="00C1521B" w:rsidP="00BF3517">
      <w:pPr>
        <w:pStyle w:val="AltHeading1"/>
      </w:pPr>
    </w:p>
    <w:p w14:paraId="5C5E7E4B" w14:textId="301FF058" w:rsidR="00C1521B" w:rsidRDefault="00C1521B" w:rsidP="00BF3517">
      <w:pPr>
        <w:pStyle w:val="AltHeading1"/>
      </w:pPr>
    </w:p>
    <w:p w14:paraId="5454256D" w14:textId="3B2CAF0C" w:rsidR="00C1521B" w:rsidRDefault="00C1521B" w:rsidP="00BF3517">
      <w:pPr>
        <w:pStyle w:val="AltHeading1"/>
      </w:pPr>
    </w:p>
    <w:p w14:paraId="3C444124" w14:textId="2183DD7E" w:rsidR="00C1521B" w:rsidRDefault="00C1521B" w:rsidP="00BF3517">
      <w:pPr>
        <w:pStyle w:val="AltHeading1"/>
      </w:pPr>
    </w:p>
    <w:p w14:paraId="5AD4F553" w14:textId="36D46717" w:rsidR="00C1521B" w:rsidRDefault="00C1521B" w:rsidP="00BF3517">
      <w:pPr>
        <w:pStyle w:val="AltHeading1"/>
      </w:pPr>
    </w:p>
    <w:p w14:paraId="0D83B374" w14:textId="1088114E" w:rsidR="00C1521B" w:rsidRDefault="00C1521B" w:rsidP="00BF3517">
      <w:pPr>
        <w:pStyle w:val="AltHeading1"/>
      </w:pPr>
    </w:p>
    <w:p w14:paraId="4F0C9E99" w14:textId="322D3571" w:rsidR="00C1521B" w:rsidRDefault="00C1521B" w:rsidP="00BF3517">
      <w:pPr>
        <w:pStyle w:val="AltHeading1"/>
      </w:pPr>
    </w:p>
    <w:p w14:paraId="0B67EC12" w14:textId="2CD834F9" w:rsidR="00C1521B" w:rsidRDefault="00C1521B" w:rsidP="00BF3517">
      <w:pPr>
        <w:pStyle w:val="AltHeading1"/>
      </w:pPr>
    </w:p>
    <w:p w14:paraId="7D750467" w14:textId="0D36DC5B" w:rsidR="00C1521B" w:rsidRDefault="00C1521B" w:rsidP="00BF3517">
      <w:pPr>
        <w:pStyle w:val="AltHeading1"/>
      </w:pPr>
    </w:p>
    <w:p w14:paraId="0CB04922" w14:textId="61F2480F" w:rsidR="00C1521B" w:rsidRDefault="00C1521B" w:rsidP="00BF3517">
      <w:pPr>
        <w:pStyle w:val="AltHeading1"/>
      </w:pPr>
    </w:p>
    <w:p w14:paraId="26C355D2" w14:textId="2EC0221F" w:rsidR="00C1521B" w:rsidRDefault="00C1521B" w:rsidP="00BF3517">
      <w:pPr>
        <w:pStyle w:val="AltHeading1"/>
      </w:pPr>
    </w:p>
    <w:p w14:paraId="1BE9C805" w14:textId="77777777" w:rsidR="00C1521B" w:rsidRPr="00DF4119" w:rsidRDefault="00C1521B" w:rsidP="00BF3517">
      <w:pPr>
        <w:pStyle w:val="AltHeading1"/>
      </w:pPr>
    </w:p>
    <w:p w14:paraId="7134600A" w14:textId="2E1DABCF" w:rsidR="00322976" w:rsidRPr="00DF7C87" w:rsidRDefault="00322976" w:rsidP="00322976">
      <w:pPr>
        <w:spacing w:line="360" w:lineRule="auto"/>
        <w:rPr>
          <w:rFonts w:ascii="Times New Roman" w:hAnsi="Times New Roman" w:cs="Times New Roman"/>
        </w:rPr>
      </w:pPr>
      <w:r w:rsidRPr="00DF7C87">
        <w:rPr>
          <w:rFonts w:ascii="Times New Roman" w:hAnsi="Times New Roman" w:cs="Times New Roman"/>
        </w:rPr>
        <w:lastRenderedPageBreak/>
        <w:t xml:space="preserve">A version of this chapter was originally </w:t>
      </w:r>
      <w:r>
        <w:rPr>
          <w:rFonts w:ascii="Times New Roman" w:hAnsi="Times New Roman" w:cs="Times New Roman"/>
        </w:rPr>
        <w:t>prepared for publication</w:t>
      </w:r>
      <w:r w:rsidRPr="00DF7C87">
        <w:rPr>
          <w:rFonts w:ascii="Times New Roman" w:hAnsi="Times New Roman" w:cs="Times New Roman"/>
        </w:rPr>
        <w:t xml:space="preserve"> by </w:t>
      </w:r>
      <w:r>
        <w:rPr>
          <w:rFonts w:ascii="Times New Roman" w:hAnsi="Times New Roman" w:cs="Times New Roman"/>
        </w:rPr>
        <w:t xml:space="preserve">Alexander Stiles, Vivek Chawla, Dayakar Penumadu, Liam Pruitt, </w:t>
      </w:r>
      <w:r w:rsidR="00357DDF">
        <w:rPr>
          <w:rFonts w:ascii="Times New Roman" w:hAnsi="Times New Roman" w:cs="Times New Roman"/>
        </w:rPr>
        <w:t xml:space="preserve">Jacob Williams, </w:t>
      </w:r>
      <w:r>
        <w:rPr>
          <w:rFonts w:ascii="Times New Roman" w:hAnsi="Times New Roman" w:cs="Times New Roman"/>
        </w:rPr>
        <w:t>and Uday Vaidya</w:t>
      </w:r>
      <w:r w:rsidRPr="00DF7C87">
        <w:rPr>
          <w:rFonts w:ascii="Times New Roman" w:hAnsi="Times New Roman" w:cs="Times New Roman"/>
        </w:rPr>
        <w:t>:</w:t>
      </w:r>
    </w:p>
    <w:p w14:paraId="015563BC" w14:textId="77777777" w:rsidR="00322976" w:rsidRDefault="00322976" w:rsidP="00322976">
      <w:pPr>
        <w:spacing w:line="360" w:lineRule="auto"/>
        <w:rPr>
          <w:rFonts w:ascii="Times New Roman" w:hAnsi="Times New Roman" w:cs="Times New Roman"/>
        </w:rPr>
      </w:pPr>
    </w:p>
    <w:p w14:paraId="43DFDFC4" w14:textId="53855452" w:rsidR="00322976" w:rsidRPr="00DF7C87" w:rsidRDefault="00322976" w:rsidP="00322976">
      <w:pPr>
        <w:spacing w:line="360" w:lineRule="auto"/>
        <w:rPr>
          <w:rFonts w:ascii="Times New Roman" w:hAnsi="Times New Roman" w:cs="Times New Roman"/>
        </w:rPr>
      </w:pPr>
      <w:r>
        <w:rPr>
          <w:rFonts w:ascii="Times New Roman" w:hAnsi="Times New Roman" w:cs="Times New Roman"/>
        </w:rPr>
        <w:t>This manuscript has not yet been submitted for publication.</w:t>
      </w:r>
    </w:p>
    <w:p w14:paraId="7E982C15" w14:textId="759320D8" w:rsidR="00322976" w:rsidRPr="00B00A40" w:rsidRDefault="00322976" w:rsidP="00322976">
      <w:pPr>
        <w:shd w:val="clear" w:color="auto" w:fill="FFFFFF"/>
        <w:spacing w:beforeAutospacing="1" w:afterAutospacing="1" w:line="360" w:lineRule="auto"/>
        <w:textAlignment w:val="baseline"/>
        <w:rPr>
          <w:rFonts w:ascii="Times New Roman" w:hAnsi="Times New Roman" w:cs="Times New Roman"/>
        </w:rPr>
      </w:pPr>
      <w:r w:rsidRPr="00B00A40">
        <w:rPr>
          <w:rFonts w:ascii="Times New Roman" w:hAnsi="Times New Roman" w:cs="Times New Roman"/>
        </w:rPr>
        <w:t>Alex</w:t>
      </w:r>
      <w:r>
        <w:rPr>
          <w:rFonts w:ascii="Times New Roman" w:hAnsi="Times New Roman" w:cs="Times New Roman"/>
        </w:rPr>
        <w:t>ander</w:t>
      </w:r>
      <w:r w:rsidRPr="00B00A40">
        <w:rPr>
          <w:rFonts w:ascii="Times New Roman" w:hAnsi="Times New Roman" w:cs="Times New Roman"/>
        </w:rPr>
        <w:t xml:space="preserve"> Stiles </w:t>
      </w:r>
      <w:r>
        <w:rPr>
          <w:rFonts w:ascii="Times New Roman" w:hAnsi="Times New Roman" w:cs="Times New Roman"/>
        </w:rPr>
        <w:t>was the involved in the c</w:t>
      </w:r>
      <w:r w:rsidRPr="00B00A40">
        <w:rPr>
          <w:rFonts w:ascii="Times New Roman" w:hAnsi="Times New Roman" w:cs="Times New Roman"/>
        </w:rPr>
        <w:t xml:space="preserve">onceptualization, </w:t>
      </w:r>
      <w:r>
        <w:rPr>
          <w:rFonts w:ascii="Times New Roman" w:hAnsi="Times New Roman" w:cs="Times New Roman"/>
        </w:rPr>
        <w:t>i</w:t>
      </w:r>
      <w:r w:rsidRPr="00B00A40">
        <w:rPr>
          <w:rFonts w:ascii="Times New Roman" w:hAnsi="Times New Roman" w:cs="Times New Roman"/>
        </w:rPr>
        <w:t xml:space="preserve">nvestigation, </w:t>
      </w:r>
      <w:r>
        <w:rPr>
          <w:rFonts w:ascii="Times New Roman" w:hAnsi="Times New Roman" w:cs="Times New Roman"/>
        </w:rPr>
        <w:t>f</w:t>
      </w:r>
      <w:r w:rsidRPr="00B00A40">
        <w:rPr>
          <w:rFonts w:ascii="Times New Roman" w:hAnsi="Times New Roman" w:cs="Times New Roman"/>
        </w:rPr>
        <w:t xml:space="preserve">ormal </w:t>
      </w:r>
      <w:r>
        <w:rPr>
          <w:rFonts w:ascii="Times New Roman" w:hAnsi="Times New Roman" w:cs="Times New Roman"/>
        </w:rPr>
        <w:t>a</w:t>
      </w:r>
      <w:r w:rsidRPr="00B00A40">
        <w:rPr>
          <w:rFonts w:ascii="Times New Roman" w:hAnsi="Times New Roman" w:cs="Times New Roman"/>
        </w:rPr>
        <w:t xml:space="preserve">nalysis, </w:t>
      </w:r>
      <w:r>
        <w:rPr>
          <w:rFonts w:ascii="Times New Roman" w:hAnsi="Times New Roman" w:cs="Times New Roman"/>
        </w:rPr>
        <w:t>v</w:t>
      </w:r>
      <w:r w:rsidRPr="00B00A40">
        <w:rPr>
          <w:rFonts w:ascii="Times New Roman" w:hAnsi="Times New Roman" w:cs="Times New Roman"/>
        </w:rPr>
        <w:t xml:space="preserve">isualization, </w:t>
      </w:r>
      <w:r>
        <w:rPr>
          <w:rFonts w:ascii="Times New Roman" w:hAnsi="Times New Roman" w:cs="Times New Roman"/>
        </w:rPr>
        <w:t>and w</w:t>
      </w:r>
      <w:r w:rsidRPr="00B00A40">
        <w:rPr>
          <w:rFonts w:ascii="Times New Roman" w:hAnsi="Times New Roman" w:cs="Times New Roman"/>
        </w:rPr>
        <w:t>riting</w:t>
      </w:r>
      <w:r>
        <w:rPr>
          <w:rFonts w:ascii="Times New Roman" w:hAnsi="Times New Roman" w:cs="Times New Roman"/>
        </w:rPr>
        <w:t xml:space="preserve"> of this publication.  He wrote the</w:t>
      </w:r>
      <w:r w:rsidRPr="00B00A40">
        <w:rPr>
          <w:rFonts w:ascii="Times New Roman" w:hAnsi="Times New Roman" w:cs="Times New Roman"/>
        </w:rPr>
        <w:t xml:space="preserve"> </w:t>
      </w:r>
      <w:r>
        <w:rPr>
          <w:rFonts w:ascii="Times New Roman" w:hAnsi="Times New Roman" w:cs="Times New Roman"/>
        </w:rPr>
        <w:t>o</w:t>
      </w:r>
      <w:r w:rsidRPr="00B00A40">
        <w:rPr>
          <w:rFonts w:ascii="Times New Roman" w:hAnsi="Times New Roman" w:cs="Times New Roman"/>
        </w:rPr>
        <w:t xml:space="preserve">riginal </w:t>
      </w:r>
      <w:r>
        <w:rPr>
          <w:rFonts w:ascii="Times New Roman" w:hAnsi="Times New Roman" w:cs="Times New Roman"/>
        </w:rPr>
        <w:t>d</w:t>
      </w:r>
      <w:r w:rsidRPr="00B00A40">
        <w:rPr>
          <w:rFonts w:ascii="Times New Roman" w:hAnsi="Times New Roman" w:cs="Times New Roman"/>
        </w:rPr>
        <w:t>raft,</w:t>
      </w:r>
      <w:r>
        <w:rPr>
          <w:rFonts w:ascii="Times New Roman" w:hAnsi="Times New Roman" w:cs="Times New Roman"/>
        </w:rPr>
        <w:t xml:space="preserve"> as well as reviewing and editing in all drafts through to submission and publication.  </w:t>
      </w:r>
      <w:r w:rsidR="00293FDA">
        <w:rPr>
          <w:rFonts w:ascii="Times New Roman" w:hAnsi="Times New Roman" w:cs="Times New Roman"/>
        </w:rPr>
        <w:t>Vivek Chawla</w:t>
      </w:r>
      <w:r>
        <w:rPr>
          <w:rFonts w:ascii="Times New Roman" w:hAnsi="Times New Roman" w:cs="Times New Roman"/>
        </w:rPr>
        <w:t xml:space="preserve"> </w:t>
      </w:r>
      <w:r w:rsidR="00293FDA">
        <w:rPr>
          <w:rFonts w:ascii="Times New Roman" w:hAnsi="Times New Roman" w:cs="Times New Roman"/>
        </w:rPr>
        <w:t>and Dayakar Penumadu were involved in developing the nanoindentation procedure</w:t>
      </w:r>
      <w:r>
        <w:rPr>
          <w:rFonts w:ascii="Times New Roman" w:hAnsi="Times New Roman" w:cs="Times New Roman"/>
        </w:rPr>
        <w:t>.</w:t>
      </w:r>
      <w:r w:rsidR="00357DDF">
        <w:rPr>
          <w:rFonts w:ascii="Times New Roman" w:hAnsi="Times New Roman" w:cs="Times New Roman"/>
        </w:rPr>
        <w:t xml:space="preserve">  Vivek Chawla also conducted the nanoindentation testing and helped with analysis.</w:t>
      </w:r>
      <w:r>
        <w:rPr>
          <w:rFonts w:ascii="Times New Roman" w:hAnsi="Times New Roman" w:cs="Times New Roman"/>
        </w:rPr>
        <w:t xml:space="preserve"> Liam Pruitt was involved in preparing photopolymer formulations and FTIR investigation</w:t>
      </w:r>
      <w:r w:rsidR="00357DDF">
        <w:rPr>
          <w:rFonts w:ascii="Times New Roman" w:hAnsi="Times New Roman" w:cs="Times New Roman"/>
        </w:rPr>
        <w:t xml:space="preserve">, as well as </w:t>
      </w:r>
      <w:r w:rsidR="001C3978">
        <w:rPr>
          <w:rFonts w:ascii="Times New Roman" w:hAnsi="Times New Roman" w:cs="Times New Roman"/>
        </w:rPr>
        <w:t>nanoindentation analysis and microscopy</w:t>
      </w:r>
      <w:r>
        <w:rPr>
          <w:rFonts w:ascii="Times New Roman" w:hAnsi="Times New Roman" w:cs="Times New Roman"/>
        </w:rPr>
        <w:t>.</w:t>
      </w:r>
      <w:r w:rsidR="001C3978">
        <w:rPr>
          <w:rFonts w:ascii="Times New Roman" w:hAnsi="Times New Roman" w:cs="Times New Roman"/>
        </w:rPr>
        <w:t xml:space="preserve">  Jacob Williams prepared the fiberglass composite panels, conducted ILSS testing and performed some ILSS analysis.</w:t>
      </w:r>
      <w:r>
        <w:rPr>
          <w:rFonts w:ascii="Times New Roman" w:hAnsi="Times New Roman" w:cs="Times New Roman"/>
        </w:rPr>
        <w:t xml:space="preserve">  </w:t>
      </w:r>
      <w:r w:rsidRPr="00B00A40">
        <w:rPr>
          <w:rFonts w:ascii="Times New Roman" w:hAnsi="Times New Roman" w:cs="Times New Roman"/>
        </w:rPr>
        <w:t>Uday Vaidya</w:t>
      </w:r>
      <w:r>
        <w:rPr>
          <w:rFonts w:ascii="Times New Roman" w:hAnsi="Times New Roman" w:cs="Times New Roman"/>
        </w:rPr>
        <w:t xml:space="preserve"> was responsible for</w:t>
      </w:r>
      <w:r w:rsidRPr="00B00A40">
        <w:rPr>
          <w:rFonts w:ascii="Times New Roman" w:hAnsi="Times New Roman" w:cs="Times New Roman"/>
        </w:rPr>
        <w:t> </w:t>
      </w:r>
      <w:r>
        <w:rPr>
          <w:rFonts w:ascii="Times New Roman" w:hAnsi="Times New Roman" w:cs="Times New Roman"/>
        </w:rPr>
        <w:t>f</w:t>
      </w:r>
      <w:r w:rsidRPr="00B00A40">
        <w:rPr>
          <w:rFonts w:ascii="Times New Roman" w:hAnsi="Times New Roman" w:cs="Times New Roman"/>
        </w:rPr>
        <w:t xml:space="preserve">unding acquisition, </w:t>
      </w:r>
      <w:r>
        <w:rPr>
          <w:rFonts w:ascii="Times New Roman" w:hAnsi="Times New Roman" w:cs="Times New Roman"/>
        </w:rPr>
        <w:t>and r</w:t>
      </w:r>
      <w:r w:rsidRPr="00B00A40">
        <w:rPr>
          <w:rFonts w:ascii="Times New Roman" w:hAnsi="Times New Roman" w:cs="Times New Roman"/>
        </w:rPr>
        <w:t xml:space="preserve">eview &amp; </w:t>
      </w:r>
      <w:r>
        <w:rPr>
          <w:rFonts w:ascii="Times New Roman" w:hAnsi="Times New Roman" w:cs="Times New Roman"/>
        </w:rPr>
        <w:t>e</w:t>
      </w:r>
      <w:r w:rsidRPr="00B00A40">
        <w:rPr>
          <w:rFonts w:ascii="Times New Roman" w:hAnsi="Times New Roman" w:cs="Times New Roman"/>
        </w:rPr>
        <w:t>diting</w:t>
      </w:r>
      <w:r>
        <w:rPr>
          <w:rFonts w:ascii="Times New Roman" w:hAnsi="Times New Roman" w:cs="Times New Roman"/>
        </w:rPr>
        <w:t xml:space="preserve"> of the manuscript drafts.</w:t>
      </w:r>
    </w:p>
    <w:p w14:paraId="4B702982" w14:textId="72AB299A" w:rsidR="00C1521B" w:rsidRDefault="00C1521B" w:rsidP="00C1521B">
      <w:pPr>
        <w:spacing w:line="480" w:lineRule="auto"/>
        <w:rPr>
          <w:rFonts w:ascii="Times New Roman" w:hAnsi="Times New Roman" w:cs="Times New Roman"/>
          <w:b/>
          <w:bCs/>
        </w:rPr>
      </w:pPr>
    </w:p>
    <w:p w14:paraId="2B67E538" w14:textId="4BD15AF4" w:rsidR="00C1521B" w:rsidRDefault="00C1521B" w:rsidP="00C1521B">
      <w:pPr>
        <w:spacing w:line="480" w:lineRule="auto"/>
        <w:rPr>
          <w:rFonts w:ascii="Times New Roman" w:hAnsi="Times New Roman" w:cs="Times New Roman"/>
          <w:b/>
          <w:bCs/>
        </w:rPr>
      </w:pPr>
    </w:p>
    <w:p w14:paraId="399B12AA" w14:textId="0D27DD4D" w:rsidR="00C1521B" w:rsidRDefault="00C1521B" w:rsidP="00C1521B">
      <w:pPr>
        <w:spacing w:line="480" w:lineRule="auto"/>
        <w:rPr>
          <w:rFonts w:ascii="Times New Roman" w:hAnsi="Times New Roman" w:cs="Times New Roman"/>
          <w:b/>
          <w:bCs/>
        </w:rPr>
      </w:pPr>
    </w:p>
    <w:p w14:paraId="4D6188C5" w14:textId="31C8D771" w:rsidR="00C1521B" w:rsidRDefault="00C1521B" w:rsidP="00C1521B">
      <w:pPr>
        <w:spacing w:line="480" w:lineRule="auto"/>
        <w:rPr>
          <w:rFonts w:ascii="Times New Roman" w:hAnsi="Times New Roman" w:cs="Times New Roman"/>
          <w:b/>
          <w:bCs/>
        </w:rPr>
      </w:pPr>
    </w:p>
    <w:p w14:paraId="00FDD6C8" w14:textId="3D00A5D5" w:rsidR="00C1521B" w:rsidRDefault="00C1521B" w:rsidP="00C1521B">
      <w:pPr>
        <w:spacing w:line="480" w:lineRule="auto"/>
        <w:rPr>
          <w:rFonts w:ascii="Times New Roman" w:hAnsi="Times New Roman" w:cs="Times New Roman"/>
          <w:b/>
          <w:bCs/>
        </w:rPr>
      </w:pPr>
    </w:p>
    <w:p w14:paraId="5CE6A043" w14:textId="169F19E9" w:rsidR="00322976" w:rsidRDefault="00322976" w:rsidP="00C1521B">
      <w:pPr>
        <w:spacing w:line="480" w:lineRule="auto"/>
        <w:rPr>
          <w:rFonts w:ascii="Times New Roman" w:hAnsi="Times New Roman" w:cs="Times New Roman"/>
          <w:b/>
          <w:bCs/>
        </w:rPr>
      </w:pPr>
    </w:p>
    <w:p w14:paraId="70B1C4E0" w14:textId="288A28CC" w:rsidR="00322976" w:rsidRDefault="00322976" w:rsidP="00C1521B">
      <w:pPr>
        <w:spacing w:line="480" w:lineRule="auto"/>
        <w:rPr>
          <w:rFonts w:ascii="Times New Roman" w:hAnsi="Times New Roman" w:cs="Times New Roman"/>
          <w:b/>
          <w:bCs/>
        </w:rPr>
      </w:pPr>
    </w:p>
    <w:p w14:paraId="574BE2DD" w14:textId="154B2070" w:rsidR="00322976" w:rsidRDefault="00322976" w:rsidP="00C1521B">
      <w:pPr>
        <w:spacing w:line="480" w:lineRule="auto"/>
        <w:rPr>
          <w:rFonts w:ascii="Times New Roman" w:hAnsi="Times New Roman" w:cs="Times New Roman"/>
          <w:b/>
          <w:bCs/>
        </w:rPr>
      </w:pPr>
    </w:p>
    <w:p w14:paraId="7E282E98" w14:textId="77777777" w:rsidR="00322976" w:rsidRDefault="00322976" w:rsidP="00C1521B">
      <w:pPr>
        <w:spacing w:line="480" w:lineRule="auto"/>
        <w:rPr>
          <w:rFonts w:ascii="Times New Roman" w:hAnsi="Times New Roman" w:cs="Times New Roman"/>
          <w:b/>
          <w:bCs/>
        </w:rPr>
      </w:pPr>
    </w:p>
    <w:p w14:paraId="58E91B60" w14:textId="77777777" w:rsidR="00322976" w:rsidRPr="00C62D5E" w:rsidRDefault="00322976" w:rsidP="00C1521B">
      <w:pPr>
        <w:spacing w:line="480" w:lineRule="auto"/>
        <w:rPr>
          <w:rFonts w:ascii="Times New Roman" w:hAnsi="Times New Roman" w:cs="Times New Roman"/>
          <w:b/>
          <w:bCs/>
        </w:rPr>
      </w:pPr>
    </w:p>
    <w:p w14:paraId="62799314" w14:textId="77777777" w:rsidR="00C1521B" w:rsidRDefault="00C1521B" w:rsidP="00C1521B">
      <w:pPr>
        <w:spacing w:line="480" w:lineRule="auto"/>
        <w:rPr>
          <w:rFonts w:ascii="Times New Roman" w:hAnsi="Times New Roman" w:cs="Times New Roman"/>
          <w:b/>
          <w:bCs/>
        </w:rPr>
      </w:pPr>
    </w:p>
    <w:p w14:paraId="6D0C59F4" w14:textId="2FD96C3B" w:rsidR="00C1521B" w:rsidRPr="00322976" w:rsidRDefault="00322976" w:rsidP="00DB3040">
      <w:pPr>
        <w:pStyle w:val="Heading2"/>
      </w:pPr>
      <w:bookmarkStart w:id="185" w:name="_Toc101701782"/>
      <w:r w:rsidRPr="00322976">
        <w:lastRenderedPageBreak/>
        <w:t>Abstract</w:t>
      </w:r>
      <w:bookmarkEnd w:id="185"/>
    </w:p>
    <w:p w14:paraId="0DE3D0DE" w14:textId="7B3F0E60" w:rsidR="00C1521B" w:rsidRDefault="00C1521B" w:rsidP="00322976">
      <w:pPr>
        <w:spacing w:line="360" w:lineRule="auto"/>
        <w:rPr>
          <w:rFonts w:ascii="Times New Roman" w:hAnsi="Times New Roman" w:cs="Times New Roman"/>
        </w:rPr>
      </w:pPr>
      <w:r>
        <w:rPr>
          <w:rFonts w:ascii="Times New Roman" w:hAnsi="Times New Roman" w:cs="Times New Roman"/>
        </w:rPr>
        <w:t xml:space="preserve">In layer-based manufacturing methods such as stereolithography and filament winding, photopolymers can achieve greater throughput by relying on multiple irradiation cycles of ultraviolet (UV) light to improve cure in previously deposited layers.  Large format additive manufacturing (LFAM) techniques have recently been developed that also utilize photopolymers, but at the 2-4 mm layer heights typical of LFAM processing, light attenuation may limit the potential multi-irradiation benefit and restrict printer throughput.  </w:t>
      </w:r>
    </w:p>
    <w:p w14:paraId="3D1763F3" w14:textId="77777777" w:rsidR="00322976" w:rsidRDefault="00322976" w:rsidP="00322976">
      <w:pPr>
        <w:spacing w:line="360" w:lineRule="auto"/>
        <w:rPr>
          <w:rFonts w:ascii="Times New Roman" w:hAnsi="Times New Roman" w:cs="Times New Roman"/>
        </w:rPr>
      </w:pPr>
    </w:p>
    <w:p w14:paraId="77D0856C" w14:textId="45622A7B" w:rsidR="00C1521B" w:rsidRDefault="00C1521B" w:rsidP="00322976">
      <w:pPr>
        <w:spacing w:line="360" w:lineRule="auto"/>
        <w:rPr>
          <w:rFonts w:ascii="Times New Roman" w:hAnsi="Times New Roman" w:cs="Times New Roman"/>
        </w:rPr>
      </w:pPr>
      <w:r>
        <w:rPr>
          <w:rFonts w:ascii="Times New Roman" w:hAnsi="Times New Roman" w:cs="Times New Roman"/>
        </w:rPr>
        <w:t>In this study, single layer and 5-layer specimens of vinyl ester photopolymer were irradiated under varying doses of UV light, and cross sections were tested using Fourier-transform infrared spectroscopy (FTIR) microscopy and nanoindentation to measure the cure depth profile.  At a Low Dose of 1.4 J/cm</w:t>
      </w:r>
      <w:r w:rsidRPr="00EB1E9F">
        <w:rPr>
          <w:rFonts w:ascii="Times New Roman" w:hAnsi="Times New Roman" w:cs="Times New Roman"/>
          <w:vertAlign w:val="superscript"/>
        </w:rPr>
        <w:t>2</w:t>
      </w:r>
      <w:r>
        <w:rPr>
          <w:rFonts w:ascii="Times New Roman" w:hAnsi="Times New Roman" w:cs="Times New Roman"/>
        </w:rPr>
        <w:t>, multiple irradiation cycles improved the degree of conversion (DC) on the bottom surface from 25% DC to 33% DC, but at a High Dose of 5.5 J/cm</w:t>
      </w:r>
      <w:r w:rsidRPr="00EB1E9F">
        <w:rPr>
          <w:rFonts w:ascii="Times New Roman" w:hAnsi="Times New Roman" w:cs="Times New Roman"/>
          <w:vertAlign w:val="superscript"/>
        </w:rPr>
        <w:t>2</w:t>
      </w:r>
      <w:r>
        <w:rPr>
          <w:rFonts w:ascii="Times New Roman" w:hAnsi="Times New Roman" w:cs="Times New Roman"/>
        </w:rPr>
        <w:t xml:space="preserve"> multiple irradiations had no measurable effect.  A cure gradient was present in each layer for all tested UV doses, although at the High Dose a plateau region of 80% DC extended to 2 mm depth.  </w:t>
      </w:r>
    </w:p>
    <w:p w14:paraId="62049C47" w14:textId="77777777" w:rsidR="00322976" w:rsidRDefault="00322976" w:rsidP="00322976">
      <w:pPr>
        <w:spacing w:line="360" w:lineRule="auto"/>
        <w:rPr>
          <w:rFonts w:ascii="Times New Roman" w:hAnsi="Times New Roman" w:cs="Times New Roman"/>
        </w:rPr>
      </w:pPr>
    </w:p>
    <w:p w14:paraId="7A9FEE66" w14:textId="5EA495EF" w:rsidR="00322976" w:rsidRDefault="00C1521B" w:rsidP="00322976">
      <w:pPr>
        <w:spacing w:line="360" w:lineRule="auto"/>
        <w:rPr>
          <w:rFonts w:ascii="Times New Roman" w:hAnsi="Times New Roman" w:cs="Times New Roman"/>
        </w:rPr>
      </w:pPr>
      <w:r>
        <w:rPr>
          <w:rFonts w:ascii="Times New Roman" w:hAnsi="Times New Roman" w:cs="Times New Roman"/>
        </w:rPr>
        <w:t xml:space="preserve">Fiberglass composites were also prepared at 3 mm thickness and exposed to the same UV doses, in 1 Layer and 2 Layer configurations simulating an LFAM process.  As with the unreinforced photopolymers, nanoindentation results showed a larger cure gradient with Low Dose versus a High Dose, with no clear beneficial effect from multiple irradiations.  At High Dose with a post cure, the interlaminar shear strength in the 2 Layer specimen averaged 29.4 MPa, and fracture occurred within the laminate instead of at the layer interface.  This study demonstrates that, while cure gradients exist in photopolymers cured at 3 mm thickness, this can be controlled with processing conditions and high bond strength between layers can be achieved.  </w:t>
      </w:r>
    </w:p>
    <w:p w14:paraId="6B18E0F1" w14:textId="77777777" w:rsidR="00322976" w:rsidRPr="00322976" w:rsidRDefault="00322976" w:rsidP="00322976">
      <w:pPr>
        <w:spacing w:line="360" w:lineRule="auto"/>
        <w:rPr>
          <w:rFonts w:ascii="Times New Roman" w:hAnsi="Times New Roman" w:cs="Times New Roman"/>
        </w:rPr>
      </w:pPr>
    </w:p>
    <w:p w14:paraId="0B082A17" w14:textId="77777777" w:rsidR="00C1521B" w:rsidRPr="00E25C57" w:rsidRDefault="00C1521B" w:rsidP="00322976">
      <w:pPr>
        <w:spacing w:line="360" w:lineRule="auto"/>
        <w:rPr>
          <w:rFonts w:ascii="Times New Roman" w:hAnsi="Times New Roman" w:cs="Times New Roman"/>
        </w:rPr>
      </w:pPr>
      <w:r w:rsidRPr="00B82618">
        <w:rPr>
          <w:rFonts w:ascii="Times New Roman" w:hAnsi="Times New Roman" w:cs="Times New Roman"/>
          <w:b/>
          <w:bCs/>
        </w:rPr>
        <w:t>Keywords:</w:t>
      </w:r>
      <w:r>
        <w:rPr>
          <w:rFonts w:ascii="Times New Roman" w:hAnsi="Times New Roman" w:cs="Times New Roman"/>
          <w:b/>
          <w:bCs/>
        </w:rPr>
        <w:t xml:space="preserve"> </w:t>
      </w:r>
      <w:r>
        <w:rPr>
          <w:rFonts w:ascii="Times New Roman" w:hAnsi="Times New Roman" w:cs="Times New Roman"/>
        </w:rPr>
        <w:t>Large-scale, additive manufacturing, composite, photopolymer, layer adhesion</w:t>
      </w:r>
    </w:p>
    <w:p w14:paraId="53435CAB" w14:textId="77777777" w:rsidR="00C1521B" w:rsidRDefault="00C1521B" w:rsidP="00DB3040">
      <w:pPr>
        <w:pStyle w:val="Heading2"/>
      </w:pPr>
      <w:bookmarkStart w:id="186" w:name="_Toc101701783"/>
      <w:r w:rsidRPr="0094131D">
        <w:lastRenderedPageBreak/>
        <w:t>1.</w:t>
      </w:r>
      <w:r>
        <w:t>0</w:t>
      </w:r>
      <w:r w:rsidRPr="0094131D">
        <w:t xml:space="preserve"> Introduction</w:t>
      </w:r>
      <w:bookmarkEnd w:id="186"/>
    </w:p>
    <w:p w14:paraId="5A46DB52" w14:textId="204E9E3E" w:rsidR="00C1521B" w:rsidRDefault="00C1521B" w:rsidP="00322976">
      <w:pPr>
        <w:spacing w:line="360" w:lineRule="auto"/>
        <w:rPr>
          <w:rFonts w:ascii="Times New Roman" w:hAnsi="Times New Roman" w:cs="Times New Roman"/>
        </w:rPr>
      </w:pPr>
      <w:r>
        <w:rPr>
          <w:rFonts w:ascii="Times New Roman" w:hAnsi="Times New Roman" w:cs="Times New Roman"/>
        </w:rPr>
        <w:t>Among additive manufacturing (AM) technologies, large format additive manufacturing (LFAM) is emerging as a high throughput process for printing components &gt;1 m</w:t>
      </w:r>
      <w:r w:rsidRPr="00EB1E9F">
        <w:rPr>
          <w:rFonts w:ascii="Times New Roman" w:hAnsi="Times New Roman" w:cs="Times New Roman"/>
          <w:vertAlign w:val="superscript"/>
        </w:rPr>
        <w:t>3</w:t>
      </w:r>
      <w:r w:rsidRPr="00C62D5E">
        <w:rPr>
          <w:rFonts w:ascii="Times New Roman" w:hAnsi="Times New Roman" w:cs="Times New Roman"/>
        </w:rPr>
        <w:t xml:space="preserve"> </w:t>
      </w:r>
      <w:r>
        <w:rPr>
          <w:rFonts w:ascii="Times New Roman" w:hAnsi="Times New Roman" w:cs="Times New Roman"/>
        </w:rPr>
        <w:t xml:space="preserve">in volume </w:t>
      </w:r>
      <w:r w:rsidRPr="00C62D5E">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www.compositesworld.com/articles/a-growing-trend-3d-printing-of-aerospace-tooling","accessed":{"date-parts":[["2017","7","15"]]},"author":[{"dropping-particle":"","family":"Black","given":"Sara","non-dropping-particle":"","parse-names":false,"suffix":""}],"container-title":"CompositesWorld","id":"ITEM-1","issued":{"date-parts":[["2015"]]},"title":"A growing trend: 3D printing of aerospace tooling : CompositesWorld","type":"webpage"},"uris":["http://www.mendeley.com/documents/?uuid=8f82d39e-22be-3e28-badb-0add6702be46"]},{"id":"ITEM-2","itemData":{"author":[{"dropping-particle":"","family":"Brosius","given":"D.","non-dropping-particle":"","parse-names":false,"suffix":""}],"container-title":"Composites World","id":"ITEM-2","issued":{"date-parts":[["2017","11"]]},"title":"Tooling: 3D printing’s “killer app” | CompositesWorld","type":"article-magazine"},"uris":["http://www.mendeley.com/documents/?uuid=a25411c8-36b6-3dce-b024-29b93df7918e"]},{"id":"ITEM-3","itemData":{"author":[{"dropping-particle":"","family":"Hassen","given":"Ahmed","non-dropping-particle":"","parse-names":false,"suffix":""},{"dropping-particle":"","family":"Springfield","given":"Robert","non-dropping-particle":"","parse-names":false,"suffix":""},{"dropping-particle":"","family":"Lindahl","given":"John","non-dropping-particle":"","parse-names":false,"suffix":""},{"dropping-particle":"","family":"Post","given":"Brian","non-dropping-particle":"","parse-names":false,"suffix":""}],"container-title":"CAMX Anaheim","id":"ITEM-3","issued":{"date-parts":[["2016"]]},"title":"The Durability of Large-Scale Additive Manufacturing Composite Molds","type":"paper-conference"},"uris":["http://www.mendeley.com/documents/?uuid=0ddafbd3-f7d6-37af-a8e3-0f2d528436b3"]},{"id":"ITEM-4","itemData":{"author":[{"dropping-particle":"","family":"Kunc","given":"Vlastimil","non-dropping-particle":"","parse-names":false,"suffix":""},{"dropping-particle":"","family":"Lindahl","given":"John","non-dropping-particle":"","parse-names":false,"suffix":""},{"dropping-particle":"","family":"Dinwiddie","given":"Ralph","non-dropping-particle":"","parse-names":false,"suffix":""},{"dropping-particle":"","family":"Post","given":"Brian","non-dropping-particle":"","parse-names":false,"suffix":""}],"container-title":"CAMX Anaheim","id":"ITEM-4","issued":{"date-parts":[["2016"]]},"title":"Investigation of In-Autoclave Additive Manufacturing Composite Tooling","type":"paper-conference"},"uris":["http://www.mendeley.com/documents/?uuid=fdf9fc57-adee-3ddd-90c1-dce4a06a89d4"]}],"mendeley":{"formattedCitation":"[14], [65]–[67]","plainTextFormattedCitation":"[14], [65]–[67]","previouslyFormattedCitation":"[14], [65]–[67]"},"properties":{"noteIndex":0},"schema":"https://github.com/citation-style-language/schema/raw/master/csl-citation.json"}</w:instrText>
      </w:r>
      <w:r w:rsidRPr="00C62D5E">
        <w:rPr>
          <w:rFonts w:ascii="Times New Roman" w:hAnsi="Times New Roman" w:cs="Times New Roman"/>
        </w:rPr>
        <w:fldChar w:fldCharType="separate"/>
      </w:r>
      <w:r w:rsidR="00115FB0" w:rsidRPr="00115FB0">
        <w:rPr>
          <w:rFonts w:ascii="Times New Roman" w:hAnsi="Times New Roman" w:cs="Times New Roman"/>
          <w:noProof/>
        </w:rPr>
        <w:t>[14], [65]–[67]</w:t>
      </w:r>
      <w:r w:rsidRPr="00C62D5E">
        <w:rPr>
          <w:rFonts w:ascii="Times New Roman" w:hAnsi="Times New Roman" w:cs="Times New Roman"/>
        </w:rPr>
        <w:fldChar w:fldCharType="end"/>
      </w:r>
      <w:r w:rsidRPr="00C62D5E">
        <w:rPr>
          <w:rFonts w:ascii="Times New Roman" w:hAnsi="Times New Roman" w:cs="Times New Roman"/>
        </w:rPr>
        <w:t>.</w:t>
      </w:r>
      <w:r>
        <w:rPr>
          <w:rFonts w:ascii="Times New Roman" w:hAnsi="Times New Roman" w:cs="Times New Roman"/>
        </w:rPr>
        <w:t xml:space="preserve">  LFAM printers such as the Big Area Additive Manufacturing (BAAM) system use pellet-based extrusion to deposit thermoplastic materials on a print bed. They are distinct from fused deposition modeling (FDM) printers by virtue of their high deposition rate and correspondingly lower part resolution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As of 201</w:t>
      </w:r>
      <w:r w:rsidR="006F3AB3">
        <w:rPr>
          <w:rFonts w:ascii="Times New Roman" w:hAnsi="Times New Roman" w:cs="Times New Roman"/>
        </w:rPr>
        <w:t>9</w:t>
      </w:r>
      <w:r>
        <w:rPr>
          <w:rFonts w:ascii="Times New Roman" w:hAnsi="Times New Roman" w:cs="Times New Roman"/>
        </w:rPr>
        <w:t xml:space="preserve">, the BAAM had a reported deposition rate up to </w:t>
      </w:r>
      <w:r w:rsidR="006F3AB3">
        <w:rPr>
          <w:rFonts w:ascii="Times New Roman" w:hAnsi="Times New Roman" w:cs="Times New Roman"/>
        </w:rPr>
        <w:t>45</w:t>
      </w:r>
      <w:r w:rsidRPr="00C62D5E">
        <w:rPr>
          <w:rFonts w:ascii="Times New Roman" w:hAnsi="Times New Roman" w:cs="Times New Roman"/>
        </w:rPr>
        <w:t xml:space="preserve"> kg/hr</w:t>
      </w:r>
      <w:r>
        <w:rPr>
          <w:rFonts w:ascii="Times New Roman" w:hAnsi="Times New Roman" w:cs="Times New Roman"/>
        </w:rPr>
        <w:t xml:space="preserve"> </w:t>
      </w:r>
      <w:r>
        <w:rPr>
          <w:rFonts w:ascii="Times New Roman" w:hAnsi="Times New Roman" w:cs="Times New Roman"/>
        </w:rPr>
        <w:fldChar w:fldCharType="begin" w:fldLock="1"/>
      </w:r>
      <w:r w:rsidR="005933CA">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006F3AB3" w:rsidRPr="006F3AB3">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at average layer heights of</w:t>
      </w:r>
      <w:r w:rsidRPr="00E30DE2">
        <w:rPr>
          <w:rFonts w:ascii="Times New Roman" w:hAnsi="Times New Roman" w:cs="Times New Roman"/>
        </w:rPr>
        <w:t xml:space="preserve"> 2 - 4 mm </w:t>
      </w:r>
      <w:r w:rsidRPr="00E30DE2">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sidRPr="00E30DE2">
        <w:rPr>
          <w:rFonts w:ascii="Times New Roman" w:hAnsi="Times New Roman" w:cs="Times New Roman"/>
        </w:rPr>
        <w:fldChar w:fldCharType="separate"/>
      </w:r>
      <w:r w:rsidR="004502D6" w:rsidRPr="004502D6">
        <w:rPr>
          <w:rFonts w:ascii="Times New Roman" w:hAnsi="Times New Roman" w:cs="Times New Roman"/>
          <w:noProof/>
        </w:rPr>
        <w:t>[10]</w:t>
      </w:r>
      <w:r w:rsidRPr="00E30DE2">
        <w:rPr>
          <w:rFonts w:ascii="Times New Roman" w:hAnsi="Times New Roman" w:cs="Times New Roman"/>
        </w:rPr>
        <w:fldChar w:fldCharType="end"/>
      </w:r>
      <w:r w:rsidRPr="00E30DE2">
        <w:rPr>
          <w:rFonts w:ascii="Times New Roman" w:hAnsi="Times New Roman" w:cs="Times New Roman"/>
        </w:rPr>
        <w:t>.</w:t>
      </w:r>
      <w:r>
        <w:rPr>
          <w:rFonts w:ascii="Times New Roman" w:hAnsi="Times New Roman" w:cs="Times New Roman"/>
        </w:rPr>
        <w:t xml:space="preserve">  While thermoplastic</w:t>
      </w:r>
      <w:r w:rsidR="00B665F8">
        <w:rPr>
          <w:rFonts w:ascii="Times New Roman" w:hAnsi="Times New Roman" w:cs="Times New Roman"/>
        </w:rPr>
        <w:t xml:space="preserve"> polymer</w:t>
      </w:r>
      <w:r>
        <w:rPr>
          <w:rFonts w:ascii="Times New Roman" w:hAnsi="Times New Roman" w:cs="Times New Roman"/>
        </w:rPr>
        <w:t xml:space="preserve">-based LFAM methods require heating during deposition, ambient processing is possible with thermoset-based systems such as the Reactive Additive Manufacturing (RAM) printer and the photopolymer-based system developed to print houses at Mighty Buildings </w:t>
      </w:r>
      <w:r w:rsidRPr="00E30DE2">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{"citationItems":[{"id":"ITEM-1","itemData":{"URL":"https://www.compositesworld.com/news/moi-composites-debuts-3d-printed-glass-fiber-boat","accessed":{"date-parts":[["2020","11","19"]]},"id":"ITEM-1","issued":{"date-parts":[["0"]]},"title":"Moi Composites debuts 3D-printed glass fiber boat | CompositesWorld","type":"webpage"},"uris":["http://www.mendeley.com/documents/?uuid=28ac7283-e038-3587-b4e3-3ac7ffe6121a"]},{"id":"ITEM-2","itemData":{"URL":"https://3dprintingindustry.com/news/interview-mighty-buildings-co-founder-sam-ruben-on-gaining-a-30m-investment-and-3d-printing-houses-174712/","accessed":{"date-parts":[["2020","11","19"]]},"id":"ITEM-2","issued":{"date-parts":[["0"]]},"title":"Interview: Mighty Buildings Co-founder Sam Ruben on gaining a $30m investment and 3D printing houses  - 3D Printing Industry","type":"webpage"},"uris":["http://www.mendeley.com/documents/?uuid=d194a2a7-8ecf-3a13-84a9-c12262737fdb"]},{"id":"ITEM-3","itemData":{"DOI":"10.2172/1490578","author":[{"dropping-particle":"","family":"Kunc","given":"Vlastimil","non-dropping-particle":"","parse-names":false,"suffix":""},{"dropping-particle":"","family":"Ilkka","given":"John R.","non-dropping-particle":"","parse-names":false,"suffix":""},{"dropping-particle":"","family":"Voeks","given":"Steven L.","non-dropping-particle":"","parse-names":false,"suffix":""},{"dropping-particle":"","family":"Lindahl","given":"John M.","non-dropping-particle":"","parse-names":false,"suffix":""}],"id":"ITEM-3","issued":{"date-parts":[["2018"]]},"publisher-place":"Oak Ridge","title":"Vinylester and Polyester 3D Printing","type":"article-magazine"},"uris":["http://www.mendeley.com/documents/?uuid=2c7418bd-fc03-382e-8de4-7506d778726b"]}],"mendeley":{"formattedCitation":"[8], [69], [71]","plainTextFormattedCitation":"[8], [69], [71]","previouslyFormattedCitation":"[8], [69], [71]"},"properties":{"noteIndex":0},"schema":"https://github.com/citation-style-language/schema/raw/master/csl-citation.json"}</w:instrText>
      </w:r>
      <w:r w:rsidRPr="00E30DE2">
        <w:rPr>
          <w:rFonts w:ascii="Times New Roman" w:hAnsi="Times New Roman" w:cs="Times New Roman"/>
        </w:rPr>
        <w:fldChar w:fldCharType="separate"/>
      </w:r>
      <w:r w:rsidR="00115FB0" w:rsidRPr="00115FB0">
        <w:rPr>
          <w:rFonts w:ascii="Times New Roman" w:hAnsi="Times New Roman" w:cs="Times New Roman"/>
          <w:noProof/>
        </w:rPr>
        <w:t>[8], [69], [71]</w:t>
      </w:r>
      <w:r w:rsidRPr="00E30DE2">
        <w:rPr>
          <w:rFonts w:ascii="Times New Roman" w:hAnsi="Times New Roman" w:cs="Times New Roman"/>
        </w:rPr>
        <w:fldChar w:fldCharType="end"/>
      </w:r>
      <w:r w:rsidRPr="00E30DE2">
        <w:rPr>
          <w:rFonts w:ascii="Times New Roman" w:hAnsi="Times New Roman" w:cs="Times New Roman"/>
        </w:rPr>
        <w:t>.</w:t>
      </w:r>
      <w:r>
        <w:rPr>
          <w:rFonts w:ascii="Times New Roman" w:hAnsi="Times New Roman" w:cs="Times New Roman"/>
        </w:rPr>
        <w:t xml:space="preserve">  Photopolymer printing is of particular interest because these resin systems can cure within seconds under ultraviolet (UV) radiation even at LFAM layer heights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By curing in-situ, photopolymers also have the potential to overcome thermoset printing issues such as </w:t>
      </w:r>
      <w:r w:rsidRPr="00C62D5E">
        <w:rPr>
          <w:rFonts w:ascii="Times New Roman" w:hAnsi="Times New Roman" w:cs="Times New Roman"/>
        </w:rPr>
        <w:t>limited build height due to wall collapse</w:t>
      </w:r>
      <w:r>
        <w:rPr>
          <w:rFonts w:ascii="Times New Roman" w:hAnsi="Times New Roman" w:cs="Times New Roman"/>
        </w:rPr>
        <w:t xml:space="preserve"> and the need to </w:t>
      </w:r>
      <w:r w:rsidRPr="00C62D5E">
        <w:rPr>
          <w:rFonts w:ascii="Times New Roman" w:hAnsi="Times New Roman" w:cs="Times New Roman"/>
        </w:rPr>
        <w:t xml:space="preserve">balancing cure time </w:t>
      </w:r>
      <w:r>
        <w:rPr>
          <w:rFonts w:ascii="Times New Roman" w:hAnsi="Times New Roman" w:cs="Times New Roman"/>
        </w:rPr>
        <w:t>against exotherm temperatures</w:t>
      </w:r>
      <w:r w:rsidRPr="00C62D5E">
        <w:rPr>
          <w:rFonts w:ascii="Times New Roman" w:hAnsi="Times New Roman" w:cs="Times New Roman"/>
        </w:rPr>
        <w:t xml:space="preserve"> </w:t>
      </w:r>
      <w:r w:rsidR="006F6353">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Manufacturing","id":"ITEM-1","issued":{"date-parts":[["2020","10","3"]]},"page":"101621","publisher":"Elsevier BV","title":"Linking thermoset ink rheology to the stability of 3D-printed structures","type":"article-journal"},"uris":["http://www.mendeley.com/documents/?uuid=87d00141-30b5-398b-8b12-56270c67b765"]},{"id":"ITEM-2","itemData":{"DOI":"10.33599/NASAMPE/S.19.1616","abstract":"Additive manufacturing (AM) of reactive polymer systems involves the deposition of materials at room temperature that either cure during printing through a chemically initiated reaction or require thermal initiation after printing. This presentation focuses on large-scale AM of chemically initiated thermosetting resins to characterize the effects of heat generation, temperature-dependent viscoelasticity, and crosslinking on the printing process. Real-time tracking of both temperature and cure fronts during the build process were investigated using infrared (IR) and optical vision systems in combination with selected material dyes. Heat generation within the previously-deposited layers was observed to cause significant reduction in the storage modulus (G’) and viscosity of newly-deposited layers, resulting in bead instabilities and failure of the print. Quantitative experimental observations on thin-wall structures suggest strategies for mitigating this failure mode through selection of print parameters and tailoring of viscoelastic properties of the feedstock resin.","author":[{"dropping-particle":"","family":"Romberg","given":"Stian K.","non-dropping-particle":"","parse-names":false,"suffix":""},{"dropping-particle":"","family":"Hershey","given":"Christopher J.","non-dropping-particle":"","parse-names":false,"suffix":""},{"dropping-particle":"","family":"Lindahl","given":"John M.","non-dropping-particle":"","parse-names":false,"suffix":""},{"dropping-particle":"","family":"Carter","given":"William","non-dropping-particle":"","parse-names":false,"suffix":""},{"dropping-particle":"","family":"Compton","given":"Brett G.","non-dropping-particle":"","parse-names":false,"suffix":""},{"dropping-particle":"","family":"Kunc","given":"Vlastimil","non-dropping-particle":"","parse-names":false,"suffix":""}],"container-title":"International SAMPE Technical Conference","id":"ITEM-2","issued":{"date-parts":[["2019"]]},"publisher":"Soc. for the Advancement of Material and Process Engineering","title":"Large-scale additive manufacturing of highly exothermic reactive polymer systems","type":"article-journal","volume":"2019-May"},"uris":["http://www.mendeley.com/documents/?uuid=a6694108-e040-304d-99d9-94793e9b7d63"]},{"id":"ITEM-3","itemData":{"DOI":"10.1016/J.ADDMA.2022.102677","ISSN":"2214-8604","author":[{"dropping-particle":"","family":"Romberg","given":"Stian K.","non-dropping-particle":"","parse-names":false,"suffix":""},{"dropping-particle":"","family":"Abir","given":"Abrian I.","non-dropping-particle":"","parse-names":false,"suffix":""},{"dropping-particle":"","family":"Hershey","given":"Christopher J.","non-dropping-particle":"","parse-names":false,"suffix":""},{"dropping-particle":"","family":"Kunc","given":"Vlastimil","non-dropping-particle":"","parse-names":false,"suffix":""},{"dropping-particle":"","family":"Compton","given":"Brett G.","non-dropping-particle":"","parse-names":false,"suffix":""}],"container-title":"Additive Manufacturing","id":"ITEM-3","issued":{"date-parts":[["2022","5","1"]]},"page":"102677","publisher":"Elsevier","title":"Structural stability of thin overhanging walls during material extrusion additive manufacturing of thermoset-based ink","type":"article-journal","volume":"53"},"uris":["http://www.mendeley.com/documents/?uuid=e7f0c18d-77a6-3c43-9b72-8230b7790583"]}],"mendeley":{"formattedCitation":"[86], [136], [137]","plainTextFormattedCitation":"[86], [136], [137]","previouslyFormattedCitation":"[86], [136], [137]"},"properties":{"noteIndex":0},"schema":"https://github.com/citation-style-language/schema/raw/master/csl-citation.json"}</w:instrText>
      </w:r>
      <w:r w:rsidR="006F6353">
        <w:rPr>
          <w:rFonts w:ascii="Times New Roman" w:hAnsi="Times New Roman" w:cs="Times New Roman"/>
        </w:rPr>
        <w:fldChar w:fldCharType="separate"/>
      </w:r>
      <w:r w:rsidR="00280E34" w:rsidRPr="00280E34">
        <w:rPr>
          <w:rFonts w:ascii="Times New Roman" w:hAnsi="Times New Roman" w:cs="Times New Roman"/>
          <w:noProof/>
        </w:rPr>
        <w:t>[86], [136], [137]</w:t>
      </w:r>
      <w:r w:rsidR="006F6353">
        <w:rPr>
          <w:rFonts w:ascii="Times New Roman" w:hAnsi="Times New Roman" w:cs="Times New Roman"/>
        </w:rPr>
        <w:fldChar w:fldCharType="end"/>
      </w:r>
      <w:r w:rsidR="006F6353">
        <w:rPr>
          <w:rFonts w:ascii="Times New Roman" w:hAnsi="Times New Roman" w:cs="Times New Roman"/>
        </w:rPr>
        <w:t>.</w:t>
      </w:r>
      <w:r>
        <w:rPr>
          <w:rFonts w:ascii="Times New Roman" w:hAnsi="Times New Roman" w:cs="Times New Roman"/>
        </w:rPr>
        <w:t xml:space="preserve">  </w:t>
      </w:r>
    </w:p>
    <w:p w14:paraId="1E36ECCC" w14:textId="77777777" w:rsidR="00322976" w:rsidRPr="00D708A4" w:rsidRDefault="00322976" w:rsidP="00322976">
      <w:pPr>
        <w:spacing w:line="360" w:lineRule="auto"/>
        <w:rPr>
          <w:rFonts w:ascii="Times New Roman" w:hAnsi="Times New Roman" w:cs="Times New Roman"/>
        </w:rPr>
      </w:pPr>
    </w:p>
    <w:p w14:paraId="6B58B267" w14:textId="5613E4F2" w:rsidR="00C1521B" w:rsidRDefault="00C1521B" w:rsidP="00322976">
      <w:pPr>
        <w:spacing w:line="360" w:lineRule="auto"/>
        <w:rPr>
          <w:rFonts w:ascii="Times New Roman" w:hAnsi="Times New Roman" w:cs="Times New Roman"/>
        </w:rPr>
      </w:pPr>
      <w:r>
        <w:rPr>
          <w:rFonts w:ascii="Times New Roman" w:hAnsi="Times New Roman" w:cs="Times New Roman"/>
        </w:rPr>
        <w:t xml:space="preserve">In LFAM applications, a polymer is often blended with additives to adjust viscosity and flow characteristics and/or improve mechanical properties.  For thermoplastic printing in particular, fiber reinforcements such as carbon fiber help ensure strong layer adhesion by reducing warp in printed beads </w:t>
      </w:r>
      <w:r>
        <w:rPr>
          <w:rFonts w:ascii="Times New Roman" w:hAnsi="Times New Roman" w:cs="Times New Roman"/>
        </w:rPr>
        <w:fldChar w:fldCharType="begin" w:fldLock="1"/>
      </w:r>
      <w:r w:rsidR="00280E34">
        <w:rPr>
          <w:rFonts w:ascii="Times New Roman" w:hAnsi="Times New Roman" w:cs="Times New Roman"/>
        </w:rPr>
        <w:instrText xml:space="preserve">ADDIN CSL_CITATION {"citationItems":[{"id":"ITEM-1","itemData":{"DOI":"10.1016/J.JMAPRO.2018.08.008","ISSN":"1526-6125","abstract":"This article presents a practical model for evaluating polymer feedstock materials as candidates for 3D printing across a variety of extrusion-based platforms. In order for a material to be successfully utilized for 3D printing operations, a series of fundamental conditions must be met. First, pressure-driven extrusion must occur through a given diameter nozzle at a specified flow rate. Second, the extruded material must form and sustain the desired shape. Third, the extruded structure must be able to bridge a specified gap and serve as a mechanically sound foundation for successive deposits. Finally, the deposited structure must be dimensionally stable during the transition to the final state (i.e. fully cured at room temperature). This article presents a framework for extrusion-based printing and a simple viscoelastic model for each of these conditions based on the rheological and thermo-physical properties of the candidate material and the processing parameters of the extrusion-based deposition platform. The model is demonstrated to be a useful tool for the evaluation of example test cases including: high temperature thermoplastics (polyphenylsulfone), fiber reinforced thermoplastics (acrylonitrile butadiene styrene), low-viscosity thermosets (epoxy resins), and thermoplastics with a high coefficient of thermal expansion (polypropylene).","author":[{"dropping-particle":"","family":"Duty","given":"Chad","non-dropping-particle":"","parse-names":false,"suffix":""},{"dropping-particle":"","family":"Ajinjeru","given":"Christine","non-dropping-particle":"","parse-names":false,"suffix":""},{"dropping-particle":"","family":"Kishore","given":"Vidya","non-dropping-particle":"","parse-names":false,"suffix":""},{"dropping-particle":"","family":"Compton","given":"Brett","non-dropping-particle":"","parse-names":false,"suffix":""},{"dropping-particle":"","family":"Hmeidat","given":"Nadim","non-dropping-particle":"","parse-names":false,"suffix":""},{"dropping-particle":"","family":"Chen","given":"Xun","non-dropping-particle":"","parse-names":false,"suffix":""},{"dropping-particle":"","family":"Liu","given":"Peng","non-dropping-particle":"","parse-names":false,"suffix":""},{"dropping-particle":"","family":"Hassen","given":"Ahmed Arabi","non-dropping-particle":"","parse-names":false,"suffix":""},{"dropping-particle":"","family":"Lindahl","given":"John","non-dropping-particle":"","parse-names":false,"suffix":""},{"dropping-particle":"","family":"Kunc","given":"Vlastimil","non-dropping-particle":"","parse-names":false,"suffix":""}],"container-title":"Journal of Manufacturing Processes","id":"ITEM-1","issued":{"date-parts":[["2018","10","1"]]},"page":"526-537","publisher":"Elsevier","title":"What makes a material printable? A viscoelastic model for extrusion-based 3D printing of polymers","type":"article-journal","volume":"35"},"uris":["http://www.mendeley.com/documents/?uuid=8f190a15-3cdc-310f-bbbb-62d2a83cd0fb"]},{"id":"ITEM-2","itemData":{"DOI":"10.1016/j.compscitech.2014.10.009","ISSN":"02663538","abstract":"Additive manufacturing is distinguished from traditional manufacturing techniques such as casting and machining by its ability to handle complex shapes with great design flexibility and without the typical waste. Although this technique has been mainly used for rapid prototyping, interest is growing in direct manufacture of actual parts. For wide spread application of 3D additive manufacturing, both techniques and feedstock materials require improvements to meet the mechanical requirements of load-bearing components. Here, we investigated short fiber (0.2–0.4mm) reinforced acrylonitrile–butadiene–styrene composites as a feedstock for 3D-printing in terms of their processibility, microstructure and mechanical performance. The additive components are also compared with traditional compression molded composites. The tensile strength and modulus of 3D-printed samples increased </w:instrText>
      </w:r>
      <w:r w:rsidR="00280E34">
        <w:rPr>
          <w:rFonts w:ascii="Cambria Math" w:hAnsi="Cambria Math" w:cs="Cambria Math"/>
        </w:rPr>
        <w:instrText>∼</w:instrText>
      </w:r>
      <w:r w:rsidR="00280E34">
        <w:rPr>
          <w:rFonts w:ascii="Times New Roman" w:hAnsi="Times New Roman" w:cs="Times New Roman"/>
        </w:rPr>
        <w:instrText xml:space="preserve">115% and </w:instrText>
      </w:r>
      <w:r w:rsidR="00280E34">
        <w:rPr>
          <w:rFonts w:ascii="Cambria Math" w:hAnsi="Cambria Math" w:cs="Cambria Math"/>
        </w:rPr>
        <w:instrText>∼</w:instrText>
      </w:r>
      <w:r w:rsidR="00280E34">
        <w:rPr>
          <w:rFonts w:ascii="Times New Roman" w:hAnsi="Times New Roman" w:cs="Times New Roman"/>
        </w:rPr>
        <w:instrText>700%, respectively. 3D-printing yielded samples with very high fiber orientation in the printing direction (up to 91.5%), whereas, compression molding process yielded samples with significantly lower fiber orientation. Microstructure–mechanical property relationships revealed that although a relatively high porosity is observed in 3D-printed composites as compared to those produced by the conventional compression molding technique, they both exhibited comparable tensile strength and modulus. This phenomenon is explained based on the changes in fiber orientation, dispersion and void formation.","author":[{"dropping-particle":"","family":"Tekinalp","given":"Halil L.","non-dropping-particle":"","parse-names":false,"suffix":""},{"dropping-particle":"","family":"Kunc","given":"Vlastimil","non-dropping-particle":"","parse-names":false,"suffix":""},{"dropping-particle":"","family":"Velez-Garcia","given":"Gregorio M.","non-dropping-particle":"","parse-names":false,"suffix":""},{"dropping-particle":"","family":"Duty","given":"Chad E.","non-dropping-particle":"","parse-names":false,"suffix":""},{"dropping-particle":"","family":"Love","given":"Lonnie J.","non-dropping-particle":"","parse-names":false,"suffix":""},{"dropping-particle":"","family":"Naskar","given":"Amit K.","non-dropping-particle":"","parse-names":false,"suffix":""},{"dropping-particle":"","family":"Blue","given":"Craig A.","non-dropping-particle":"","parse-names":false,"suffix":""},{"dropping-particle":"","family":"Ozcan","given":"Soydan","non-dropping-particle":"","parse-names":false,"suffix":""}],"container-title":"Composites Science and Technology","id":"ITEM-2","issued":{"date-parts":[["2014"]]},"page":"144-150","title":"Highly oriented carbon fiber–polymer composites via additive manufacturing","type":"article-journal","volume":"105"},"uris":["http://www.mendeley.com/documents/?uuid=0a4f33db-50d8-3d31-8ead-cfe73f088785"]},{"id":"ITEM-3","itemData":{"author":[{"dropping-particle":"","family":"Love","given":"Lonnie J","non-dropping-particle":"","parse-names":false,"suffix":""},{"dropping-particle":"","family":"Duty","given":"Chad E","non-dropping-particle":"","parse-names":false,"suffix":""},{"dropping-particle":"","family":"Post","given":"Brian K","non-dropping-particle":"","parse-names":false,"suffix":""},{"dropping-particle":"","family":"Lind","given":"Randall F","non-dropping-particle":"","parse-names":false,"suffix":""},{"dropping-particle":"","family":"Lloyd","given":"Peter D","non-dropping-particle":"","parse-names":false,"suffix":""},{"dropping-particle":"","family":"Kunc","given":"Vlastimil","non-dropping-particle":"","parse-names":false,"suffix":""},{"dropping-particle":"","family":"Peter","given":"William H","non-dropping-particle":"","parse-names":false,"suffix":""},{"dropping-particle":"","family":"Blue","given":"Craig A","non-dropping-particle":"","parse-names":false,"suffix":""}],"container-title":"SAMPE","id":"ITEM-3","issued":{"date-parts":[["2015"]]},"publisher-place":"Baltimore","title":"Breaking Barriers in Polymer Additive Manufacturing (Conference) | OSTI.GOV","type":"paper-conference"},"uris":["http://www.mendeley.com/documents/?uuid=95625f6b-a260-3a8a-a293-3c96134daaef"]}],"mendeley":{"formattedCitation":"[138]–[140]","plainTextFormattedCitation":"[138]–[140]","previouslyFormattedCitation":"[138]–[140]"},"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[138]–[140]</w:t>
      </w:r>
      <w:r>
        <w:rPr>
          <w:rFonts w:ascii="Times New Roman" w:hAnsi="Times New Roman" w:cs="Times New Roman"/>
        </w:rPr>
        <w:fldChar w:fldCharType="end"/>
      </w:r>
      <w:r>
        <w:rPr>
          <w:rFonts w:ascii="Times New Roman" w:hAnsi="Times New Roman" w:cs="Times New Roman"/>
        </w:rPr>
        <w:t xml:space="preserve">.  Cure-induced shrinkage can be severe in photopolymers, with shrinkage as high as 15% reported for acrylates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{"citationItems":[{"id":"ITEM-1","itemData":{"author":[{"dropping-particle":"","family":"Moeck","given":"Andreas","non-dropping-particle":"","parse-names":false,"suffix":""},{"dropping-particle":"","family":"Roberto Bianchi","given":"Switzerland","non-dropping-particle":"","parse-names":false,"suffix":""},{"dropping-particle":"","family":"Helsby","given":"David","non-dropping-particle":"","parse-names":false,"suffix":""}],"id":"ITEM-1","issued":{"date-parts":[["0"]]},"title":"Shrinkage of UV Oligomers and Monomers","type":"article-journal"},"uris":["http://www.mendeley.com/documents/?uuid=955f1372-f4ad-3656-afb8-8d961c5f040b"]}],"mendeley":{"formattedCitation":"[101]","plainTextFormattedCitation":"[101]","previouslyFormattedCitation":"[101]"},"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[101]</w:t>
      </w:r>
      <w:r>
        <w:rPr>
          <w:rFonts w:ascii="Times New Roman" w:hAnsi="Times New Roman" w:cs="Times New Roman"/>
        </w:rPr>
        <w:fldChar w:fldCharType="end"/>
      </w:r>
      <w:r>
        <w:rPr>
          <w:rFonts w:ascii="Times New Roman" w:hAnsi="Times New Roman" w:cs="Times New Roman"/>
        </w:rPr>
        <w:t xml:space="preserve">.  Fiber reinforcements and other additives </w:t>
      </w:r>
      <w:r w:rsidRPr="00E30DE2">
        <w:rPr>
          <w:rFonts w:ascii="Times New Roman" w:hAnsi="Times New Roman" w:cs="Times New Roman"/>
        </w:rPr>
        <w:t>such as fumed silica, fiberglass, silica, carbon fiber, and carbon nanotubes</w:t>
      </w:r>
      <w:r>
        <w:rPr>
          <w:rFonts w:ascii="Times New Roman" w:hAnsi="Times New Roman" w:cs="Times New Roman"/>
        </w:rPr>
        <w:t xml:space="preserve"> have proven effective in reducing this shrinkage or enhancing other aspects of printing such as part resolution </w:t>
      </w:r>
      <w:r w:rsidRPr="00E30DE2">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-1","issue":"7","issued":{"date-parts":[["2016","7","16"]]},"page":"583","publisher":"Multidisciplinary Digital Publishing Institute","title":"UV-Assisted 3D Printing of Glass and Carbon Fiber-Reinforced Dual-Cure Polymer Composites","type":"article-journal","volume":"9"},"uris":["http://www.mendeley.com/documents/?uuid=4ad7fb45-507e-3879-bee7-7f5073003a76"]},{"id":"ITEM-2","itemData":{"DOI":"10.1016/j.polymer.2016.03.048","abstract":"a b s t r a c t In this work a sequential interpenetrating polymer network (IPN) obtained by co-formulation of a photocurable acrylic resin with a thermocurable epoxy resin is presented and proposed as matrix for the fabrication of carbon-fiber reinforced (CFR) composite structures by means of 3D-printing technology. This approach combines the advantages of the easy free-form fabrication typical of the 3D-printing technology with the purposely customized features of the newly developed IPN material. Photo-calorimetric and dynamic-mechanical analyses were performed in order to investigate the photo-and thermal-crosslinking reactions and their effect on the development of the IPN system. The IPN resin was finally loaded with carbon fibers and successfully ultraviolet-assisted (UV)-3D printed, demonstrating the possibility of fabricating CFR composite materials in 3D with excellent mechanical properties. Being the first example of direct fabrication of IPN-based composites by 3D printing, this study clearly shows the great potential of this additive manufacturing technology for advanced industrial applications.","author":[{"dropping-particle":"","family":"Griffini","given":"Gianmarco","non-dropping-particle":"","parse-names":false,"suffix":""},{"dropping-particle":"","family":"Invernizzi","given":"Marta","non-dropping-particle":"","parse-names":false,"suffix":""},{"dropping-particle":"","family":"Levi","given":"Marinella","non-dropping-particle":"","parse-names":false,"suffix":""},{"dropping-particle":"","family":"Natale","given":"Gabriele","non-dropping-particle":"","parse-names":false,"suffix":""},{"dropping-particle":"","family":"Postiglione","given":"Giovanni","non-dropping-particle":"","parse-names":false,"suffix":""},{"dropping-particle":"","family":"Turri","given":"Stefano","non-dropping-particle":"","parse-names":false,"suffix":""}],"id":"ITEM-2","issued":{"date-parts":[["2016"]]},"title":"3D-printable CFR polymer composites with dual-cure sequential IPNs","type":"article-journal"},"uris":["http://www.mendeley.com/documents/?uuid=bd9f932f-0dfb-370d-be90-06f61247fc19"]},{"id":"ITEM-3","itemData":{"DOI":"10.1088/0960-1317/24/5/055020","ISSN":"0960-1317","author":[{"dropping-particle":"","family":"Farahani","given":"R D","non-dropping-particle":"","parse-names":false,"suffix":""},{"dropping-particle":"","family":"Lebel","given":"L L","non-dropping-particle":"","parse-names":false,"suffix":""},{"dropping-particle":"","family":"Therriault","given":"D","non-dropping-particle":"","parse-names":false,"suffix":""}],"container-title":"Journal of Micromechanics and Microengineering","id":"ITEM-3","issue":"5","issued":{"date-parts":[["2014","5","1"]]},"page":"055020","publisher":"IOP Publishing","title":"Processing parameters investigation for the fabrication of self-supported and freeform polymeric microstructures using ultraviolet-assisted three-dimensional printing","type":"article-journal","volume":"24"},"uris":["http://www.mendeley.com/documents/?uuid=f73b5613-a3b1-37d0-811a-037bdc0bc130"]}],"mendeley":{"formattedCitation":"[70], [84], [85]","plainTextFormattedCitation":"[70], [84], [85]","previouslyFormattedCitation":"[70], [84], [85]"},"properties":{"noteIndex":0},"schema":"https://github.com/citation-style-language/schema/raw/master/csl-citation.json"}</w:instrText>
      </w:r>
      <w:r w:rsidRPr="00E30DE2">
        <w:rPr>
          <w:rFonts w:ascii="Times New Roman" w:hAnsi="Times New Roman" w:cs="Times New Roman"/>
        </w:rPr>
        <w:fldChar w:fldCharType="separate"/>
      </w:r>
      <w:r w:rsidR="00280E34" w:rsidRPr="00280E34">
        <w:rPr>
          <w:rFonts w:ascii="Times New Roman" w:hAnsi="Times New Roman" w:cs="Times New Roman"/>
          <w:noProof/>
        </w:rPr>
        <w:t>[70], [84], [85]</w:t>
      </w:r>
      <w:r w:rsidRPr="00E30DE2">
        <w:rPr>
          <w:rFonts w:ascii="Times New Roman" w:hAnsi="Times New Roman" w:cs="Times New Roman"/>
        </w:rPr>
        <w:fldChar w:fldCharType="end"/>
      </w:r>
      <w:r w:rsidRPr="00E30DE2">
        <w:rPr>
          <w:rFonts w:ascii="Times New Roman" w:hAnsi="Times New Roman" w:cs="Times New Roman"/>
        </w:rPr>
        <w:t xml:space="preserve">. </w:t>
      </w:r>
    </w:p>
    <w:p w14:paraId="096B63E1" w14:textId="77777777" w:rsidR="00322976" w:rsidRPr="00D708A4" w:rsidRDefault="00322976" w:rsidP="00322976">
      <w:pPr>
        <w:spacing w:line="360" w:lineRule="auto"/>
        <w:rPr>
          <w:rFonts w:ascii="Times New Roman" w:hAnsi="Times New Roman" w:cs="Times New Roman"/>
        </w:rPr>
      </w:pPr>
    </w:p>
    <w:p w14:paraId="44C0FC8C" w14:textId="2D1E0D64" w:rsidR="00C1521B" w:rsidRDefault="00C1521B" w:rsidP="00322976">
      <w:pPr>
        <w:spacing w:line="360" w:lineRule="auto"/>
        <w:rPr>
          <w:rFonts w:ascii="Times New Roman" w:hAnsi="Times New Roman" w:cs="Times New Roman"/>
        </w:rPr>
      </w:pPr>
      <w:r>
        <w:rPr>
          <w:rFonts w:ascii="Times New Roman" w:hAnsi="Times New Roman" w:cs="Times New Roman"/>
        </w:rPr>
        <w:t xml:space="preserve">Of the potential additives for photopolymers, fiberglass has long been used to enhance mechanical properties such as stiffness and strength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id":"ITEM-2","itemData":{"ISBN":"0071579834","author":[{"dropping-particle":"","family":"Spurr","given":"Daniel","non-dropping-particle":"","parse-names":false,"suffix":""}],"edition":"1","id":"ITEM-2","issued":{"date-parts":[["1999","12","17"]]},"publisher":"International Marine/Ragged Mountain Press","title":"Heart of Glass: Fiberglass Boats and the Men Who Built Them","type":"book"},"uris":["http://www.mendeley.com/documents/?uuid=1315b29c-c21f-3517-8c84-63be37b227ed"]},{"id":"ITEM-3","itemData":{"ISBN":"9780195150971","abstract":"2nd ed. 1. Introduction -- 2. Basic concepts, materials, processes, and characteristics -- 3. Elastic behavior of composite lamina -- micromechanics -- 4. Elastic behavior of composite lamina -- macromechanics -- 5. Strength of unidirectional lamina -- micromechanics -- 6. Strength of composite lamina -- macromechanics -- 7. Elastic behavior of multidirectional laminates -- 8. Hygrothermal effects -- 9. Stress and failure analysis of multidirectional laminates -- 10. Experimental methods for characterization and testing of composite materials.","author":[{"dropping-particle":"","family":"Daniel","given":"Isaac M.","non-dropping-particle":"","parse-names":false,"suffix":""},{"dropping-particle":"","family":"Ishai","given":"Ori.","non-dropping-particle":"","parse-names":false,"suffix":""}],"id":"ITEM-3","issued":{"date-parts":[["2006"]]},"publisher":"Oxford University Press","title":"Engineering mechanics of composite materials","type":"book"},"uris":["http://www.mendeley.com/documents/?uuid=1261cb9f-92f6-30d4-956a-7b98fa8e29d4"]}],"mendeley":{"formattedCitation":"[22], [27], [141]","plainTextFormattedCitation":"[22], [27], [141]","previouslyFormattedCitation":"[22], [27], [141]"},"properties":{"noteIndex":0},"schema":"https://github.com/citation-style-language/schema/raw/master/csl-citation.json"}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[22], [27], [141]</w:t>
      </w:r>
      <w:r>
        <w:rPr>
          <w:rFonts w:ascii="Times New Roman" w:hAnsi="Times New Roman" w:cs="Times New Roman"/>
        </w:rPr>
        <w:fldChar w:fldCharType="end"/>
      </w:r>
      <w:r>
        <w:rPr>
          <w:rFonts w:ascii="Times New Roman" w:hAnsi="Times New Roman" w:cs="Times New Roman"/>
        </w:rPr>
        <w:t xml:space="preserve">.  This is because fiberglass has high UV transparency, allowing greater fiber loadings than opaque fiber </w:t>
      </w:r>
      <w:r>
        <w:rPr>
          <w:rFonts w:ascii="Times New Roman" w:hAnsi="Times New Roman" w:cs="Times New Roman"/>
        </w:rPr>
        <w:lastRenderedPageBreak/>
        <w:t xml:space="preserve">systems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mendeley":{"formattedCitation":"[22]","plainTextFormattedCitation":"[22]","previouslyFormattedCitation":"[22]"},"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[22]</w:t>
      </w:r>
      <w:r>
        <w:rPr>
          <w:rFonts w:ascii="Times New Roman" w:hAnsi="Times New Roman" w:cs="Times New Roman"/>
        </w:rPr>
        <w:fldChar w:fldCharType="end"/>
      </w:r>
      <w:r>
        <w:rPr>
          <w:rFonts w:ascii="Times New Roman" w:hAnsi="Times New Roman" w:cs="Times New Roman"/>
        </w:rPr>
        <w:t xml:space="preserve">. Dental photopolymers and UV direct ink write (UV-DIW) printing have utilized chopped glass fibers as reinforcement </w:t>
      </w:r>
      <w:r>
        <w:rPr>
          <w:rFonts w:ascii="Times New Roman" w:hAnsi="Times New Roman" w:cs="Times New Roman"/>
        </w:rPr>
        <w:fldChar w:fldCharType="begin" w:fldLock="1"/>
      </w:r>
      <w:r w:rsidR="00EC2668">
        <w:rPr>
          <w:rFonts w:ascii="Times New Roman" w:hAnsi="Times New Roman" w:cs="Times New Roman"/>
        </w:rPr>
        <w:instrText>ADDIN CSL_CITATION {"citationItems":[{"id":"ITEM-1","itemData":{"DOI":"10.1002/app.21596","ISSN":"0021-8995","abstract":"Extent of cure of hybrid composite systems is examined by conducting hardness measurements at different stages of the photopolymerization reaction and obtaining kinetic parameters that matched the experimental data. The materials are commercial dental composites based on bis[4-(2-hydroxy-3- methacryloyloxypropoxy)phenyl]propane resins with different photoinitiator concentrations as well as filler particle sizes and combinations. Samples (five per group) were made using nylon molds (2.5 × 5 mm) of the tested composites. The samples were light cured with a constant-power light source for durations up to 20 s. After curing, all samples underwent Vicker's hardness testing of top and bottom surfaces. While there are significant differences in the polymerization behavior between the top and bottom locations for the tested composites, the corresponding growth exponent n, a kinetic parameter in the kinetic theory, is very close in all cases. For the tested materials the coefficient factor k is much lower for the bottom surfaces compared with the top surfaces. This reduction in the value of k is more severe for the material with a higher concentration of the photoinitiator as well as a higher percentage of glass filler particles in the wavelength range affecting the photopolymerization. It is argued that a relationship between k and the irradiation intensity can be used to quantify the decay of irradiated light with its penetration into the composites. The comparisons can be used to draw preliminary conclusions on the parameters controlling the effective depth of cure in a hybrid composite. © 2005 Wiley Periodicals, Inc.","author":[{"dropping-particle":"","family":"Abedian","given":"B.","non-dropping-particle":"","parse-names":false,"suffix":""},{"dropping-particle":"","family":"Garcia-Godoy","given":"F.","non-dropping-particle":"","parse-names":false,"suffix":""},{"dropping-particle":"","family":"Garcia-Godoy","given":"F.","non-dropping-particle":"","parse-names":false,"suffix":""}],"container-title":"Journal of Applied Polymer Science","id":"ITEM-1","issue":"1","issued":{"date-parts":[["2005","7","5"]]},"page":"426-431","publisher":"John Wiley &amp; Sons, Ltd","title":"A study of localized curing of glass-filled composites using microhardness measurements","type":"article-journal","volume":"97"},"uris":["http://www.mendeley.com/documents/?uuid=bb7fcf03-7da6-3beb-a5bc-3c2b987e9881"]},{"id":"ITEM-2","itemData":{"DOI":"10.3390/ma9070583","ISSN":"1996-1944","abstract":"Glass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-2","issue":"7","issued":{"date-parts":[["2016","7","16"]]},"page":"583","publisher":"Multidisciplinary Digital Publishing Institute","title":"UV-Assisted 3D Printing of Glass and Carbon Fiber-Reinforced Dual-Cure Polymer Composites","type":"article-journal","volume":"9"},"uris":["http://www.mendeley.com/documents/?uuid=4ad7fb45-507e-3879-bee7-7f5073003a76"]},{"id":"ITEM-3","itemData":{"DOI":"10.1016/J.DENTAL.2005.05.017","ISSN":"0109-5641","abstract":"OBJECTIVE.\nThe aim of this study was to characterize the linear polymerization shrinkage strain of glass fiber-reinforced composite (FRC) according to the fiber orientation. \n\nMETHODS.\nTest specimens (n=5) (10.0×10.0×1.5mm) were prepared from different brands of photopolymerizable resin-preimpregnated FRC; unidirectional continuous FRC, experimental random-oriented FRC, and bidirectional continuous FRC. As control materials, particulate filler composite resin and unfilled dimethacrylate monomer resin were used. Two uniaxial strain gages (gage length 2mm) were used to measure shrinkage strains in two directions: longitudinally and transversally to the fiber direction. The uncured composite or resin was placed on top of the strain gages, covered with a separating sheet and a glass plate, and irradiated for 40s with a light-curing unit. The shrinkage strain was monitored for 300s. ANOVA and Tukey's posthoc test were used at a significance level of 0.05. \n\nRESULTS.\nANOVA revealed that orientation of fiber and brand of material had a significant effect (P&lt;0.05) on shrinkage strain. The unidirectional FRC revealed no shrinkage longitudinally to the fiber direction, whereas the shrinkage occurred transversally to the fiber direction. Particulate filler composite resin and unfilled resin revealed equal shrinkage strain in both of the measured directions. \n\nSIGNIFICANCE.\nAnisotropic nature of FRC exists with regard to polymerization shrinkage strain. The variation of polymerization shrinkage strains of FRC compared to those of particulate filler composites and unfilled resin might be important for future clinical applications.","author":[{"dropping-particle":"","family":"Tezvergil","given":"A.","non-dropping-particle":"","parse-names":false,"suffix":""},{"dropping-particle":"","family":"Lassila","given":"L.V.J.","non-dropping-particle":"","parse-names":false,"suffix":""},{"dropping-particle":"","family":"Vallittu","given":"P.K.","non-dropping-particle":"","parse-names":false,"suffix":""}],"container-title":"Dental Materials","id":"ITEM-3","issue":"7","issued":{"date-parts":[["2006","7","1"]]},"page":"610-616","publisher":"Elsevier","title":"The effect of fiber orientation on the polymerization shrinkage strain of fiber-reinforced composites","type":"article-journal","volume":"22"},"uris":["http://www.mendeley.com/documents/?uuid=d19c318f-4cbb-35db-baef-9207f762efcd"]},{"id":"ITEM-4","itemData":{"DOI":"10.1038/s41598-019-54035-y","ISSN":"20452322","PMID":"31754180","abstract":"Resin composites containing reinforcing inert glass fillers combined with bioactive glass (BG) can aid in the prevention of secondary caries, which is a major cause of failure of contemporary composite restorations. A series of previous studies on experimental resin composites filled with BG 45S5 has demonstrated that methacrylate resin polymerization can be impaired by the addition of unsilanized BG, leading to lower degrees of conversion (DC). In order to distinguish whether the polymerization inhibition is caused by a direct (temperature-independent) effect of BG or an indirect (temperature-dependent) effect of restricted mobility of reactive species, this study used Raman spectroscopy to evaluate the DC values of experimental composites post-cured at 37 °C and 150 °C. The potential of BG to adversely affect DC was highly dependent on the resin system. The highest DC reduction was observed in the resin system based on ethoxylated bisphenol A dimethacrylate (Bis-EMA), followed by bisphenol A glycidyl methacrylate (Bis-GMA). In contrast, the DC for urethane dimethacrylate (UDMA) was not compromised by BG. Increasing the mobility of reactive species by heating at 150 °C showed limited potential for increasing the DC in the Bis-EMA and Bis-GMA resin systems, indicating a direct inhibitory effect of BG on polymerization.","author":[{"dropping-particle":"","family":"Par","given":"Matej","non-dropping-particle":"","parse-names":false,"suffix":""},{"dropping-particle":"","family":"Spanovic","given":"Nika","non-dropping-particle":"","parse-names":false,"suffix":""},{"dropping-particle":"","family":"Tauböck","given":"Tobias T.","non-dropping-particle":"","parse-names":false,"suffix":""},{"dropping-particle":"","family":"Attin","given":"Thomas","non-dropping-particle":"","parse-names":false,"suffix":""},{"dropping-particle":"","family":"Tarle","given":"Zrinka","non-dropping-particle":"","parse-names":false,"suffix":""}],"container-title":"Scientific Reports","id":"ITEM-4","issue":"1","issued":{"date-parts":[["2019","12","1"]]},"page":"1-9","publisher":"Nature Research","title":"Degree of conversion of experimental resin composites containing bioactive glass 45S5: the effect of post-cure heating","type":"article-journal","volume":"9"},"uris":["http://www.mendeley.com/documents/?uuid=58c49c87-b3d2-3b75-ba6a-5519e3293fc2"]}],"mendeley":{"formattedCitation":"[29], [70], [89], [142]","plainTextFormattedCitation":"[29], [70], [89], [142]","previouslyFormattedCitation":"[29], [70], [89], [142]"},"properties":{"noteIndex":0},"schema":"https://github.com/citation-style-language/schema/raw/master/csl-citation.json"}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[29], [70], [89], [142]</w:t>
      </w:r>
      <w:r>
        <w:rPr>
          <w:rFonts w:ascii="Times New Roman" w:hAnsi="Times New Roman" w:cs="Times New Roman"/>
        </w:rPr>
        <w:fldChar w:fldCharType="end"/>
      </w:r>
      <w:r>
        <w:rPr>
          <w:rFonts w:ascii="Times New Roman" w:hAnsi="Times New Roman" w:cs="Times New Roman"/>
        </w:rPr>
        <w:t xml:space="preserve">. Companies such as Continuous Composites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{"citationItems":[{"id":"ITEM-1","itemData":{"URL":"https://www.compositesworld.com/articles/3d-printing-with-continuous-fiber-a-landscape","accessed":{"date-parts":[["2020","11","13"]]},"id":"ITEM-1","issued":{"date-parts":[["0"]]},"title":"3D printing with continuous fiber: A landscape | CompositesWorld","type":"webpage"},"uris":["http://www.mendeley.com/documents/?uuid=4896a6ec-e71b-374c-9c8c-f64370a23a64"]}],"mendeley":{"formattedCitation":"[143]","plainTextFormattedCitation":"[143]","previouslyFormattedCitation":"[143]"},"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[143]</w:t>
      </w:r>
      <w:r>
        <w:rPr>
          <w:rFonts w:ascii="Times New Roman" w:hAnsi="Times New Roman" w:cs="Times New Roman"/>
        </w:rPr>
        <w:fldChar w:fldCharType="end"/>
      </w:r>
      <w:r>
        <w:rPr>
          <w:rFonts w:ascii="Times New Roman" w:hAnsi="Times New Roman" w:cs="Times New Roman"/>
        </w:rPr>
        <w:t xml:space="preserve"> and Moi Composites</w:t>
      </w:r>
      <w:r w:rsidRPr="00EB1E9F">
        <w:rPr>
          <w:rFonts w:ascii="Times New Roman" w:hAnsi="Times New Roman" w:cs="Times New Roman"/>
        </w:rPr>
        <w:t xml:space="preserve"> </w:t>
      </w:r>
      <w:r w:rsidRPr="00EB1E9F">
        <w:rPr>
          <w:rFonts w:ascii="Times New Roman" w:hAnsi="Times New Roman" w:cs="Times New Roman"/>
        </w:rPr>
        <w:fldChar w:fldCharType="begin" w:fldLock="1"/>
      </w:r>
      <w:r w:rsidR="0033427D">
        <w:rPr>
          <w:rFonts w:ascii="Times New Roman" w:hAnsi="Times New Roman" w:cs="Times New Roman"/>
        </w:rPr>
        <w:instrText>ADDIN CSL_CITATION {"citationItems":[{"id":"ITEM-1","itemData":{"URL":"https://www.compositesworld.com/news/moi-composites-debuts-3d-printed-glass-fiber-boat","accessed":{"date-parts":[["2020","11","19"]]},"id":"ITEM-1","issued":{"date-parts":[["0"]]},"title":"Moi Composites debuts 3D-printed glass fiber boat | CompositesWorld","type":"webpage"},"uris":["http://www.mendeley.com/documents/?uuid=28ac7283-e038-3587-b4e3-3ac7ffe6121a"]}],"mendeley":{"formattedCitation":"[71]","plainTextFormattedCitation":"[71]","previouslyFormattedCitation":"[71]"},"properties":{"noteIndex":0},"schema":"https://github.com/citation-style-language/schema/raw/master/csl-citation.json"}</w:instrText>
      </w:r>
      <w:r w:rsidRPr="00EB1E9F">
        <w:rPr>
          <w:rFonts w:ascii="Times New Roman" w:hAnsi="Times New Roman" w:cs="Times New Roman"/>
        </w:rPr>
        <w:fldChar w:fldCharType="separate"/>
      </w:r>
      <w:r w:rsidR="00115FB0" w:rsidRPr="00115FB0">
        <w:rPr>
          <w:rFonts w:ascii="Times New Roman" w:hAnsi="Times New Roman" w:cs="Times New Roman"/>
          <w:noProof/>
        </w:rPr>
        <w:t>[71]</w:t>
      </w:r>
      <w:r w:rsidRPr="00EB1E9F">
        <w:rPr>
          <w:rFonts w:ascii="Times New Roman" w:hAnsi="Times New Roman" w:cs="Times New Roman"/>
        </w:rPr>
        <w:fldChar w:fldCharType="end"/>
      </w:r>
      <w:r>
        <w:rPr>
          <w:rFonts w:ascii="Times New Roman" w:hAnsi="Times New Roman" w:cs="Times New Roman"/>
          <w:color w:val="FF0000"/>
        </w:rPr>
        <w:t xml:space="preserve"> </w:t>
      </w:r>
      <w:r>
        <w:rPr>
          <w:rFonts w:ascii="Times New Roman" w:hAnsi="Times New Roman" w:cs="Times New Roman"/>
        </w:rPr>
        <w:t>have employed a</w:t>
      </w:r>
      <w:r w:rsidRPr="00E30DE2">
        <w:rPr>
          <w:rFonts w:ascii="Times New Roman" w:hAnsi="Times New Roman" w:cs="Times New Roman"/>
        </w:rPr>
        <w:t xml:space="preserve"> method most comparable to automated fiber placement </w:t>
      </w:r>
      <w:r>
        <w:rPr>
          <w:rFonts w:ascii="Times New Roman" w:hAnsi="Times New Roman" w:cs="Times New Roman"/>
        </w:rPr>
        <w:t xml:space="preserve">(ATP) </w:t>
      </w:r>
      <w:r w:rsidRPr="00E30DE2">
        <w:rPr>
          <w:rFonts w:ascii="Times New Roman" w:hAnsi="Times New Roman" w:cs="Times New Roman"/>
        </w:rPr>
        <w:t>to additively manufac</w:t>
      </w:r>
      <w:r>
        <w:rPr>
          <w:rFonts w:ascii="Times New Roman" w:hAnsi="Times New Roman" w:cs="Times New Roman"/>
        </w:rPr>
        <w:t xml:space="preserve">ture </w:t>
      </w:r>
      <w:r w:rsidRPr="00E30DE2">
        <w:rPr>
          <w:rFonts w:ascii="Times New Roman" w:hAnsi="Times New Roman" w:cs="Times New Roman"/>
        </w:rPr>
        <w:t>photopolymer composites with continuous fiberglass fibers</w:t>
      </w:r>
      <w:r>
        <w:rPr>
          <w:rFonts w:ascii="Times New Roman" w:hAnsi="Times New Roman" w:cs="Times New Roman"/>
        </w:rPr>
        <w:t xml:space="preserve">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{"citationItems":[{"id":"ITEM-1","itemData":{"DOI":"10.1016/J.JCOMC.2021.100182","ISSN":"2666-6820","abstract":"Automated fiber placement (AFP) is a composite manufacturing technique used to fabricate complex advanced air vehicle structures that are lightweight with superior qualities. The AFP process is intricate and complex with various phases of design, process planning, manufacturing, and inspection. An understanding of each of these phases is necessary to achieve the highest possible manufacturing quality. This literature review aims to summarize the entire AFP process from the design of the structure through inspection of the manufactured part to generate an overall understanding of the lifecycle of AFP manufacturing. The review culminates with highlighting the challenges and future directions for AFP with the goal of achieving a closed loop AFP process.","author":[{"dropping-particle":"","family":"Brasington","given":"Alex","non-dropping-particle":"","parse-names":false,"suffix":""},{"dropping-particle":"","family":"Sacco","given":"Christopher","non-dropping-particle":"","parse-names":false,"suffix":""},{"dropping-particle":"","family":"Halbritter","given":"Joshua","non-dropping-particle":"","parse-names":false,"suffix":""},{"dropping-particle":"","family":"Wehbe","given":"Roudy","non-dropping-particle":"","parse-names":false,"suffix":""},{"dropping-particle":"","family":"Harik","given":"Ramy","non-dropping-particle":"","parse-names":false,"suffix":""}],"container-title":"Composites Part C: Open Access","id":"ITEM-1","issued":{"date-parts":[["2021","10","1"]]},"page":"100182","publisher":"Elsevier","title":"Automated fiber placement: A review of history, current technologies, and future paths forward","type":"article-journal","volume":"6"},"uris":["http://www.mendeley.com/documents/?uuid=2ab61b08-616a-3348-89c8-6d6a11bad57f"]}],"mendeley":{"formattedCitation":"[144]","plainTextFormattedCitation":"[144]","previouslyFormattedCitation":"[144]"},"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[144]</w:t>
      </w:r>
      <w:r>
        <w:rPr>
          <w:rFonts w:ascii="Times New Roman" w:hAnsi="Times New Roman" w:cs="Times New Roman"/>
        </w:rPr>
        <w:fldChar w:fldCharType="end"/>
      </w:r>
      <w:r>
        <w:rPr>
          <w:rFonts w:ascii="Times New Roman" w:hAnsi="Times New Roman" w:cs="Times New Roman"/>
        </w:rPr>
        <w:t xml:space="preserve">. </w:t>
      </w:r>
    </w:p>
    <w:p w14:paraId="6C2FA7A3" w14:textId="77777777" w:rsidR="00322976" w:rsidRDefault="00322976" w:rsidP="00322976">
      <w:pPr>
        <w:spacing w:line="360" w:lineRule="auto"/>
        <w:rPr>
          <w:rFonts w:ascii="Times New Roman" w:hAnsi="Times New Roman" w:cs="Times New Roman"/>
        </w:rPr>
      </w:pPr>
    </w:p>
    <w:p w14:paraId="3AA56CB0" w14:textId="73AFDBE2" w:rsidR="00C1521B" w:rsidRDefault="00C1521B" w:rsidP="00322976">
      <w:pPr>
        <w:spacing w:line="360" w:lineRule="auto"/>
        <w:rPr>
          <w:rFonts w:ascii="Times New Roman" w:hAnsi="Times New Roman" w:cs="Times New Roman"/>
        </w:rPr>
      </w:pPr>
      <w:r>
        <w:rPr>
          <w:rFonts w:ascii="Times New Roman" w:hAnsi="Times New Roman" w:cs="Times New Roman"/>
        </w:rPr>
        <w:t xml:space="preserve">In layer-based photopolymer processing, a key consideration is adhesion between layers. Stereolithography (SLA) can achieve near-isotropic mechanical properties in printed parts by partially curing each layer, relying on irradiation through successive layers and UV post curing after printing to attain full cure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{"citationItems":[{"id":"ITEM-1","itemData":{"abstract":"The post-cure of parts printed with Formlabs resins on the Form 1+ and Form 2 printers was thoroughly investigated. From the results, we are now able to recommend post-cure procedures for Castable, Standard, and Tough Resins that provide the highest mechanical properties. In all cases, a 405 nm light source during post-cure is superior to an equivalent level of lower wavelength light, such as 365 nm. Counter to the common belief that more light results in better post-cured properties, the optimum flux on a printed part needed to obtain maximum mechanical properties during post-cure has been determined to be 1.25 mW/cm 2. It was found that post-curing at higher temperatures results in a shorter time to full cure. Additionally, higher temperatures lead to higher mechanical properties. A complete list of recommended post-cure times and temperatures for all of Formlabs resins is provided.","author":[{"dropping-particle":"","family":"Zguris","given":"Zachary","non-dropping-particle":"","parse-names":false,"suffix":""}],"id":"ITEM-1","issued":{"date-parts":[["0"]]},"title":"How Mechanical Properties of Stereolithography 3D Prints are Affected by UV Curing","type":"report"},"uris":["http://www.mendeley.com/documents/?uuid=d585d319-e851-30af-847a-9d4cb34a6897"]},{"id":"ITEM-2","itemData":{"DOI":"10.1016/S0924-0136(96)02816-6","ISSN":"09240136","abstract":"The mechanical properties of specimens fabricated by the laser solidification process using an acrylic-based photopolymer (De Solite SCR-300) and post-cured under intense UV light have been studied. A differential scanning calorimeter (DSC) was employed to monitor the degree of cure of the post-cured specimens. It was found that specimens subjected to post-curing do not contain any residual enthalpies, indicating fully polymerized structures. The post-cured specimens were also subjected to tensile tests to determine their mechanical properties. By comparing the results of both the post-cured and green-state specimens, it was observed that the post-cured specimens yielded higher measured values of elastic modulus, ultimate tensile strength, and elongation to fracture. It was also observed that these mechanical properties of the post-cured specimens were functions of the layer pitch and the laser exposure density used in generating its green-state counterparts. By increasing the laser exposure density and decreasing the layer pitch, the mechanical properties of the post-cured prototype can be increased, leading to a post-processed prototype with higher mechanical strength. © 1997 Elsevier Science S.A.","author":[{"dropping-particle":"","family":"Cheah","given":"C. M.","non-dropping-particle":"","parse-names":false,"suffix":""},{"dropping-particle":"","family":"Fuh","given":"J. Y.H.","non-dropping-particle":"","parse-names":false,"suffix":""},{"dropping-particle":"","family":"Nee","given":"A. Y.C.","non-dropping-particle":"","parse-names":false,"suffix":""},{"dropping-particle":"","family":"Lu","given":"L.","non-dropping-particle":"","parse-names":false,"suffix":""},{"dropping-particle":"","family":"Choo","given":"Y. S.","non-dropping-particle":"","parse-names":false,"suffix":""},{"dropping-particle":"","family":"Miyazawa","given":"T.","non-dropping-particle":"","parse-names":false,"suffix":""}],"container-title":"Journal of Materials Processing Technology","id":"ITEM-2","issue":"1-3","issued":{"date-parts":[["1997","5","1"]]},"page":"46-49","publisher":"Elsevier BV","title":"Characteristics of photopolymeric material used in rapid prototypes: Part II. Mechanical properties at post-cured state","type":"article-journal","volume":"67"},"uris":["http://www.mendeley.com/documents/?uuid=e66e3595-dabb-30fa-83a8-51f275bfc4f2"]}],"mendeley":{"formattedCitation":"[145], [146]","plainTextFormattedCitation":"[145], [146]","previouslyFormattedCitation":"[145], [146]"},"properties":{"noteIndex":0},"schema":"https://github.com/citation-style-language/schema/raw/master/csl-citation.json"}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[145], [146]</w:t>
      </w:r>
      <w:r>
        <w:rPr>
          <w:rFonts w:ascii="Times New Roman" w:hAnsi="Times New Roman" w:cs="Times New Roman"/>
        </w:rPr>
        <w:fldChar w:fldCharType="end"/>
      </w:r>
      <w:r>
        <w:rPr>
          <w:rFonts w:ascii="Times New Roman" w:hAnsi="Times New Roman" w:cs="Times New Roman"/>
        </w:rPr>
        <w:t xml:space="preserve">.  Likewise, in UV filament winding, layers are irradiated with a minimal UV dose to cause the resin to gel, and the level of cure in a layer increases as irradiation passes through successive layers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Composites","id":"ITEM-1","issue":"2","issued":{"date-parts":[["2006","4","1"]]},"page":"119-128","publisher":"Wiley Subscription Services, Inc., A Wiley Company","title":"Curing of composite components by ultraviolet radiation: A review","type":"article-journal","volume":"27"},"uris":["http://www.mendeley.com/documents/?uuid=a2abd0e2-3c93-32d8-97d9-bdd80fb4c950"]},{"id":"ITEM-2","itemData":{"DOI":"10.1177/0021998315592004","ISSN":"0021-9983","abstract":"To determine the quality of composites cured with UV light ply by ply, the effects of exposure dose on the cure uniformity and interlaminar shear strength of composite laminates were investigated. This was done by using UV power meter, differential scanning calorimetry, and the fiber optic strain sensors. According to differential photocalorimety results, the accumulative curing effect is remarkable in the stepwise UV-curing process, which results in gradual improvement of the degree of cure of the underlying ply. The cure uniformity increased with increasing exposure dose, but higher exposure dose led to a decrease of the interlaminar shear strength. This was due to increased shrinking strain and residual stress according to the results from the fiber optic strain sensors.","author":[{"dropping-particle":"","family":"Zhang","given":"Xiaohui","non-dropping-particle":"","parse-names":false,"suffix":""},{"dropping-particle":"","family":"Duan","given":"Yugang","non-dropping-particle":"","parse-names":false,"suffix":""},{"dropping-particle":"","family":"Zhao","given":"Xinming","non-dropping-particle":"","parse-names":false,"suffix":""},{"dropping-particle":"","family":"Li","given":"Dichen","non-dropping-particle":"","parse-names":false,"suffix":""}],"container-title":"Journal of Composite Materials","id":"ITEM-2","issue":"10","issued":{"date-parts":[["2016","5","30"]]},"page":"1395-1401","publisher":"SAGE Publications Ltd","title":"UV stepwise cured fabrication of glass fiber/acrylate composites: Effects of exposure dose on curing uniformity and interlaminar shear strength","type":"article-journal","volume":"50"},"uris":["http://www.mendeley.com/documents/?uuid=d3c6cfa2-5729-3a4e-ac5f-4912484f9e0c"]}],"mendeley":{"formattedCitation":"[22], [104]","plainTextFormattedCitation":"[22], [104]","previouslyFormattedCitation":"[22], [104]"},"properties":{"noteIndex":0},"schema":"https://github.com/citation-style-language/schema/raw/master/csl-citation.json"}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[22], [104]</w:t>
      </w:r>
      <w:r>
        <w:rPr>
          <w:rFonts w:ascii="Times New Roman" w:hAnsi="Times New Roman" w:cs="Times New Roman"/>
        </w:rPr>
        <w:fldChar w:fldCharType="end"/>
      </w:r>
      <w:r>
        <w:rPr>
          <w:rFonts w:ascii="Times New Roman" w:hAnsi="Times New Roman" w:cs="Times New Roman"/>
        </w:rPr>
        <w:t xml:space="preserve">.  With a partial cure, more C=C bonds will be also available to react between layers, and multi-layer irradiation has the potential to allow for greater interlayer adhesion via chemical crosslinking between layers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{"citationItems":[{"id":"ITEM-1","itemData":{"DOI":"10.1021/acs.macromol.9b01178","ISSN":"15205835","abstract":"Minimizing anisotropy in parts prepared by fused deposition modeling remains a key area of research in the development of robust and mechanically useful three-dimensional (3D) printed objects. Because of the bulky nature of polymer chains and the complex thermal environment experienced by adjacent filaments during the printing process, interactions of polymer chains between layers are minimized, resulting in weak interfaces and poor layer adhesion. In recent years, our group has addressed these issues through the introduction of low-molecular-weight surface-segregating additives (LMW-SuSAs). LMW-SuSAs are smaller than the polymer chains of the neat material and can more readily diffuse and entangle in adjacent layers during the printing process. In the current research, we report a novel reactive processing protocol for extrusion-based 3D printing, where bimodal blends contain linear and three-arm PLA LMW-SuSAs that are terminated with methacrylate groups and coupled by ultraviolet (UV) irradiation during the 3D printing process. In situ irradiation of the printed layers results in drastic increases in the transverse maximum tensile stress of the printed structures, where an increase of up to â140 and â200% for the linear and three-arm LMW-SuSAs is observed. Additional experiments document the effect of in situ UV intensity on the reactive processing protocol, where a decrease in intensity leads to control of the in situ reaction, which allows the balance of formation of the covalent bonds with the mobility of polymer chains to diffuse across the interfilament interface to optimize the fidelity and robustness of the printed structure.","author":[{"dropping-particle":"","family":"Levenhagen","given":"Neiko P.","non-dropping-particle":"","parse-names":false,"suffix":""},{"dropping-particle":"","family":"Dadmun","given":"Mark D.","non-dropping-particle":"","parse-names":false,"suffix":""}],"container-title":"Macromolecules","id":"ITEM-1","issued":{"date-parts":[["2019"]]},"publisher":"American Chemical Society","title":"Reactive Processing in Extrusion-Based 3D Printing to Improve Isotropy and Mechanical Properties","type":"article-journal"},"uris":["http://www.mendeley.com/documents/?uuid=cc1c0b90-0aa4-3142-a8c7-8db0deb8da4e"]}],"mendeley":{"formattedCitation":"[147]","plainTextFormattedCitation":"[147]","previouslyFormattedCitation":"[147]"},"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[147]</w:t>
      </w:r>
      <w:r>
        <w:rPr>
          <w:rFonts w:ascii="Times New Roman" w:hAnsi="Times New Roman" w:cs="Times New Roman"/>
        </w:rPr>
        <w:fldChar w:fldCharType="end"/>
      </w:r>
      <w:r>
        <w:rPr>
          <w:rFonts w:ascii="Times New Roman" w:hAnsi="Times New Roman" w:cs="Times New Roman"/>
        </w:rPr>
        <w:t xml:space="preserve">. Partial cure within a single layer also has the advantage of improving the process throughput, since each layer receives a shorter irradiation time during deposition than it would otherwise require </w:t>
      </w:r>
      <w:proofErr w:type="gramStart"/>
      <w:r>
        <w:rPr>
          <w:rFonts w:ascii="Times New Roman" w:hAnsi="Times New Roman" w:cs="Times New Roman"/>
        </w:rPr>
        <w:t>to achieve</w:t>
      </w:r>
      <w:proofErr w:type="gramEnd"/>
      <w:r>
        <w:rPr>
          <w:rFonts w:ascii="Times New Roman" w:hAnsi="Times New Roman" w:cs="Times New Roman"/>
        </w:rPr>
        <w:t xml:space="preserve"> a full cure.  </w:t>
      </w:r>
    </w:p>
    <w:p w14:paraId="4470EFBE" w14:textId="77777777" w:rsidR="00322976" w:rsidRDefault="00322976" w:rsidP="00322976">
      <w:pPr>
        <w:spacing w:line="360" w:lineRule="auto"/>
        <w:rPr>
          <w:rFonts w:ascii="Times New Roman" w:hAnsi="Times New Roman" w:cs="Times New Roman"/>
        </w:rPr>
      </w:pPr>
    </w:p>
    <w:p w14:paraId="77477001" w14:textId="3C2722DB" w:rsidR="00C1521B" w:rsidRPr="00E30DE2" w:rsidRDefault="00C1521B" w:rsidP="00322976">
      <w:pPr>
        <w:spacing w:line="360" w:lineRule="auto"/>
        <w:rPr>
          <w:rFonts w:ascii="Times New Roman" w:hAnsi="Times New Roman" w:cs="Times New Roman"/>
        </w:rPr>
      </w:pPr>
      <w:r>
        <w:rPr>
          <w:rFonts w:ascii="Times New Roman" w:hAnsi="Times New Roman" w:cs="Times New Roman"/>
        </w:rPr>
        <w:t>In the present study, a vinyl ester photopolymer was cured under short irradiation times (&lt; 5 s) in 3 mm layer thickness to simulate LFAM conditions.  Multi-layer specimens were prepared and analyzed for the influence of multiple irradiations on cure within the layers.  Continuous fiberglass fabric was added, and composite specimens were irradiated to determine the effect of the reinforcement on through-thickness cure behavior.  Multi-layer composites were prepared and tested to determine the effect of irradiation time and thermal post cure on layer adhesion.</w:t>
      </w:r>
    </w:p>
    <w:p w14:paraId="0AA0CEED" w14:textId="77777777" w:rsidR="00C1521B" w:rsidRDefault="00C1521B" w:rsidP="00DB3040">
      <w:pPr>
        <w:pStyle w:val="Heading2"/>
      </w:pPr>
      <w:bookmarkStart w:id="187" w:name="_Toc101701784"/>
      <w:r w:rsidRPr="00B0254F">
        <w:t>2.0 Literature Review</w:t>
      </w:r>
      <w:bookmarkEnd w:id="187"/>
    </w:p>
    <w:p w14:paraId="562F179D" w14:textId="5E07C239" w:rsidR="00C1521B" w:rsidRDefault="00C1521B" w:rsidP="00322976">
      <w:pPr>
        <w:spacing w:line="360" w:lineRule="auto"/>
        <w:rPr>
          <w:rFonts w:ascii="Times New Roman" w:hAnsi="Times New Roman" w:cs="Times New Roman"/>
        </w:rPr>
      </w:pPr>
      <w:r>
        <w:rPr>
          <w:rFonts w:ascii="Times New Roman" w:eastAsiaTheme="minorEastAsia" w:hAnsi="Times New Roman" w:cs="Times New Roman"/>
          <w:iCs/>
        </w:rPr>
        <w:t xml:space="preserve">To improve material deposition rate, </w:t>
      </w:r>
      <w:r>
        <w:rPr>
          <w:rFonts w:ascii="Times New Roman" w:hAnsi="Times New Roman" w:cs="Times New Roman"/>
        </w:rPr>
        <w:t xml:space="preserve">a typical layer height for the BAAM is 2-4 mm </w:t>
      </w:r>
      <w:r>
        <w:rPr>
          <w:rFonts w:ascii="Times New Roman" w:hAnsi="Times New Roman" w:cs="Times New Roman"/>
        </w:rPr>
        <w:fldChar w:fldCharType="begin" w:fldLock="1"/>
      </w:r>
      <w:r w:rsidR="004502D6">
        <w:rPr>
          <w:rFonts w:ascii="Times New Roman"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Pr>
          <w:rFonts w:ascii="Times New Roman" w:hAnsi="Times New Roman" w:cs="Times New Roman"/>
        </w:rPr>
        <w:fldChar w:fldCharType="separate"/>
      </w:r>
      <w:r w:rsidR="004502D6" w:rsidRPr="004502D6">
        <w:rPr>
          <w:rFonts w:ascii="Times New Roman" w:hAnsi="Times New Roman" w:cs="Times New Roman"/>
          <w:noProof/>
        </w:rPr>
        <w:t>[10]</w:t>
      </w:r>
      <w:r>
        <w:rPr>
          <w:rFonts w:ascii="Times New Roman" w:hAnsi="Times New Roman" w:cs="Times New Roman"/>
        </w:rPr>
        <w:fldChar w:fldCharType="end"/>
      </w:r>
      <w:r>
        <w:rPr>
          <w:rFonts w:ascii="Times New Roman" w:eastAsiaTheme="minorEastAsia" w:hAnsi="Times New Roman" w:cs="Times New Roman"/>
          <w:iCs/>
        </w:rPr>
        <w:t xml:space="preserve">, but this cure depth can be challenging for photopolymer systems.  </w:t>
      </w:r>
      <w:r w:rsidRPr="00EB1E9F">
        <w:rPr>
          <w:rFonts w:ascii="Times New Roman" w:hAnsi="Times New Roman" w:cs="Times New Roman"/>
        </w:rPr>
        <w:t>Thick</w:t>
      </w:r>
      <w:r>
        <w:rPr>
          <w:rFonts w:ascii="Times New Roman" w:hAnsi="Times New Roman" w:cs="Times New Roman"/>
        </w:rPr>
        <w:t xml:space="preserve"> photopolymer </w:t>
      </w:r>
      <w:r>
        <w:rPr>
          <w:rFonts w:ascii="Times New Roman" w:hAnsi="Times New Roman" w:cs="Times New Roman"/>
        </w:rPr>
        <w:lastRenderedPageBreak/>
        <w:t xml:space="preserve">systems (&gt;100 </w:t>
      </w:r>
      <m:oMath>
        <m:r>
          <m:rPr>
            <m:sty m:val="p"/>
          </m:rPr>
          <w:rPr>
            <w:rFonts w:ascii="Cambria Math" w:hAnsi="Cambria Math" w:cs="Times New Roman"/>
          </w:rPr>
          <m:t>μm</m:t>
        </m:r>
        <m:r>
          <w:rPr>
            <w:rFonts w:ascii="Cambria Math" w:hAnsi="Cambria Math" w:cs="Times New Roman"/>
          </w:rPr>
          <m:t>)</m:t>
        </m:r>
      </m:oMath>
      <w:r>
        <w:rPr>
          <w:rFonts w:ascii="Times New Roman" w:hAnsi="Times New Roman" w:cs="Times New Roman"/>
        </w:rPr>
        <w:t xml:space="preserve"> can suffer from a cure gradient due to light attenuation through the thickness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Int","id":"ITEM-1","issued":{"date-parts":[["2008"]]},"page":"1134-1140","title":"Spatial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lamps","type":"article-journal","volume":"57"},"uris":["http://www.mendeley.com/documents/?uuid=718d6e70-452b-369b-9baf-1694b00baaa2"]},{"id":"ITEM-2","itemData":{"DOI":"10.1002/pola","abstract":"We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Chem","id":"ITEM-2","issued":{"date-parts":[["2002"]]},"page":"793-808","title":"Modeling of Photobleaching for the Photoinitiation of Thick Polymerization Systems","type":"article-journal","volume":"40"},"uris":["http://www.mendeley.com/documents/?uuid=1be3ef49-2c86-3605-abc9-a29c2fff38fe"]},{"id":"ITEM-3","itemData":{"abstract":"The frontal polymerization of a monomer exposed continuously to UV radiation in the presence of a photobleachable initiator has been studied on the basis of the rate equations. The time dependence of photoinitiator concentration pro®le and that of monomer conversion within the irradiated sample have been calculated, assuming steady-state conditions. It is thus possible to visualize how fast the polymerization pro®le is moving within the sample and how effectively the polymerization of a monomer layer located at a given distance from the surface proceeds upon exposure to UV radiation.","author":[{"dropping-particle":"V","family":"Ivanov","given":"Vladimir","non-dropping-particle":"","parse-names":false,"suffix":""},{"dropping-particle":"","family":"Decker","given":"Christian","non-dropping-particle":"","parse-names":false,"suffix":""}],"id":"ITEM-3","issued":{"date-parts":[["0"]]},"title":"Kinetic study of photoinitiated frontal polymerization","type":"article-journal"},"uris":["http://www.mendeley.com/documents/?uuid=31fb4922-0a7e-3339-a4b5-eeab18ca697b"]}],"mendeley":{"formattedCitation":"[36], [107], [128]","plainTextFormattedCitation":"[36], [107], [128]","previouslyFormattedCitation":"[36], [107], [128]"},"properties":{"noteIndex":0},"schema":"https://github.com/citation-style-language/schema/raw/master/csl-citation.json"}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[36], [107], [128]</w:t>
      </w:r>
      <w:r>
        <w:rPr>
          <w:rFonts w:ascii="Times New Roman" w:hAnsi="Times New Roman" w:cs="Times New Roman"/>
        </w:rPr>
        <w:fldChar w:fldCharType="end"/>
      </w:r>
      <w:r>
        <w:rPr>
          <w:rFonts w:ascii="Times New Roman" w:hAnsi="Times New Roman" w:cs="Times New Roman"/>
        </w:rPr>
        <w:t>.</w:t>
      </w:r>
      <w:r>
        <w:rPr>
          <w:rFonts w:ascii="Times New Roman" w:eastAsiaTheme="minorEastAsia" w:hAnsi="Times New Roman" w:cs="Times New Roman"/>
          <w:iCs/>
        </w:rPr>
        <w:t xml:space="preserve"> In formulating photopolymers for LFAM, </w:t>
      </w:r>
      <w:r>
        <w:rPr>
          <w:rFonts w:ascii="Times New Roman" w:hAnsi="Times New Roman" w:cs="Times New Roman"/>
        </w:rPr>
        <w:t xml:space="preserve">deposition rate will primarily be limited by the through-thickness cure response and the need to minimize cure gradient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id":"ITEM-2","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Manufacturing","id":"ITEM-2","issued":{"date-parts":[["2022","2","1"]]},"publisher":"Elsevier","title":"Photopolymer formulation towards large scale additive manufacturing of autoclave capable tooling","type":"article-journal","volume":"50"},"uris":["http://www.mendeley.com/documents/?uuid=18ee70bb-70b0-3bd1-96da-1ead90e9942c"]}],"mendeley":{"formattedCitation":"[48], [109]","plainTextFormattedCitation":"[48], [109]","previouslyFormattedCitation":"[48], [109]"},"properties":{"noteIndex":0},"schema":"https://github.com/citation-style-language/schema/raw/master/csl-citation.json"}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[48], [109]</w:t>
      </w:r>
      <w:r>
        <w:rPr>
          <w:rFonts w:ascii="Times New Roman" w:hAnsi="Times New Roman" w:cs="Times New Roman"/>
        </w:rPr>
        <w:fldChar w:fldCharType="end"/>
      </w:r>
      <w:r>
        <w:rPr>
          <w:rFonts w:ascii="Times New Roman" w:hAnsi="Times New Roman" w:cs="Times New Roman"/>
        </w:rPr>
        <w:t xml:space="preserve">.  </w:t>
      </w:r>
    </w:p>
    <w:p w14:paraId="0B2A8D90" w14:textId="77777777" w:rsidR="00322976" w:rsidRDefault="00322976" w:rsidP="00322976">
      <w:pPr>
        <w:spacing w:line="360" w:lineRule="auto"/>
        <w:rPr>
          <w:rFonts w:ascii="Times New Roman" w:hAnsi="Times New Roman" w:cs="Times New Roman"/>
        </w:rPr>
      </w:pPr>
    </w:p>
    <w:p w14:paraId="67A9C0BE" w14:textId="24A3B840" w:rsidR="00C1521B" w:rsidRDefault="00C1521B" w:rsidP="00322976">
      <w:pPr>
        <w:spacing w:line="360" w:lineRule="auto"/>
        <w:rPr>
          <w:rFonts w:ascii="Times New Roman" w:hAnsi="Times New Roman" w:cs="Times New Roman"/>
        </w:rPr>
      </w:pPr>
      <w:r>
        <w:rPr>
          <w:rFonts w:ascii="Times New Roman" w:hAnsi="Times New Roman" w:cs="Times New Roman"/>
        </w:rPr>
        <w:t xml:space="preserve">Stiles et al. demonstrated the presence of a cure gradient within neat (unfilled) photopolymers at 3 mm thickness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and with fillers and additives this light attenuation can be exacerbated.  Alrahlah et al. used Vickers hardness testing on cross sections of highly filled dental photopolymers up to 6 mm in depth to demonstrate the presence of a non-linear drop in cure with </w:t>
      </w:r>
      <w:r w:rsidRPr="00EB1E9F">
        <w:rPr>
          <w:rFonts w:ascii="Times New Roman" w:hAnsi="Times New Roman" w:cs="Times New Roman"/>
        </w:rPr>
        <w:t>increasing depth</w:t>
      </w:r>
      <w:r>
        <w:rPr>
          <w:rFonts w:ascii="Times New Roman" w:hAnsi="Times New Roman" w:cs="Times New Roman"/>
        </w:rPr>
        <w:t xml:space="preserve"> </w:t>
      </w:r>
      <w:r>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mendeley":{"formattedCitation":"[48]","plainTextFormattedCitation":"[48]","previouslyFormattedCitation":"[48]"},"properties":{"noteIndex":0},"schema":"https://github.com/citation-style-language/schema/raw/master/csl-citation.json"}</w:instrText>
      </w:r>
      <w:r>
        <w:rPr>
          <w:rFonts w:ascii="Times New Roman" w:hAnsi="Times New Roman" w:cs="Times New Roman"/>
        </w:rPr>
        <w:fldChar w:fldCharType="separate"/>
      </w:r>
      <w:r w:rsidR="00115FB0" w:rsidRPr="00115FB0">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 xml:space="preserve">.  </w:t>
      </w:r>
      <w:r w:rsidRPr="00E30DE2">
        <w:rPr>
          <w:rFonts w:ascii="Times New Roman" w:hAnsi="Times New Roman" w:cs="Times New Roman"/>
        </w:rPr>
        <w:t xml:space="preserve">In fiberglass filament winding, Duan et al reported that a 365 nm UV LED system curing thin (0.3 mm) layers of fiberglass composite had a maximum effective penetration depth of 5 layers, or ~1.5 mm </w:t>
      </w:r>
      <w:r w:rsidRPr="00E30DE2">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{"citationItems":[{"id":"ITEM-1","itemData":{"DOI":"10.1177/0021998315592004","ISSN":"0021-9983","abstract":"To determine the quality of composites cured with UV light ply by ply, the effects of exposure dose on the cure uniformity and interlaminar shear strength of composite laminates were investigated. This was done by using UV power meter, differential scanning calorimetry, and the fiber optic strain sensors. According to differential photocalorimety results, the accumulative curing effect is remarkable in the stepwise UV-curing process, which results in gradual improvement of the degree of cure of the underlying ply. The cure uniformity increased with increasing exposure dose, but higher exposure dose led to a decrease of the interlaminar shear strength. This was due to increased shrinking strain and residual stress according to the results from the fiber optic strain sensors.","author":[{"dropping-particle":"","family":"Zhang","given":"Xiaohui","non-dropping-particle":"","parse-names":false,"suffix":""},{"dropping-particle":"","family":"Duan","given":"Yugang","non-dropping-particle":"","parse-names":false,"suffix":""},{"dropping-particle":"","family":"Zhao","given":"Xinming","non-dropping-particle":"","parse-names":false,"suffix":""},{"dropping-particle":"","family":"Li","given":"Dichen","non-dropping-particle":"","parse-names":false,"suffix":""}],"container-title":"Journal of Composite Materials","id":"ITEM-1","issue":"10","issued":{"date-parts":[["2016","5","30"]]},"page":"1395-1401","publisher":"SAGE Publications Ltd","title":"UV stepwise cured fabrication of glass fiber/acrylate composites: Effects of exposure dose on curing uniformity and interlaminar shear strength","type":"article-journal","volume":"50"},"uris":["http://www.mendeley.com/documents/?uuid=d3c6cfa2-5729-3a4e-ac5f-4912484f9e0c"]}],"mendeley":{"formattedCitation":"[104]","plainTextFormattedCitation":"[104]","previouslyFormattedCitation":"[104]"},"properties":{"noteIndex":0},"schema":"https://github.com/citation-style-language/schema/raw/master/csl-citation.json"}</w:instrText>
      </w:r>
      <w:r w:rsidRPr="00E30DE2">
        <w:rPr>
          <w:rFonts w:ascii="Times New Roman" w:hAnsi="Times New Roman" w:cs="Times New Roman"/>
        </w:rPr>
        <w:fldChar w:fldCharType="separate"/>
      </w:r>
      <w:r w:rsidR="00280E34" w:rsidRPr="00280E34">
        <w:rPr>
          <w:rFonts w:ascii="Times New Roman" w:hAnsi="Times New Roman" w:cs="Times New Roman"/>
          <w:noProof/>
        </w:rPr>
        <w:t>[104]</w:t>
      </w:r>
      <w:r w:rsidRPr="00E30DE2">
        <w:rPr>
          <w:rFonts w:ascii="Times New Roman" w:hAnsi="Times New Roman" w:cs="Times New Roman"/>
        </w:rPr>
        <w:fldChar w:fldCharType="end"/>
      </w:r>
      <w:r w:rsidRPr="00E30DE2">
        <w:rPr>
          <w:rFonts w:ascii="Times New Roman" w:hAnsi="Times New Roman" w:cs="Times New Roman"/>
        </w:rPr>
        <w:t>.</w:t>
      </w:r>
      <w:r>
        <w:rPr>
          <w:rFonts w:ascii="Times New Roman" w:hAnsi="Times New Roman" w:cs="Times New Roman"/>
        </w:rPr>
        <w:t xml:space="preserve">  </w:t>
      </w:r>
    </w:p>
    <w:p w14:paraId="067AA02C" w14:textId="77777777" w:rsidR="00322976" w:rsidRDefault="00322976" w:rsidP="00322976">
      <w:pPr>
        <w:spacing w:line="360" w:lineRule="auto"/>
        <w:rPr>
          <w:rFonts w:ascii="Times New Roman" w:hAnsi="Times New Roman" w:cs="Times New Roman"/>
        </w:rPr>
      </w:pPr>
    </w:p>
    <w:p w14:paraId="765429A3" w14:textId="3F2F7D98" w:rsidR="00C1521B" w:rsidRDefault="00C1521B" w:rsidP="00322976">
      <w:pPr>
        <w:spacing w:line="360" w:lineRule="auto"/>
        <w:rPr>
          <w:rFonts w:ascii="Times New Roman" w:hAnsi="Times New Roman" w:cs="Times New Roman"/>
        </w:rPr>
      </w:pPr>
      <w:r>
        <w:rPr>
          <w:rFonts w:ascii="Times New Roman" w:hAnsi="Times New Roman" w:cs="Times New Roman"/>
        </w:rPr>
        <w:t>Near complete through-thickness cure is often achievable with sufficient irradiation time. The LFAM</w:t>
      </w:r>
      <w:r w:rsidRPr="00E30DE2">
        <w:rPr>
          <w:rFonts w:ascii="Times New Roman" w:hAnsi="Times New Roman" w:cs="Times New Roman"/>
        </w:rPr>
        <w:t xml:space="preserve"> target 3 mm thickness has been demonstrated previously in fiberglass-photopolymer laminates </w:t>
      </w:r>
      <w:r w:rsidRPr="00E30DE2">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compstruct.2008.03.012","ISSN":"02638223","author":[{"dropping-particle":"","family":"Compston","given":"P.","non-dropping-particle":"","parse-names":false,"suffix":""},{"dropping-particle":"","family":"Schiemer","given":"J.","non-dropping-particle":"","parse-names":false,"suffix":""},{"dropping-particle":"","family":"Cvetanovska","given":"A.","non-dropping-particle":"","parse-names":false,"suffix":""}],"container-title":"Composite Structures","id":"ITEM-1","issue":"1-3","issued":{"date-parts":[["2008","11"]]},"page":"22-26","title":"Mechanical properties and styrene emission levels of a UV-cured glass-fibre/vinylester composite","type":"article-journal","volume":"86"},"uris":["http://www.mendeley.com/documents/?uuid=96500a75-672a-3cba-9426-f207c8bbbee2"]},{"id":"ITEM-2","itemData":{"DOI":"10.1023/B:JMSC.0000016186.59458.a1","ISSN":"00222461","author":[{"dropping-particle":"","family":"Cvetanovska","given":"A.","non-dropping-particle":"","parse-names":false,"suffix":""},{"dropping-particle":"","family":"Compston","given":"P.","non-dropping-particle":"","parse-names":false,"suffix":""}],"container-title":"Journal of Materials Science","id":"ITEM-2","issue":"5","issued":{"date-parts":[["2004","3","1"]]},"page":"1791-1793","title":"Degree of cure and tensile properties of vinylester resin cured with ultraviolet light","type":"article-journal","volume":"39"},"uris":["http://www.mendeley.com/documents/?uuid=1d1b44c5-b792-3c9f-add0-8e2ab389457e"]},{"id":"ITEM-3","itemData":{"DOI":"10.1007/s10853-009-3544-2","ISSN":"00222461","author":[{"dropping-particle":"","family":"Pietro","given":"A.","non-dropping-particle":"Di","parse-names":false,"suffix":""},{"dropping-particle":"","family":"Compston","given":"Paul","non-dropping-particle":"","parse-names":false,"suffix":""}],"container-title":"Journal of Materials Science","id":"ITEM-3","issue":"15","issued":{"date-parts":[["2009","8","22"]]},"page":"4188-4190","publisher":"Springer","title":"Resin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light","type":"article-journal","volume":"44"},"uris":["http://www.mendeley.com/documents/?uuid=76cb18dd-1362-3df5-9574-9b5dfd23ee83"]},{"id":"ITEM-4","itemData":{"abstract":"The pultrusion process is well-known as a versatile, cost-effective composites manufacturing process, and the utilization of photocure techniques with the pultrusion process offers an area for additional development. Photoinitiated resins offer the potential for increased process efficiency because they are not limited by the rate of heat transfer from the heated die to the resin. However, the use of photoinitiated resins with the pultru-sion process is complicated by the need to reach a level of cure as the fiber/resin mass moves through the enclosed pultrusion die. Reaching a proper level of cure while inside the die is necessary since the pressure developed within the die influences the consolidation of the fiber/resin mass. However, the closed pultrusion die makes it difficult to expose the photoinitiated resin to UV energy as it travels through the pultrusion die. Patent and literature searches reveal that various proprietary techniques have been developed in attempts to apply the benefits offered by photoinitiated resins to the pultrusion process [7-17]. To accommodate the requirement of having the photoinitiated resin exposed to UV energy of the appropriate wavelength to initiate cure, the use of special tooling such as UV transmittent materials for the die [7, 8, 15] or metal dies that incorporate fiber optic cables to transmit the UV light to the interior of the die [10] have been examined. Based on the patents and published reports concerning the use of photoinitiated resins with the pultrusion process, it is apparent that there is significant interest in the possibility of taking advantage of the characteristics offered by photoinitiated resins such as rapid cure in conjunction with the process advantages offered by the pultrusion process. However, one limitation associated with all of these approaches to photocure pultrusion is the need for special tooling and special pultrusion equipment. Abstract The rapid cure that occurs when photointiated resins are exposed to light of the appropriate wavelength offers the potential for the use of photocure to improve the processing efficiency for the pultrusion process. The objective of this research is to demonstrate the feasibility of a photocure pultrusion process that utilizes standard pultrusion tooling and equipment. In order to accomplish this objective, a hybrid thermal/photo initiator process which uses photocure to supplement standard thermal cure was developed. Results demonstrate the potent…","author":[{"dropping-particle":"","family":"Lackey","given":"Ellen","non-dropping-particle":"","parse-names":false,"suffix":""},{"dropping-particle":"","family":"Vaughan","given":"James G","non-dropping-particle":"","parse-names":false,"suffix":""}],"container-title":"Convention and Trade Show Composites Fabricators Association","id":"ITEM-4","issued":{"date-parts":[["2003"]]},"publisher-place":"California","title":"Enhanced Pultrusion Using Photocure to Supplement Standard Thermal Cure","type":"paper-conference"},"uris":["http://www.mendeley.com/documents/?uuid=c85f993f-7086-32b4-bff6-275a21586fb6"]}],"mendeley":{"formattedCitation":"[26], [114], [123], [148]","plainTextFormattedCitation":"[26], [114], [123], [148]","previouslyFormattedCitation":"[26], [114], [123], [148]"},"properties":{"noteIndex":0},"schema":"https://github.com/citation-style-language/schema/raw/master/csl-citation.json"}</w:instrText>
      </w:r>
      <w:r w:rsidRPr="00E30DE2">
        <w:rPr>
          <w:rFonts w:ascii="Times New Roman" w:hAnsi="Times New Roman" w:cs="Times New Roman"/>
        </w:rPr>
        <w:fldChar w:fldCharType="separate"/>
      </w:r>
      <w:r w:rsidR="00280E34" w:rsidRPr="00280E34">
        <w:rPr>
          <w:rFonts w:ascii="Times New Roman" w:hAnsi="Times New Roman" w:cs="Times New Roman"/>
          <w:noProof/>
        </w:rPr>
        <w:t>[26], [114], [123], [148]</w:t>
      </w:r>
      <w:r w:rsidRPr="00E30DE2">
        <w:rPr>
          <w:rFonts w:ascii="Times New Roman" w:hAnsi="Times New Roman" w:cs="Times New Roman"/>
        </w:rPr>
        <w:fldChar w:fldCharType="end"/>
      </w:r>
      <w:r w:rsidRPr="00E30DE2">
        <w:rPr>
          <w:rFonts w:ascii="Times New Roman" w:hAnsi="Times New Roman" w:cs="Times New Roman"/>
        </w:rPr>
        <w:t xml:space="preserve">.  </w:t>
      </w:r>
      <w:proofErr w:type="spellStart"/>
      <w:r w:rsidRPr="00E30DE2">
        <w:rPr>
          <w:rFonts w:ascii="Times New Roman" w:hAnsi="Times New Roman" w:cs="Times New Roman"/>
        </w:rPr>
        <w:t>Cvetanovska</w:t>
      </w:r>
      <w:proofErr w:type="spellEnd"/>
      <w:r w:rsidRPr="00E30DE2">
        <w:rPr>
          <w:rFonts w:ascii="Times New Roman" w:hAnsi="Times New Roman" w:cs="Times New Roman"/>
        </w:rPr>
        <w:t xml:space="preserve"> found that</w:t>
      </w:r>
      <w:r>
        <w:rPr>
          <w:rFonts w:ascii="Times New Roman" w:hAnsi="Times New Roman" w:cs="Times New Roman"/>
        </w:rPr>
        <w:t xml:space="preserve"> the</w:t>
      </w:r>
      <w:r w:rsidRPr="00E30DE2">
        <w:rPr>
          <w:rFonts w:ascii="Times New Roman" w:hAnsi="Times New Roman" w:cs="Times New Roman"/>
        </w:rPr>
        <w:t xml:space="preserve"> hardness was </w:t>
      </w:r>
      <w:r>
        <w:rPr>
          <w:rFonts w:ascii="Times New Roman" w:hAnsi="Times New Roman" w:cs="Times New Roman"/>
        </w:rPr>
        <w:t>only</w:t>
      </w:r>
      <w:r w:rsidRPr="00E30DE2">
        <w:rPr>
          <w:rFonts w:ascii="Times New Roman" w:hAnsi="Times New Roman" w:cs="Times New Roman"/>
        </w:rPr>
        <w:t xml:space="preserve"> 3.8% lower on the non-exposed side after a 10-minute irradiation with an </w:t>
      </w:r>
      <w:r>
        <w:rPr>
          <w:rFonts w:ascii="Times New Roman" w:hAnsi="Times New Roman" w:cs="Times New Roman"/>
        </w:rPr>
        <w:t xml:space="preserve">UV </w:t>
      </w:r>
      <w:r w:rsidRPr="00E30DE2">
        <w:rPr>
          <w:rFonts w:ascii="Times New Roman" w:hAnsi="Times New Roman" w:cs="Times New Roman"/>
        </w:rPr>
        <w:t>area lamp</w:t>
      </w:r>
      <w:r>
        <w:rPr>
          <w:rFonts w:ascii="Times New Roman" w:hAnsi="Times New Roman" w:cs="Times New Roman"/>
        </w:rPr>
        <w:t>.</w:t>
      </w:r>
      <w:r w:rsidRPr="00E30DE2">
        <w:rPr>
          <w:rFonts w:ascii="Times New Roman" w:hAnsi="Times New Roman" w:cs="Times New Roman"/>
        </w:rPr>
        <w:t xml:space="preserve"> </w:t>
      </w:r>
      <w:r>
        <w:rPr>
          <w:rFonts w:ascii="Times New Roman" w:hAnsi="Times New Roman" w:cs="Times New Roman"/>
        </w:rPr>
        <w:t>This was a</w:t>
      </w:r>
      <w:r w:rsidRPr="00E30DE2">
        <w:rPr>
          <w:rFonts w:ascii="Times New Roman" w:hAnsi="Times New Roman" w:cs="Times New Roman"/>
        </w:rPr>
        <w:t>ttribut</w:t>
      </w:r>
      <w:r>
        <w:rPr>
          <w:rFonts w:ascii="Times New Roman" w:hAnsi="Times New Roman" w:cs="Times New Roman"/>
        </w:rPr>
        <w:t>ed to</w:t>
      </w:r>
      <w:r w:rsidRPr="00E30DE2">
        <w:rPr>
          <w:rFonts w:ascii="Times New Roman" w:hAnsi="Times New Roman" w:cs="Times New Roman"/>
        </w:rPr>
        <w:t xml:space="preserve"> </w:t>
      </w:r>
      <w:r>
        <w:rPr>
          <w:rFonts w:ascii="Times New Roman" w:hAnsi="Times New Roman" w:cs="Times New Roman"/>
        </w:rPr>
        <w:t>a small difference</w:t>
      </w:r>
      <w:r w:rsidRPr="00E30DE2">
        <w:rPr>
          <w:rFonts w:ascii="Times New Roman" w:hAnsi="Times New Roman" w:cs="Times New Roman"/>
        </w:rPr>
        <w:t xml:space="preserve"> to diminished light intensity through the 6 mm laminate thickness </w:t>
      </w:r>
      <w:r w:rsidRPr="00E30DE2">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10.1023/B:JMSC.0000016186.59458.a1","ISSN":"00222461","author":[{"dropping-particle":"","family":"Cvetanovska","given":"A.","non-dropping-particle":"","parse-names":false,"suffix":""},{"dropping-particle":"","family":"Compston","given":"P.","non-dropping-particle":"","parse-names":false,"suffix":""}],"container-title":"Journal of Materials Science","id":"ITEM-1","issue":"5","issued":{"date-parts":[["2004","3","1"]]},"page":"1791-1793","title":"Degree of cure and tensile properties of vinylester resin cured with ultraviolet light","type":"article-journal","volume":"39"},"uris":["http://www.mendeley.com/documents/?uuid=1d1b44c5-b792-3c9f-add0-8e2ab389457e"]}],"mendeley":{"formattedCitation":"[148]","plainTextFormattedCitation":"[148]","previouslyFormattedCitation":"[148]"},"properties":{"noteIndex":0},"schema":"https://github.com/citation-style-language/schema/raw/master/csl-citation.json"}</w:instrText>
      </w:r>
      <w:r w:rsidRPr="00E30DE2">
        <w:rPr>
          <w:rFonts w:ascii="Times New Roman" w:hAnsi="Times New Roman" w:cs="Times New Roman"/>
        </w:rPr>
        <w:fldChar w:fldCharType="separate"/>
      </w:r>
      <w:r w:rsidR="00280E34" w:rsidRPr="00280E34">
        <w:rPr>
          <w:rFonts w:ascii="Times New Roman" w:hAnsi="Times New Roman" w:cs="Times New Roman"/>
          <w:noProof/>
        </w:rPr>
        <w:t>[148]</w:t>
      </w:r>
      <w:r w:rsidRPr="00E30DE2">
        <w:rPr>
          <w:rFonts w:ascii="Times New Roman" w:hAnsi="Times New Roman" w:cs="Times New Roman"/>
        </w:rPr>
        <w:fldChar w:fldCharType="end"/>
      </w:r>
      <w:r w:rsidRPr="00E30DE2">
        <w:rPr>
          <w:rFonts w:ascii="Times New Roman" w:hAnsi="Times New Roman" w:cs="Times New Roman"/>
        </w:rPr>
        <w:t xml:space="preserve">.  Di Pietro </w:t>
      </w:r>
      <w:r>
        <w:rPr>
          <w:rFonts w:ascii="Times New Roman" w:hAnsi="Times New Roman" w:cs="Times New Roman"/>
        </w:rPr>
        <w:t xml:space="preserve">and </w:t>
      </w:r>
      <w:proofErr w:type="spellStart"/>
      <w:r>
        <w:rPr>
          <w:rFonts w:ascii="Times New Roman" w:hAnsi="Times New Roman" w:cs="Times New Roman"/>
        </w:rPr>
        <w:t>Compston</w:t>
      </w:r>
      <w:proofErr w:type="spellEnd"/>
      <w:r>
        <w:rPr>
          <w:rFonts w:ascii="Times New Roman" w:hAnsi="Times New Roman" w:cs="Times New Roman"/>
        </w:rPr>
        <w:t xml:space="preserve"> reported </w:t>
      </w:r>
      <w:r w:rsidRPr="00E30DE2">
        <w:rPr>
          <w:rFonts w:ascii="Times New Roman" w:hAnsi="Times New Roman" w:cs="Times New Roman"/>
        </w:rPr>
        <w:t xml:space="preserve">that a high intensity spotlight </w:t>
      </w:r>
      <w:r>
        <w:rPr>
          <w:rFonts w:ascii="Times New Roman" w:hAnsi="Times New Roman" w:cs="Times New Roman"/>
        </w:rPr>
        <w:t>achieved</w:t>
      </w:r>
      <w:r w:rsidRPr="00E30DE2">
        <w:rPr>
          <w:rFonts w:ascii="Times New Roman" w:hAnsi="Times New Roman" w:cs="Times New Roman"/>
        </w:rPr>
        <w:t xml:space="preserve"> </w:t>
      </w:r>
      <w:r>
        <w:rPr>
          <w:rFonts w:ascii="Times New Roman" w:hAnsi="Times New Roman" w:cs="Times New Roman"/>
        </w:rPr>
        <w:t xml:space="preserve">full cure through an 8 mm laminate in </w:t>
      </w:r>
      <w:r w:rsidRPr="00E30DE2">
        <w:rPr>
          <w:rFonts w:ascii="Times New Roman" w:hAnsi="Times New Roman" w:cs="Times New Roman"/>
        </w:rPr>
        <w:t>15 seconds</w:t>
      </w:r>
      <w:r>
        <w:rPr>
          <w:rFonts w:ascii="Times New Roman" w:hAnsi="Times New Roman" w:cs="Times New Roman"/>
        </w:rPr>
        <w:t xml:space="preserve"> when utilizing a high intensity (25 mW/cm</w:t>
      </w:r>
      <w:r w:rsidRPr="00EB1E9F">
        <w:rPr>
          <w:rFonts w:ascii="Times New Roman" w:hAnsi="Times New Roman" w:cs="Times New Roman"/>
          <w:vertAlign w:val="superscript"/>
        </w:rPr>
        <w:t>2</w:t>
      </w:r>
      <w:r>
        <w:rPr>
          <w:rFonts w:ascii="Times New Roman" w:hAnsi="Times New Roman" w:cs="Times New Roman"/>
        </w:rPr>
        <w:t>) spot light</w:t>
      </w:r>
      <w:r w:rsidRPr="00E30DE2">
        <w:rPr>
          <w:rFonts w:ascii="Times New Roman" w:hAnsi="Times New Roman" w:cs="Times New Roman"/>
        </w:rPr>
        <w:t xml:space="preserve"> </w:t>
      </w:r>
      <w:r w:rsidRPr="00E30DE2">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10.1007/s10853-009-3544-2","ISSN":"00222461","author":[{"dropping-particle":"","family":"Pietro","given":"A.","non-dropping-particle":"Di","parse-names":false,"suffix":""},{"dropping-particle":"","family":"Compston","given":"Paul","non-dropping-particle":"","parse-names":false,"suffix":""}],"container-title":"Journal of Materials Science","id":"ITEM-1","issue":"15","issued":{"date-parts":[["2009","8","22"]]},"page":"4188-4190","publisher":"Springer","title":"Resin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mendeley":{"formattedCitation":"[123]","plainTextFormattedCitation":"[123]","previouslyFormattedCitation":"[123]"},"properties":{"noteIndex":0},"schema":"https://github.com/citation-style-language/schema/raw/master/csl-citation.json"}</w:instrText>
      </w:r>
      <w:r w:rsidRPr="00E30DE2">
        <w:rPr>
          <w:rFonts w:ascii="Times New Roman" w:hAnsi="Times New Roman" w:cs="Times New Roman"/>
        </w:rPr>
        <w:fldChar w:fldCharType="separate"/>
      </w:r>
      <w:r w:rsidR="00280E34" w:rsidRPr="00280E34">
        <w:rPr>
          <w:rFonts w:ascii="Times New Roman" w:hAnsi="Times New Roman" w:cs="Times New Roman"/>
          <w:noProof/>
        </w:rPr>
        <w:t>[123]</w:t>
      </w:r>
      <w:r w:rsidRPr="00E30DE2">
        <w:rPr>
          <w:rFonts w:ascii="Times New Roman" w:hAnsi="Times New Roman" w:cs="Times New Roman"/>
        </w:rPr>
        <w:fldChar w:fldCharType="end"/>
      </w:r>
      <w:r w:rsidRPr="00E30DE2">
        <w:rPr>
          <w:rFonts w:ascii="Times New Roman" w:hAnsi="Times New Roman" w:cs="Times New Roman"/>
        </w:rPr>
        <w:t xml:space="preserve">.  </w:t>
      </w:r>
    </w:p>
    <w:p w14:paraId="4D653722" w14:textId="77777777" w:rsidR="00322976" w:rsidRDefault="00322976" w:rsidP="00322976">
      <w:pPr>
        <w:spacing w:line="360" w:lineRule="auto"/>
        <w:rPr>
          <w:rFonts w:ascii="Times New Roman" w:hAnsi="Times New Roman" w:cs="Times New Roman"/>
        </w:rPr>
      </w:pPr>
    </w:p>
    <w:p w14:paraId="21A0E216" w14:textId="12B8EACB" w:rsidR="00322976" w:rsidRDefault="00C1521B" w:rsidP="00322976">
      <w:pPr>
        <w:spacing w:line="360" w:lineRule="auto"/>
        <w:rPr>
          <w:rFonts w:ascii="Times New Roman" w:hAnsi="Times New Roman" w:cs="Times New Roman"/>
        </w:rPr>
      </w:pPr>
      <w:r w:rsidRPr="00E30DE2">
        <w:rPr>
          <w:rFonts w:ascii="Times New Roman" w:hAnsi="Times New Roman" w:cs="Times New Roman"/>
        </w:rPr>
        <w:t>In studying the effect of fiberglass on UV transmission, Endruweit</w:t>
      </w:r>
      <w:r>
        <w:rPr>
          <w:rFonts w:ascii="Times New Roman" w:hAnsi="Times New Roman" w:cs="Times New Roman"/>
        </w:rPr>
        <w:t xml:space="preserve"> et al.</w:t>
      </w:r>
      <w:r w:rsidRPr="00E30DE2">
        <w:rPr>
          <w:rFonts w:ascii="Times New Roman" w:hAnsi="Times New Roman" w:cs="Times New Roman"/>
        </w:rPr>
        <w:t xml:space="preserve"> </w:t>
      </w:r>
      <w:r>
        <w:rPr>
          <w:rFonts w:ascii="Times New Roman" w:hAnsi="Times New Roman" w:cs="Times New Roman"/>
        </w:rPr>
        <w:t>reported</w:t>
      </w:r>
      <w:r w:rsidRPr="00E30DE2">
        <w:rPr>
          <w:rFonts w:ascii="Times New Roman" w:hAnsi="Times New Roman" w:cs="Times New Roman"/>
        </w:rPr>
        <w:t xml:space="preserve"> that </w:t>
      </w:r>
      <w:r>
        <w:rPr>
          <w:rFonts w:ascii="Times New Roman" w:hAnsi="Times New Roman" w:cs="Times New Roman"/>
        </w:rPr>
        <w:t xml:space="preserve">UV </w:t>
      </w:r>
      <w:r w:rsidRPr="00E30DE2">
        <w:rPr>
          <w:rFonts w:ascii="Times New Roman" w:hAnsi="Times New Roman" w:cs="Times New Roman"/>
        </w:rPr>
        <w:t xml:space="preserve">transmission decreases with increasing fiber packing density, fiber volume fraction and </w:t>
      </w:r>
      <w:r>
        <w:rPr>
          <w:rFonts w:ascii="Times New Roman" w:hAnsi="Times New Roman" w:cs="Times New Roman"/>
        </w:rPr>
        <w:t xml:space="preserve">laminate </w:t>
      </w:r>
      <w:r w:rsidRPr="00E30DE2">
        <w:rPr>
          <w:rFonts w:ascii="Times New Roman" w:hAnsi="Times New Roman" w:cs="Times New Roman"/>
        </w:rPr>
        <w:t xml:space="preserve">thickness.  </w:t>
      </w:r>
      <w:r>
        <w:rPr>
          <w:rFonts w:ascii="Times New Roman" w:hAnsi="Times New Roman" w:cs="Times New Roman"/>
        </w:rPr>
        <w:t>They</w:t>
      </w:r>
      <w:r w:rsidRPr="00E30DE2">
        <w:rPr>
          <w:rFonts w:ascii="Times New Roman" w:hAnsi="Times New Roman" w:cs="Times New Roman"/>
        </w:rPr>
        <w:t xml:space="preserve"> also found that the time for </w:t>
      </w:r>
      <w:r>
        <w:rPr>
          <w:rFonts w:ascii="Times New Roman" w:hAnsi="Times New Roman" w:cs="Times New Roman"/>
        </w:rPr>
        <w:t xml:space="preserve">complete </w:t>
      </w:r>
      <w:r w:rsidRPr="00E30DE2">
        <w:rPr>
          <w:rFonts w:ascii="Times New Roman" w:hAnsi="Times New Roman" w:cs="Times New Roman"/>
        </w:rPr>
        <w:t>through</w:t>
      </w:r>
      <w:r>
        <w:rPr>
          <w:rFonts w:ascii="Times New Roman" w:hAnsi="Times New Roman" w:cs="Times New Roman"/>
        </w:rPr>
        <w:t>-</w:t>
      </w:r>
      <w:r w:rsidRPr="00E30DE2">
        <w:rPr>
          <w:rFonts w:ascii="Times New Roman" w:hAnsi="Times New Roman" w:cs="Times New Roman"/>
        </w:rPr>
        <w:t>cure was longer in a fiberglass laminate than a neat resin system</w:t>
      </w:r>
      <w:r>
        <w:rPr>
          <w:rFonts w:ascii="Times New Roman" w:hAnsi="Times New Roman" w:cs="Times New Roman"/>
        </w:rPr>
        <w:t xml:space="preserve"> with the same photopolymer</w:t>
      </w:r>
      <w:r w:rsidRPr="00E30DE2">
        <w:rPr>
          <w:rFonts w:ascii="Times New Roman" w:hAnsi="Times New Roman" w:cs="Times New Roman"/>
        </w:rPr>
        <w:t xml:space="preserve"> </w:t>
      </w:r>
      <w:r w:rsidRPr="00E30DE2">
        <w:rPr>
          <w:rFonts w:ascii="Times New Roman" w:hAnsi="Times New Roman" w:cs="Times New Roman"/>
        </w:rPr>
        <w:fldChar w:fldCharType="begin" w:fldLock="1"/>
      </w:r>
      <w:r w:rsidR="006F3AB3">
        <w:rPr>
          <w:rFonts w:ascii="Times New Roman" w:hAnsi="Times New Roman" w:cs="Times New Roman"/>
        </w:rPr>
        <w:instrText>ADDIN CSL_CITATION {"citationItems":[{"id":"ITEM-1","itemData":{"DOI":"10.1002/pc.20483","ISSN":"02728397","abstract":"The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Composites","id":"ITEM-1","issue":"7","issued":{"date-parts":[["2008","7","1"]]},"page":"818-829","publisher":"John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mendeley":{"formattedCitation":"[39]","plainTextFormattedCitation":"[39]","previouslyFormattedCitation":"[39]"},"properties":{"noteIndex":0},"schema":"https://github.com/citation-style-language/schema/raw/master/csl-citation.json"}</w:instrText>
      </w:r>
      <w:r w:rsidRPr="00E30DE2">
        <w:rPr>
          <w:rFonts w:ascii="Times New Roman" w:hAnsi="Times New Roman" w:cs="Times New Roman"/>
        </w:rPr>
        <w:fldChar w:fldCharType="separate"/>
      </w:r>
      <w:r w:rsidR="00BF7344" w:rsidRPr="00BF7344">
        <w:rPr>
          <w:rFonts w:ascii="Times New Roman" w:hAnsi="Times New Roman" w:cs="Times New Roman"/>
          <w:noProof/>
        </w:rPr>
        <w:t>[39]</w:t>
      </w:r>
      <w:r w:rsidRPr="00E30DE2">
        <w:rPr>
          <w:rFonts w:ascii="Times New Roman" w:hAnsi="Times New Roman" w:cs="Times New Roman"/>
        </w:rPr>
        <w:fldChar w:fldCharType="end"/>
      </w:r>
      <w:r w:rsidRPr="00E30DE2">
        <w:rPr>
          <w:rFonts w:ascii="Times New Roman" w:hAnsi="Times New Roman" w:cs="Times New Roman"/>
        </w:rPr>
        <w:t>.</w:t>
      </w:r>
      <w:r>
        <w:rPr>
          <w:rFonts w:ascii="Times New Roman" w:hAnsi="Times New Roman" w:cs="Times New Roman"/>
        </w:rPr>
        <w:t xml:space="preserve">  However, Crivello et al. reported </w:t>
      </w:r>
      <w:r w:rsidR="006F3AB3">
        <w:rPr>
          <w:rFonts w:ascii="Times New Roman" w:hAnsi="Times New Roman" w:cs="Times New Roman"/>
        </w:rPr>
        <w:t>findings that conflict with those of Endruweit et al.</w:t>
      </w:r>
      <w:r>
        <w:rPr>
          <w:rFonts w:ascii="Times New Roman" w:hAnsi="Times New Roman" w:cs="Times New Roman"/>
        </w:rPr>
        <w:t xml:space="preserve">, with fiberglass composites curing to a greater thickness more rapidly than the pure resin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{"citationItems":[{"id":"ITEM-1","itemData":{"abstract":"Novel fiberglass-reinforced composites were fabricated by the ultraviolet and visible (solar) irradiation of epoxidized vegetable oils in the presence of onium salt cationic photoinitiators. A variety of layup techniques and experimental conditions were explored to optimize composite fabrication. It was demonstrated that composites prepared by wet layup techniques containing up to five plies of glass cloth could be cured by a direct, 25-min exposure to solar irradiation. A series of composite samples were prepared using mixtures of epoxidized vegetable oils and synthetic epoxy resins, and their mechanical properties were evaluated. Based on these measurements, it may be concluded that photochemical routes to the fabrication of composites derived from epoxidized vegetable oils provide a simple, direct, and inexpensive route to the fabrication of composites with many potential low-performance applications.","author":[{"dropping-particle":"V","family":"Crivello","given":"J","non-dropping-particle":"","parse-names":false,"suffix":""},{"dropping-particle":"","family":"Narayan","given":"R","non-dropping-particle":"","parse-names":false,"suffix":""},{"dropping-particle":"","family":"Sternstein","given":"S S","non-dropping-particle":"","parse-names":false,"suffix":""}],"container-title":"John Wi-ley &amp; Sons, Inc. J Appl Polym Sci","id":"ITEM-1","issued":{"date-parts":[["1997"]]},"page":"2073-2087","title":"Fabrication and Mechanical Characterization of Glass Fiber Reinforced UV-Cured Composites from Epoxidized Vegetable Oils","type":"article-journal","volume":"64"},"uris":["http://www.mendeley.com/documents/?uuid=53f5e580-b546-307d-841b-abe81cfb4f2c"]}],"mendeley":{"formattedCitation":"[108]","plainTextFormattedCitation":"[108]","previouslyFormattedCitation":"[108]"},"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[108]</w:t>
      </w:r>
      <w:r>
        <w:rPr>
          <w:rFonts w:ascii="Times New Roman" w:hAnsi="Times New Roman" w:cs="Times New Roman"/>
        </w:rPr>
        <w:fldChar w:fldCharType="end"/>
      </w:r>
      <w:r>
        <w:rPr>
          <w:rFonts w:ascii="Times New Roman" w:hAnsi="Times New Roman" w:cs="Times New Roman"/>
        </w:rPr>
        <w:t xml:space="preserve">.  Fiberglass may attenuate and scatter light in a photopolymer composite, but it also </w:t>
      </w:r>
      <w:r>
        <w:rPr>
          <w:rFonts w:ascii="Times New Roman" w:hAnsi="Times New Roman" w:cs="Times New Roman"/>
        </w:rPr>
        <w:lastRenderedPageBreak/>
        <w:t xml:space="preserve">displaces photopolymer in a system and reduces the volumetric concentration of light absorbing compounds such as photoinitiators (PIs)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{"citationItems":[{"id":"ITEM-1","itemData":{"abstract":"Novel fiberglass-reinforced composites were fabricated by the ultraviolet and visible (solar) irradiation of epoxidized vegetable oils in the presence of onium salt cationic photoinitiators. A variety of layup techniques and experimental conditions were explored to optimize composite fabrication. It was demonstrated that composites prepared by wet layup techniques containing up to five plies of glass cloth could be cured by a direct, 25-min exposure to solar irradiation. A series of composite samples were prepared using mixtures of epoxidized vegetable oils and synthetic epoxy resins, and their mechanical properties were evaluated. Based on these measurements, it may be concluded that photochemical routes to the fabrication of composites derived from epoxidized vegetable oils provide a simple, direct, and inexpensive route to the fabrication of composites with many potential low-performance applications.","author":[{"dropping-particle":"V","family":"Crivello","given":"J","non-dropping-particle":"","parse-names":false,"suffix":""},{"dropping-particle":"","family":"Narayan","given":"R","non-dropping-particle":"","parse-names":false,"suffix":""},{"dropping-particle":"","family":"Sternstein","given":"S S","non-dropping-particle":"","parse-names":false,"suffix":""}],"container-title":"John Wi-ley &amp; Sons, Inc. J Appl Polym Sci","id":"ITEM-1","issued":{"date-parts":[["1997"]]},"page":"2073-2087","title":"Fabrication and Mechanical Characterization of Glass Fiber Reinforced UV-Cured Composites from Epoxidized Vegetable Oils","type":"article-journal","volume":"64"},"uris":["http://www.mendeley.com/documents/?uuid=53f5e580-b546-307d-841b-abe81cfb4f2c"]},{"id":"ITEM-2","itemData":{"DOI":"10.1002/pc.20483","ISSN":"02728397","abstract":"The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Composites","id":"ITEM-2","issue":"7","issued":{"date-parts":[["2008","7","1"]]},"page":"818-829","publisher":"John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id":"ITEM-3","itemData":{"DOI":"10.1002/pc.20166","ISSN":"0272-8397","author":[{"dropping-particle":"","family":"Endruweit","given":"A.","non-dropping-particle":"","parse-names":false,"suffix":""},{"dropping-particle":"","family":"Johnson","given":"M. S.","non-dropping-particle":"","parse-names":false,"suffix":""},{"dropping-particle":"","family":"Long","given":"A. C.","non-dropping-particle":"","parse-names":false,"suffix":""}],"container-title":"Polymer Composites","id":"ITEM-3","issue":"2","issued":{"date-parts":[["2006","4","1"]]},"page":"119-128","publisher":"Wiley Subscription Services, Inc., A Wiley Company","title":"Curing of composite components by ultraviolet radiation: A review","type":"article-journal","volume":"27"},"uris":["http://www.mendeley.com/documents/?uuid=a2abd0e2-3c93-32d8-97d9-bdd80fb4c950"]}],"mendeley":{"formattedCitation":"[22], [39], [108]","plainTextFormattedCitation":"[22], [39], [108]","previouslyFormattedCitation":"[22], [39], [108]"},"properties":{"noteIndex":0},"schema":"https://github.com/citation-style-language/schema/raw/master/csl-citation.json"}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[22], [39], [108]</w:t>
      </w:r>
      <w:r>
        <w:rPr>
          <w:rFonts w:ascii="Times New Roman" w:hAnsi="Times New Roman" w:cs="Times New Roman"/>
        </w:rPr>
        <w:fldChar w:fldCharType="end"/>
      </w:r>
      <w:r>
        <w:rPr>
          <w:rFonts w:ascii="Times New Roman" w:hAnsi="Times New Roman" w:cs="Times New Roman"/>
        </w:rPr>
        <w:t xml:space="preserve">.  </w:t>
      </w:r>
      <w:r w:rsidRPr="00E30DE2">
        <w:rPr>
          <w:rFonts w:ascii="Times New Roman" w:hAnsi="Times New Roman" w:cs="Times New Roman"/>
        </w:rPr>
        <w:t xml:space="preserve">  </w:t>
      </w:r>
    </w:p>
    <w:p w14:paraId="2745444F" w14:textId="6B657AD2" w:rsidR="00C1521B" w:rsidRDefault="00C1521B" w:rsidP="00322976">
      <w:pPr>
        <w:spacing w:line="360" w:lineRule="auto"/>
        <w:rPr>
          <w:rFonts w:ascii="Times New Roman" w:hAnsi="Times New Roman" w:cs="Times New Roman"/>
        </w:rPr>
      </w:pPr>
      <w:r>
        <w:rPr>
          <w:rFonts w:ascii="Times New Roman" w:hAnsi="Times New Roman" w:cs="Times New Roman"/>
        </w:rPr>
        <w:t xml:space="preserve">Interlaminar shear strength (ILSS) testing is a common method for assessing the quality of cure in a fiberglass composite.  This short-beam 3-point flexural test induces shear failure in a laminate, often along the neutral axis.  Di Pietro found that, when compared to a post cured thermoset control, fiberglass laminates cured under 15 s high intensity UV irradiation achieved nearly identical ILSS values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10.1007/s10853-009-3544-2","ISSN":"00222461","author":[{"dropping-particle":"","family":"Pietro","given":"A.","non-dropping-particle":"Di","parse-names":false,"suffix":""},{"dropping-particle":"","family":"Compston","given":"Paul","non-dropping-particle":"","parse-names":false,"suffix":""}],"container-title":"Journal of Materials Science","id":"ITEM-1","issue":"15","issued":{"date-parts":[["2009","8","22"]]},"page":"4188-4190","publisher":"Springer","title":"Resin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mendeley":{"formattedCitation":"[123]","plainTextFormattedCitation":"[123]","previouslyFormattedCitation":"[123]"},"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[123]</w:t>
      </w:r>
      <w:r>
        <w:rPr>
          <w:rFonts w:ascii="Times New Roman" w:hAnsi="Times New Roman" w:cs="Times New Roman"/>
        </w:rPr>
        <w:fldChar w:fldCharType="end"/>
      </w:r>
      <w:r>
        <w:rPr>
          <w:rFonts w:ascii="Times New Roman" w:hAnsi="Times New Roman" w:cs="Times New Roman"/>
        </w:rPr>
        <w:t xml:space="preserve">.  Most notably, </w:t>
      </w:r>
      <w:proofErr w:type="spellStart"/>
      <w:r>
        <w:rPr>
          <w:rFonts w:ascii="Times New Roman" w:hAnsi="Times New Roman" w:cs="Times New Roman"/>
        </w:rPr>
        <w:t>Compston</w:t>
      </w:r>
      <w:proofErr w:type="spellEnd"/>
      <w:r>
        <w:rPr>
          <w:rFonts w:ascii="Times New Roman" w:hAnsi="Times New Roman" w:cs="Times New Roman"/>
        </w:rPr>
        <w:t xml:space="preserve"> and </w:t>
      </w:r>
      <w:proofErr w:type="spellStart"/>
      <w:r>
        <w:rPr>
          <w:rFonts w:ascii="Times New Roman" w:hAnsi="Times New Roman" w:cs="Times New Roman"/>
        </w:rPr>
        <w:t>Cvetanovska</w:t>
      </w:r>
      <w:proofErr w:type="spellEnd"/>
      <w:r>
        <w:rPr>
          <w:rFonts w:ascii="Times New Roman" w:hAnsi="Times New Roman" w:cs="Times New Roman"/>
        </w:rPr>
        <w:t xml:space="preserve"> reported on a multi-layer laminate cured in two UV irradiation steps (10 minutes each), and found that the UV cured secondary bonded laminate achieved similar ILSS values to a post cured thermoset control without any secondary bond </w:t>
      </w:r>
      <w:r>
        <w:rPr>
          <w:rFonts w:ascii="Times New Roman" w:hAnsi="Times New Roman" w:cs="Times New Roman"/>
        </w:rPr>
        <w:fldChar w:fldCharType="begin" w:fldLock="1"/>
      </w:r>
      <w:r w:rsidR="00BF7344">
        <w:rPr>
          <w:rFonts w:ascii="Times New Roman" w:hAnsi="Times New Roman" w:cs="Times New Roman"/>
        </w:rPr>
        <w:instrText>ADDIN CSL_CITATION {"citationItems":[{"id":"ITEM-1","itemData":{"DOI":"10.1016/j.compstruct.2008.03.012","ISSN":"02638223","author":[{"dropping-particle":"","family":"Compston","given":"P.","non-dropping-particle":"","parse-names":false,"suffix":""},{"dropping-particle":"","family":"Schiemer","given":"J.","non-dropping-particle":"","parse-names":false,"suffix":""},{"dropping-particle":"","family":"Cvetanovska","given":"A.","non-dropping-particle":"","parse-names":false,"suffix":""}],"container-title":"Composite Structures","id":"ITEM-1","issue":"1-3","issued":{"date-parts":[["2008","11"]]},"page":"22-26","title":"Mechanical properties and styrene emission levels of a UV-cured glass-fibre/vinylester composite","type":"article-journal","volume":"86"},"uris":["http://www.mendeley.com/documents/?uuid=96500a75-672a-3cba-9426-f207c8bbbee2"]}],"mendeley":{"formattedCitation":"[26]","plainTextFormattedCitation":"[26]","previouslyFormattedCitation":"[26]"},"properties":{"noteIndex":0},"schema":"https://github.com/citation-style-language/schema/raw/master/csl-citation.json"}</w:instrText>
      </w:r>
      <w:r>
        <w:rPr>
          <w:rFonts w:ascii="Times New Roman" w:hAnsi="Times New Roman" w:cs="Times New Roman"/>
        </w:rPr>
        <w:fldChar w:fldCharType="separate"/>
      </w:r>
      <w:r w:rsidR="00BF7344" w:rsidRPr="00BF7344">
        <w:rPr>
          <w:rFonts w:ascii="Times New Roman" w:hAnsi="Times New Roman" w:cs="Times New Roman"/>
          <w:noProof/>
        </w:rPr>
        <w:t>[26]</w:t>
      </w:r>
      <w:r>
        <w:rPr>
          <w:rFonts w:ascii="Times New Roman" w:hAnsi="Times New Roman" w:cs="Times New Roman"/>
        </w:rPr>
        <w:fldChar w:fldCharType="end"/>
      </w:r>
      <w:r>
        <w:rPr>
          <w:rFonts w:ascii="Times New Roman" w:hAnsi="Times New Roman" w:cs="Times New Roman"/>
        </w:rPr>
        <w:t xml:space="preserve">.  In both studies, fiber-matrix bond characteristics did not appear to be affected by UV cure versus a thermoset resin control.      </w:t>
      </w:r>
    </w:p>
    <w:p w14:paraId="1FC8162B" w14:textId="77777777" w:rsidR="00322976" w:rsidRDefault="00322976" w:rsidP="00322976">
      <w:pPr>
        <w:spacing w:line="360" w:lineRule="auto"/>
        <w:rPr>
          <w:rFonts w:ascii="Times New Roman" w:hAnsi="Times New Roman" w:cs="Times New Roman"/>
        </w:rPr>
      </w:pPr>
    </w:p>
    <w:p w14:paraId="4C3B3414" w14:textId="4E7B04CC" w:rsidR="00C1521B" w:rsidRPr="00E30DE2" w:rsidRDefault="00C1521B" w:rsidP="00322976">
      <w:pPr>
        <w:spacing w:line="360" w:lineRule="auto"/>
        <w:rPr>
          <w:rFonts w:ascii="Times New Roman" w:hAnsi="Times New Roman" w:cs="Times New Roman"/>
        </w:rPr>
      </w:pPr>
      <w:r>
        <w:rPr>
          <w:rFonts w:ascii="Times New Roman" w:hAnsi="Times New Roman" w:cs="Times New Roman"/>
        </w:rPr>
        <w:t xml:space="preserve">The present study investigated the effects of both multi-layer irradiation and fiberglass reinforcement on the cure behavior of a vinyl ester photopolymer.  It expanded upon the work of Di Pietro, </w:t>
      </w:r>
      <w:proofErr w:type="spellStart"/>
      <w:r>
        <w:rPr>
          <w:rFonts w:ascii="Times New Roman" w:hAnsi="Times New Roman" w:cs="Times New Roman"/>
        </w:rPr>
        <w:t>Cvetanovska</w:t>
      </w:r>
      <w:proofErr w:type="spellEnd"/>
      <w:r>
        <w:rPr>
          <w:rFonts w:ascii="Times New Roman" w:hAnsi="Times New Roman" w:cs="Times New Roman"/>
        </w:rPr>
        <w:t xml:space="preserve"> and </w:t>
      </w:r>
      <w:proofErr w:type="spellStart"/>
      <w:r>
        <w:rPr>
          <w:rFonts w:ascii="Times New Roman" w:hAnsi="Times New Roman" w:cs="Times New Roman"/>
        </w:rPr>
        <w:t>Compston</w:t>
      </w:r>
      <w:proofErr w:type="spellEnd"/>
      <w:r>
        <w:rPr>
          <w:rFonts w:ascii="Times New Roman" w:hAnsi="Times New Roman" w:cs="Times New Roman"/>
        </w:rPr>
        <w:t xml:space="preserve">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10.1007/s10853-008-2701-3","ISSN":"00222461","author":[{"dropping-particle":"","family":"Compston","given":"P.","non-dropping-particle":"","parse-names":false,"suffix":""},{"dropping-particle":"","family":"Dexter","given":"D.","non-dropping-particle":"","parse-names":false,"suffix":""}],"container-title":"Journal of Materials Science","id":"ITEM-1","issue":"14","issued":{"date-parts":[["2008","7"]]},"page":"5017-5019","title":"The effect of ultraviolet (UV) light postcuring on resin hardness and interlaminar shear strength of a glass-fibre/vinylester composite","type":"article-journal","volume":"43"},"uris":["http://www.mendeley.com/documents/?uuid=d35ceeb8-bd32-3e40-a4ea-d8a9e6280c08"]},{"id":"ITEM-2","itemData":{"DOI":"10.1007/s10853-009-3544-2","ISSN":"00222461","author":[{"dropping-particle":"","family":"Pietro","given":"A.","non-dropping-particle":"Di","parse-names":false,"suffix":""},{"dropping-particle":"","family":"Compston","given":"Paul","non-dropping-particle":"","parse-names":false,"suffix":""}],"container-title":"Journal of Materials Science","id":"ITEM-2","issue":"15","issued":{"date-parts":[["2009","8","22"]]},"page":"4188-4190","publisher":"Springer","title":"Resin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id":"ITEM-3","itemData":{"DOI":"10.1023/B:JMSC.0000016186.59458.a1","ISSN":"00222461","author":[{"dropping-particle":"","family":"Cvetanovska","given":"A.","non-dropping-particle":"","parse-names":false,"suffix":""},{"dropping-particle":"","family":"Compston","given":"P.","non-dropping-particle":"","parse-names":false,"suffix":""}],"container-title":"Journal of Materials Science","id":"ITEM-3","issue":"5","issued":{"date-parts":[["2004","3","1"]]},"page":"1791-1793","title":"Degree of cure and tensile properties of vinylester resin cured with ultraviolet light","type":"article-journal","volume":"39"},"uris":["http://www.mendeley.com/documents/?uuid=1d1b44c5-b792-3c9f-add0-8e2ab389457e"]},{"id":"ITEM-4","itemData":{"DOI":"10.1016/j.compstruct.2008.03.012","ISSN":"02638223","author":[{"dropping-particle":"","family":"Compston","given":"P.","non-dropping-particle":"","parse-names":false,"suffix":""},{"dropping-particle":"","family":"Schiemer","given":"J.","non-dropping-particle":"","parse-names":false,"suffix":""},{"dropping-particle":"","family":"Cvetanovska","given":"A.","non-dropping-particle":"","parse-names":false,"suffix":""}],"container-title":"Composite Structures","id":"ITEM-4","issue":"1-3","issued":{"date-parts":[["2008","11"]]},"page":"22-26","title":"Mechanical properties and styrene emission levels of a UV-cured glass-fibre/vinylester composite","type":"article-journal","volume":"86"},"uris":["http://www.mendeley.com/documents/?uuid=96500a75-672a-3cba-9426-f207c8bbbee2"]}],"mendeley":{"formattedCitation":"[26], [123], [148], [149]","plainTextFormattedCitation":"[26], [123], [148], [149]","previouslyFormattedCitation":"[26], [123], [148], [149]"},"properties":{"noteIndex":0},"schema":"https://github.com/citation-style-language/schema/raw/master/csl-citation.json"}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[26], [123], [148], [149]</w:t>
      </w:r>
      <w:r>
        <w:rPr>
          <w:rFonts w:ascii="Times New Roman" w:hAnsi="Times New Roman" w:cs="Times New Roman"/>
        </w:rPr>
        <w:fldChar w:fldCharType="end"/>
      </w:r>
      <w:r>
        <w:rPr>
          <w:rFonts w:ascii="Times New Roman" w:hAnsi="Times New Roman" w:cs="Times New Roman"/>
        </w:rPr>
        <w:t xml:space="preserve"> by utilizing a high intensity UV LED lamp and even shorter irradiation times of less than 5 s to better simulate LFAM conditions.  Neat resin and fiberglass composite specimens were compared under the same irradiation times.  Neat resin samples were cured stepwise up to 5 layers thick while monitoring cure in real time using Fourier-transform infrared spectroscopy (FTIR) on the non-exposed side of the bottom layer.  Cross sections were taken and tested via FTIR microscopy and nanoindentation to assess the cure gradient.  Composite samples were irradiated up to two layers thick and tested for bond strength via ILSS, and nanoindentation was used to assess the cure gradient in comparison to the neat resin.  Thermoset resin control composites were also prepared and tested via ILSS. Fracture surface analysis was used to compare the relative fiber-matrix bond characteristics of UV cure versus thermoset cure.  To the author’s knowledge, this is the </w:t>
      </w:r>
      <w:proofErr w:type="gramStart"/>
      <w:r>
        <w:rPr>
          <w:rFonts w:ascii="Times New Roman" w:hAnsi="Times New Roman" w:cs="Times New Roman"/>
        </w:rPr>
        <w:t xml:space="preserve">first </w:t>
      </w:r>
      <w:r w:rsidR="0023205F">
        <w:rPr>
          <w:rFonts w:ascii="Times New Roman" w:hAnsi="Times New Roman" w:cs="Times New Roman"/>
        </w:rPr>
        <w:t>time</w:t>
      </w:r>
      <w:proofErr w:type="gramEnd"/>
      <w:r w:rsidR="0023205F">
        <w:rPr>
          <w:rFonts w:ascii="Times New Roman" w:hAnsi="Times New Roman" w:cs="Times New Roman"/>
        </w:rPr>
        <w:t xml:space="preserve"> findings using</w:t>
      </w:r>
      <w:r>
        <w:rPr>
          <w:rFonts w:ascii="Times New Roman" w:hAnsi="Times New Roman" w:cs="Times New Roman"/>
        </w:rPr>
        <w:t xml:space="preserve"> nanoindentation as a means of assessing UV cure gradient in a laminated fiberglass composite</w:t>
      </w:r>
      <w:r w:rsidR="0023205F">
        <w:rPr>
          <w:rFonts w:ascii="Times New Roman" w:hAnsi="Times New Roman" w:cs="Times New Roman"/>
        </w:rPr>
        <w:t xml:space="preserve"> have been reported</w:t>
      </w:r>
      <w:r>
        <w:rPr>
          <w:rFonts w:ascii="Times New Roman" w:hAnsi="Times New Roman" w:cs="Times New Roman"/>
        </w:rPr>
        <w:t>.</w:t>
      </w:r>
    </w:p>
    <w:p w14:paraId="1649CB92" w14:textId="77777777" w:rsidR="00C1521B" w:rsidRDefault="00C1521B" w:rsidP="00DB3040">
      <w:pPr>
        <w:pStyle w:val="Heading2"/>
      </w:pPr>
      <w:bookmarkStart w:id="188" w:name="_Toc101701785"/>
      <w:r>
        <w:lastRenderedPageBreak/>
        <w:t>3</w:t>
      </w:r>
      <w:r w:rsidRPr="0094131D">
        <w:t>.0 Materials and Methods</w:t>
      </w:r>
      <w:bookmarkEnd w:id="188"/>
    </w:p>
    <w:p w14:paraId="28134D86" w14:textId="77777777" w:rsidR="00C1521B" w:rsidRPr="0094131D" w:rsidRDefault="00C1521B" w:rsidP="009D06D1">
      <w:pPr>
        <w:pStyle w:val="Heading3"/>
      </w:pPr>
      <w:bookmarkStart w:id="189" w:name="_Toc101701786"/>
      <w:r>
        <w:t>3</w:t>
      </w:r>
      <w:r w:rsidRPr="0094131D">
        <w:t>.1 Light Source and Materials</w:t>
      </w:r>
      <w:bookmarkEnd w:id="189"/>
    </w:p>
    <w:p w14:paraId="0791CAFA" w14:textId="647F630E" w:rsidR="00C1521B" w:rsidRDefault="00C1521B" w:rsidP="00322976">
      <w:pPr>
        <w:spacing w:line="360" w:lineRule="auto"/>
        <w:rPr>
          <w:rFonts w:ascii="Times New Roman" w:hAnsi="Times New Roman" w:cs="Times New Roman"/>
        </w:rPr>
      </w:pPr>
      <w:r w:rsidRPr="00C62D5E">
        <w:rPr>
          <w:rFonts w:ascii="Times New Roman" w:hAnsi="Times New Roman" w:cs="Times New Roman"/>
        </w:rPr>
        <w:t>The lamp was an Altair 75 high-intensity UV LED area lamp from Heraeus Noblelight with an emitting window of 80 mm x 13 mm and peak irradiance of 3.7 W/cm</w:t>
      </w:r>
      <w:r w:rsidRPr="00C62D5E">
        <w:rPr>
          <w:rFonts w:ascii="Times New Roman" w:hAnsi="Times New Roman" w:cs="Times New Roman"/>
          <w:vertAlign w:val="superscript"/>
        </w:rPr>
        <w:t>2</w:t>
      </w:r>
      <w:r w:rsidRPr="00C62D5E">
        <w:rPr>
          <w:rFonts w:ascii="Times New Roman" w:hAnsi="Times New Roman" w:cs="Times New Roman"/>
        </w:rPr>
        <w:t xml:space="preserve"> at 395 nm.  The primary oligomer in this study was</w:t>
      </w:r>
      <w:r w:rsidRPr="00E25C57">
        <w:rPr>
          <w:rFonts w:ascii="Times New Roman" w:hAnsi="Times New Roman" w:cs="Times New Roman"/>
          <w:color w:val="FF0000"/>
        </w:rPr>
        <w:t xml:space="preserve"> </w:t>
      </w:r>
      <w:r w:rsidRPr="00E25C57">
        <w:rPr>
          <w:rFonts w:ascii="Times New Roman" w:hAnsi="Times New Roman" w:cs="Times New Roman"/>
        </w:rPr>
        <w:t xml:space="preserve">bisphenol A ethoxylate dimethacrylate </w:t>
      </w:r>
      <w:r>
        <w:rPr>
          <w:rFonts w:ascii="Times New Roman" w:hAnsi="Times New Roman" w:cs="Times New Roman"/>
        </w:rPr>
        <w:t>(</w:t>
      </w:r>
      <w:r w:rsidRPr="00C62D5E">
        <w:rPr>
          <w:rFonts w:ascii="Times New Roman" w:hAnsi="Times New Roman" w:cs="Times New Roman"/>
        </w:rPr>
        <w:t>Bis-EMA</w:t>
      </w:r>
      <w:r>
        <w:rPr>
          <w:rFonts w:ascii="Times New Roman" w:hAnsi="Times New Roman" w:cs="Times New Roman"/>
        </w:rPr>
        <w:t xml:space="preserve">, </w:t>
      </w:r>
      <w:r w:rsidRPr="00C62D5E">
        <w:rPr>
          <w:rFonts w:ascii="Times New Roman" w:hAnsi="Times New Roman" w:cs="Times New Roman"/>
        </w:rPr>
        <w:t xml:space="preserve">see </w:t>
      </w:r>
      <w:r w:rsidR="00DC01AE" w:rsidRPr="00DC01AE">
        <w:rPr>
          <w:rFonts w:ascii="Times New Roman" w:hAnsi="Times New Roman" w:cs="Times New Roman"/>
        </w:rPr>
        <w:fldChar w:fldCharType="begin"/>
      </w:r>
      <w:r w:rsidR="00DC01AE" w:rsidRPr="00DC01AE">
        <w:rPr>
          <w:rFonts w:ascii="Times New Roman" w:hAnsi="Times New Roman" w:cs="Times New Roman"/>
        </w:rPr>
        <w:instrText xml:space="preserve"> REF _Ref100935186 \h </w:instrText>
      </w:r>
      <w:r w:rsidR="00DC01AE">
        <w:rPr>
          <w:rFonts w:ascii="Times New Roman" w:hAnsi="Times New Roman" w:cs="Times New Roman"/>
        </w:rPr>
        <w:instrText xml:space="preserve"> \* MERGEFORMAT </w:instrText>
      </w:r>
      <w:r w:rsidR="00DC01AE" w:rsidRPr="00DC01AE">
        <w:rPr>
          <w:rFonts w:ascii="Times New Roman" w:hAnsi="Times New Roman" w:cs="Times New Roman"/>
        </w:rPr>
      </w:r>
      <w:r w:rsidR="00DC01AE" w:rsidRPr="00DC01AE">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44</w:t>
      </w:r>
      <w:r w:rsidR="00DC01AE" w:rsidRPr="00DC01AE">
        <w:rPr>
          <w:rFonts w:ascii="Times New Roman" w:hAnsi="Times New Roman" w:cs="Times New Roman"/>
        </w:rPr>
        <w:fldChar w:fldCharType="end"/>
      </w:r>
      <w:r w:rsidRPr="00C62D5E">
        <w:rPr>
          <w:rFonts w:ascii="Times New Roman" w:hAnsi="Times New Roman" w:cs="Times New Roman"/>
        </w:rPr>
        <w:t xml:space="preserve">).  The reactive diluent was PETIA, a </w:t>
      </w:r>
      <w:r>
        <w:rPr>
          <w:rFonts w:ascii="Times New Roman" w:hAnsi="Times New Roman" w:cs="Times New Roman"/>
        </w:rPr>
        <w:t xml:space="preserve">50:50 molar </w:t>
      </w:r>
      <w:r w:rsidRPr="00C62D5E">
        <w:rPr>
          <w:rFonts w:ascii="Times New Roman" w:hAnsi="Times New Roman" w:cs="Times New Roman"/>
        </w:rPr>
        <w:t>mixture of tri- and tetra-acrylate esters of pentaerythritol supplied by Allnex</w:t>
      </w:r>
      <w:r>
        <w:rPr>
          <w:rFonts w:ascii="Times New Roman" w:hAnsi="Times New Roman" w:cs="Times New Roman"/>
        </w:rPr>
        <w:t>.  The photoinitiator was bis (2,4,6-trimethybenzoyl)-phenylphosphine oxide (BAPO), supplied under the trade name Omnirad 819 by IGM Resins (Charlotte)</w:t>
      </w:r>
      <w:r w:rsidRPr="00C62D5E">
        <w:rPr>
          <w:rFonts w:ascii="Times New Roman" w:hAnsi="Times New Roman" w:cs="Times New Roman"/>
        </w:rPr>
        <w:t xml:space="preserve">.  </w:t>
      </w:r>
      <w:r w:rsidRPr="006D341F">
        <w:rPr>
          <w:rFonts w:ascii="Times New Roman" w:hAnsi="Times New Roman" w:cs="Times New Roman"/>
        </w:rPr>
        <w:t>Saertex 955 g/m</w:t>
      </w:r>
      <w:r w:rsidRPr="006D341F">
        <w:rPr>
          <w:rFonts w:ascii="Times New Roman" w:hAnsi="Times New Roman" w:cs="Times New Roman"/>
          <w:vertAlign w:val="superscript"/>
        </w:rPr>
        <w:t xml:space="preserve">2 </w:t>
      </w:r>
      <w:r w:rsidRPr="006D341F">
        <w:rPr>
          <w:rFonts w:ascii="Times New Roman" w:hAnsi="Times New Roman" w:cs="Times New Roman"/>
        </w:rPr>
        <w:t>stitched unidirectional e-glass (Saertex GmbH, Saerbeck</w:t>
      </w:r>
      <w:r>
        <w:rPr>
          <w:rFonts w:ascii="Times New Roman" w:hAnsi="Times New Roman" w:cs="Times New Roman"/>
        </w:rPr>
        <w:t>, Germany</w:t>
      </w:r>
      <w:r w:rsidRPr="006D341F">
        <w:rPr>
          <w:rFonts w:ascii="Times New Roman" w:hAnsi="Times New Roman" w:cs="Times New Roman"/>
        </w:rPr>
        <w:t>) was used in fiberglass laminate testing</w:t>
      </w:r>
      <w:r>
        <w:rPr>
          <w:rFonts w:ascii="Times New Roman" w:hAnsi="Times New Roman" w:cs="Times New Roman"/>
        </w:rPr>
        <w:t>.</w:t>
      </w:r>
      <w:r w:rsidRPr="006D341F">
        <w:rPr>
          <w:rFonts w:ascii="Times New Roman" w:hAnsi="Times New Roman" w:cs="Times New Roman"/>
        </w:rPr>
        <w:t xml:space="preserve"> </w:t>
      </w:r>
    </w:p>
    <w:p w14:paraId="758E2534" w14:textId="5C81043B" w:rsidR="0081543A" w:rsidRDefault="00C1521B" w:rsidP="00322976">
      <w:pPr>
        <w:spacing w:line="360" w:lineRule="auto"/>
        <w:rPr>
          <w:rFonts w:ascii="Times New Roman" w:hAnsi="Times New Roman" w:cs="Times New Roman"/>
        </w:rPr>
      </w:pPr>
      <w:r>
        <w:rPr>
          <w:rFonts w:ascii="Times New Roman" w:hAnsi="Times New Roman" w:cs="Times New Roman"/>
        </w:rPr>
        <w:t xml:space="preserve">The photopolymer formulation used in this study was a ratio of 80:20 of Bis-EMA and PETIA, with 0.1 wt% BAPO as photoinitiator (PI).  The formulation was mixed </w:t>
      </w:r>
      <w:r w:rsidRPr="00C62D5E">
        <w:rPr>
          <w:rFonts w:ascii="Times New Roman" w:hAnsi="Times New Roman" w:cs="Times New Roman"/>
        </w:rPr>
        <w:t>under low heat using a hot plate stirrer for 10 minutes, then allowed to rest for at least 24 hours prior to irradiation at ambient temperatures.</w:t>
      </w:r>
      <w:r>
        <w:rPr>
          <w:rFonts w:ascii="Times New Roman" w:hAnsi="Times New Roman" w:cs="Times New Roman"/>
        </w:rPr>
        <w:t xml:space="preserve">  </w:t>
      </w:r>
    </w:p>
    <w:p w14:paraId="45DD793D" w14:textId="07C3261E" w:rsidR="0081543A" w:rsidRDefault="0081543A" w:rsidP="009D06D1">
      <w:pPr>
        <w:pStyle w:val="Heading3"/>
        <w:numPr>
          <w:ilvl w:val="0"/>
          <w:numId w:val="0"/>
        </w:numPr>
      </w:pPr>
      <w:bookmarkStart w:id="190" w:name="_Toc101701787"/>
      <w:r>
        <w:t>3</w:t>
      </w:r>
      <w:r w:rsidRPr="0094131D">
        <w:t>.</w:t>
      </w:r>
      <w:r>
        <w:t>2</w:t>
      </w:r>
      <w:r w:rsidRPr="0094131D">
        <w:t xml:space="preserve"> </w:t>
      </w:r>
      <w:r>
        <w:t>Post Cure Testing</w:t>
      </w:r>
      <w:bookmarkEnd w:id="190"/>
    </w:p>
    <w:p w14:paraId="5FE8BF42" w14:textId="52A84E62" w:rsidR="0081543A" w:rsidRDefault="0081543A" w:rsidP="00322976">
      <w:pPr>
        <w:spacing w:line="360" w:lineRule="auto"/>
        <w:rPr>
          <w:rFonts w:ascii="Times New Roman" w:hAnsi="Times New Roman" w:cs="Times New Roman"/>
        </w:rPr>
      </w:pPr>
      <w:r>
        <w:rPr>
          <w:rFonts w:ascii="Times New Roman" w:hAnsi="Times New Roman" w:cs="Times New Roman"/>
        </w:rPr>
        <w:t>Unreinforced specimens were prepared for tensile testing, DMA, TGA and FTIR to assess the effect of thermal post cure on polymer properties.  Sheets of nominal 1 mm thickness were cast between two glass plates with spacers and irradiated in</w:t>
      </w:r>
      <w:r w:rsidR="00B419F7">
        <w:rPr>
          <w:rFonts w:ascii="Times New Roman" w:hAnsi="Times New Roman" w:cs="Times New Roman"/>
        </w:rPr>
        <w:t xml:space="preserve"> a</w:t>
      </w:r>
      <w:r>
        <w:rPr>
          <w:rFonts w:ascii="Times New Roman" w:hAnsi="Times New Roman" w:cs="Times New Roman"/>
        </w:rPr>
        <w:t xml:space="preserve"> linear stage at a scan rate of 5 mm/s, equivalent to a dose of 5.5 J/cm</w:t>
      </w:r>
      <w:r w:rsidRPr="0081543A">
        <w:rPr>
          <w:rFonts w:ascii="Times New Roman" w:hAnsi="Times New Roman" w:cs="Times New Roman"/>
          <w:vertAlign w:val="superscript"/>
        </w:rPr>
        <w:t>2</w:t>
      </w:r>
      <w:r>
        <w:rPr>
          <w:rFonts w:ascii="Times New Roman" w:hAnsi="Times New Roman" w:cs="Times New Roman"/>
        </w:rPr>
        <w:t>.</w:t>
      </w:r>
      <w:r w:rsidR="00B419F7">
        <w:rPr>
          <w:rFonts w:ascii="Times New Roman" w:hAnsi="Times New Roman" w:cs="Times New Roman"/>
        </w:rPr>
        <w:t xml:space="preserve">  Cured photopolymer sheets were then post cured for either 2 hrs at 66 ºC + 2 hrs at 121 ºC (Post Cure A) or 2 hrs at 200 ºC</w:t>
      </w:r>
      <w:r w:rsidR="00A43BBE">
        <w:rPr>
          <w:rFonts w:ascii="Times New Roman" w:hAnsi="Times New Roman" w:cs="Times New Roman"/>
        </w:rPr>
        <w:t xml:space="preserve"> (Post Cure B)</w:t>
      </w:r>
      <w:r w:rsidR="00B419F7">
        <w:rPr>
          <w:rFonts w:ascii="Times New Roman" w:hAnsi="Times New Roman" w:cs="Times New Roman"/>
        </w:rPr>
        <w:t>, both options recommended by the Bis-EMA supplier.</w:t>
      </w:r>
      <w:r w:rsidR="00A43BBE">
        <w:rPr>
          <w:rFonts w:ascii="Times New Roman" w:hAnsi="Times New Roman" w:cs="Times New Roman"/>
        </w:rPr>
        <w:t xml:space="preserve">  Specimens were then machined from the cured polymer sheets.  Tensile specimens were produced and tested per ASTM D638 Type V.  DMA specimens were machined to 5 mm width x 20 mm length, then tested in film tension configuration with a temperature range of ambient to 300 ºC, a ramp rate of 3 ºC/minute, a frequency of 1 Hz and a strain amplitude of 0.05%.  TGA testing was performed under a nitrogen atmosphere at a temperature range of ambient to 600 ºC and a ramp rate of 10 ºC/minute.  FTIR was measured </w:t>
      </w:r>
      <w:r w:rsidR="001968CD">
        <w:rPr>
          <w:rFonts w:ascii="Times New Roman" w:hAnsi="Times New Roman" w:cs="Times New Roman"/>
        </w:rPr>
        <w:t>1 week post irradiation on the top and bottom surfaces of the tensile specimens, with 64 scans at 4 cm</w:t>
      </w:r>
      <w:r w:rsidR="001968CD" w:rsidRPr="007B05C3">
        <w:rPr>
          <w:rFonts w:ascii="Times New Roman" w:hAnsi="Times New Roman" w:cs="Times New Roman"/>
          <w:vertAlign w:val="superscript"/>
        </w:rPr>
        <w:t>-1</w:t>
      </w:r>
      <w:r w:rsidR="001968CD">
        <w:rPr>
          <w:rFonts w:ascii="Times New Roman" w:hAnsi="Times New Roman" w:cs="Times New Roman"/>
        </w:rPr>
        <w:t xml:space="preserve"> resolution and a gain of 8.0.  </w:t>
      </w:r>
      <w:r w:rsidR="00B419F7">
        <w:rPr>
          <w:rFonts w:ascii="Times New Roman" w:hAnsi="Times New Roman" w:cs="Times New Roman"/>
        </w:rPr>
        <w:t xml:space="preserve">    </w:t>
      </w:r>
      <w:r>
        <w:rPr>
          <w:rFonts w:ascii="Times New Roman" w:hAnsi="Times New Roman" w:cs="Times New Roman"/>
        </w:rPr>
        <w:t xml:space="preserve">  </w:t>
      </w:r>
    </w:p>
    <w:p w14:paraId="6356D498" w14:textId="67BC1ADB" w:rsidR="00322976" w:rsidRDefault="00322976" w:rsidP="009D06D1">
      <w:pPr>
        <w:pStyle w:val="Heading3"/>
        <w:numPr>
          <w:ilvl w:val="0"/>
          <w:numId w:val="0"/>
        </w:numPr>
      </w:pPr>
      <w:bookmarkStart w:id="191" w:name="_Toc101701788"/>
      <w:r>
        <w:lastRenderedPageBreak/>
        <w:t>3</w:t>
      </w:r>
      <w:r w:rsidRPr="0094131D">
        <w:t>.</w:t>
      </w:r>
      <w:r w:rsidR="001968CD">
        <w:t>3</w:t>
      </w:r>
      <w:r w:rsidRPr="0094131D">
        <w:t xml:space="preserve"> </w:t>
      </w:r>
      <w:r>
        <w:t>RT-FTIR Neat Resin Testing</w:t>
      </w:r>
      <w:bookmarkEnd w:id="191"/>
    </w:p>
    <w:p w14:paraId="4963AF45" w14:textId="50509100" w:rsidR="00322976" w:rsidRDefault="00322976" w:rsidP="00322976">
      <w:pPr>
        <w:spacing w:line="360" w:lineRule="auto"/>
        <w:rPr>
          <w:rFonts w:ascii="Times New Roman" w:hAnsi="Times New Roman" w:cs="Times New Roman"/>
        </w:rPr>
      </w:pPr>
      <w:r>
        <w:rPr>
          <w:rFonts w:ascii="Times New Roman" w:hAnsi="Times New Roman" w:cs="Times New Roman"/>
        </w:rPr>
        <w:t>Unreinforced resin specimens were prepared for FTIR.  Photopolymer was cast in 3 mm thick white acrylic molds with 6 mm square cavities.  To simulate LFAM conditions and allow rapid addition of multiple layers, all specimens were cured with the mold uncovered in ambient atmosphere.  Specimens were irradiated with the lamp positioned 10 mm above the polymer surface with either a “High Dose” of 5.5 J/cm</w:t>
      </w:r>
      <w:r w:rsidRPr="00C4396E">
        <w:rPr>
          <w:rFonts w:ascii="Times New Roman" w:hAnsi="Times New Roman" w:cs="Times New Roman"/>
          <w:vertAlign w:val="superscript"/>
        </w:rPr>
        <w:t xml:space="preserve">2 </w:t>
      </w:r>
      <w:r>
        <w:rPr>
          <w:rFonts w:ascii="Times New Roman" w:hAnsi="Times New Roman" w:cs="Times New Roman"/>
        </w:rPr>
        <w:t>over 3.5 s or a “Low Dose” of 1.4 J/cm</w:t>
      </w:r>
      <w:r w:rsidRPr="00C4396E">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over 0.8 s, with an incident light intensity of 1.7 W/cm</w:t>
      </w:r>
      <w:r w:rsidRPr="00C4396E">
        <w:rPr>
          <w:rFonts w:ascii="Times New Roman" w:hAnsi="Times New Roman" w:cs="Times New Roman"/>
          <w:vertAlign w:val="superscript"/>
        </w:rPr>
        <w:t>2</w:t>
      </w:r>
      <w:r>
        <w:rPr>
          <w:rFonts w:ascii="Times New Roman" w:hAnsi="Times New Roman" w:cs="Times New Roman"/>
        </w:rPr>
        <w:t xml:space="preserve"> </w:t>
      </w:r>
      <w:r w:rsidRPr="00C62D5E">
        <w:rPr>
          <w:rFonts w:ascii="Times New Roman" w:hAnsi="Times New Roman" w:cs="Times New Roman"/>
        </w:rPr>
        <w:t>as measured by an ILT800 radiometer from International Light Technologies</w:t>
      </w:r>
      <w:r>
        <w:rPr>
          <w:rFonts w:ascii="Times New Roman" w:hAnsi="Times New Roman" w:cs="Times New Roman"/>
        </w:rPr>
        <w:t>.</w:t>
      </w:r>
      <w:r w:rsidRPr="00C62D5E">
        <w:rPr>
          <w:rFonts w:ascii="Times New Roman" w:hAnsi="Times New Roman" w:cs="Times New Roman"/>
        </w:rPr>
        <w:t xml:space="preserve"> </w:t>
      </w:r>
      <w:r>
        <w:rPr>
          <w:rFonts w:ascii="Times New Roman" w:hAnsi="Times New Roman" w:cs="Times New Roman"/>
        </w:rPr>
        <w:t xml:space="preserve"> One set of specimens at each dose were prepared with a single 3 mm layer, monitored over the course of 10 minutes post irradiation using real-time FTIR (RT-FTIR).  A second set of specimens at each dose were prepared by casting additional layers directly over the previous layer (see </w:t>
      </w:r>
      <w:r w:rsidR="00DC01AE" w:rsidRPr="00DC01AE">
        <w:rPr>
          <w:rFonts w:ascii="Times New Roman" w:hAnsi="Times New Roman" w:cs="Times New Roman"/>
        </w:rPr>
        <w:fldChar w:fldCharType="begin"/>
      </w:r>
      <w:r w:rsidR="00DC01AE" w:rsidRPr="00DC01AE">
        <w:rPr>
          <w:rFonts w:ascii="Times New Roman" w:hAnsi="Times New Roman" w:cs="Times New Roman"/>
        </w:rPr>
        <w:instrText xml:space="preserve"> REF _Ref100935252 \h </w:instrText>
      </w:r>
      <w:r w:rsidR="00DC01AE">
        <w:rPr>
          <w:rFonts w:ascii="Times New Roman" w:hAnsi="Times New Roman" w:cs="Times New Roman"/>
        </w:rPr>
        <w:instrText xml:space="preserve"> \* MERGEFORMAT </w:instrText>
      </w:r>
      <w:r w:rsidR="00DC01AE" w:rsidRPr="00DC01AE">
        <w:rPr>
          <w:rFonts w:ascii="Times New Roman" w:hAnsi="Times New Roman" w:cs="Times New Roman"/>
        </w:rPr>
      </w:r>
      <w:r w:rsidR="00DC01AE" w:rsidRPr="00DC01AE">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45</w:t>
      </w:r>
      <w:r w:rsidR="00DC01AE" w:rsidRPr="00DC01AE">
        <w:rPr>
          <w:rFonts w:ascii="Times New Roman" w:hAnsi="Times New Roman" w:cs="Times New Roman"/>
        </w:rPr>
        <w:fldChar w:fldCharType="end"/>
      </w:r>
      <w:r>
        <w:rPr>
          <w:rFonts w:ascii="Times New Roman" w:hAnsi="Times New Roman" w:cs="Times New Roman"/>
        </w:rPr>
        <w:t>), with a new layer irradiated every 2 minutes for a total of five layers in 10 minutes.  The 10 mm gap held constant for each additional layer.</w:t>
      </w:r>
    </w:p>
    <w:p w14:paraId="097DE89C" w14:textId="1A94FD28" w:rsidR="000234CC" w:rsidRPr="00322976" w:rsidRDefault="00322976" w:rsidP="000234CC">
      <w:pPr>
        <w:spacing w:line="360" w:lineRule="auto"/>
        <w:rPr>
          <w:rFonts w:ascii="Times New Roman" w:hAnsi="Times New Roman" w:cs="Times New Roman"/>
        </w:rPr>
      </w:pPr>
      <w:r>
        <w:rPr>
          <w:rFonts w:ascii="Times New Roman" w:hAnsi="Times New Roman" w:cs="Times New Roman"/>
        </w:rPr>
        <w:t>Testing was conducted on a Nicolet iS50 FTIR Spectrometer with an attenuated total</w:t>
      </w:r>
      <w:r w:rsidR="000234CC" w:rsidRPr="000234CC">
        <w:rPr>
          <w:rFonts w:ascii="Times New Roman" w:hAnsi="Times New Roman" w:cs="Times New Roman"/>
        </w:rPr>
        <w:t xml:space="preserve"> </w:t>
      </w:r>
      <w:r w:rsidR="000234CC">
        <w:rPr>
          <w:rFonts w:ascii="Times New Roman" w:hAnsi="Times New Roman" w:cs="Times New Roman"/>
        </w:rPr>
        <w:t xml:space="preserve">reflectance (ATR) module, both from </w:t>
      </w:r>
      <w:proofErr w:type="spellStart"/>
      <w:r w:rsidR="000234CC">
        <w:rPr>
          <w:rFonts w:ascii="Times New Roman" w:hAnsi="Times New Roman" w:cs="Times New Roman"/>
        </w:rPr>
        <w:t>Thermo</w:t>
      </w:r>
      <w:proofErr w:type="spellEnd"/>
      <w:r w:rsidR="000234CC">
        <w:rPr>
          <w:rFonts w:ascii="Times New Roman" w:hAnsi="Times New Roman" w:cs="Times New Roman"/>
        </w:rPr>
        <w:t xml:space="preserve"> Fisher Scientific. To ensure intimate contact of the cured polymer with the diamond crystal of the ATR, the mold and lamp were positioned directly over the crystal and the specimens were irradiated in situ.  Measurements were taken in a series of scans at 4 cm</w:t>
      </w:r>
      <w:r w:rsidR="000234CC" w:rsidRPr="007B05C3">
        <w:rPr>
          <w:rFonts w:ascii="Times New Roman" w:hAnsi="Times New Roman" w:cs="Times New Roman"/>
          <w:vertAlign w:val="superscript"/>
        </w:rPr>
        <w:t>-1</w:t>
      </w:r>
      <w:r w:rsidR="000234CC">
        <w:rPr>
          <w:rFonts w:ascii="Times New Roman" w:hAnsi="Times New Roman" w:cs="Times New Roman"/>
        </w:rPr>
        <w:t xml:space="preserve"> resolution and a gain of 8.0.  A minimum of five specimens were tested for each condition.</w:t>
      </w:r>
    </w:p>
    <w:p w14:paraId="3E514C30" w14:textId="77777777" w:rsidR="000234CC" w:rsidRDefault="000234CC" w:rsidP="009D06D1">
      <w:pPr>
        <w:pStyle w:val="Heading3"/>
      </w:pPr>
      <w:bookmarkStart w:id="192" w:name="_Toc101701789"/>
      <w:r w:rsidRPr="002F23B4">
        <w:t>3.</w:t>
      </w:r>
      <w:r>
        <w:t>4</w:t>
      </w:r>
      <w:r w:rsidRPr="002F23B4">
        <w:t xml:space="preserve"> Neat Resin Nanoindentation and FTIR Microscopy</w:t>
      </w:r>
      <w:bookmarkEnd w:id="192"/>
    </w:p>
    <w:p w14:paraId="4FE4AB06" w14:textId="77777777" w:rsidR="000234CC" w:rsidRDefault="000234CC" w:rsidP="000234CC">
      <w:pPr>
        <w:spacing w:line="360" w:lineRule="auto"/>
        <w:rPr>
          <w:rFonts w:ascii="Times New Roman" w:hAnsi="Times New Roman" w:cs="Times New Roman"/>
        </w:rPr>
      </w:pPr>
      <w:r>
        <w:rPr>
          <w:rFonts w:ascii="Times New Roman" w:hAnsi="Times New Roman" w:cs="Times New Roman"/>
        </w:rPr>
        <w:t xml:space="preserve">After irradiation and curing, the single and multi-layer specimens from the RT-FTIR testing were potted and polished for nanoindentation and FTIR Microscopy.  Single-layer specimens were mounted on acrylic and potted in epoxy resin to obtain a cross section during polishing.  Multi-layer specimens were sectioned using an </w:t>
      </w:r>
      <w:proofErr w:type="spellStart"/>
      <w:r>
        <w:rPr>
          <w:rFonts w:ascii="Times New Roman" w:hAnsi="Times New Roman" w:cs="Times New Roman"/>
        </w:rPr>
        <w:t>IsoMet</w:t>
      </w:r>
      <w:proofErr w:type="spellEnd"/>
      <w:r>
        <w:rPr>
          <w:rFonts w:ascii="Times New Roman" w:hAnsi="Times New Roman" w:cs="Times New Roman"/>
        </w:rPr>
        <w:t xml:space="preserve"> 1000 precision sectioning saw (Buehler) at 275 rpm cutting speed and 300 g weight, then potted in epoxy resin to obtain a cross section.  Potted specimens were polished up to 0.05 </w:t>
      </w:r>
      <m:oMath>
        <m:r>
          <m:rPr>
            <m:sty m:val="p"/>
          </m:rPr>
          <w:rPr>
            <w:rFonts w:ascii="Cambria Math" w:hAnsi="Cambria Math" w:cs="Times New Roman"/>
          </w:rPr>
          <m:t>μm</m:t>
        </m:r>
      </m:oMath>
      <w:r>
        <w:rPr>
          <w:rFonts w:ascii="Times New Roman" w:eastAsiaTheme="minorEastAsia" w:hAnsi="Times New Roman" w:cs="Times New Roman"/>
        </w:rPr>
        <w:t xml:space="preserve"> </w:t>
      </w:r>
      <w:r>
        <w:rPr>
          <w:rFonts w:ascii="Times New Roman" w:hAnsi="Times New Roman" w:cs="Times New Roman"/>
        </w:rPr>
        <w:t xml:space="preserve">using an </w:t>
      </w:r>
      <w:proofErr w:type="spellStart"/>
      <w:r>
        <w:rPr>
          <w:rFonts w:ascii="Times New Roman" w:hAnsi="Times New Roman" w:cs="Times New Roman"/>
        </w:rPr>
        <w:t>AutoMet</w:t>
      </w:r>
      <w:proofErr w:type="spellEnd"/>
      <w:r>
        <w:rPr>
          <w:rFonts w:ascii="Times New Roman" w:hAnsi="Times New Roman" w:cs="Times New Roman"/>
        </w:rPr>
        <w:t xml:space="preserve"> 250 grinder-polisher (Buehler).</w:t>
      </w:r>
    </w:p>
    <w:p w14:paraId="52CED1E3" w14:textId="1281DA00" w:rsidR="00322976" w:rsidRDefault="00322976" w:rsidP="00322976">
      <w:pPr>
        <w:spacing w:line="360" w:lineRule="auto"/>
        <w:rPr>
          <w:rFonts w:ascii="Times New Roman" w:hAnsi="Times New Roman" w:cs="Times New Roman"/>
        </w:rPr>
      </w:pPr>
    </w:p>
    <w:p w14:paraId="32116455" w14:textId="1CCFC1F8" w:rsidR="000234CC" w:rsidRPr="0013755B" w:rsidRDefault="000234CC" w:rsidP="00322976">
      <w:pPr>
        <w:spacing w:line="360" w:lineRule="auto"/>
        <w:rPr>
          <w:rFonts w:ascii="Times New Roman" w:hAnsi="Times New Roman" w:cs="Times New Roman"/>
        </w:rPr>
      </w:pPr>
      <w:r w:rsidRPr="00EF3183">
        <w:rPr>
          <w:rFonts w:ascii="Times New Roman" w:hAnsi="Times New Roman" w:cs="Times New Roman"/>
          <w:color w:val="000000"/>
          <w:shd w:val="clear" w:color="auto" w:fill="FFFFFF"/>
        </w:rPr>
        <w:t>Nanoindentation</w:t>
      </w:r>
      <w:r>
        <w:rPr>
          <w:rFonts w:ascii="Times New Roman" w:hAnsi="Times New Roman" w:cs="Times New Roman"/>
          <w:color w:val="000000"/>
          <w:shd w:val="clear" w:color="auto" w:fill="FFFFFF"/>
        </w:rPr>
        <w:t xml:space="preserve"> was conducted</w:t>
      </w:r>
      <w:r w:rsidRPr="00EF3183">
        <w:rPr>
          <w:rFonts w:ascii="Times New Roman" w:hAnsi="Times New Roman" w:cs="Times New Roman"/>
          <w:color w:val="000000"/>
          <w:shd w:val="clear" w:color="auto" w:fill="FFFFFF"/>
        </w:rPr>
        <w:t xml:space="preserve"> using the </w:t>
      </w:r>
      <w:proofErr w:type="spellStart"/>
      <w:r w:rsidRPr="00EF3183">
        <w:rPr>
          <w:rFonts w:ascii="Times New Roman" w:hAnsi="Times New Roman" w:cs="Times New Roman"/>
          <w:color w:val="000000"/>
          <w:shd w:val="clear" w:color="auto" w:fill="FFFFFF"/>
        </w:rPr>
        <w:t>iMicro</w:t>
      </w:r>
      <w:proofErr w:type="spellEnd"/>
      <w:r w:rsidRPr="00EF3183">
        <w:rPr>
          <w:rFonts w:ascii="Times New Roman" w:hAnsi="Times New Roman" w:cs="Times New Roman"/>
          <w:color w:val="000000"/>
          <w:shd w:val="clear" w:color="auto" w:fill="FFFFFF"/>
        </w:rPr>
        <w:t xml:space="preserve"> system </w:t>
      </w:r>
      <w:r>
        <w:rPr>
          <w:rFonts w:ascii="Times New Roman" w:hAnsi="Times New Roman" w:cs="Times New Roman"/>
          <w:color w:val="000000"/>
          <w:shd w:val="clear" w:color="auto" w:fill="FFFFFF"/>
        </w:rPr>
        <w:t>(</w:t>
      </w:r>
      <w:proofErr w:type="spellStart"/>
      <w:r w:rsidRPr="00EF3183">
        <w:rPr>
          <w:rFonts w:ascii="Times New Roman" w:hAnsi="Times New Roman" w:cs="Times New Roman"/>
          <w:color w:val="000000"/>
          <w:shd w:val="clear" w:color="auto" w:fill="FFFFFF"/>
        </w:rPr>
        <w:t>Nanomechanics</w:t>
      </w:r>
      <w:proofErr w:type="spellEnd"/>
      <w:r w:rsidRPr="00EF3183">
        <w:rPr>
          <w:rFonts w:ascii="Times New Roman" w:hAnsi="Times New Roman" w:cs="Times New Roman"/>
          <w:color w:val="000000"/>
          <w:shd w:val="clear" w:color="auto" w:fill="FFFFFF"/>
        </w:rPr>
        <w:t xml:space="preserve"> </w:t>
      </w:r>
      <w:proofErr w:type="spellStart"/>
      <w:r w:rsidRPr="00EF3183">
        <w:rPr>
          <w:rFonts w:ascii="Times New Roman" w:hAnsi="Times New Roman" w:cs="Times New Roman"/>
          <w:color w:val="000000"/>
          <w:shd w:val="clear" w:color="auto" w:fill="FFFFFF"/>
        </w:rPr>
        <w:t>inc</w:t>
      </w:r>
      <w:proofErr w:type="spellEnd"/>
      <w:r w:rsidRPr="00EF318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w:t>
      </w:r>
      <w:r w:rsidRPr="00EF3183">
        <w:rPr>
          <w:rFonts w:ascii="Times New Roman" w:hAnsi="Times New Roman" w:cs="Times New Roman"/>
          <w:color w:val="000000"/>
          <w:shd w:val="clear" w:color="auto" w:fill="FFFFFF"/>
        </w:rPr>
        <w:t xml:space="preserve"> to evaluate the hardness and modulus of the </w:t>
      </w:r>
      <w:r>
        <w:rPr>
          <w:rFonts w:ascii="Times New Roman" w:hAnsi="Times New Roman" w:cs="Times New Roman"/>
          <w:color w:val="000000"/>
          <w:shd w:val="clear" w:color="auto" w:fill="FFFFFF"/>
        </w:rPr>
        <w:t>specimens</w:t>
      </w:r>
      <w:r w:rsidRPr="00EF318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Specimens</w:t>
      </w:r>
      <w:r w:rsidRPr="00EF318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were</w:t>
      </w:r>
      <w:r w:rsidRPr="00EF3183">
        <w:rPr>
          <w:rFonts w:ascii="Times New Roman" w:hAnsi="Times New Roman" w:cs="Times New Roman"/>
          <w:color w:val="000000"/>
          <w:shd w:val="clear" w:color="auto" w:fill="FFFFFF"/>
        </w:rPr>
        <w:t xml:space="preserve"> indented with a</w:t>
      </w:r>
    </w:p>
    <w:p w14:paraId="78249DAF" w14:textId="77777777" w:rsidR="00DC01AE" w:rsidRDefault="00C1521B" w:rsidP="00DC01AE">
      <w:pPr>
        <w:keepNext/>
        <w:spacing w:line="360" w:lineRule="auto"/>
        <w:jc w:val="center"/>
      </w:pPr>
      <w:r w:rsidRPr="00C62D5E">
        <w:rPr>
          <w:rFonts w:ascii="Times New Roman" w:hAnsi="Times New Roman" w:cs="Times New Roman"/>
          <w:b/>
          <w:bCs/>
          <w:noProof/>
        </w:rPr>
        <w:lastRenderedPageBreak/>
        <w:drawing>
          <wp:inline distT="0" distB="0" distL="0" distR="0" wp14:anchorId="16594A04" wp14:editId="2BE9C554">
            <wp:extent cx="4010526" cy="3105418"/>
            <wp:effectExtent l="0" t="0" r="952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7001" b="13166"/>
                    <a:stretch/>
                  </pic:blipFill>
                  <pic:spPr bwMode="auto">
                    <a:xfrm>
                      <a:off x="0" y="0"/>
                      <a:ext cx="4019508" cy="3112373"/>
                    </a:xfrm>
                    <a:prstGeom prst="rect">
                      <a:avLst/>
                    </a:prstGeom>
                    <a:noFill/>
                    <a:ln>
                      <a:noFill/>
                    </a:ln>
                    <a:extLst>
                      <a:ext uri="{53640926-AAD7-44D8-BBD7-CCE9431645EC}">
                        <a14:shadowObscured xmlns:a14="http://schemas.microsoft.com/office/drawing/2010/main"/>
                      </a:ext>
                    </a:extLst>
                  </pic:spPr>
                </pic:pic>
              </a:graphicData>
            </a:graphic>
          </wp:inline>
        </w:drawing>
      </w:r>
    </w:p>
    <w:p w14:paraId="35BFECF5" w14:textId="45C02630" w:rsidR="00C1521B" w:rsidRDefault="00DC01AE" w:rsidP="00F20503">
      <w:pPr>
        <w:pStyle w:val="Caption"/>
      </w:pPr>
      <w:bookmarkStart w:id="193" w:name="_Ref100935186"/>
      <w:bookmarkStart w:id="194" w:name="_Toc101365706"/>
      <w:r>
        <w:t xml:space="preserve">Figure </w:t>
      </w:r>
      <w:r w:rsidR="002F73EC">
        <w:fldChar w:fldCharType="begin"/>
      </w:r>
      <w:r w:rsidR="002F73EC">
        <w:instrText xml:space="preserve"> SEQ Figure \* ARABIC </w:instrText>
      </w:r>
      <w:r w:rsidR="002F73EC">
        <w:fldChar w:fldCharType="separate"/>
      </w:r>
      <w:r w:rsidR="00BF5717">
        <w:rPr>
          <w:noProof/>
        </w:rPr>
        <w:t>44</w:t>
      </w:r>
      <w:r w:rsidR="002F73EC">
        <w:rPr>
          <w:noProof/>
        </w:rPr>
        <w:fldChar w:fldCharType="end"/>
      </w:r>
      <w:bookmarkEnd w:id="193"/>
      <w:r>
        <w:t xml:space="preserve"> </w:t>
      </w:r>
      <w:r w:rsidRPr="00DF4119">
        <w:t>Primary oligomer Bis-EMA is di-functional while PETIA has tri- and tetra-functionality.</w:t>
      </w:r>
      <w:bookmarkEnd w:id="194"/>
      <w:r w:rsidRPr="00DF4119">
        <w:t xml:space="preserve">  </w:t>
      </w:r>
    </w:p>
    <w:p w14:paraId="7FEE7E06" w14:textId="7B65A722" w:rsidR="006B1E6B" w:rsidRDefault="006B1E6B" w:rsidP="006B1E6B"/>
    <w:p w14:paraId="05C9C668" w14:textId="77777777" w:rsidR="006B1E6B" w:rsidRPr="006B1E6B" w:rsidRDefault="006B1E6B" w:rsidP="006B1E6B"/>
    <w:p w14:paraId="79605527" w14:textId="77777777" w:rsidR="00DC01AE" w:rsidRDefault="00322976" w:rsidP="00DC01AE">
      <w:pPr>
        <w:keepNext/>
        <w:spacing w:line="360" w:lineRule="auto"/>
        <w:jc w:val="center"/>
      </w:pPr>
      <w:r>
        <w:rPr>
          <w:rFonts w:ascii="Times New Roman" w:hAnsi="Times New Roman" w:cs="Times New Roman"/>
          <w:b/>
          <w:bCs/>
          <w:noProof/>
          <w:sz w:val="28"/>
          <w:szCs w:val="28"/>
        </w:rPr>
        <w:drawing>
          <wp:inline distT="0" distB="0" distL="0" distR="0" wp14:anchorId="49B3662B" wp14:editId="53CA6939">
            <wp:extent cx="3489695" cy="3238830"/>
            <wp:effectExtent l="19050" t="19050" r="15875" b="1905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81755" cy="3324272"/>
                    </a:xfrm>
                    <a:prstGeom prst="rect">
                      <a:avLst/>
                    </a:prstGeom>
                    <a:noFill/>
                    <a:ln w="12700">
                      <a:solidFill>
                        <a:schemeClr val="tx1"/>
                      </a:solidFill>
                    </a:ln>
                  </pic:spPr>
                </pic:pic>
              </a:graphicData>
            </a:graphic>
          </wp:inline>
        </w:drawing>
      </w:r>
    </w:p>
    <w:p w14:paraId="5BAF013C" w14:textId="4E777BC2" w:rsidR="00322976" w:rsidRDefault="00DC01AE" w:rsidP="00F20503">
      <w:pPr>
        <w:pStyle w:val="Caption"/>
      </w:pPr>
      <w:bookmarkStart w:id="195" w:name="_Ref100935252"/>
      <w:bookmarkStart w:id="196" w:name="_Toc101365707"/>
      <w:r>
        <w:t xml:space="preserve">Figure </w:t>
      </w:r>
      <w:r w:rsidR="002F73EC">
        <w:fldChar w:fldCharType="begin"/>
      </w:r>
      <w:r w:rsidR="002F73EC">
        <w:instrText xml:space="preserve"> SEQ Figure \* ARABIC </w:instrText>
      </w:r>
      <w:r w:rsidR="002F73EC">
        <w:fldChar w:fldCharType="separate"/>
      </w:r>
      <w:r w:rsidR="00BF5717">
        <w:rPr>
          <w:noProof/>
        </w:rPr>
        <w:t>45</w:t>
      </w:r>
      <w:r w:rsidR="002F73EC">
        <w:rPr>
          <w:noProof/>
        </w:rPr>
        <w:fldChar w:fldCharType="end"/>
      </w:r>
      <w:bookmarkEnd w:id="195"/>
      <w:r>
        <w:t xml:space="preserve"> </w:t>
      </w:r>
      <w:proofErr w:type="gramStart"/>
      <w:r w:rsidRPr="00D47819">
        <w:t>Multi-layer</w:t>
      </w:r>
      <w:proofErr w:type="gramEnd"/>
      <w:r w:rsidRPr="00D47819">
        <w:t xml:space="preserve"> in situ curing of neat resin, with bottom surface of first layer in contact with FTIR-ATR diamond</w:t>
      </w:r>
      <w:r>
        <w:t xml:space="preserve"> for degree of conversion measurement.</w:t>
      </w:r>
      <w:bookmarkEnd w:id="196"/>
    </w:p>
    <w:p w14:paraId="60ACA0C8" w14:textId="07F455D9" w:rsidR="00322976" w:rsidRPr="001968CD" w:rsidRDefault="00C1521B" w:rsidP="00322976">
      <w:pPr>
        <w:spacing w:line="360" w:lineRule="auto"/>
        <w:rPr>
          <w:rFonts w:ascii="Times New Roman" w:hAnsi="Times New Roman" w:cs="Times New Roman"/>
          <w:color w:val="000000"/>
          <w:shd w:val="clear" w:color="auto" w:fill="FFFFFF"/>
        </w:rPr>
      </w:pPr>
      <w:proofErr w:type="spellStart"/>
      <w:r w:rsidRPr="00EF3183">
        <w:rPr>
          <w:rFonts w:ascii="Times New Roman" w:hAnsi="Times New Roman" w:cs="Times New Roman"/>
          <w:color w:val="000000"/>
          <w:shd w:val="clear" w:color="auto" w:fill="FFFFFF"/>
        </w:rPr>
        <w:lastRenderedPageBreak/>
        <w:t>Berkovich</w:t>
      </w:r>
      <w:proofErr w:type="spellEnd"/>
      <w:r w:rsidRPr="00EF3183">
        <w:rPr>
          <w:rFonts w:ascii="Times New Roman" w:hAnsi="Times New Roman" w:cs="Times New Roman"/>
          <w:color w:val="000000"/>
          <w:shd w:val="clear" w:color="auto" w:fill="FFFFFF"/>
        </w:rPr>
        <w:t xml:space="preserve"> tip (3-sided pyramid with 67.3 degrees inscribed angle) using an actuator with a 1000mN force limit and 40 µm displacement range. </w:t>
      </w:r>
      <w:r>
        <w:rPr>
          <w:rFonts w:ascii="Times New Roman" w:hAnsi="Times New Roman" w:cs="Times New Roman"/>
          <w:color w:val="000000"/>
          <w:shd w:val="clear" w:color="auto" w:fill="FFFFFF"/>
        </w:rPr>
        <w:t>The</w:t>
      </w:r>
      <w:r w:rsidRPr="00EF3183">
        <w:rPr>
          <w:rFonts w:ascii="Times New Roman" w:hAnsi="Times New Roman" w:cs="Times New Roman"/>
          <w:color w:val="000000"/>
          <w:shd w:val="clear" w:color="auto" w:fill="FFFFFF"/>
        </w:rPr>
        <w:t xml:space="preserve"> continuous stiffness method (CSM) </w:t>
      </w:r>
      <w:r>
        <w:rPr>
          <w:rFonts w:ascii="Times New Roman" w:hAnsi="Times New Roman" w:cs="Times New Roman"/>
          <w:color w:val="000000"/>
          <w:shd w:val="clear" w:color="auto" w:fill="FFFFFF"/>
        </w:rPr>
        <w:t>was employed, in which specimens</w:t>
      </w:r>
      <w:r w:rsidRPr="00EF318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were</w:t>
      </w:r>
      <w:r w:rsidRPr="00EF3183">
        <w:rPr>
          <w:rFonts w:ascii="Times New Roman" w:hAnsi="Times New Roman" w:cs="Times New Roman"/>
          <w:color w:val="000000"/>
          <w:shd w:val="clear" w:color="auto" w:fill="FFFFFF"/>
        </w:rPr>
        <w:t xml:space="preserve"> loaded dynamically </w:t>
      </w:r>
      <w:r>
        <w:rPr>
          <w:rFonts w:ascii="Times New Roman" w:hAnsi="Times New Roman" w:cs="Times New Roman"/>
          <w:color w:val="000000"/>
          <w:shd w:val="clear" w:color="auto" w:fill="FFFFFF"/>
        </w:rPr>
        <w:t>to calculate the unloading contact stiffness as a function of depth.  The dynamic displacement used was an</w:t>
      </w:r>
      <w:r w:rsidRPr="00EF3183">
        <w:rPr>
          <w:rFonts w:ascii="Times New Roman" w:hAnsi="Times New Roman" w:cs="Times New Roman"/>
          <w:color w:val="000000"/>
          <w:shd w:val="clear" w:color="auto" w:fill="FFFFFF"/>
        </w:rPr>
        <w:t xml:space="preserve"> oscillation of 2</w:t>
      </w:r>
      <w:r>
        <w:rPr>
          <w:rFonts w:ascii="Times New Roman" w:hAnsi="Times New Roman" w:cs="Times New Roman"/>
          <w:color w:val="000000"/>
          <w:shd w:val="clear" w:color="auto" w:fill="FFFFFF"/>
        </w:rPr>
        <w:t xml:space="preserve"> </w:t>
      </w:r>
      <w:r w:rsidRPr="00EF3183">
        <w:rPr>
          <w:rFonts w:ascii="Times New Roman" w:hAnsi="Times New Roman" w:cs="Times New Roman"/>
          <w:color w:val="000000"/>
          <w:shd w:val="clear" w:color="auto" w:fill="FFFFFF"/>
        </w:rPr>
        <w:t xml:space="preserve">nm at a frequency of 110 Hz. Assuming a Hertzian contact, obtained stiffness </w:t>
      </w:r>
      <w:r>
        <w:rPr>
          <w:rFonts w:ascii="Times New Roman" w:hAnsi="Times New Roman" w:cs="Times New Roman"/>
          <w:color w:val="000000"/>
          <w:shd w:val="clear" w:color="auto" w:fill="FFFFFF"/>
        </w:rPr>
        <w:t>was used</w:t>
      </w:r>
      <w:r w:rsidRPr="00EF3183">
        <w:rPr>
          <w:rFonts w:ascii="Times New Roman" w:hAnsi="Times New Roman" w:cs="Times New Roman"/>
          <w:color w:val="000000"/>
          <w:shd w:val="clear" w:color="auto" w:fill="FFFFFF"/>
        </w:rPr>
        <w:t xml:space="preserve"> to evaluate the modulus and hardness based on the Oliver-Pharr formulation</w:t>
      </w:r>
      <w:r>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fldChar w:fldCharType="begin" w:fldLock="1"/>
      </w:r>
      <w:r w:rsidR="00280E34">
        <w:rPr>
          <w:rFonts w:ascii="Times New Roman" w:hAnsi="Times New Roman" w:cs="Times New Roman"/>
          <w:color w:val="000000"/>
          <w:shd w:val="clear" w:color="auto" w:fill="FFFFFF"/>
        </w:rPr>
        <w:instrText>ADDIN CSL_CITATION {"citationItems":[{"id":"ITEM-1","itemData":{"abstract":"The indentation load-displacement behavior of six materials tested with a Berkovich indenter has been carefully documented to establish an improved method for determining hardness and elastic modulus from indentation load-displacement data. The materials included fused silica, soda-lime glass, and single crystals of aluminum, tungsten, quartz, and sapphire. It is shown that the load-displacement curves during unloading in these materials are not linear, even in the initial stages, thereby suggesting that the flat punch approximation used so often in the analysis of unloading data is not entirely adequate. An analysis technique is presented that accounts for the curvature in the unloading data and provides a physically justifiable procedure for determining the depth which should be used in conjunction with the indenter shape function to establish the contact area at peak load. The hardnesses and elastic moduli of the six materials are computed using the analysis procedure and compared with values determined by independent means to assess the accuracy of the method. The results show that with good technique, moduli can be measured to within 5%.","author":[{"dropping-particle":"","family":"Oliver","given":"W C","non-dropping-particle":"","parse-names":false,"suffix":""},{"dropping-particle":"","family":"Pharr","given":"G M","non-dropping-particle":"","parse-names":false,"suffix":""}],"id":"ITEM-1","issued":{"date-parts":[["1992"]]},"title":"An improved technique for determining hardness and elastic modulus using load and displacement sensing indentation experiments","type":"article-journal"},"uris":["http://www.mendeley.com/documents/?uuid=9c92839f-8d22-3493-b2d0-ab1c048abe88"]}],"mendeley":{"formattedCitation":"[150]","plainTextFormattedCitation":"[150]","previouslyFormattedCitation":"[150]"},"properties":{"noteIndex":0},"schema":"https://github.com/citation-style-language/schema/raw/master/csl-citation.json"}</w:instrText>
      </w:r>
      <w:r>
        <w:rPr>
          <w:rFonts w:ascii="Times New Roman" w:hAnsi="Times New Roman" w:cs="Times New Roman"/>
          <w:color w:val="000000"/>
          <w:shd w:val="clear" w:color="auto" w:fill="FFFFFF"/>
        </w:rPr>
        <w:fldChar w:fldCharType="separate"/>
      </w:r>
      <w:r w:rsidR="00280E34" w:rsidRPr="00280E34">
        <w:rPr>
          <w:rFonts w:ascii="Times New Roman" w:hAnsi="Times New Roman" w:cs="Times New Roman"/>
          <w:noProof/>
          <w:color w:val="000000"/>
          <w:shd w:val="clear" w:color="auto" w:fill="FFFFFF"/>
        </w:rPr>
        <w:t>[150]</w:t>
      </w:r>
      <w:r>
        <w:rPr>
          <w:rFonts w:ascii="Times New Roman" w:hAnsi="Times New Roman" w:cs="Times New Roman"/>
          <w:color w:val="000000"/>
          <w:shd w:val="clear" w:color="auto" w:fill="FFFFFF"/>
        </w:rPr>
        <w:fldChar w:fldCharType="end"/>
      </w:r>
      <w:r w:rsidRPr="00EF3183">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Specimens were</w:t>
      </w:r>
      <w:r w:rsidRPr="00EF3183">
        <w:rPr>
          <w:rFonts w:ascii="Times New Roman" w:hAnsi="Times New Roman" w:cs="Times New Roman"/>
          <w:color w:val="000000"/>
          <w:shd w:val="clear" w:color="auto" w:fill="FFFFFF"/>
        </w:rPr>
        <w:t xml:space="preserve"> loaded to a target depth of 1 µm</w:t>
      </w:r>
      <w:r>
        <w:rPr>
          <w:rFonts w:ascii="Times New Roman" w:hAnsi="Times New Roman" w:cs="Times New Roman"/>
          <w:color w:val="000000"/>
          <w:shd w:val="clear" w:color="auto" w:fill="FFFFFF"/>
        </w:rPr>
        <w:t xml:space="preserve"> with </w:t>
      </w:r>
      <w:r w:rsidRPr="00EF3183">
        <w:rPr>
          <w:rFonts w:ascii="Times New Roman" w:hAnsi="Times New Roman" w:cs="Times New Roman"/>
          <w:color w:val="000000"/>
          <w:shd w:val="clear" w:color="auto" w:fill="FFFFFF"/>
        </w:rPr>
        <w:t xml:space="preserve">a constant strain rate and a </w:t>
      </w:r>
      <w:r>
        <w:rPr>
          <w:rFonts w:ascii="Times New Roman" w:hAnsi="Times New Roman" w:cs="Times New Roman"/>
          <w:color w:val="000000"/>
          <w:shd w:val="clear" w:color="auto" w:fill="FFFFFF"/>
        </w:rPr>
        <w:t>1</w:t>
      </w:r>
      <w:r w:rsidRPr="00EF3183">
        <w:rPr>
          <w:rFonts w:ascii="Times New Roman" w:hAnsi="Times New Roman" w:cs="Times New Roman"/>
          <w:color w:val="000000"/>
          <w:shd w:val="clear" w:color="auto" w:fill="FFFFFF"/>
        </w:rPr>
        <w:t xml:space="preserve"> s hold time at peak load. The resulting properties </w:t>
      </w:r>
      <w:r>
        <w:rPr>
          <w:rFonts w:ascii="Times New Roman" w:hAnsi="Times New Roman" w:cs="Times New Roman"/>
          <w:color w:val="000000"/>
          <w:shd w:val="clear" w:color="auto" w:fill="FFFFFF"/>
        </w:rPr>
        <w:t>were</w:t>
      </w:r>
      <w:r w:rsidRPr="00EF3183">
        <w:rPr>
          <w:rFonts w:ascii="Times New Roman" w:hAnsi="Times New Roman" w:cs="Times New Roman"/>
          <w:color w:val="000000"/>
          <w:shd w:val="clear" w:color="auto" w:fill="FFFFFF"/>
        </w:rPr>
        <w:t xml:space="preserve"> calculated as an average between 500</w:t>
      </w:r>
      <w:r>
        <w:rPr>
          <w:rFonts w:ascii="Times New Roman" w:hAnsi="Times New Roman" w:cs="Times New Roman"/>
          <w:color w:val="000000"/>
          <w:shd w:val="clear" w:color="auto" w:fill="FFFFFF"/>
        </w:rPr>
        <w:t xml:space="preserve"> </w:t>
      </w:r>
      <w:r w:rsidRPr="00EF3183">
        <w:rPr>
          <w:rFonts w:ascii="Times New Roman" w:hAnsi="Times New Roman" w:cs="Times New Roman"/>
          <w:color w:val="000000"/>
          <w:shd w:val="clear" w:color="auto" w:fill="FFFFFF"/>
        </w:rPr>
        <w:t>nm</w:t>
      </w:r>
      <w:r>
        <w:rPr>
          <w:rFonts w:ascii="Times New Roman" w:hAnsi="Times New Roman" w:cs="Times New Roman"/>
          <w:color w:val="000000"/>
          <w:shd w:val="clear" w:color="auto" w:fill="FFFFFF"/>
        </w:rPr>
        <w:t xml:space="preserve"> </w:t>
      </w:r>
      <w:r w:rsidRPr="00EF318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r w:rsidRPr="00EF3183">
        <w:rPr>
          <w:rFonts w:ascii="Times New Roman" w:hAnsi="Times New Roman" w:cs="Times New Roman"/>
          <w:color w:val="000000"/>
          <w:shd w:val="clear" w:color="auto" w:fill="FFFFFF"/>
        </w:rPr>
        <w:t>1000</w:t>
      </w:r>
      <w:r>
        <w:rPr>
          <w:rFonts w:ascii="Times New Roman" w:hAnsi="Times New Roman" w:cs="Times New Roman"/>
          <w:color w:val="000000"/>
          <w:shd w:val="clear" w:color="auto" w:fill="FFFFFF"/>
        </w:rPr>
        <w:t xml:space="preserve"> </w:t>
      </w:r>
      <w:r w:rsidRPr="00EF3183">
        <w:rPr>
          <w:rFonts w:ascii="Times New Roman" w:hAnsi="Times New Roman" w:cs="Times New Roman"/>
          <w:color w:val="000000"/>
          <w:shd w:val="clear" w:color="auto" w:fill="FFFFFF"/>
        </w:rPr>
        <w:t>nm.</w:t>
      </w:r>
      <w:r>
        <w:rPr>
          <w:rFonts w:ascii="Times New Roman" w:hAnsi="Times New Roman" w:cs="Times New Roman"/>
        </w:rPr>
        <w:t xml:space="preserve">  For single-layer neat resin specimens, sets of indentations were conducted with a minimum of six indentations per row, with rows spaced every 200 </w:t>
      </w:r>
      <w:r w:rsidRPr="00EF3183">
        <w:rPr>
          <w:rFonts w:ascii="Times New Roman" w:hAnsi="Times New Roman" w:cs="Times New Roman"/>
          <w:color w:val="000000"/>
          <w:shd w:val="clear" w:color="auto" w:fill="FFFFFF"/>
        </w:rPr>
        <w:t>µm</w:t>
      </w:r>
      <w:r>
        <w:rPr>
          <w:rFonts w:ascii="Times New Roman" w:hAnsi="Times New Roman" w:cs="Times New Roman"/>
          <w:color w:val="000000"/>
          <w:shd w:val="clear" w:color="auto" w:fill="FFFFFF"/>
        </w:rPr>
        <w:t xml:space="preserve"> along the entire specimen depth.</w:t>
      </w:r>
    </w:p>
    <w:p w14:paraId="6417C112" w14:textId="77777777" w:rsidR="00322976" w:rsidRDefault="00322976" w:rsidP="00322976">
      <w:pPr>
        <w:spacing w:line="360" w:lineRule="auto"/>
        <w:rPr>
          <w:rFonts w:ascii="Times New Roman" w:hAnsi="Times New Roman" w:cs="Times New Roman"/>
        </w:rPr>
      </w:pPr>
    </w:p>
    <w:p w14:paraId="7333A6C3" w14:textId="23098D22" w:rsidR="00C1521B" w:rsidRDefault="00C1521B" w:rsidP="00322976">
      <w:pPr>
        <w:spacing w:line="360" w:lineRule="auto"/>
        <w:rPr>
          <w:rFonts w:ascii="Times New Roman" w:hAnsi="Times New Roman" w:cs="Times New Roman"/>
        </w:rPr>
      </w:pPr>
      <w:r>
        <w:rPr>
          <w:rFonts w:ascii="Times New Roman" w:hAnsi="Times New Roman" w:cs="Times New Roman"/>
        </w:rPr>
        <w:t xml:space="preserve">FTIR Microscopy was conducted on a Bruker Lumos, in ATR configuration with a computer-controlled stage.  Multi-layer and single-layer neat resin specimens were tested by collecting a grid pattern of measurements with rows spaced at 300 </w:t>
      </w:r>
      <m:oMath>
        <m:r>
          <m:rPr>
            <m:sty m:val="p"/>
          </m:rPr>
          <w:rPr>
            <w:rFonts w:ascii="Cambria Math" w:hAnsi="Cambria Math" w:cs="Times New Roman"/>
          </w:rPr>
          <m:t>μm</m:t>
        </m:r>
      </m:oMath>
      <w:r>
        <w:rPr>
          <w:rFonts w:ascii="Times New Roman" w:hAnsi="Times New Roman" w:cs="Times New Roman"/>
        </w:rPr>
        <w:t xml:space="preserve"> and a minimum of four columns spaced at 1500 </w:t>
      </w:r>
      <m:oMath>
        <m:r>
          <m:rPr>
            <m:sty m:val="p"/>
          </m:rPr>
          <w:rPr>
            <w:rFonts w:ascii="Cambria Math" w:hAnsi="Cambria Math" w:cs="Times New Roman"/>
          </w:rPr>
          <m:t>μm</m:t>
        </m:r>
      </m:oMath>
      <w:r>
        <w:rPr>
          <w:rFonts w:ascii="Times New Roman" w:hAnsi="Times New Roman" w:cs="Times New Roman"/>
        </w:rPr>
        <w:t xml:space="preserve"> across the entire polymer specimen.  Each measurement consisted of 64 scans at 4 cm</w:t>
      </w:r>
      <w:r w:rsidRPr="007B05C3">
        <w:rPr>
          <w:rFonts w:ascii="Times New Roman" w:hAnsi="Times New Roman" w:cs="Times New Roman"/>
          <w:vertAlign w:val="superscript"/>
        </w:rPr>
        <w:t>-1</w:t>
      </w:r>
      <w:r>
        <w:rPr>
          <w:rFonts w:ascii="Times New Roman" w:hAnsi="Times New Roman" w:cs="Times New Roman"/>
        </w:rPr>
        <w:t xml:space="preserve"> resolution.</w:t>
      </w:r>
    </w:p>
    <w:p w14:paraId="1F9170F1" w14:textId="4A64BAF6" w:rsidR="00C1521B" w:rsidRDefault="00C1521B" w:rsidP="009D06D1">
      <w:pPr>
        <w:pStyle w:val="Heading3"/>
      </w:pPr>
      <w:bookmarkStart w:id="197" w:name="_Toc101701790"/>
      <w:r>
        <w:t>3</w:t>
      </w:r>
      <w:r w:rsidRPr="0094131D">
        <w:t>.</w:t>
      </w:r>
      <w:r w:rsidR="001968CD">
        <w:t>5</w:t>
      </w:r>
      <w:r w:rsidRPr="0094131D">
        <w:t xml:space="preserve"> </w:t>
      </w:r>
      <w:r>
        <w:t>Preparation  of Fiberglass Composite</w:t>
      </w:r>
      <w:bookmarkEnd w:id="197"/>
      <w:r>
        <w:t xml:space="preserve"> </w:t>
      </w:r>
    </w:p>
    <w:p w14:paraId="29A688D2" w14:textId="7FDC4AF7" w:rsidR="00C1521B" w:rsidRDefault="00C1521B" w:rsidP="00322976">
      <w:pPr>
        <w:spacing w:line="360" w:lineRule="auto"/>
        <w:rPr>
          <w:rFonts w:ascii="Times New Roman" w:hAnsi="Times New Roman" w:cs="Times New Roman"/>
        </w:rPr>
      </w:pPr>
      <w:r>
        <w:rPr>
          <w:rFonts w:ascii="Times New Roman" w:hAnsi="Times New Roman" w:cs="Times New Roman"/>
        </w:rPr>
        <w:t>F</w:t>
      </w:r>
      <w:r w:rsidRPr="006D341F">
        <w:rPr>
          <w:rFonts w:ascii="Times New Roman" w:hAnsi="Times New Roman" w:cs="Times New Roman"/>
        </w:rPr>
        <w:t>iberglass composites</w:t>
      </w:r>
      <w:r>
        <w:rPr>
          <w:rFonts w:ascii="Times New Roman" w:hAnsi="Times New Roman" w:cs="Times New Roman"/>
        </w:rPr>
        <w:t xml:space="preserve"> were produced using the vacuum assisted resin transfer molding process (VARTM)</w:t>
      </w:r>
      <w:r w:rsidRPr="006D341F">
        <w:rPr>
          <w:rFonts w:ascii="Times New Roman" w:hAnsi="Times New Roman" w:cs="Times New Roman"/>
        </w:rPr>
        <w:t xml:space="preserve"> </w:t>
      </w:r>
      <w:r>
        <w:rPr>
          <w:rFonts w:ascii="Times New Roman" w:hAnsi="Times New Roman" w:cs="Times New Roman"/>
        </w:rPr>
        <w:t>per</w:t>
      </w:r>
      <w:r w:rsidRPr="006D341F">
        <w:rPr>
          <w:rFonts w:ascii="Times New Roman" w:hAnsi="Times New Roman" w:cs="Times New Roman"/>
        </w:rPr>
        <w:t xml:space="preserve"> setup displayed in</w:t>
      </w:r>
      <w:r>
        <w:rPr>
          <w:rFonts w:ascii="Times New Roman" w:hAnsi="Times New Roman" w:cs="Times New Roman"/>
        </w:rPr>
        <w:t xml:space="preserve"> </w:t>
      </w:r>
      <w:r w:rsidR="00DC01AE" w:rsidRPr="00DC01AE">
        <w:rPr>
          <w:rFonts w:ascii="Times New Roman" w:hAnsi="Times New Roman" w:cs="Times New Roman"/>
        </w:rPr>
        <w:fldChar w:fldCharType="begin"/>
      </w:r>
      <w:r w:rsidR="00DC01AE" w:rsidRPr="00DC01AE">
        <w:rPr>
          <w:rFonts w:ascii="Times New Roman" w:hAnsi="Times New Roman" w:cs="Times New Roman"/>
        </w:rPr>
        <w:instrText xml:space="preserve"> REF _Ref100935375 \h </w:instrText>
      </w:r>
      <w:r w:rsidR="00DC01AE">
        <w:rPr>
          <w:rFonts w:ascii="Times New Roman" w:hAnsi="Times New Roman" w:cs="Times New Roman"/>
        </w:rPr>
        <w:instrText xml:space="preserve"> \* MERGEFORMAT </w:instrText>
      </w:r>
      <w:r w:rsidR="00DC01AE" w:rsidRPr="00DC01AE">
        <w:rPr>
          <w:rFonts w:ascii="Times New Roman" w:hAnsi="Times New Roman" w:cs="Times New Roman"/>
        </w:rPr>
      </w:r>
      <w:r w:rsidR="00DC01AE" w:rsidRPr="00DC01AE">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46</w:t>
      </w:r>
      <w:r w:rsidR="00DC01AE" w:rsidRPr="00DC01AE">
        <w:rPr>
          <w:rFonts w:ascii="Times New Roman" w:hAnsi="Times New Roman" w:cs="Times New Roman"/>
        </w:rPr>
        <w:fldChar w:fldCharType="end"/>
      </w:r>
      <w:r>
        <w:rPr>
          <w:rFonts w:ascii="Times New Roman" w:hAnsi="Times New Roman" w:cs="Times New Roman"/>
        </w:rPr>
        <w:t xml:space="preserve">.  Each composite “layer” was 3 mm nominal thickness, consisting of four plies </w:t>
      </w:r>
      <w:r w:rsidRPr="006D341F">
        <w:rPr>
          <w:rFonts w:ascii="Times New Roman" w:hAnsi="Times New Roman" w:cs="Times New Roman"/>
        </w:rPr>
        <w:t xml:space="preserve">of non-crimp fabric stacked all at 0° </w:t>
      </w:r>
      <w:r>
        <w:rPr>
          <w:rFonts w:ascii="Times New Roman" w:hAnsi="Times New Roman" w:cs="Times New Roman"/>
        </w:rPr>
        <w:t>aligned</w:t>
      </w:r>
      <w:r w:rsidRPr="006D341F">
        <w:rPr>
          <w:rFonts w:ascii="Times New Roman" w:hAnsi="Times New Roman" w:cs="Times New Roman"/>
        </w:rPr>
        <w:t xml:space="preserve"> with the UV scan direction (see </w:t>
      </w:r>
      <w:r w:rsidR="000234CC" w:rsidRPr="000234CC">
        <w:rPr>
          <w:rFonts w:ascii="Times New Roman" w:hAnsi="Times New Roman" w:cs="Times New Roman"/>
        </w:rPr>
        <w:fldChar w:fldCharType="begin"/>
      </w:r>
      <w:r w:rsidR="000234CC" w:rsidRPr="000234CC">
        <w:rPr>
          <w:rFonts w:ascii="Times New Roman" w:hAnsi="Times New Roman" w:cs="Times New Roman"/>
        </w:rPr>
        <w:instrText xml:space="preserve"> REF _Ref100935438 \h </w:instrText>
      </w:r>
      <w:r w:rsidR="000234CC">
        <w:rPr>
          <w:rFonts w:ascii="Times New Roman" w:hAnsi="Times New Roman" w:cs="Times New Roman"/>
        </w:rPr>
        <w:instrText xml:space="preserve"> \* MERGEFORMAT </w:instrText>
      </w:r>
      <w:r w:rsidR="000234CC" w:rsidRPr="000234CC">
        <w:rPr>
          <w:rFonts w:ascii="Times New Roman" w:hAnsi="Times New Roman" w:cs="Times New Roman"/>
        </w:rPr>
      </w:r>
      <w:r w:rsidR="000234CC" w:rsidRPr="000234CC">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47</w:t>
      </w:r>
      <w:r w:rsidR="000234CC" w:rsidRPr="000234CC">
        <w:rPr>
          <w:rFonts w:ascii="Times New Roman" w:hAnsi="Times New Roman" w:cs="Times New Roman"/>
        </w:rPr>
        <w:fldChar w:fldCharType="end"/>
      </w:r>
      <w:r w:rsidRPr="006D341F">
        <w:rPr>
          <w:rFonts w:ascii="Times New Roman" w:hAnsi="Times New Roman" w:cs="Times New Roman"/>
        </w:rPr>
        <w:t>).</w:t>
      </w:r>
      <w:r>
        <w:rPr>
          <w:rFonts w:ascii="Times New Roman" w:hAnsi="Times New Roman" w:cs="Times New Roman"/>
        </w:rPr>
        <w:t xml:space="preserve">  After debulking under vacuum, a layer was infused resin and the mold was inverted such that the glass plate was faced towards the UV lamp.  </w:t>
      </w:r>
      <w:r w:rsidRPr="006D341F">
        <w:rPr>
          <w:rFonts w:ascii="Times New Roman" w:hAnsi="Times New Roman" w:cs="Times New Roman"/>
        </w:rPr>
        <w:t xml:space="preserve">Infused panels were irradiated </w:t>
      </w:r>
      <w:r>
        <w:rPr>
          <w:rFonts w:ascii="Times New Roman" w:hAnsi="Times New Roman" w:cs="Times New Roman"/>
        </w:rPr>
        <w:t xml:space="preserve">with the lamp mounted on a linear stage </w:t>
      </w:r>
      <w:r w:rsidRPr="006D341F">
        <w:rPr>
          <w:rFonts w:ascii="Times New Roman" w:hAnsi="Times New Roman" w:cs="Times New Roman"/>
        </w:rPr>
        <w:t>at UV scan rates of 5</w:t>
      </w:r>
      <w:r>
        <w:rPr>
          <w:rFonts w:ascii="Times New Roman" w:hAnsi="Times New Roman" w:cs="Times New Roman"/>
        </w:rPr>
        <w:t xml:space="preserve"> mm/s</w:t>
      </w:r>
      <w:r w:rsidRPr="006D341F">
        <w:rPr>
          <w:rFonts w:ascii="Times New Roman" w:hAnsi="Times New Roman" w:cs="Times New Roman"/>
        </w:rPr>
        <w:t>, 10,</w:t>
      </w:r>
      <w:r>
        <w:rPr>
          <w:rFonts w:ascii="Times New Roman" w:hAnsi="Times New Roman" w:cs="Times New Roman"/>
        </w:rPr>
        <w:t xml:space="preserve"> mm/s,</w:t>
      </w:r>
      <w:r w:rsidRPr="006D341F">
        <w:rPr>
          <w:rFonts w:ascii="Times New Roman" w:hAnsi="Times New Roman" w:cs="Times New Roman"/>
        </w:rPr>
        <w:t xml:space="preserve"> 15 </w:t>
      </w:r>
      <w:r>
        <w:rPr>
          <w:rFonts w:ascii="Times New Roman" w:hAnsi="Times New Roman" w:cs="Times New Roman"/>
        </w:rPr>
        <w:t xml:space="preserve">mm/s, </w:t>
      </w:r>
      <w:r w:rsidRPr="006D341F">
        <w:rPr>
          <w:rFonts w:ascii="Times New Roman" w:hAnsi="Times New Roman" w:cs="Times New Roman"/>
        </w:rPr>
        <w:t>and 20 mm/s</w:t>
      </w:r>
      <w:r>
        <w:rPr>
          <w:rFonts w:ascii="Times New Roman" w:hAnsi="Times New Roman" w:cs="Times New Roman"/>
        </w:rPr>
        <w:t xml:space="preserve">.  UV light transmission through the glass plate was measured using the radiometer, and equivalent doses are listed in </w:t>
      </w:r>
      <w:r w:rsidR="00DC01AE" w:rsidRPr="00DC01AE">
        <w:rPr>
          <w:rFonts w:ascii="Times New Roman" w:hAnsi="Times New Roman" w:cs="Times New Roman"/>
          <w:highlight w:val="yellow"/>
        </w:rPr>
        <w:fldChar w:fldCharType="begin"/>
      </w:r>
      <w:r w:rsidR="00DC01AE" w:rsidRPr="00DC01AE">
        <w:rPr>
          <w:rFonts w:ascii="Times New Roman" w:hAnsi="Times New Roman" w:cs="Times New Roman"/>
        </w:rPr>
        <w:instrText xml:space="preserve"> REF _Ref100935341 \h </w:instrText>
      </w:r>
      <w:r w:rsidR="00DC01AE">
        <w:rPr>
          <w:rFonts w:ascii="Times New Roman" w:hAnsi="Times New Roman" w:cs="Times New Roman"/>
          <w:highlight w:val="yellow"/>
        </w:rPr>
        <w:instrText xml:space="preserve"> \* MERGEFORMAT </w:instrText>
      </w:r>
      <w:r w:rsidR="00DC01AE" w:rsidRPr="00DC01AE">
        <w:rPr>
          <w:rFonts w:ascii="Times New Roman" w:hAnsi="Times New Roman" w:cs="Times New Roman"/>
          <w:highlight w:val="yellow"/>
        </w:rPr>
      </w:r>
      <w:r w:rsidR="00DC01AE" w:rsidRPr="00DC01AE">
        <w:rPr>
          <w:rFonts w:ascii="Times New Roman" w:hAnsi="Times New Roman" w:cs="Times New Roman"/>
          <w:highlight w:val="yellow"/>
        </w:rPr>
        <w:fldChar w:fldCharType="separate"/>
      </w:r>
      <w:r w:rsidR="006A40B3" w:rsidRPr="006A40B3">
        <w:rPr>
          <w:rFonts w:ascii="Times New Roman" w:hAnsi="Times New Roman" w:cs="Times New Roman"/>
        </w:rPr>
        <w:t xml:space="preserve">Table </w:t>
      </w:r>
      <w:r w:rsidR="006A40B3" w:rsidRPr="006A40B3">
        <w:rPr>
          <w:rFonts w:ascii="Times New Roman" w:hAnsi="Times New Roman" w:cs="Times New Roman"/>
          <w:noProof/>
        </w:rPr>
        <w:t>7</w:t>
      </w:r>
      <w:r w:rsidR="00DC01AE" w:rsidRPr="00DC01AE">
        <w:rPr>
          <w:rFonts w:ascii="Times New Roman" w:hAnsi="Times New Roman" w:cs="Times New Roman"/>
          <w:highlight w:val="yellow"/>
        </w:rPr>
        <w:fldChar w:fldCharType="end"/>
      </w:r>
      <w:r>
        <w:rPr>
          <w:rFonts w:ascii="Times New Roman" w:hAnsi="Times New Roman" w:cs="Times New Roman"/>
        </w:rPr>
        <w:t xml:space="preserve">.  See </w:t>
      </w:r>
      <w:r w:rsidR="00DC01AE">
        <w:rPr>
          <w:rFonts w:ascii="Times New Roman" w:hAnsi="Times New Roman" w:cs="Times New Roman"/>
        </w:rPr>
        <w:t>Appendices</w:t>
      </w:r>
      <w:r>
        <w:rPr>
          <w:rFonts w:ascii="Times New Roman" w:hAnsi="Times New Roman" w:cs="Times New Roman"/>
        </w:rPr>
        <w:t xml:space="preserve"> for further information on the comparison between static and dynamic irradiation for the Altair 75 lamp system.  The High Dose,</w:t>
      </w:r>
      <w:r w:rsidR="00322976">
        <w:rPr>
          <w:rFonts w:ascii="Times New Roman" w:hAnsi="Times New Roman" w:cs="Times New Roman"/>
        </w:rPr>
        <w:t xml:space="preserve"> </w:t>
      </w:r>
      <w:r>
        <w:rPr>
          <w:rFonts w:ascii="Times New Roman" w:hAnsi="Times New Roman" w:cs="Times New Roman"/>
        </w:rPr>
        <w:t xml:space="preserve">Medium Dose, and </w:t>
      </w:r>
      <w:r>
        <w:rPr>
          <w:rFonts w:ascii="Times New Roman" w:hAnsi="Times New Roman" w:cs="Times New Roman"/>
        </w:rPr>
        <w:lastRenderedPageBreak/>
        <w:t xml:space="preserve">Low Dose designations were selected because of the doubling effect, with a Medium Dose at twice that of a Low Dose and half of a High Dose.  </w:t>
      </w:r>
    </w:p>
    <w:p w14:paraId="5B58E76F" w14:textId="77777777" w:rsidR="00322976" w:rsidRDefault="00322976" w:rsidP="00322976">
      <w:pPr>
        <w:spacing w:line="360" w:lineRule="auto"/>
        <w:rPr>
          <w:rFonts w:ascii="Times New Roman" w:hAnsi="Times New Roman" w:cs="Times New Roman"/>
        </w:rPr>
      </w:pPr>
    </w:p>
    <w:p w14:paraId="6AC054A4" w14:textId="5F2CD411" w:rsidR="00841BCE" w:rsidRDefault="00322976" w:rsidP="00322976">
      <w:pPr>
        <w:spacing w:line="360" w:lineRule="auto"/>
        <w:rPr>
          <w:rFonts w:ascii="Times New Roman" w:hAnsi="Times New Roman" w:cs="Times New Roman"/>
        </w:rPr>
      </w:pPr>
      <w:r>
        <w:rPr>
          <w:rFonts w:ascii="Times New Roman" w:hAnsi="Times New Roman" w:cs="Times New Roman"/>
        </w:rPr>
        <w:t xml:space="preserve">Double-layer panels were prepared by irradiating the first layer, then adding new dry fabric plies between the first layer and the glass plate (see </w:t>
      </w:r>
      <w:r w:rsidR="000234CC" w:rsidRPr="000234CC">
        <w:rPr>
          <w:rFonts w:ascii="Times New Roman" w:hAnsi="Times New Roman" w:cs="Times New Roman"/>
        </w:rPr>
        <w:fldChar w:fldCharType="begin"/>
      </w:r>
      <w:r w:rsidR="000234CC" w:rsidRPr="000234CC">
        <w:rPr>
          <w:rFonts w:ascii="Times New Roman" w:hAnsi="Times New Roman" w:cs="Times New Roman"/>
        </w:rPr>
        <w:instrText xml:space="preserve"> REF _Ref100935375 \h </w:instrText>
      </w:r>
      <w:r w:rsidR="000234CC">
        <w:rPr>
          <w:rFonts w:ascii="Times New Roman" w:hAnsi="Times New Roman" w:cs="Times New Roman"/>
        </w:rPr>
        <w:instrText xml:space="preserve"> \* MERGEFORMAT </w:instrText>
      </w:r>
      <w:r w:rsidR="000234CC" w:rsidRPr="000234CC">
        <w:rPr>
          <w:rFonts w:ascii="Times New Roman" w:hAnsi="Times New Roman" w:cs="Times New Roman"/>
        </w:rPr>
      </w:r>
      <w:r w:rsidR="000234CC" w:rsidRPr="000234CC">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46</w:t>
      </w:r>
      <w:r w:rsidR="000234CC" w:rsidRPr="000234CC">
        <w:rPr>
          <w:rFonts w:ascii="Times New Roman" w:hAnsi="Times New Roman" w:cs="Times New Roman"/>
        </w:rPr>
        <w:fldChar w:fldCharType="end"/>
      </w:r>
      <w:r>
        <w:rPr>
          <w:rFonts w:ascii="Times New Roman" w:hAnsi="Times New Roman" w:cs="Times New Roman"/>
        </w:rPr>
        <w:t>).  This was debulked and infused again, followed by a second irradiation.  H</w:t>
      </w:r>
      <w:r w:rsidRPr="006D341F">
        <w:rPr>
          <w:rFonts w:ascii="Times New Roman" w:hAnsi="Times New Roman" w:cs="Times New Roman"/>
        </w:rPr>
        <w:t>alf of the</w:t>
      </w:r>
      <w:r>
        <w:rPr>
          <w:rFonts w:ascii="Times New Roman" w:hAnsi="Times New Roman" w:cs="Times New Roman"/>
        </w:rPr>
        <w:t xml:space="preserve"> composite</w:t>
      </w:r>
      <w:r w:rsidRPr="006D341F">
        <w:rPr>
          <w:rFonts w:ascii="Times New Roman" w:hAnsi="Times New Roman" w:cs="Times New Roman"/>
        </w:rPr>
        <w:t xml:space="preserve"> panels</w:t>
      </w:r>
      <w:r>
        <w:rPr>
          <w:rFonts w:ascii="Times New Roman" w:hAnsi="Times New Roman" w:cs="Times New Roman"/>
        </w:rPr>
        <w:t xml:space="preserve"> were</w:t>
      </w:r>
      <w:r w:rsidRPr="006D341F">
        <w:rPr>
          <w:rFonts w:ascii="Times New Roman" w:hAnsi="Times New Roman" w:cs="Times New Roman"/>
        </w:rPr>
        <w:t xml:space="preserve"> thermally post cured in a programmable DS44 Drying Oven by Baxter Scientific Products.  </w:t>
      </w:r>
      <w:r>
        <w:rPr>
          <w:rFonts w:ascii="Times New Roman" w:hAnsi="Times New Roman" w:cs="Times New Roman"/>
        </w:rPr>
        <w:t xml:space="preserve">All post cure commenced within an hour of the first layer irradiation, and the </w:t>
      </w:r>
      <w:r w:rsidRPr="006D341F">
        <w:rPr>
          <w:rFonts w:ascii="Times New Roman" w:hAnsi="Times New Roman" w:cs="Times New Roman"/>
        </w:rPr>
        <w:t xml:space="preserve">post cure cycle was 2 hours at 66 °C, followed by 2 hours at 121 °C.  </w:t>
      </w:r>
    </w:p>
    <w:p w14:paraId="797D9A1A" w14:textId="6812A645" w:rsidR="00841BCE" w:rsidRDefault="00841BCE" w:rsidP="009D06D1">
      <w:pPr>
        <w:pStyle w:val="Heading3"/>
      </w:pPr>
      <w:bookmarkStart w:id="198" w:name="_Toc101701791"/>
      <w:r>
        <w:t>3</w:t>
      </w:r>
      <w:r w:rsidRPr="0094131D">
        <w:t>.</w:t>
      </w:r>
      <w:r w:rsidR="001968CD">
        <w:t>6</w:t>
      </w:r>
      <w:r w:rsidRPr="0094131D">
        <w:t xml:space="preserve"> </w:t>
      </w:r>
      <w:r>
        <w:t>Composite Characterization</w:t>
      </w:r>
      <w:bookmarkEnd w:id="198"/>
    </w:p>
    <w:p w14:paraId="01E997D4" w14:textId="77777777" w:rsidR="000234CC" w:rsidRDefault="00841BCE" w:rsidP="000234CC">
      <w:pPr>
        <w:spacing w:line="360" w:lineRule="auto"/>
        <w:rPr>
          <w:rFonts w:ascii="Times New Roman" w:hAnsi="Times New Roman" w:cs="Times New Roman"/>
        </w:rPr>
      </w:pPr>
      <w:r>
        <w:rPr>
          <w:rFonts w:ascii="Times New Roman" w:hAnsi="Times New Roman" w:cs="Times New Roman"/>
        </w:rPr>
        <w:t xml:space="preserve">Specimens for interlaminar shear strength testing (ILSS) were machined from each composite panel, followed by precision wet sanding to achieve final part dimensions per ASTM D2344.  Single layer specimens had a nominal dimensions of 18 mm x 6 mm x </w:t>
      </w:r>
      <w:r w:rsidR="000234CC">
        <w:rPr>
          <w:rFonts w:ascii="Times New Roman" w:hAnsi="Times New Roman" w:cs="Times New Roman"/>
        </w:rPr>
        <w:t xml:space="preserve">3 mm while double layer specimens had nominal dimensions of 36 mm x 12 mm x 6 mm.  A minimum of five specimens from each panel were </w:t>
      </w:r>
      <w:r w:rsidR="000234CC" w:rsidRPr="00076064">
        <w:rPr>
          <w:rFonts w:ascii="Times New Roman" w:hAnsi="Times New Roman" w:cs="Times New Roman"/>
        </w:rPr>
        <w:t>tested on a</w:t>
      </w:r>
      <w:r w:rsidR="000234CC">
        <w:rPr>
          <w:rFonts w:ascii="Times New Roman" w:hAnsi="Times New Roman" w:cs="Times New Roman"/>
        </w:rPr>
        <w:t xml:space="preserve"> Test Resources </w:t>
      </w:r>
      <w:r w:rsidR="000234CC" w:rsidRPr="00076064">
        <w:rPr>
          <w:rFonts w:ascii="Times New Roman" w:hAnsi="Times New Roman" w:cs="Times New Roman"/>
        </w:rPr>
        <w:t>load frame with a 5</w:t>
      </w:r>
      <w:r w:rsidR="000234CC">
        <w:rPr>
          <w:rFonts w:ascii="Times New Roman" w:hAnsi="Times New Roman" w:cs="Times New Roman"/>
        </w:rPr>
        <w:t xml:space="preserve">0 </w:t>
      </w:r>
      <w:r w:rsidR="000234CC" w:rsidRPr="00076064">
        <w:rPr>
          <w:rFonts w:ascii="Times New Roman" w:hAnsi="Times New Roman" w:cs="Times New Roman"/>
        </w:rPr>
        <w:t xml:space="preserve"> kN load cell</w:t>
      </w:r>
      <w:r w:rsidR="000234CC">
        <w:rPr>
          <w:rFonts w:ascii="Times New Roman" w:hAnsi="Times New Roman" w:cs="Times New Roman"/>
        </w:rPr>
        <w:t>.</w:t>
      </w:r>
    </w:p>
    <w:p w14:paraId="79724062" w14:textId="77777777" w:rsidR="000234CC" w:rsidRPr="00076064" w:rsidRDefault="000234CC" w:rsidP="000234CC">
      <w:pPr>
        <w:spacing w:line="360" w:lineRule="auto"/>
        <w:rPr>
          <w:rFonts w:ascii="Times New Roman" w:hAnsi="Times New Roman" w:cs="Times New Roman"/>
          <w:color w:val="FF0000"/>
        </w:rPr>
      </w:pPr>
    </w:p>
    <w:p w14:paraId="2F1CDB6D" w14:textId="77777777" w:rsidR="000234CC" w:rsidRDefault="000234CC" w:rsidP="000234CC">
      <w:pPr>
        <w:spacing w:line="360" w:lineRule="auto"/>
        <w:rPr>
          <w:rFonts w:ascii="Times New Roman" w:hAnsi="Times New Roman" w:cs="Times New Roman"/>
        </w:rPr>
      </w:pPr>
      <w:r>
        <w:rPr>
          <w:rFonts w:ascii="Times New Roman" w:hAnsi="Times New Roman" w:cs="Times New Roman"/>
        </w:rPr>
        <w:t>After ILSS testing, specimens were sectioned and conditioned in an environmental chamber for a minimum of 48 hours prior to microscopy.  The fracture surface was then imaged using a Hitachi TM3030 tabletop scanning electron microscope (SEM).  Images were collected in the energy dispersive X-Ray mode (EDX) to achieve the greatest contrast between the polymer and fiberglass fiber.</w:t>
      </w:r>
    </w:p>
    <w:p w14:paraId="011ABDB1" w14:textId="77777777" w:rsidR="000234CC" w:rsidRDefault="000234CC" w:rsidP="000234CC">
      <w:pPr>
        <w:spacing w:line="360" w:lineRule="auto"/>
        <w:rPr>
          <w:rFonts w:ascii="Times New Roman" w:hAnsi="Times New Roman" w:cs="Times New Roman"/>
        </w:rPr>
      </w:pPr>
    </w:p>
    <w:p w14:paraId="79EBE1A6" w14:textId="77777777" w:rsidR="000234CC" w:rsidRPr="00617607" w:rsidRDefault="000234CC" w:rsidP="000234CC">
      <w:pPr>
        <w:spacing w:line="360" w:lineRule="auto"/>
        <w:rPr>
          <w:rFonts w:ascii="Times New Roman" w:hAnsi="Times New Roman" w:cs="Times New Roman"/>
        </w:rPr>
      </w:pPr>
      <w:r>
        <w:rPr>
          <w:rFonts w:ascii="Times New Roman" w:hAnsi="Times New Roman" w:cs="Times New Roman"/>
        </w:rPr>
        <w:t xml:space="preserve">Additional specimens were machined from each panel and used in determining fiber volume fraction and nanoindentation testing.  For fiber volume fraction, the specimen </w:t>
      </w:r>
      <w:proofErr w:type="gramStart"/>
      <w:r>
        <w:rPr>
          <w:rFonts w:ascii="Times New Roman" w:hAnsi="Times New Roman" w:cs="Times New Roman"/>
        </w:rPr>
        <w:t>were</w:t>
      </w:r>
      <w:proofErr w:type="gramEnd"/>
      <w:r>
        <w:rPr>
          <w:rFonts w:ascii="Times New Roman" w:hAnsi="Times New Roman" w:cs="Times New Roman"/>
        </w:rPr>
        <w:t xml:space="preserve"> heated to 500 °C for a minimum of 6 hours using a muffle furnace per ASTM D3171 Procedure G.  Note that a lower temperature was used based on TGA results for cured Bis-EMA/PETIA resin.</w:t>
      </w:r>
    </w:p>
    <w:p w14:paraId="46602D19" w14:textId="72AEF3B7" w:rsidR="000234CC" w:rsidRDefault="000234CC" w:rsidP="00322976">
      <w:pPr>
        <w:spacing w:line="360" w:lineRule="auto"/>
        <w:rPr>
          <w:rFonts w:ascii="Times New Roman" w:hAnsi="Times New Roman" w:cs="Times New Roman"/>
        </w:rPr>
      </w:pPr>
    </w:p>
    <w:p w14:paraId="3CC8B94E" w14:textId="77777777" w:rsidR="000234CC" w:rsidRDefault="000234CC" w:rsidP="00322976">
      <w:pPr>
        <w:spacing w:line="360" w:lineRule="auto"/>
        <w:rPr>
          <w:rFonts w:ascii="Times New Roman" w:hAnsi="Times New Roman" w:cs="Times New Roman"/>
        </w:rPr>
      </w:pPr>
    </w:p>
    <w:p w14:paraId="55D022FB" w14:textId="77777777" w:rsidR="00DC01AE" w:rsidRDefault="00C1521B" w:rsidP="00DC01AE">
      <w:pPr>
        <w:keepNext/>
        <w:spacing w:line="360" w:lineRule="auto"/>
        <w:jc w:val="center"/>
      </w:pPr>
      <w:r>
        <w:rPr>
          <w:rFonts w:ascii="Times New Roman" w:hAnsi="Times New Roman" w:cs="Times New Roman"/>
          <w:noProof/>
        </w:rPr>
        <w:drawing>
          <wp:inline distT="0" distB="0" distL="0" distR="0" wp14:anchorId="0BBE0A6B" wp14:editId="14A261F2">
            <wp:extent cx="4560313" cy="3244837"/>
            <wp:effectExtent l="19050" t="19050" r="12065" b="13335"/>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05102" cy="3276706"/>
                    </a:xfrm>
                    <a:prstGeom prst="rect">
                      <a:avLst/>
                    </a:prstGeom>
                    <a:ln>
                      <a:solidFill>
                        <a:schemeClr val="tx1"/>
                      </a:solidFill>
                    </a:ln>
                  </pic:spPr>
                </pic:pic>
              </a:graphicData>
            </a:graphic>
          </wp:inline>
        </w:drawing>
      </w:r>
    </w:p>
    <w:p w14:paraId="0B344E4B" w14:textId="5F150F63" w:rsidR="00C1521B" w:rsidRDefault="00DC01AE" w:rsidP="00F20503">
      <w:pPr>
        <w:pStyle w:val="Caption"/>
      </w:pPr>
      <w:bookmarkStart w:id="199" w:name="_Ref100935375"/>
      <w:bookmarkStart w:id="200" w:name="_Toc101365708"/>
      <w:r>
        <w:t xml:space="preserve">Figure </w:t>
      </w:r>
      <w:r w:rsidR="002F73EC">
        <w:fldChar w:fldCharType="begin"/>
      </w:r>
      <w:r w:rsidR="002F73EC">
        <w:instrText xml:space="preserve"> SEQ Figure \* ARABIC </w:instrText>
      </w:r>
      <w:r w:rsidR="002F73EC">
        <w:fldChar w:fldCharType="separate"/>
      </w:r>
      <w:r w:rsidR="00BF5717">
        <w:rPr>
          <w:noProof/>
        </w:rPr>
        <w:t>46</w:t>
      </w:r>
      <w:r w:rsidR="002F73EC">
        <w:rPr>
          <w:noProof/>
        </w:rPr>
        <w:fldChar w:fldCharType="end"/>
      </w:r>
      <w:bookmarkEnd w:id="199"/>
      <w:r>
        <w:t xml:space="preserve"> </w:t>
      </w:r>
      <w:r w:rsidRPr="00D47819">
        <w:t>Fiberglass laminate curing and multi-layer process in which new laminates are infused and cured while in direct contact with the previously cured laminate</w:t>
      </w:r>
      <w:bookmarkEnd w:id="200"/>
    </w:p>
    <w:p w14:paraId="10EEED43" w14:textId="28CD2B6C" w:rsidR="00322976" w:rsidRDefault="00322976" w:rsidP="00322976"/>
    <w:p w14:paraId="62078515" w14:textId="77777777" w:rsidR="006B1E6B" w:rsidRPr="00322976" w:rsidRDefault="006B1E6B" w:rsidP="00322976"/>
    <w:p w14:paraId="23EA61D9" w14:textId="52921FC9" w:rsidR="00DC01AE" w:rsidRDefault="00DC01AE" w:rsidP="00F20503">
      <w:pPr>
        <w:pStyle w:val="Caption"/>
      </w:pPr>
      <w:bookmarkStart w:id="201" w:name="_Ref100935341"/>
      <w:bookmarkStart w:id="202" w:name="_Toc101382368"/>
      <w:r>
        <w:t xml:space="preserve">Table </w:t>
      </w:r>
      <w:r w:rsidR="002F73EC">
        <w:fldChar w:fldCharType="begin"/>
      </w:r>
      <w:r w:rsidR="002F73EC">
        <w:instrText xml:space="preserve"> SEQ Table \* ARABIC </w:instrText>
      </w:r>
      <w:r w:rsidR="002F73EC">
        <w:fldChar w:fldCharType="separate"/>
      </w:r>
      <w:r w:rsidR="00B30A2A">
        <w:rPr>
          <w:noProof/>
        </w:rPr>
        <w:t>7</w:t>
      </w:r>
      <w:r w:rsidR="002F73EC">
        <w:rPr>
          <w:noProof/>
        </w:rPr>
        <w:fldChar w:fldCharType="end"/>
      </w:r>
      <w:bookmarkEnd w:id="201"/>
      <w:r>
        <w:t xml:space="preserve"> UV Dose equivalence for static irradiation vs. linear stage</w:t>
      </w:r>
      <w:bookmarkEnd w:id="202"/>
    </w:p>
    <w:tbl>
      <w:tblPr>
        <w:tblW w:w="5210" w:type="dxa"/>
        <w:tblLook w:val="04A0" w:firstRow="1" w:lastRow="0" w:firstColumn="1" w:lastColumn="0" w:noHBand="0" w:noVBand="1"/>
      </w:tblPr>
      <w:tblGrid>
        <w:gridCol w:w="1030"/>
        <w:gridCol w:w="1460"/>
        <w:gridCol w:w="1300"/>
        <w:gridCol w:w="1420"/>
      </w:tblGrid>
      <w:tr w:rsidR="00322976" w:rsidRPr="00487BB8" w14:paraId="6663B657" w14:textId="77777777" w:rsidTr="00DC01AE">
        <w:trPr>
          <w:trHeight w:val="705"/>
        </w:trPr>
        <w:tc>
          <w:tcPr>
            <w:tcW w:w="1030" w:type="dxa"/>
            <w:tcBorders>
              <w:top w:val="nil"/>
              <w:left w:val="nil"/>
              <w:bottom w:val="single" w:sz="8" w:space="0" w:color="auto"/>
              <w:right w:val="nil"/>
            </w:tcBorders>
            <w:shd w:val="clear" w:color="000000" w:fill="FFFFFF"/>
            <w:noWrap/>
            <w:vAlign w:val="bottom"/>
            <w:hideMark/>
          </w:tcPr>
          <w:p w14:paraId="0AAB9C44" w14:textId="77777777" w:rsidR="00322976" w:rsidRPr="00487BB8" w:rsidRDefault="00322976" w:rsidP="00EB1E9F">
            <w:pPr>
              <w:spacing w:line="360" w:lineRule="auto"/>
              <w:jc w:val="center"/>
              <w:rPr>
                <w:rFonts w:ascii="Times New Roman" w:hAnsi="Times New Roman" w:cs="Times New Roman"/>
                <w:b/>
                <w:bCs/>
                <w:color w:val="000000"/>
              </w:rPr>
            </w:pPr>
            <w:r w:rsidRPr="00487BB8">
              <w:rPr>
                <w:rFonts w:ascii="Times New Roman" w:hAnsi="Times New Roman" w:cs="Times New Roman"/>
                <w:b/>
                <w:bCs/>
                <w:color w:val="000000"/>
              </w:rPr>
              <w:t>ID</w:t>
            </w:r>
          </w:p>
        </w:tc>
        <w:tc>
          <w:tcPr>
            <w:tcW w:w="1460" w:type="dxa"/>
            <w:tcBorders>
              <w:top w:val="nil"/>
              <w:left w:val="nil"/>
              <w:bottom w:val="single" w:sz="8" w:space="0" w:color="auto"/>
              <w:right w:val="nil"/>
            </w:tcBorders>
            <w:shd w:val="clear" w:color="000000" w:fill="FFFFFF"/>
            <w:vAlign w:val="bottom"/>
            <w:hideMark/>
          </w:tcPr>
          <w:p w14:paraId="74969FB0" w14:textId="77777777" w:rsidR="00322976" w:rsidRPr="00487BB8" w:rsidRDefault="00322976" w:rsidP="00EB1E9F">
            <w:pPr>
              <w:spacing w:line="360" w:lineRule="auto"/>
              <w:jc w:val="center"/>
              <w:rPr>
                <w:rFonts w:ascii="Times New Roman" w:hAnsi="Times New Roman" w:cs="Times New Roman"/>
                <w:b/>
                <w:bCs/>
                <w:color w:val="000000"/>
              </w:rPr>
            </w:pPr>
            <w:r w:rsidRPr="00487BB8">
              <w:rPr>
                <w:rFonts w:ascii="Times New Roman" w:hAnsi="Times New Roman" w:cs="Times New Roman"/>
                <w:b/>
                <w:bCs/>
                <w:color w:val="000000"/>
              </w:rPr>
              <w:t>UV Dose (J/cm</w:t>
            </w:r>
            <w:r w:rsidRPr="00487BB8">
              <w:rPr>
                <w:rFonts w:ascii="Times New Roman" w:hAnsi="Times New Roman" w:cs="Times New Roman"/>
                <w:b/>
                <w:bCs/>
                <w:color w:val="000000"/>
                <w:vertAlign w:val="superscript"/>
              </w:rPr>
              <w:t>2</w:t>
            </w:r>
            <w:r w:rsidRPr="00487BB8">
              <w:rPr>
                <w:rFonts w:ascii="Times New Roman" w:hAnsi="Times New Roman" w:cs="Times New Roman"/>
                <w:b/>
                <w:bCs/>
                <w:color w:val="000000"/>
              </w:rPr>
              <w:t>)</w:t>
            </w:r>
          </w:p>
        </w:tc>
        <w:tc>
          <w:tcPr>
            <w:tcW w:w="1300" w:type="dxa"/>
            <w:tcBorders>
              <w:top w:val="nil"/>
              <w:left w:val="nil"/>
              <w:bottom w:val="single" w:sz="8" w:space="0" w:color="auto"/>
              <w:right w:val="nil"/>
            </w:tcBorders>
            <w:shd w:val="clear" w:color="000000" w:fill="FFFFFF"/>
            <w:vAlign w:val="bottom"/>
            <w:hideMark/>
          </w:tcPr>
          <w:p w14:paraId="51790B9D" w14:textId="77777777" w:rsidR="00322976" w:rsidRPr="00487BB8" w:rsidRDefault="00322976" w:rsidP="00EB1E9F">
            <w:pPr>
              <w:spacing w:line="360" w:lineRule="auto"/>
              <w:jc w:val="center"/>
              <w:rPr>
                <w:rFonts w:ascii="Times New Roman" w:hAnsi="Times New Roman" w:cs="Times New Roman"/>
                <w:b/>
                <w:bCs/>
                <w:color w:val="000000"/>
              </w:rPr>
            </w:pPr>
            <w:r w:rsidRPr="00487BB8">
              <w:rPr>
                <w:rFonts w:ascii="Times New Roman" w:hAnsi="Times New Roman" w:cs="Times New Roman"/>
                <w:b/>
                <w:bCs/>
                <w:color w:val="000000"/>
              </w:rPr>
              <w:t>Scan Rate (mm/s)</w:t>
            </w:r>
          </w:p>
        </w:tc>
        <w:tc>
          <w:tcPr>
            <w:tcW w:w="1420" w:type="dxa"/>
            <w:tcBorders>
              <w:top w:val="nil"/>
              <w:left w:val="nil"/>
              <w:bottom w:val="single" w:sz="8" w:space="0" w:color="auto"/>
              <w:right w:val="nil"/>
            </w:tcBorders>
            <w:shd w:val="clear" w:color="000000" w:fill="FFFFFF"/>
            <w:vAlign w:val="bottom"/>
            <w:hideMark/>
          </w:tcPr>
          <w:p w14:paraId="2BBF566F" w14:textId="77777777" w:rsidR="00322976" w:rsidRPr="00487BB8" w:rsidRDefault="00322976" w:rsidP="00EB1E9F">
            <w:pPr>
              <w:spacing w:line="360" w:lineRule="auto"/>
              <w:jc w:val="center"/>
              <w:rPr>
                <w:rFonts w:ascii="Times New Roman" w:hAnsi="Times New Roman" w:cs="Times New Roman"/>
                <w:b/>
                <w:bCs/>
                <w:color w:val="000000"/>
              </w:rPr>
            </w:pPr>
            <w:r w:rsidRPr="00487BB8">
              <w:rPr>
                <w:rFonts w:ascii="Times New Roman" w:hAnsi="Times New Roman" w:cs="Times New Roman"/>
                <w:b/>
                <w:bCs/>
                <w:color w:val="000000"/>
              </w:rPr>
              <w:t>Irradiation Time (s)</w:t>
            </w:r>
          </w:p>
        </w:tc>
      </w:tr>
      <w:tr w:rsidR="00322976" w:rsidRPr="00487BB8" w14:paraId="2A92D1A9" w14:textId="77777777" w:rsidTr="00DC01AE">
        <w:trPr>
          <w:trHeight w:val="315"/>
        </w:trPr>
        <w:tc>
          <w:tcPr>
            <w:tcW w:w="1030" w:type="dxa"/>
            <w:tcBorders>
              <w:top w:val="nil"/>
              <w:left w:val="nil"/>
              <w:bottom w:val="nil"/>
              <w:right w:val="nil"/>
            </w:tcBorders>
            <w:shd w:val="clear" w:color="000000" w:fill="FFFFFF"/>
            <w:noWrap/>
            <w:vAlign w:val="bottom"/>
            <w:hideMark/>
          </w:tcPr>
          <w:p w14:paraId="1A571587"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High</w:t>
            </w:r>
          </w:p>
        </w:tc>
        <w:tc>
          <w:tcPr>
            <w:tcW w:w="1460" w:type="dxa"/>
            <w:tcBorders>
              <w:top w:val="nil"/>
              <w:left w:val="nil"/>
              <w:bottom w:val="nil"/>
              <w:right w:val="nil"/>
            </w:tcBorders>
            <w:shd w:val="clear" w:color="000000" w:fill="FFFFFF"/>
            <w:noWrap/>
            <w:vAlign w:val="bottom"/>
            <w:hideMark/>
          </w:tcPr>
          <w:p w14:paraId="19E1A16E"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5.52</w:t>
            </w:r>
          </w:p>
        </w:tc>
        <w:tc>
          <w:tcPr>
            <w:tcW w:w="1300" w:type="dxa"/>
            <w:tcBorders>
              <w:top w:val="nil"/>
              <w:left w:val="nil"/>
              <w:bottom w:val="nil"/>
              <w:right w:val="nil"/>
            </w:tcBorders>
            <w:shd w:val="clear" w:color="000000" w:fill="FFFFFF"/>
            <w:noWrap/>
            <w:vAlign w:val="bottom"/>
            <w:hideMark/>
          </w:tcPr>
          <w:p w14:paraId="7FFAB413"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5</w:t>
            </w:r>
          </w:p>
        </w:tc>
        <w:tc>
          <w:tcPr>
            <w:tcW w:w="1420" w:type="dxa"/>
            <w:tcBorders>
              <w:top w:val="nil"/>
              <w:left w:val="nil"/>
              <w:bottom w:val="nil"/>
              <w:right w:val="nil"/>
            </w:tcBorders>
            <w:shd w:val="clear" w:color="000000" w:fill="FFFFFF"/>
            <w:noWrap/>
            <w:vAlign w:val="bottom"/>
            <w:hideMark/>
          </w:tcPr>
          <w:p w14:paraId="4FDB492B"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3.5</w:t>
            </w:r>
          </w:p>
        </w:tc>
      </w:tr>
      <w:tr w:rsidR="00322976" w:rsidRPr="00487BB8" w14:paraId="44F5C8D3" w14:textId="77777777" w:rsidTr="00DC01AE">
        <w:trPr>
          <w:trHeight w:val="315"/>
        </w:trPr>
        <w:tc>
          <w:tcPr>
            <w:tcW w:w="1030" w:type="dxa"/>
            <w:tcBorders>
              <w:top w:val="nil"/>
              <w:left w:val="nil"/>
              <w:bottom w:val="nil"/>
              <w:right w:val="nil"/>
            </w:tcBorders>
            <w:shd w:val="clear" w:color="000000" w:fill="FFFFFF"/>
            <w:noWrap/>
            <w:vAlign w:val="bottom"/>
            <w:hideMark/>
          </w:tcPr>
          <w:p w14:paraId="5D820E78" w14:textId="77777777" w:rsidR="00322976" w:rsidRPr="00487BB8" w:rsidRDefault="00322976" w:rsidP="00EB1E9F">
            <w:pPr>
              <w:spacing w:line="360" w:lineRule="auto"/>
              <w:jc w:val="center"/>
              <w:rPr>
                <w:rFonts w:ascii="Times New Roman" w:hAnsi="Times New Roman" w:cs="Times New Roman"/>
                <w:color w:val="000000"/>
              </w:rPr>
            </w:pPr>
            <w:r>
              <w:rPr>
                <w:rFonts w:ascii="Times New Roman" w:hAnsi="Times New Roman" w:cs="Times New Roman"/>
                <w:color w:val="000000"/>
              </w:rPr>
              <w:t>Medium</w:t>
            </w:r>
          </w:p>
        </w:tc>
        <w:tc>
          <w:tcPr>
            <w:tcW w:w="1460" w:type="dxa"/>
            <w:tcBorders>
              <w:top w:val="nil"/>
              <w:left w:val="nil"/>
              <w:bottom w:val="nil"/>
              <w:right w:val="nil"/>
            </w:tcBorders>
            <w:shd w:val="clear" w:color="000000" w:fill="FFFFFF"/>
            <w:noWrap/>
            <w:vAlign w:val="bottom"/>
            <w:hideMark/>
          </w:tcPr>
          <w:p w14:paraId="6171F5C5"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2.75</w:t>
            </w:r>
          </w:p>
        </w:tc>
        <w:tc>
          <w:tcPr>
            <w:tcW w:w="1300" w:type="dxa"/>
            <w:tcBorders>
              <w:top w:val="nil"/>
              <w:left w:val="nil"/>
              <w:bottom w:val="nil"/>
              <w:right w:val="nil"/>
            </w:tcBorders>
            <w:shd w:val="clear" w:color="000000" w:fill="FFFFFF"/>
            <w:noWrap/>
            <w:vAlign w:val="bottom"/>
            <w:hideMark/>
          </w:tcPr>
          <w:p w14:paraId="6BEE8126"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10</w:t>
            </w:r>
          </w:p>
        </w:tc>
        <w:tc>
          <w:tcPr>
            <w:tcW w:w="1420" w:type="dxa"/>
            <w:tcBorders>
              <w:top w:val="nil"/>
              <w:left w:val="nil"/>
              <w:bottom w:val="nil"/>
              <w:right w:val="nil"/>
            </w:tcBorders>
            <w:shd w:val="clear" w:color="000000" w:fill="FFFFFF"/>
            <w:noWrap/>
            <w:vAlign w:val="bottom"/>
            <w:hideMark/>
          </w:tcPr>
          <w:p w14:paraId="37DD6EF0" w14:textId="77777777" w:rsidR="00322976" w:rsidRPr="00487BB8" w:rsidRDefault="00322976" w:rsidP="00EB1E9F">
            <w:pPr>
              <w:spacing w:line="360" w:lineRule="auto"/>
              <w:jc w:val="center"/>
              <w:rPr>
                <w:rFonts w:ascii="Times New Roman" w:hAnsi="Times New Roman" w:cs="Times New Roman"/>
                <w:color w:val="000000"/>
              </w:rPr>
            </w:pPr>
            <w:r w:rsidRPr="00EB1E9F">
              <w:rPr>
                <w:rFonts w:ascii="Times New Roman" w:hAnsi="Times New Roman" w:cs="Times New Roman"/>
                <w:color w:val="000000"/>
              </w:rPr>
              <w:t>1.7</w:t>
            </w:r>
          </w:p>
        </w:tc>
      </w:tr>
      <w:tr w:rsidR="00322976" w:rsidRPr="00487BB8" w14:paraId="0A66A03E" w14:textId="77777777" w:rsidTr="00DC01AE">
        <w:trPr>
          <w:trHeight w:val="315"/>
        </w:trPr>
        <w:tc>
          <w:tcPr>
            <w:tcW w:w="1030" w:type="dxa"/>
            <w:tcBorders>
              <w:top w:val="nil"/>
              <w:left w:val="nil"/>
              <w:bottom w:val="nil"/>
              <w:right w:val="nil"/>
            </w:tcBorders>
            <w:shd w:val="clear" w:color="000000" w:fill="FFFFFF"/>
            <w:noWrap/>
            <w:vAlign w:val="bottom"/>
            <w:hideMark/>
          </w:tcPr>
          <w:p w14:paraId="2426261D"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w:t>
            </w:r>
          </w:p>
        </w:tc>
        <w:tc>
          <w:tcPr>
            <w:tcW w:w="1460" w:type="dxa"/>
            <w:tcBorders>
              <w:top w:val="nil"/>
              <w:left w:val="nil"/>
              <w:bottom w:val="nil"/>
              <w:right w:val="nil"/>
            </w:tcBorders>
            <w:shd w:val="clear" w:color="000000" w:fill="FFFFFF"/>
            <w:noWrap/>
            <w:vAlign w:val="bottom"/>
            <w:hideMark/>
          </w:tcPr>
          <w:p w14:paraId="6690E9BE"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1.79</w:t>
            </w:r>
          </w:p>
        </w:tc>
        <w:tc>
          <w:tcPr>
            <w:tcW w:w="1300" w:type="dxa"/>
            <w:tcBorders>
              <w:top w:val="nil"/>
              <w:left w:val="nil"/>
              <w:bottom w:val="nil"/>
              <w:right w:val="nil"/>
            </w:tcBorders>
            <w:shd w:val="clear" w:color="000000" w:fill="FFFFFF"/>
            <w:noWrap/>
            <w:vAlign w:val="bottom"/>
            <w:hideMark/>
          </w:tcPr>
          <w:p w14:paraId="60641B9A"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15</w:t>
            </w:r>
          </w:p>
        </w:tc>
        <w:tc>
          <w:tcPr>
            <w:tcW w:w="1420" w:type="dxa"/>
            <w:tcBorders>
              <w:top w:val="nil"/>
              <w:left w:val="nil"/>
              <w:bottom w:val="nil"/>
              <w:right w:val="nil"/>
            </w:tcBorders>
            <w:shd w:val="clear" w:color="000000" w:fill="FFFFFF"/>
            <w:noWrap/>
            <w:vAlign w:val="bottom"/>
            <w:hideMark/>
          </w:tcPr>
          <w:p w14:paraId="7B83CD44"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w:t>
            </w:r>
          </w:p>
        </w:tc>
      </w:tr>
      <w:tr w:rsidR="00322976" w:rsidRPr="00487BB8" w14:paraId="58979898" w14:textId="77777777" w:rsidTr="00DC01AE">
        <w:trPr>
          <w:trHeight w:val="315"/>
        </w:trPr>
        <w:tc>
          <w:tcPr>
            <w:tcW w:w="1030" w:type="dxa"/>
            <w:tcBorders>
              <w:top w:val="nil"/>
              <w:left w:val="nil"/>
              <w:bottom w:val="nil"/>
              <w:right w:val="nil"/>
            </w:tcBorders>
            <w:shd w:val="clear" w:color="000000" w:fill="FFFFFF"/>
            <w:noWrap/>
            <w:vAlign w:val="bottom"/>
            <w:hideMark/>
          </w:tcPr>
          <w:p w14:paraId="1E1E2BCA"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Low</w:t>
            </w:r>
          </w:p>
        </w:tc>
        <w:tc>
          <w:tcPr>
            <w:tcW w:w="1460" w:type="dxa"/>
            <w:tcBorders>
              <w:top w:val="nil"/>
              <w:left w:val="nil"/>
              <w:bottom w:val="nil"/>
              <w:right w:val="nil"/>
            </w:tcBorders>
            <w:shd w:val="clear" w:color="000000" w:fill="FFFFFF"/>
            <w:noWrap/>
            <w:vAlign w:val="bottom"/>
            <w:hideMark/>
          </w:tcPr>
          <w:p w14:paraId="06829FE1"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1.37</w:t>
            </w:r>
          </w:p>
        </w:tc>
        <w:tc>
          <w:tcPr>
            <w:tcW w:w="1300" w:type="dxa"/>
            <w:tcBorders>
              <w:top w:val="nil"/>
              <w:left w:val="nil"/>
              <w:bottom w:val="nil"/>
              <w:right w:val="nil"/>
            </w:tcBorders>
            <w:shd w:val="clear" w:color="000000" w:fill="FFFFFF"/>
            <w:noWrap/>
            <w:vAlign w:val="bottom"/>
            <w:hideMark/>
          </w:tcPr>
          <w:p w14:paraId="5C3C36C1"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20</w:t>
            </w:r>
          </w:p>
        </w:tc>
        <w:tc>
          <w:tcPr>
            <w:tcW w:w="1420" w:type="dxa"/>
            <w:tcBorders>
              <w:top w:val="nil"/>
              <w:left w:val="nil"/>
              <w:bottom w:val="nil"/>
              <w:right w:val="nil"/>
            </w:tcBorders>
            <w:shd w:val="clear" w:color="000000" w:fill="FFFFFF"/>
            <w:noWrap/>
            <w:vAlign w:val="bottom"/>
            <w:hideMark/>
          </w:tcPr>
          <w:p w14:paraId="0D0D76EA" w14:textId="77777777" w:rsidR="00322976" w:rsidRPr="00487BB8" w:rsidRDefault="00322976" w:rsidP="00EB1E9F">
            <w:pPr>
              <w:spacing w:line="360" w:lineRule="auto"/>
              <w:jc w:val="center"/>
              <w:rPr>
                <w:rFonts w:ascii="Times New Roman" w:hAnsi="Times New Roman" w:cs="Times New Roman"/>
                <w:color w:val="000000"/>
              </w:rPr>
            </w:pPr>
            <w:r w:rsidRPr="00487BB8">
              <w:rPr>
                <w:rFonts w:ascii="Times New Roman" w:hAnsi="Times New Roman" w:cs="Times New Roman"/>
                <w:color w:val="000000"/>
              </w:rPr>
              <w:t>0.8</w:t>
            </w:r>
          </w:p>
        </w:tc>
      </w:tr>
    </w:tbl>
    <w:p w14:paraId="1D6C8A02" w14:textId="77777777" w:rsidR="00C1521B" w:rsidRPr="006D341F" w:rsidRDefault="00C1521B" w:rsidP="00322976">
      <w:pPr>
        <w:spacing w:line="360" w:lineRule="auto"/>
      </w:pPr>
    </w:p>
    <w:p w14:paraId="7DA7F554" w14:textId="77777777" w:rsidR="00DC01AE" w:rsidRDefault="00C1521B" w:rsidP="00DC01AE">
      <w:pPr>
        <w:keepNext/>
        <w:spacing w:line="360" w:lineRule="auto"/>
        <w:jc w:val="center"/>
      </w:pPr>
      <w:r w:rsidRPr="00CD1140">
        <w:rPr>
          <w:noProof/>
        </w:rPr>
        <w:lastRenderedPageBreak/>
        <w:drawing>
          <wp:inline distT="0" distB="0" distL="0" distR="0" wp14:anchorId="349447CC" wp14:editId="37933081">
            <wp:extent cx="5695950" cy="3385506"/>
            <wp:effectExtent l="0" t="0" r="0" b="5715"/>
            <wp:docPr id="48" name="Picture 11" descr="A picture containing diagram&#10;&#10;Description automatically generated">
              <a:extLst xmlns:a="http://schemas.openxmlformats.org/drawingml/2006/main">
                <a:ext uri="{FF2B5EF4-FFF2-40B4-BE49-F238E27FC236}">
                  <a16:creationId xmlns:a16="http://schemas.microsoft.com/office/drawing/2014/main" id="{8223EA30-1C41-42C7-BD4F-42C787816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diagram&#10;&#10;Description automatically generated">
                      <a:extLst>
                        <a:ext uri="{FF2B5EF4-FFF2-40B4-BE49-F238E27FC236}">
                          <a16:creationId xmlns:a16="http://schemas.microsoft.com/office/drawing/2014/main" id="{8223EA30-1C41-42C7-BD4F-42C7878160D3}"/>
                        </a:ext>
                      </a:extLst>
                    </pic:cNvPr>
                    <pic:cNvPicPr>
                      <a:picLocks noChangeAspect="1"/>
                    </pic:cNvPicPr>
                  </pic:nvPicPr>
                  <pic:blipFill>
                    <a:blip r:embed="rId51"/>
                    <a:stretch>
                      <a:fillRect/>
                    </a:stretch>
                  </pic:blipFill>
                  <pic:spPr>
                    <a:xfrm>
                      <a:off x="0" y="0"/>
                      <a:ext cx="5703900" cy="3390231"/>
                    </a:xfrm>
                    <a:prstGeom prst="rect">
                      <a:avLst/>
                    </a:prstGeom>
                  </pic:spPr>
                </pic:pic>
              </a:graphicData>
            </a:graphic>
          </wp:inline>
        </w:drawing>
      </w:r>
    </w:p>
    <w:p w14:paraId="62CB031B" w14:textId="6F07FF0B" w:rsidR="00DC01AE" w:rsidRDefault="00DC01AE" w:rsidP="00F20503">
      <w:pPr>
        <w:pStyle w:val="Caption"/>
      </w:pPr>
      <w:bookmarkStart w:id="203" w:name="_Ref100935438"/>
      <w:bookmarkStart w:id="204" w:name="_Toc101365709"/>
      <w:r>
        <w:t xml:space="preserve">Figure </w:t>
      </w:r>
      <w:r w:rsidR="002F73EC">
        <w:fldChar w:fldCharType="begin"/>
      </w:r>
      <w:r w:rsidR="002F73EC">
        <w:instrText xml:space="preserve"> SEQ Figure \* ARABIC </w:instrText>
      </w:r>
      <w:r w:rsidR="002F73EC">
        <w:fldChar w:fldCharType="separate"/>
      </w:r>
      <w:r w:rsidR="00BF5717">
        <w:rPr>
          <w:noProof/>
        </w:rPr>
        <w:t>47</w:t>
      </w:r>
      <w:r w:rsidR="002F73EC">
        <w:rPr>
          <w:noProof/>
        </w:rPr>
        <w:fldChar w:fldCharType="end"/>
      </w:r>
      <w:bookmarkEnd w:id="203"/>
      <w:r>
        <w:t xml:space="preserve"> UV LED lamp mounted to a linear stage with variable scan rate</w:t>
      </w:r>
      <w:bookmarkEnd w:id="204"/>
    </w:p>
    <w:p w14:paraId="6195A40E" w14:textId="3910CD3A" w:rsidR="00C1521B" w:rsidRDefault="00C1521B" w:rsidP="00322976">
      <w:pPr>
        <w:spacing w:line="360" w:lineRule="auto"/>
        <w:rPr>
          <w:rFonts w:asciiTheme="minorHAnsi" w:hAnsiTheme="minorHAnsi" w:cstheme="minorBidi"/>
          <w:sz w:val="22"/>
          <w:szCs w:val="22"/>
        </w:rPr>
      </w:pPr>
    </w:p>
    <w:p w14:paraId="549DF227" w14:textId="4A5F91F7" w:rsidR="00322976" w:rsidRDefault="00322976" w:rsidP="00322976">
      <w:pPr>
        <w:spacing w:line="360" w:lineRule="auto"/>
        <w:rPr>
          <w:rFonts w:asciiTheme="minorHAnsi" w:hAnsiTheme="minorHAnsi" w:cstheme="minorBidi"/>
          <w:sz w:val="22"/>
          <w:szCs w:val="22"/>
        </w:rPr>
      </w:pPr>
    </w:p>
    <w:p w14:paraId="4F6F9BBA" w14:textId="07B61719" w:rsidR="00322976" w:rsidRDefault="00322976" w:rsidP="00322976">
      <w:pPr>
        <w:spacing w:line="360" w:lineRule="auto"/>
        <w:rPr>
          <w:rFonts w:asciiTheme="minorHAnsi" w:hAnsiTheme="minorHAnsi" w:cstheme="minorBidi"/>
          <w:sz w:val="22"/>
          <w:szCs w:val="22"/>
        </w:rPr>
      </w:pPr>
    </w:p>
    <w:p w14:paraId="6FA0DC77" w14:textId="0936BEE4" w:rsidR="00322976" w:rsidRDefault="00322976" w:rsidP="00322976">
      <w:pPr>
        <w:spacing w:line="360" w:lineRule="auto"/>
        <w:rPr>
          <w:rFonts w:asciiTheme="minorHAnsi" w:hAnsiTheme="minorHAnsi" w:cstheme="minorBidi"/>
          <w:sz w:val="22"/>
          <w:szCs w:val="22"/>
        </w:rPr>
      </w:pPr>
    </w:p>
    <w:p w14:paraId="1445D579" w14:textId="561B2F9D" w:rsidR="00322976" w:rsidRDefault="00322976" w:rsidP="00322976">
      <w:pPr>
        <w:spacing w:line="360" w:lineRule="auto"/>
        <w:rPr>
          <w:rFonts w:asciiTheme="minorHAnsi" w:hAnsiTheme="minorHAnsi" w:cstheme="minorBidi"/>
          <w:sz w:val="22"/>
          <w:szCs w:val="22"/>
        </w:rPr>
      </w:pPr>
    </w:p>
    <w:p w14:paraId="6BFE7DC3" w14:textId="1D2B98FA" w:rsidR="00322976" w:rsidRDefault="00322976" w:rsidP="00322976">
      <w:pPr>
        <w:spacing w:line="360" w:lineRule="auto"/>
        <w:rPr>
          <w:rFonts w:asciiTheme="minorHAnsi" w:hAnsiTheme="minorHAnsi" w:cstheme="minorBidi"/>
          <w:sz w:val="22"/>
          <w:szCs w:val="22"/>
        </w:rPr>
      </w:pPr>
    </w:p>
    <w:p w14:paraId="2C988178" w14:textId="71AB997B" w:rsidR="00322976" w:rsidRDefault="00322976" w:rsidP="00322976">
      <w:pPr>
        <w:spacing w:line="360" w:lineRule="auto"/>
        <w:rPr>
          <w:rFonts w:asciiTheme="minorHAnsi" w:hAnsiTheme="minorHAnsi" w:cstheme="minorBidi"/>
          <w:sz w:val="22"/>
          <w:szCs w:val="22"/>
        </w:rPr>
      </w:pPr>
    </w:p>
    <w:p w14:paraId="5F2BE90F" w14:textId="3298DB83" w:rsidR="00322976" w:rsidRDefault="00322976" w:rsidP="00322976">
      <w:pPr>
        <w:spacing w:line="360" w:lineRule="auto"/>
        <w:rPr>
          <w:rFonts w:asciiTheme="minorHAnsi" w:hAnsiTheme="minorHAnsi" w:cstheme="minorBidi"/>
          <w:sz w:val="22"/>
          <w:szCs w:val="22"/>
        </w:rPr>
      </w:pPr>
    </w:p>
    <w:p w14:paraId="2D29FC1E" w14:textId="3EB9E856" w:rsidR="00322976" w:rsidRDefault="00322976" w:rsidP="00322976">
      <w:pPr>
        <w:spacing w:line="360" w:lineRule="auto"/>
        <w:rPr>
          <w:rFonts w:asciiTheme="minorHAnsi" w:hAnsiTheme="minorHAnsi" w:cstheme="minorBidi"/>
          <w:sz w:val="22"/>
          <w:szCs w:val="22"/>
        </w:rPr>
      </w:pPr>
    </w:p>
    <w:p w14:paraId="7D12F21F" w14:textId="5ADF8905" w:rsidR="00322976" w:rsidRDefault="00322976" w:rsidP="00322976">
      <w:pPr>
        <w:spacing w:line="360" w:lineRule="auto"/>
        <w:rPr>
          <w:rFonts w:asciiTheme="minorHAnsi" w:hAnsiTheme="minorHAnsi" w:cstheme="minorBidi"/>
          <w:sz w:val="22"/>
          <w:szCs w:val="22"/>
        </w:rPr>
      </w:pPr>
    </w:p>
    <w:p w14:paraId="4C986519" w14:textId="0D6B5996" w:rsidR="00322976" w:rsidRDefault="00322976" w:rsidP="00322976">
      <w:pPr>
        <w:spacing w:line="360" w:lineRule="auto"/>
        <w:rPr>
          <w:rFonts w:asciiTheme="minorHAnsi" w:hAnsiTheme="minorHAnsi" w:cstheme="minorBidi"/>
          <w:sz w:val="22"/>
          <w:szCs w:val="22"/>
        </w:rPr>
      </w:pPr>
    </w:p>
    <w:p w14:paraId="6A587960" w14:textId="5F354651" w:rsidR="00322976" w:rsidRDefault="00322976" w:rsidP="00322976">
      <w:pPr>
        <w:spacing w:line="360" w:lineRule="auto"/>
        <w:rPr>
          <w:rFonts w:asciiTheme="minorHAnsi" w:hAnsiTheme="minorHAnsi" w:cstheme="minorBidi"/>
          <w:sz w:val="22"/>
          <w:szCs w:val="22"/>
        </w:rPr>
      </w:pPr>
    </w:p>
    <w:p w14:paraId="19D78797" w14:textId="7C79707D" w:rsidR="00322976" w:rsidRDefault="00322976" w:rsidP="00322976">
      <w:pPr>
        <w:spacing w:line="360" w:lineRule="auto"/>
        <w:rPr>
          <w:rFonts w:asciiTheme="minorHAnsi" w:hAnsiTheme="minorHAnsi" w:cstheme="minorBidi"/>
          <w:sz w:val="22"/>
          <w:szCs w:val="22"/>
        </w:rPr>
      </w:pPr>
    </w:p>
    <w:p w14:paraId="59DD53EF" w14:textId="1AE9E0A7" w:rsidR="00322976" w:rsidRDefault="00322976" w:rsidP="00322976">
      <w:pPr>
        <w:spacing w:line="360" w:lineRule="auto"/>
        <w:rPr>
          <w:rFonts w:asciiTheme="minorHAnsi" w:hAnsiTheme="minorHAnsi" w:cstheme="minorBidi"/>
          <w:sz w:val="22"/>
          <w:szCs w:val="22"/>
        </w:rPr>
      </w:pPr>
    </w:p>
    <w:p w14:paraId="195C1E91" w14:textId="77777777" w:rsidR="00322976" w:rsidRPr="00EB1E9F" w:rsidRDefault="00322976" w:rsidP="00322976">
      <w:pPr>
        <w:spacing w:line="360" w:lineRule="auto"/>
        <w:rPr>
          <w:rFonts w:asciiTheme="minorHAnsi" w:hAnsiTheme="minorHAnsi" w:cstheme="minorBidi"/>
          <w:sz w:val="22"/>
          <w:szCs w:val="22"/>
        </w:rPr>
      </w:pPr>
    </w:p>
    <w:p w14:paraId="28BA3C9B" w14:textId="27B776F0" w:rsidR="00C1521B" w:rsidRDefault="00C1521B" w:rsidP="009D06D1">
      <w:pPr>
        <w:pStyle w:val="Heading3"/>
      </w:pPr>
      <w:bookmarkStart w:id="205" w:name="_Toc101701792"/>
      <w:r>
        <w:lastRenderedPageBreak/>
        <w:t>3</w:t>
      </w:r>
      <w:r w:rsidRPr="0094131D">
        <w:t>.</w:t>
      </w:r>
      <w:r w:rsidR="00EE46E1">
        <w:t>7</w:t>
      </w:r>
      <w:r w:rsidRPr="0094131D">
        <w:t xml:space="preserve"> </w:t>
      </w:r>
      <w:r>
        <w:t>Composite Nano-indentation</w:t>
      </w:r>
      <w:bookmarkEnd w:id="205"/>
      <w:r>
        <w:t xml:space="preserve">  </w:t>
      </w:r>
    </w:p>
    <w:p w14:paraId="26CC2442" w14:textId="2293EAEA" w:rsidR="00841BCE" w:rsidRDefault="00C1521B" w:rsidP="00322976">
      <w:pPr>
        <w:spacing w:line="360" w:lineRule="auto"/>
        <w:rPr>
          <w:rFonts w:ascii="Times New Roman" w:hAnsi="Times New Roman" w:cs="Times New Roman"/>
        </w:rPr>
      </w:pPr>
      <w:r>
        <w:rPr>
          <w:rFonts w:ascii="Times New Roman" w:hAnsi="Times New Roman" w:cs="Times New Roman"/>
        </w:rPr>
        <w:t xml:space="preserve">Additional specimens were machined from each panel, potted in </w:t>
      </w:r>
      <w:proofErr w:type="gramStart"/>
      <w:r>
        <w:rPr>
          <w:rFonts w:ascii="Times New Roman" w:hAnsi="Times New Roman" w:cs="Times New Roman"/>
        </w:rPr>
        <w:t>epoxy</w:t>
      </w:r>
      <w:proofErr w:type="gramEnd"/>
      <w:r>
        <w:rPr>
          <w:rFonts w:ascii="Times New Roman" w:hAnsi="Times New Roman" w:cs="Times New Roman"/>
        </w:rPr>
        <w:t xml:space="preserve"> and polished for nano-indentation analysis.  Measurements were taken in data sets of 25 indentations, with a minimum of 20 sets of measurements collected across the depth of the specimen (see </w:t>
      </w:r>
      <w:r w:rsidR="00D12005" w:rsidRPr="00D12005">
        <w:rPr>
          <w:rFonts w:ascii="Times New Roman" w:hAnsi="Times New Roman" w:cs="Times New Roman"/>
        </w:rPr>
        <w:fldChar w:fldCharType="begin"/>
      </w:r>
      <w:r w:rsidR="00D12005" w:rsidRPr="00D12005">
        <w:rPr>
          <w:rFonts w:ascii="Times New Roman" w:hAnsi="Times New Roman" w:cs="Times New Roman"/>
        </w:rPr>
        <w:instrText xml:space="preserve"> REF _Ref100935535 \h </w:instrText>
      </w:r>
      <w:r w:rsidR="00D12005">
        <w:rPr>
          <w:rFonts w:ascii="Times New Roman" w:hAnsi="Times New Roman" w:cs="Times New Roman"/>
        </w:rPr>
        <w:instrText xml:space="preserve"> \* MERGEFORMAT </w:instrText>
      </w:r>
      <w:r w:rsidR="00D12005" w:rsidRPr="00D12005">
        <w:rPr>
          <w:rFonts w:ascii="Times New Roman" w:hAnsi="Times New Roman" w:cs="Times New Roman"/>
        </w:rPr>
      </w:r>
      <w:r w:rsidR="00D12005" w:rsidRPr="00D12005">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48</w:t>
      </w:r>
      <w:r w:rsidR="00D12005" w:rsidRPr="00D12005">
        <w:rPr>
          <w:rFonts w:ascii="Times New Roman" w:hAnsi="Times New Roman" w:cs="Times New Roman"/>
        </w:rPr>
        <w:fldChar w:fldCharType="end"/>
      </w:r>
      <w:r>
        <w:rPr>
          <w:rFonts w:ascii="Times New Roman" w:hAnsi="Times New Roman" w:cs="Times New Roman"/>
        </w:rPr>
        <w:t xml:space="preserve">).  To ensure that each data set measured only the polymer properties, great care was taken to take measurements in resin-rich pockets found sporadically throughout the specimen (see </w:t>
      </w:r>
      <w:r w:rsidR="00D12005" w:rsidRPr="00D12005">
        <w:rPr>
          <w:rFonts w:ascii="Times New Roman" w:hAnsi="Times New Roman" w:cs="Times New Roman"/>
        </w:rPr>
        <w:fldChar w:fldCharType="begin"/>
      </w:r>
      <w:r w:rsidR="00D12005" w:rsidRPr="00D12005">
        <w:rPr>
          <w:rFonts w:ascii="Times New Roman" w:hAnsi="Times New Roman" w:cs="Times New Roman"/>
        </w:rPr>
        <w:instrText xml:space="preserve"> REF _Ref100935574 \h </w:instrText>
      </w:r>
      <w:r w:rsidR="00D12005">
        <w:rPr>
          <w:rFonts w:ascii="Times New Roman" w:hAnsi="Times New Roman" w:cs="Times New Roman"/>
        </w:rPr>
        <w:instrText xml:space="preserve"> \* MERGEFORMAT </w:instrText>
      </w:r>
      <w:r w:rsidR="00D12005" w:rsidRPr="00D12005">
        <w:rPr>
          <w:rFonts w:ascii="Times New Roman" w:hAnsi="Times New Roman" w:cs="Times New Roman"/>
        </w:rPr>
      </w:r>
      <w:r w:rsidR="00D12005" w:rsidRPr="00D12005">
        <w:rPr>
          <w:rFonts w:ascii="Times New Roman" w:hAnsi="Times New Roman" w:cs="Times New Roman"/>
        </w:rPr>
        <w:fldChar w:fldCharType="separate"/>
      </w:r>
      <w:r w:rsidR="00736705" w:rsidRPr="00736705">
        <w:rPr>
          <w:rFonts w:ascii="Times New Roman" w:hAnsi="Times New Roman" w:cs="Times New Roman"/>
        </w:rPr>
        <w:t xml:space="preserve">Figure </w:t>
      </w:r>
      <w:r w:rsidR="00736705" w:rsidRPr="00736705">
        <w:rPr>
          <w:rFonts w:ascii="Times New Roman" w:hAnsi="Times New Roman" w:cs="Times New Roman"/>
          <w:noProof/>
        </w:rPr>
        <w:t>49</w:t>
      </w:r>
      <w:r w:rsidR="00D12005" w:rsidRPr="00D12005">
        <w:rPr>
          <w:rFonts w:ascii="Times New Roman" w:hAnsi="Times New Roman" w:cs="Times New Roman"/>
        </w:rPr>
        <w:fldChar w:fldCharType="end"/>
      </w:r>
      <w:r>
        <w:rPr>
          <w:rFonts w:ascii="Times New Roman" w:hAnsi="Times New Roman" w:cs="Times New Roman"/>
        </w:rPr>
        <w:t xml:space="preserve">).  After indentation, the data sets were then analyzed using optical microscopy to measure the data set depth perpendicular to the irradiated surface. </w:t>
      </w:r>
    </w:p>
    <w:p w14:paraId="51DCF418" w14:textId="2B0A2C8D" w:rsidR="00841BCE" w:rsidRDefault="00841BCE" w:rsidP="00DB3040">
      <w:pPr>
        <w:pStyle w:val="Heading2"/>
      </w:pPr>
      <w:bookmarkStart w:id="206" w:name="_Toc101701793"/>
      <w:r>
        <w:t>4.</w:t>
      </w:r>
      <w:r w:rsidRPr="0094131D">
        <w:t>0 Results</w:t>
      </w:r>
      <w:r>
        <w:t xml:space="preserve"> and Discussion</w:t>
      </w:r>
      <w:bookmarkEnd w:id="206"/>
      <w:r>
        <w:t xml:space="preserve"> </w:t>
      </w:r>
    </w:p>
    <w:p w14:paraId="220B1F08" w14:textId="072C2468" w:rsidR="000234CC" w:rsidRPr="009D06D1" w:rsidRDefault="000234CC" w:rsidP="009D06D1">
      <w:pPr>
        <w:pStyle w:val="Heading3"/>
      </w:pPr>
      <w:bookmarkStart w:id="207" w:name="_Toc101701794"/>
      <w:r w:rsidRPr="009D06D1">
        <w:t>4.1 Post Cure Testing</w:t>
      </w:r>
      <w:bookmarkEnd w:id="207"/>
    </w:p>
    <w:p w14:paraId="351EC8F1" w14:textId="77777777" w:rsidR="009D06D1" w:rsidRDefault="009D06D1" w:rsidP="009D06D1">
      <w:pPr>
        <w:rPr>
          <w:rStyle w:val="Emphasis"/>
          <w:rFonts w:ascii="Times New Roman" w:hAnsi="Times New Roman" w:cs="Times New Roman"/>
        </w:rPr>
      </w:pPr>
    </w:p>
    <w:p w14:paraId="67049A9F" w14:textId="3ECF633C" w:rsidR="000234CC" w:rsidRPr="009D06D1" w:rsidRDefault="000234CC" w:rsidP="009D06D1">
      <w:pPr>
        <w:rPr>
          <w:rStyle w:val="Emphasis"/>
          <w:rFonts w:ascii="Times New Roman" w:hAnsi="Times New Roman" w:cs="Times New Roman"/>
        </w:rPr>
      </w:pPr>
      <w:r w:rsidRPr="009D06D1">
        <w:rPr>
          <w:rStyle w:val="Emphasis"/>
          <w:rFonts w:ascii="Times New Roman" w:hAnsi="Times New Roman" w:cs="Times New Roman"/>
        </w:rPr>
        <w:t>FTIR</w:t>
      </w:r>
    </w:p>
    <w:p w14:paraId="3F54DB6A" w14:textId="11F0BF58" w:rsidR="00B30A2A" w:rsidRDefault="00D72BB0" w:rsidP="00D72BB0">
      <w:pPr>
        <w:spacing w:line="360" w:lineRule="auto"/>
        <w:rPr>
          <w:rFonts w:ascii="Times New Roman" w:hAnsi="Times New Roman" w:cs="Times New Roman"/>
        </w:rPr>
      </w:pPr>
      <w:r>
        <w:rPr>
          <w:rFonts w:ascii="Times New Roman" w:hAnsi="Times New Roman" w:cs="Times New Roman"/>
        </w:rPr>
        <w:t>Degree of conversion (DC) was measured on the top (</w:t>
      </w:r>
      <w:proofErr w:type="gramStart"/>
      <w:r w:rsidR="002D1F04">
        <w:rPr>
          <w:rFonts w:ascii="Times New Roman" w:hAnsi="Times New Roman" w:cs="Times New Roman"/>
        </w:rPr>
        <w:t>i.e.</w:t>
      </w:r>
      <w:proofErr w:type="gramEnd"/>
      <w:r w:rsidR="002D1F04">
        <w:rPr>
          <w:rFonts w:ascii="Times New Roman" w:hAnsi="Times New Roman" w:cs="Times New Roman"/>
        </w:rPr>
        <w:t xml:space="preserve"> </w:t>
      </w:r>
      <w:r>
        <w:rPr>
          <w:rFonts w:ascii="Times New Roman" w:hAnsi="Times New Roman" w:cs="Times New Roman"/>
        </w:rPr>
        <w:t xml:space="preserve">irradiated) and bottom surfaces of 1 mm thick tensile specimens, with results shown in </w:t>
      </w:r>
      <w:r w:rsidR="002D1F04" w:rsidRPr="002D1F04">
        <w:rPr>
          <w:rFonts w:ascii="Times New Roman" w:hAnsi="Times New Roman" w:cs="Times New Roman"/>
        </w:rPr>
        <w:fldChar w:fldCharType="begin"/>
      </w:r>
      <w:r w:rsidR="002D1F04" w:rsidRPr="002D1F04">
        <w:rPr>
          <w:rFonts w:ascii="Times New Roman" w:hAnsi="Times New Roman" w:cs="Times New Roman"/>
        </w:rPr>
        <w:instrText xml:space="preserve"> REF _Ref101211306 \h </w:instrText>
      </w:r>
      <w:r w:rsidR="002D1F04">
        <w:rPr>
          <w:rFonts w:ascii="Times New Roman" w:hAnsi="Times New Roman" w:cs="Times New Roman"/>
        </w:rPr>
        <w:instrText xml:space="preserve"> \* MERGEFORMAT </w:instrText>
      </w:r>
      <w:r w:rsidR="002D1F04" w:rsidRPr="002D1F04">
        <w:rPr>
          <w:rFonts w:ascii="Times New Roman" w:hAnsi="Times New Roman" w:cs="Times New Roman"/>
        </w:rPr>
      </w:r>
      <w:r w:rsidR="002D1F04" w:rsidRPr="002D1F04">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50</w:t>
      </w:r>
      <w:r w:rsidR="002D1F04" w:rsidRPr="002D1F04">
        <w:rPr>
          <w:rFonts w:ascii="Times New Roman" w:hAnsi="Times New Roman" w:cs="Times New Roman"/>
        </w:rPr>
        <w:fldChar w:fldCharType="end"/>
      </w:r>
      <w:r w:rsidR="002D1F04">
        <w:rPr>
          <w:rFonts w:ascii="Times New Roman" w:hAnsi="Times New Roman" w:cs="Times New Roman"/>
        </w:rPr>
        <w:t>.  There was no significant difference between top and bottom surface DC among the various cure treatments.  There was also no significant difference between UV Only and Post Cure A</w:t>
      </w:r>
      <w:r w:rsidR="00A403C8">
        <w:rPr>
          <w:rFonts w:ascii="Times New Roman" w:hAnsi="Times New Roman" w:cs="Times New Roman"/>
        </w:rPr>
        <w:t xml:space="preserve"> (2 hrs at 66 ºC + 2 hrs at 121 ºC)</w:t>
      </w:r>
      <w:r w:rsidR="002D1F04">
        <w:rPr>
          <w:rFonts w:ascii="Times New Roman" w:hAnsi="Times New Roman" w:cs="Times New Roman"/>
        </w:rPr>
        <w:t xml:space="preserve">, </w:t>
      </w:r>
      <w:r w:rsidR="00A403C8">
        <w:rPr>
          <w:rFonts w:ascii="Times New Roman" w:hAnsi="Times New Roman" w:cs="Times New Roman"/>
        </w:rPr>
        <w:t>with average DC between 66% and 68%.</w:t>
      </w:r>
      <w:r w:rsidR="00B30A2A">
        <w:rPr>
          <w:rFonts w:ascii="Times New Roman" w:hAnsi="Times New Roman" w:cs="Times New Roman"/>
        </w:rPr>
        <w:t xml:space="preserve">  With Post Cure B (2 hrs at 200 ºC), the average DC increased to 98%, which is effectively full C=C bond conversion.</w:t>
      </w:r>
      <w:r w:rsidR="00A403C8">
        <w:rPr>
          <w:rFonts w:ascii="Times New Roman" w:hAnsi="Times New Roman" w:cs="Times New Roman"/>
        </w:rPr>
        <w:t xml:space="preserve">  </w:t>
      </w:r>
      <w:r w:rsidR="002D1F04">
        <w:rPr>
          <w:rFonts w:ascii="Times New Roman" w:hAnsi="Times New Roman" w:cs="Times New Roman"/>
        </w:rPr>
        <w:t xml:space="preserve">  </w:t>
      </w:r>
    </w:p>
    <w:p w14:paraId="5BE95EF2" w14:textId="77777777" w:rsidR="009D06D1" w:rsidRDefault="009D06D1" w:rsidP="00D72BB0">
      <w:pPr>
        <w:spacing w:line="360" w:lineRule="auto"/>
        <w:rPr>
          <w:rFonts w:ascii="Times New Roman" w:hAnsi="Times New Roman" w:cs="Times New Roman"/>
        </w:rPr>
      </w:pPr>
    </w:p>
    <w:p w14:paraId="7E315672" w14:textId="387456E8" w:rsidR="00B30A2A" w:rsidRPr="009D06D1" w:rsidRDefault="00B30A2A" w:rsidP="009D06D1">
      <w:pPr>
        <w:rPr>
          <w:rFonts w:ascii="Times New Roman" w:hAnsi="Times New Roman" w:cs="Times New Roman"/>
          <w:i/>
          <w:iCs/>
        </w:rPr>
      </w:pPr>
      <w:r w:rsidRPr="009D06D1">
        <w:rPr>
          <w:rFonts w:ascii="Times New Roman" w:hAnsi="Times New Roman" w:cs="Times New Roman"/>
          <w:i/>
          <w:iCs/>
        </w:rPr>
        <w:t>Tensile Testing</w:t>
      </w:r>
    </w:p>
    <w:p w14:paraId="405BEFCB" w14:textId="2E336B5A" w:rsidR="000234CC" w:rsidRDefault="00B30A2A" w:rsidP="002A0276">
      <w:pPr>
        <w:spacing w:line="360" w:lineRule="auto"/>
        <w:rPr>
          <w:rFonts w:ascii="Times New Roman" w:hAnsi="Times New Roman" w:cs="Times New Roman"/>
        </w:rPr>
      </w:pPr>
      <w:r w:rsidRPr="00B30A2A">
        <w:rPr>
          <w:rFonts w:ascii="Times New Roman" w:hAnsi="Times New Roman" w:cs="Times New Roman"/>
        </w:rPr>
        <w:t xml:space="preserve">Tensile properties were </w:t>
      </w:r>
      <w:r w:rsidR="002A0276">
        <w:rPr>
          <w:rFonts w:ascii="Times New Roman" w:hAnsi="Times New Roman" w:cs="Times New Roman"/>
        </w:rPr>
        <w:t xml:space="preserve">determined for the various cure conditions, as shown in </w:t>
      </w:r>
      <w:r w:rsidR="002A0276" w:rsidRPr="002A0276">
        <w:rPr>
          <w:rFonts w:ascii="Times New Roman" w:hAnsi="Times New Roman" w:cs="Times New Roman"/>
        </w:rPr>
        <w:fldChar w:fldCharType="begin"/>
      </w:r>
      <w:r w:rsidR="002A0276" w:rsidRPr="002A0276">
        <w:rPr>
          <w:rFonts w:ascii="Times New Roman" w:hAnsi="Times New Roman" w:cs="Times New Roman"/>
        </w:rPr>
        <w:instrText xml:space="preserve"> REF _Ref101216048 \h </w:instrText>
      </w:r>
      <w:r w:rsidR="002A0276">
        <w:rPr>
          <w:rFonts w:ascii="Times New Roman" w:hAnsi="Times New Roman" w:cs="Times New Roman"/>
        </w:rPr>
        <w:instrText xml:space="preserve"> \* MERGEFORMAT </w:instrText>
      </w:r>
      <w:r w:rsidR="002A0276" w:rsidRPr="002A0276">
        <w:rPr>
          <w:rFonts w:ascii="Times New Roman" w:hAnsi="Times New Roman" w:cs="Times New Roman"/>
        </w:rPr>
      </w:r>
      <w:r w:rsidR="002A0276" w:rsidRPr="002A0276">
        <w:rPr>
          <w:rFonts w:ascii="Times New Roman" w:hAnsi="Times New Roman" w:cs="Times New Roman"/>
        </w:rPr>
        <w:fldChar w:fldCharType="separate"/>
      </w:r>
      <w:r w:rsidR="002A0276" w:rsidRPr="002A0276">
        <w:rPr>
          <w:rFonts w:ascii="Times New Roman" w:hAnsi="Times New Roman" w:cs="Times New Roman"/>
        </w:rPr>
        <w:t xml:space="preserve">Table </w:t>
      </w:r>
      <w:r w:rsidR="002A0276" w:rsidRPr="002A0276">
        <w:rPr>
          <w:rFonts w:ascii="Times New Roman" w:hAnsi="Times New Roman" w:cs="Times New Roman"/>
          <w:noProof/>
        </w:rPr>
        <w:t>8</w:t>
      </w:r>
      <w:r w:rsidR="002A0276" w:rsidRPr="002A0276">
        <w:rPr>
          <w:rFonts w:ascii="Times New Roman" w:hAnsi="Times New Roman" w:cs="Times New Roman"/>
        </w:rPr>
        <w:fldChar w:fldCharType="end"/>
      </w:r>
      <w:r w:rsidR="002A0276">
        <w:rPr>
          <w:rFonts w:ascii="Times New Roman" w:hAnsi="Times New Roman" w:cs="Times New Roman"/>
        </w:rPr>
        <w:t>.  Post cure increased tensile strength by 40% and tensile modulus by 30% above the UV Only cure condition.  However, there was no significant change between Post Cure A and Post Cure B.  The post cured tensile strength of 55 MPa was also 17% higher than the 47 MPa tensile strength reported for Bis-EMA by the resin supplier, while the tensile modulus of 3.0 GPa was 15% lower than the reported value.</w:t>
      </w:r>
    </w:p>
    <w:p w14:paraId="05AA2CC6" w14:textId="77777777" w:rsidR="009D06D1" w:rsidRDefault="009D06D1" w:rsidP="002A0276">
      <w:pPr>
        <w:spacing w:line="360" w:lineRule="auto"/>
        <w:rPr>
          <w:rFonts w:ascii="Times New Roman" w:hAnsi="Times New Roman" w:cs="Times New Roman"/>
        </w:rPr>
      </w:pPr>
    </w:p>
    <w:p w14:paraId="38A091FD" w14:textId="7DE63B0E" w:rsidR="002A0276" w:rsidRPr="009D06D1" w:rsidRDefault="002A0276" w:rsidP="009D06D1">
      <w:pPr>
        <w:rPr>
          <w:rFonts w:ascii="Times New Roman" w:hAnsi="Times New Roman" w:cs="Times New Roman"/>
          <w:i/>
          <w:iCs/>
        </w:rPr>
      </w:pPr>
      <w:r w:rsidRPr="009D06D1">
        <w:rPr>
          <w:rFonts w:ascii="Times New Roman" w:hAnsi="Times New Roman" w:cs="Times New Roman"/>
          <w:i/>
          <w:iCs/>
        </w:rPr>
        <w:t>DMA</w:t>
      </w:r>
    </w:p>
    <w:p w14:paraId="3D8B452E" w14:textId="2DF3B337" w:rsidR="00B30A2A" w:rsidRPr="0093124C" w:rsidRDefault="002A0276" w:rsidP="002A0276">
      <w:pPr>
        <w:spacing w:line="360" w:lineRule="auto"/>
        <w:rPr>
          <w:rFonts w:ascii="Times New Roman" w:hAnsi="Times New Roman" w:cs="Times New Roman"/>
        </w:rPr>
      </w:pPr>
      <w:r>
        <w:rPr>
          <w:rFonts w:ascii="Times New Roman" w:hAnsi="Times New Roman" w:cs="Times New Roman"/>
        </w:rPr>
        <w:t xml:space="preserve">Dynamic Mechanical Analysis results for the various cure conditions are shown in </w:t>
      </w:r>
      <w:r w:rsidRPr="002A0276">
        <w:rPr>
          <w:rFonts w:ascii="Times New Roman" w:hAnsi="Times New Roman" w:cs="Times New Roman"/>
        </w:rPr>
        <w:fldChar w:fldCharType="begin"/>
      </w:r>
      <w:r w:rsidRPr="002A0276">
        <w:rPr>
          <w:rFonts w:ascii="Times New Roman" w:hAnsi="Times New Roman" w:cs="Times New Roman"/>
        </w:rPr>
        <w:instrText xml:space="preserve"> REF _Ref101216581 \h </w:instrText>
      </w:r>
      <w:r>
        <w:rPr>
          <w:rFonts w:ascii="Times New Roman" w:hAnsi="Times New Roman" w:cs="Times New Roman"/>
        </w:rPr>
        <w:instrText xml:space="preserve"> \* MERGEFORMAT </w:instrText>
      </w:r>
      <w:r w:rsidRPr="002A0276">
        <w:rPr>
          <w:rFonts w:ascii="Times New Roman" w:hAnsi="Times New Roman" w:cs="Times New Roman"/>
        </w:rPr>
      </w:r>
      <w:r w:rsidRPr="002A0276">
        <w:rPr>
          <w:rFonts w:ascii="Times New Roman" w:hAnsi="Times New Roman" w:cs="Times New Roman"/>
        </w:rPr>
        <w:fldChar w:fldCharType="separate"/>
      </w:r>
      <w:r w:rsidR="006A40B3" w:rsidRPr="006A40B3">
        <w:rPr>
          <w:rFonts w:ascii="Times New Roman" w:hAnsi="Times New Roman" w:cs="Times New Roman"/>
        </w:rPr>
        <w:t xml:space="preserve">Figure </w:t>
      </w:r>
      <w:r w:rsidR="006A40B3" w:rsidRPr="006A40B3">
        <w:rPr>
          <w:rFonts w:ascii="Times New Roman" w:hAnsi="Times New Roman" w:cs="Times New Roman"/>
          <w:noProof/>
        </w:rPr>
        <w:t>51</w:t>
      </w:r>
      <w:r w:rsidRPr="002A0276">
        <w:rPr>
          <w:rFonts w:ascii="Times New Roman" w:hAnsi="Times New Roman" w:cs="Times New Roman"/>
        </w:rPr>
        <w:fldChar w:fldCharType="end"/>
      </w:r>
      <w:r>
        <w:rPr>
          <w:rFonts w:ascii="Times New Roman" w:hAnsi="Times New Roman" w:cs="Times New Roman"/>
        </w:rPr>
        <w:t xml:space="preserve">.  </w:t>
      </w:r>
      <w:r w:rsidR="0093124C">
        <w:rPr>
          <w:rFonts w:ascii="Times New Roman" w:hAnsi="Times New Roman" w:cs="Times New Roman"/>
        </w:rPr>
        <w:t>The change in Tan Delta peak indicates a shift towards increasing T</w:t>
      </w:r>
      <w:r w:rsidR="0093124C" w:rsidRPr="0093124C">
        <w:rPr>
          <w:rFonts w:ascii="Times New Roman" w:hAnsi="Times New Roman" w:cs="Times New Roman"/>
          <w:vertAlign w:val="subscript"/>
        </w:rPr>
        <w:t>g</w:t>
      </w:r>
      <w:r w:rsidR="0093124C">
        <w:rPr>
          <w:rFonts w:ascii="Times New Roman" w:hAnsi="Times New Roman" w:cs="Times New Roman"/>
          <w:vertAlign w:val="subscript"/>
        </w:rPr>
        <w:t xml:space="preserve"> </w:t>
      </w:r>
      <w:r w:rsidR="0093124C">
        <w:rPr>
          <w:rFonts w:ascii="Times New Roman" w:hAnsi="Times New Roman" w:cs="Times New Roman"/>
        </w:rPr>
        <w:t xml:space="preserve">with post cure </w:t>
      </w:r>
    </w:p>
    <w:p w14:paraId="1F837F93" w14:textId="6DF6B456" w:rsidR="00D12005" w:rsidRDefault="00D12005" w:rsidP="00D12005">
      <w:pPr>
        <w:keepNext/>
        <w:spacing w:line="360" w:lineRule="auto"/>
        <w:jc w:val="center"/>
      </w:pPr>
      <w:r w:rsidRPr="00D12005">
        <w:rPr>
          <w:rFonts w:ascii="Times New Roman" w:hAnsi="Times New Roman" w:cs="Times New Roman"/>
          <w:b/>
          <w:bCs/>
          <w:noProof/>
        </w:rPr>
        <w:lastRenderedPageBreak/>
        <w:drawing>
          <wp:inline distT="0" distB="0" distL="0" distR="0" wp14:anchorId="7CEFE5F3" wp14:editId="6771911D">
            <wp:extent cx="3173095" cy="3579998"/>
            <wp:effectExtent l="0" t="0" r="8255" b="1905"/>
            <wp:docPr id="9" name="Picture 6" descr="Map&#10;&#10;Description automatically generated">
              <a:extLst xmlns:a="http://schemas.openxmlformats.org/drawingml/2006/main">
                <a:ext uri="{FF2B5EF4-FFF2-40B4-BE49-F238E27FC236}">
                  <a16:creationId xmlns:a16="http://schemas.microsoft.com/office/drawing/2014/main" id="{02D2C1B4-803C-4073-9DB5-5132798874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ap&#10;&#10;Description automatically generated">
                      <a:extLst>
                        <a:ext uri="{FF2B5EF4-FFF2-40B4-BE49-F238E27FC236}">
                          <a16:creationId xmlns:a16="http://schemas.microsoft.com/office/drawing/2014/main" id="{02D2C1B4-803C-4073-9DB5-5132798874FF}"/>
                        </a:ext>
                      </a:extLst>
                    </pic:cNvPr>
                    <pic:cNvPicPr>
                      <a:picLocks noChangeAspect="1"/>
                    </pic:cNvPicPr>
                  </pic:nvPicPr>
                  <pic:blipFill rotWithShape="1">
                    <a:blip r:embed="rId52" cstate="print">
                      <a:extLst>
                        <a:ext uri="{28A0092B-C50C-407E-A947-70E740481C1C}">
                          <a14:useLocalDpi xmlns:a14="http://schemas.microsoft.com/office/drawing/2010/main"/>
                        </a:ext>
                      </a:extLst>
                    </a:blip>
                    <a:srcRect t="4134"/>
                    <a:stretch/>
                  </pic:blipFill>
                  <pic:spPr bwMode="auto">
                    <a:xfrm>
                      <a:off x="0" y="0"/>
                      <a:ext cx="3173095" cy="3579998"/>
                    </a:xfrm>
                    <a:prstGeom prst="rect">
                      <a:avLst/>
                    </a:prstGeom>
                    <a:ln>
                      <a:noFill/>
                    </a:ln>
                    <a:extLst>
                      <a:ext uri="{53640926-AAD7-44D8-BBD7-CCE9431645EC}">
                        <a14:shadowObscured xmlns:a14="http://schemas.microsoft.com/office/drawing/2010/main"/>
                      </a:ext>
                    </a:extLst>
                  </pic:spPr>
                </pic:pic>
              </a:graphicData>
            </a:graphic>
          </wp:inline>
        </w:drawing>
      </w:r>
    </w:p>
    <w:p w14:paraId="0B3B4B0E" w14:textId="757B494E" w:rsidR="00C1521B" w:rsidRDefault="00D12005" w:rsidP="00F20503">
      <w:pPr>
        <w:pStyle w:val="Caption"/>
      </w:pPr>
      <w:bookmarkStart w:id="208" w:name="_Ref100935535"/>
      <w:bookmarkStart w:id="209" w:name="_Toc101365710"/>
      <w:r>
        <w:t xml:space="preserve">Figure </w:t>
      </w:r>
      <w:r w:rsidR="002F73EC">
        <w:fldChar w:fldCharType="begin"/>
      </w:r>
      <w:r w:rsidR="002F73EC">
        <w:instrText xml:space="preserve"> SEQ Figure \* ARABIC </w:instrText>
      </w:r>
      <w:r w:rsidR="002F73EC">
        <w:fldChar w:fldCharType="separate"/>
      </w:r>
      <w:r w:rsidR="00BF5717">
        <w:rPr>
          <w:noProof/>
        </w:rPr>
        <w:t>48</w:t>
      </w:r>
      <w:r w:rsidR="002F73EC">
        <w:rPr>
          <w:noProof/>
        </w:rPr>
        <w:fldChar w:fldCharType="end"/>
      </w:r>
      <w:bookmarkEnd w:id="208"/>
      <w:r>
        <w:t xml:space="preserve"> Partial set of measurements for nanoindentation dataset locations of the 2 Layer-Low Dose, No Post Cure specimen, with depth measured relative to the irradiated surface.</w:t>
      </w:r>
      <w:bookmarkEnd w:id="209"/>
      <w:r>
        <w:t xml:space="preserve">  </w:t>
      </w:r>
    </w:p>
    <w:p w14:paraId="757A4280" w14:textId="6E5624E1" w:rsidR="006B1E6B" w:rsidRDefault="006B1E6B" w:rsidP="006B1E6B"/>
    <w:p w14:paraId="79D1B9A8" w14:textId="77777777" w:rsidR="006B1E6B" w:rsidRPr="006B1E6B" w:rsidRDefault="006B1E6B" w:rsidP="006B1E6B"/>
    <w:p w14:paraId="4335BDAE" w14:textId="77777777" w:rsidR="00D12005" w:rsidRDefault="00C1521B" w:rsidP="00D12005">
      <w:pPr>
        <w:keepNext/>
        <w:spacing w:line="360" w:lineRule="auto"/>
        <w:jc w:val="center"/>
      </w:pPr>
      <w:r w:rsidRPr="006472A9">
        <w:rPr>
          <w:rFonts w:ascii="Times New Roman" w:hAnsi="Times New Roman" w:cs="Times New Roman"/>
          <w:noProof/>
        </w:rPr>
        <w:drawing>
          <wp:inline distT="0" distB="0" distL="0" distR="0" wp14:anchorId="01A134EA" wp14:editId="3A8EBD22">
            <wp:extent cx="3257431" cy="2443073"/>
            <wp:effectExtent l="19050" t="19050" r="19685" b="14605"/>
            <wp:docPr id="50" name="Picture 16" descr="A picture containing text&#10;&#10;Description automatically generated">
              <a:extLst xmlns:a="http://schemas.openxmlformats.org/drawingml/2006/main">
                <a:ext uri="{FF2B5EF4-FFF2-40B4-BE49-F238E27FC236}">
                  <a16:creationId xmlns:a16="http://schemas.microsoft.com/office/drawing/2014/main" id="{EFBE5487-9754-4927-8A4B-0F74979CC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ext&#10;&#10;Description automatically generated">
                      <a:extLst>
                        <a:ext uri="{FF2B5EF4-FFF2-40B4-BE49-F238E27FC236}">
                          <a16:creationId xmlns:a16="http://schemas.microsoft.com/office/drawing/2014/main" id="{EFBE5487-9754-4927-8A4B-0F74979CCB47}"/>
                        </a:ext>
                      </a:extLst>
                    </pic:cNvPr>
                    <pic:cNvPicPr>
                      <a:picLocks noChangeAspect="1"/>
                    </pic:cNvPicPr>
                  </pic:nvPicPr>
                  <pic:blipFill>
                    <a:blip r:embed="rId53" cstate="print">
                      <a:extLst>
                        <a:ext uri="{BEBA8EAE-BF5A-486C-A8C5-ECC9F3942E4B}">
                          <a14:imgProps xmlns:a14="http://schemas.microsoft.com/office/drawing/2010/main">
                            <a14:imgLayer r:embed="rId5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261803" cy="2446352"/>
                    </a:xfrm>
                    <a:prstGeom prst="rect">
                      <a:avLst/>
                    </a:prstGeom>
                    <a:ln w="9525">
                      <a:solidFill>
                        <a:schemeClr val="tx1"/>
                      </a:solidFill>
                    </a:ln>
                  </pic:spPr>
                </pic:pic>
              </a:graphicData>
            </a:graphic>
          </wp:inline>
        </w:drawing>
      </w:r>
    </w:p>
    <w:p w14:paraId="48DC28F5" w14:textId="60E55041" w:rsidR="00C1521B" w:rsidRDefault="00D12005" w:rsidP="00F20503">
      <w:pPr>
        <w:pStyle w:val="Caption"/>
      </w:pPr>
      <w:bookmarkStart w:id="210" w:name="_Ref100935574"/>
      <w:bookmarkStart w:id="211" w:name="_Toc101365711"/>
      <w:r>
        <w:t xml:space="preserve">Figure </w:t>
      </w:r>
      <w:r w:rsidR="002F73EC">
        <w:fldChar w:fldCharType="begin"/>
      </w:r>
      <w:r w:rsidR="002F73EC">
        <w:instrText xml:space="preserve"> SEQ Figure \* ARABIC </w:instrText>
      </w:r>
      <w:r w:rsidR="002F73EC">
        <w:fldChar w:fldCharType="separate"/>
      </w:r>
      <w:r w:rsidR="00BF5717">
        <w:rPr>
          <w:noProof/>
        </w:rPr>
        <w:t>49</w:t>
      </w:r>
      <w:r w:rsidR="002F73EC">
        <w:rPr>
          <w:noProof/>
        </w:rPr>
        <w:fldChar w:fldCharType="end"/>
      </w:r>
      <w:bookmarkEnd w:id="210"/>
      <w:r>
        <w:t xml:space="preserve"> Example nanoindentation pattern for photopolymer composites.  Indentations were taken in grid patterns clustered within resin pockets, </w:t>
      </w:r>
      <w:proofErr w:type="gramStart"/>
      <w:r>
        <w:t>e.g.</w:t>
      </w:r>
      <w:proofErr w:type="gramEnd"/>
      <w:r>
        <w:t xml:space="preserve"> in between fiberglass roving or plies.</w:t>
      </w:r>
      <w:bookmarkEnd w:id="211"/>
      <w:r>
        <w:t xml:space="preserve">  </w:t>
      </w:r>
    </w:p>
    <w:p w14:paraId="237C271C" w14:textId="2AB89E7D" w:rsidR="000A08F8" w:rsidRDefault="000A08F8" w:rsidP="00294668">
      <w:pPr>
        <w:jc w:val="center"/>
      </w:pPr>
      <w:bookmarkStart w:id="212" w:name="_Toc101382654"/>
      <w:r>
        <w:rPr>
          <w:noProof/>
        </w:rPr>
        <w:lastRenderedPageBreak/>
        <w:drawing>
          <wp:inline distT="0" distB="0" distL="0" distR="0" wp14:anchorId="15226985" wp14:editId="1EF5355E">
            <wp:extent cx="4774019" cy="3552077"/>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7380" t="8125" r="9109" b="10657"/>
                    <a:stretch/>
                  </pic:blipFill>
                  <pic:spPr bwMode="auto">
                    <a:xfrm>
                      <a:off x="0" y="0"/>
                      <a:ext cx="4785047" cy="3560282"/>
                    </a:xfrm>
                    <a:prstGeom prst="rect">
                      <a:avLst/>
                    </a:prstGeom>
                    <a:noFill/>
                    <a:ln>
                      <a:noFill/>
                    </a:ln>
                    <a:extLst>
                      <a:ext uri="{53640926-AAD7-44D8-BBD7-CCE9431645EC}">
                        <a14:shadowObscured xmlns:a14="http://schemas.microsoft.com/office/drawing/2010/main"/>
                      </a:ext>
                    </a:extLst>
                  </pic:spPr>
                </pic:pic>
              </a:graphicData>
            </a:graphic>
          </wp:inline>
        </w:drawing>
      </w:r>
      <w:bookmarkEnd w:id="212"/>
    </w:p>
    <w:p w14:paraId="641F41D2" w14:textId="1E23676A" w:rsidR="000A08F8" w:rsidRDefault="000A08F8" w:rsidP="00F20503">
      <w:pPr>
        <w:pStyle w:val="Caption"/>
      </w:pPr>
      <w:bookmarkStart w:id="213" w:name="_Ref101211306"/>
      <w:bookmarkStart w:id="214" w:name="_Toc101365712"/>
      <w:r>
        <w:t xml:space="preserve">Figure </w:t>
      </w:r>
      <w:r w:rsidR="002F73EC">
        <w:fldChar w:fldCharType="begin"/>
      </w:r>
      <w:r w:rsidR="002F73EC">
        <w:instrText xml:space="preserve"> SEQ Figure \* ARABIC </w:instrText>
      </w:r>
      <w:r w:rsidR="002F73EC">
        <w:fldChar w:fldCharType="separate"/>
      </w:r>
      <w:r w:rsidR="00BF5717">
        <w:rPr>
          <w:noProof/>
        </w:rPr>
        <w:t>50</w:t>
      </w:r>
      <w:r w:rsidR="002F73EC">
        <w:rPr>
          <w:noProof/>
        </w:rPr>
        <w:fldChar w:fldCharType="end"/>
      </w:r>
      <w:bookmarkEnd w:id="213"/>
      <w:r>
        <w:t xml:space="preserve"> Top and bottom surface DC with </w:t>
      </w:r>
      <w:r w:rsidR="002D1F04">
        <w:t>various cure conditions.  Post Cure B, 200 ºC for 2 hrs, achieved an average 98% DC.</w:t>
      </w:r>
      <w:bookmarkEnd w:id="214"/>
      <w:r w:rsidR="002D1F04">
        <w:t xml:space="preserve"> </w:t>
      </w:r>
    </w:p>
    <w:p w14:paraId="233DF262" w14:textId="1A8862BC" w:rsidR="00B30A2A" w:rsidRDefault="00B30A2A" w:rsidP="00B30A2A"/>
    <w:p w14:paraId="7D40848F" w14:textId="77777777" w:rsidR="00B30A2A" w:rsidRPr="00B30A2A" w:rsidRDefault="00B30A2A" w:rsidP="00B30A2A"/>
    <w:p w14:paraId="3BDF598D" w14:textId="5E7F6021" w:rsidR="00B30A2A" w:rsidRDefault="00B30A2A" w:rsidP="00F20503">
      <w:pPr>
        <w:pStyle w:val="Caption"/>
      </w:pPr>
      <w:bookmarkStart w:id="215" w:name="_Ref101216048"/>
      <w:bookmarkStart w:id="216" w:name="_Toc101382369"/>
      <w:r>
        <w:t xml:space="preserve">Table </w:t>
      </w:r>
      <w:r w:rsidR="002F73EC">
        <w:fldChar w:fldCharType="begin"/>
      </w:r>
      <w:r w:rsidR="002F73EC">
        <w:instrText xml:space="preserve"> SEQ Table \* ARABIC </w:instrText>
      </w:r>
      <w:r w:rsidR="002F73EC">
        <w:fldChar w:fldCharType="separate"/>
      </w:r>
      <w:r>
        <w:rPr>
          <w:noProof/>
        </w:rPr>
        <w:t>8</w:t>
      </w:r>
      <w:r w:rsidR="002F73EC">
        <w:rPr>
          <w:noProof/>
        </w:rPr>
        <w:fldChar w:fldCharType="end"/>
      </w:r>
      <w:bookmarkEnd w:id="215"/>
      <w:r>
        <w:t xml:space="preserve"> Summary of tensile properties with various cure conditions.</w:t>
      </w:r>
      <w:bookmarkEnd w:id="216"/>
      <w:r>
        <w:t xml:space="preserve"> </w:t>
      </w:r>
    </w:p>
    <w:tbl>
      <w:tblPr>
        <w:tblW w:w="7180" w:type="dxa"/>
        <w:tblLook w:val="04A0" w:firstRow="1" w:lastRow="0" w:firstColumn="1" w:lastColumn="0" w:noHBand="0" w:noVBand="1"/>
      </w:tblPr>
      <w:tblGrid>
        <w:gridCol w:w="2160"/>
        <w:gridCol w:w="1740"/>
        <w:gridCol w:w="1860"/>
        <w:gridCol w:w="1420"/>
      </w:tblGrid>
      <w:tr w:rsidR="00B30A2A" w:rsidRPr="00B30A2A" w14:paraId="52AD3C51" w14:textId="77777777" w:rsidTr="00B30A2A">
        <w:trPr>
          <w:trHeight w:val="600"/>
        </w:trPr>
        <w:tc>
          <w:tcPr>
            <w:tcW w:w="2160" w:type="dxa"/>
            <w:tcBorders>
              <w:top w:val="nil"/>
              <w:left w:val="nil"/>
              <w:bottom w:val="single" w:sz="4" w:space="0" w:color="auto"/>
              <w:right w:val="nil"/>
            </w:tcBorders>
            <w:shd w:val="clear" w:color="000000" w:fill="FFFFFF"/>
            <w:noWrap/>
            <w:vAlign w:val="bottom"/>
            <w:hideMark/>
          </w:tcPr>
          <w:p w14:paraId="4CFB5DD6"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Cure Conditions</w:t>
            </w:r>
          </w:p>
        </w:tc>
        <w:tc>
          <w:tcPr>
            <w:tcW w:w="1740" w:type="dxa"/>
            <w:tcBorders>
              <w:top w:val="nil"/>
              <w:left w:val="nil"/>
              <w:bottom w:val="single" w:sz="4" w:space="0" w:color="auto"/>
              <w:right w:val="nil"/>
            </w:tcBorders>
            <w:shd w:val="clear" w:color="000000" w:fill="FFFFFF"/>
            <w:vAlign w:val="bottom"/>
            <w:hideMark/>
          </w:tcPr>
          <w:p w14:paraId="624BAF56"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Tensile Strength (MPa)</w:t>
            </w:r>
          </w:p>
        </w:tc>
        <w:tc>
          <w:tcPr>
            <w:tcW w:w="1860" w:type="dxa"/>
            <w:tcBorders>
              <w:top w:val="nil"/>
              <w:left w:val="nil"/>
              <w:bottom w:val="single" w:sz="4" w:space="0" w:color="auto"/>
              <w:right w:val="nil"/>
            </w:tcBorders>
            <w:shd w:val="clear" w:color="000000" w:fill="FFFFFF"/>
            <w:vAlign w:val="bottom"/>
            <w:hideMark/>
          </w:tcPr>
          <w:p w14:paraId="0C9252DB" w14:textId="58C76988" w:rsidR="00B30A2A" w:rsidRPr="00B30A2A" w:rsidRDefault="00B30A2A" w:rsidP="00B30A2A">
            <w:pPr>
              <w:jc w:val="center"/>
              <w:rPr>
                <w:rFonts w:ascii="Times New Roman" w:hAnsi="Times New Roman" w:cs="Times New Roman"/>
                <w:color w:val="000000"/>
                <w:sz w:val="22"/>
                <w:szCs w:val="22"/>
              </w:rPr>
            </w:pPr>
            <w:r>
              <w:rPr>
                <w:rFonts w:ascii="Times New Roman" w:hAnsi="Times New Roman" w:cs="Times New Roman"/>
                <w:color w:val="000000"/>
                <w:sz w:val="22"/>
                <w:szCs w:val="22"/>
              </w:rPr>
              <w:t>Tensile</w:t>
            </w:r>
            <w:r w:rsidRPr="00B30A2A">
              <w:rPr>
                <w:rFonts w:ascii="Times New Roman" w:hAnsi="Times New Roman" w:cs="Times New Roman"/>
                <w:color w:val="000000"/>
                <w:sz w:val="22"/>
                <w:szCs w:val="22"/>
              </w:rPr>
              <w:t xml:space="preserve"> Modulus (GPa)</w:t>
            </w:r>
          </w:p>
        </w:tc>
        <w:tc>
          <w:tcPr>
            <w:tcW w:w="1420" w:type="dxa"/>
            <w:tcBorders>
              <w:top w:val="nil"/>
              <w:left w:val="nil"/>
              <w:bottom w:val="single" w:sz="4" w:space="0" w:color="auto"/>
              <w:right w:val="nil"/>
            </w:tcBorders>
            <w:shd w:val="clear" w:color="000000" w:fill="FFFFFF"/>
            <w:noWrap/>
            <w:vAlign w:val="bottom"/>
            <w:hideMark/>
          </w:tcPr>
          <w:p w14:paraId="64816284"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 xml:space="preserve">Failure Strain </w:t>
            </w:r>
          </w:p>
        </w:tc>
      </w:tr>
      <w:tr w:rsidR="00B30A2A" w:rsidRPr="00B30A2A" w14:paraId="496B3848" w14:textId="77777777" w:rsidTr="00B30A2A">
        <w:trPr>
          <w:trHeight w:val="300"/>
        </w:trPr>
        <w:tc>
          <w:tcPr>
            <w:tcW w:w="2160" w:type="dxa"/>
            <w:tcBorders>
              <w:top w:val="nil"/>
              <w:left w:val="nil"/>
              <w:bottom w:val="nil"/>
              <w:right w:val="nil"/>
            </w:tcBorders>
            <w:shd w:val="clear" w:color="000000" w:fill="FFFFFF"/>
            <w:noWrap/>
            <w:vAlign w:val="bottom"/>
            <w:hideMark/>
          </w:tcPr>
          <w:p w14:paraId="5AEFCB83"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UV Only</w:t>
            </w:r>
          </w:p>
        </w:tc>
        <w:tc>
          <w:tcPr>
            <w:tcW w:w="1740" w:type="dxa"/>
            <w:tcBorders>
              <w:top w:val="nil"/>
              <w:left w:val="nil"/>
              <w:bottom w:val="nil"/>
              <w:right w:val="nil"/>
            </w:tcBorders>
            <w:shd w:val="clear" w:color="000000" w:fill="FFFFFF"/>
            <w:noWrap/>
            <w:vAlign w:val="bottom"/>
            <w:hideMark/>
          </w:tcPr>
          <w:p w14:paraId="3C5F437F"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39.61 [4.29]</w:t>
            </w:r>
          </w:p>
        </w:tc>
        <w:tc>
          <w:tcPr>
            <w:tcW w:w="1860" w:type="dxa"/>
            <w:tcBorders>
              <w:top w:val="nil"/>
              <w:left w:val="nil"/>
              <w:bottom w:val="nil"/>
              <w:right w:val="nil"/>
            </w:tcBorders>
            <w:shd w:val="clear" w:color="000000" w:fill="FFFFFF"/>
            <w:noWrap/>
            <w:vAlign w:val="bottom"/>
            <w:hideMark/>
          </w:tcPr>
          <w:p w14:paraId="2DAD2FFC"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2.27 [0.06]</w:t>
            </w:r>
          </w:p>
        </w:tc>
        <w:tc>
          <w:tcPr>
            <w:tcW w:w="1420" w:type="dxa"/>
            <w:tcBorders>
              <w:top w:val="nil"/>
              <w:left w:val="nil"/>
              <w:bottom w:val="nil"/>
              <w:right w:val="nil"/>
            </w:tcBorders>
            <w:shd w:val="clear" w:color="000000" w:fill="FFFFFF"/>
            <w:noWrap/>
            <w:vAlign w:val="bottom"/>
            <w:hideMark/>
          </w:tcPr>
          <w:p w14:paraId="6816B002"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2.32 [0.37]</w:t>
            </w:r>
          </w:p>
        </w:tc>
      </w:tr>
      <w:tr w:rsidR="00B30A2A" w:rsidRPr="00B30A2A" w14:paraId="6561F124" w14:textId="77777777" w:rsidTr="00B30A2A">
        <w:trPr>
          <w:trHeight w:val="300"/>
        </w:trPr>
        <w:tc>
          <w:tcPr>
            <w:tcW w:w="2160" w:type="dxa"/>
            <w:tcBorders>
              <w:top w:val="nil"/>
              <w:left w:val="nil"/>
              <w:bottom w:val="nil"/>
              <w:right w:val="nil"/>
            </w:tcBorders>
            <w:shd w:val="clear" w:color="000000" w:fill="FFFFFF"/>
            <w:noWrap/>
            <w:vAlign w:val="bottom"/>
            <w:hideMark/>
          </w:tcPr>
          <w:p w14:paraId="315B1027"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Post Cure A</w:t>
            </w:r>
          </w:p>
        </w:tc>
        <w:tc>
          <w:tcPr>
            <w:tcW w:w="1740" w:type="dxa"/>
            <w:tcBorders>
              <w:top w:val="nil"/>
              <w:left w:val="nil"/>
              <w:bottom w:val="nil"/>
              <w:right w:val="nil"/>
            </w:tcBorders>
            <w:shd w:val="clear" w:color="000000" w:fill="FFFFFF"/>
            <w:noWrap/>
            <w:vAlign w:val="bottom"/>
            <w:hideMark/>
          </w:tcPr>
          <w:p w14:paraId="0D877486"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55.28 [4.37]</w:t>
            </w:r>
          </w:p>
        </w:tc>
        <w:tc>
          <w:tcPr>
            <w:tcW w:w="1860" w:type="dxa"/>
            <w:tcBorders>
              <w:top w:val="nil"/>
              <w:left w:val="nil"/>
              <w:bottom w:val="nil"/>
              <w:right w:val="nil"/>
            </w:tcBorders>
            <w:shd w:val="clear" w:color="000000" w:fill="FFFFFF"/>
            <w:noWrap/>
            <w:vAlign w:val="bottom"/>
            <w:hideMark/>
          </w:tcPr>
          <w:p w14:paraId="208DEFAE"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2.95 [0.09]</w:t>
            </w:r>
          </w:p>
        </w:tc>
        <w:tc>
          <w:tcPr>
            <w:tcW w:w="1420" w:type="dxa"/>
            <w:tcBorders>
              <w:top w:val="nil"/>
              <w:left w:val="nil"/>
              <w:bottom w:val="nil"/>
              <w:right w:val="nil"/>
            </w:tcBorders>
            <w:shd w:val="clear" w:color="000000" w:fill="FFFFFF"/>
            <w:noWrap/>
            <w:vAlign w:val="bottom"/>
            <w:hideMark/>
          </w:tcPr>
          <w:p w14:paraId="0030A621"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2.40 [0.34]</w:t>
            </w:r>
          </w:p>
        </w:tc>
      </w:tr>
      <w:tr w:rsidR="00B30A2A" w:rsidRPr="00B30A2A" w14:paraId="6B1E9EC8" w14:textId="77777777" w:rsidTr="00B30A2A">
        <w:trPr>
          <w:trHeight w:val="300"/>
        </w:trPr>
        <w:tc>
          <w:tcPr>
            <w:tcW w:w="2160" w:type="dxa"/>
            <w:tcBorders>
              <w:top w:val="nil"/>
              <w:left w:val="nil"/>
              <w:bottom w:val="nil"/>
              <w:right w:val="nil"/>
            </w:tcBorders>
            <w:shd w:val="clear" w:color="000000" w:fill="FFFFFF"/>
            <w:noWrap/>
            <w:vAlign w:val="bottom"/>
            <w:hideMark/>
          </w:tcPr>
          <w:p w14:paraId="796CD1E9"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Post Cure B</w:t>
            </w:r>
          </w:p>
        </w:tc>
        <w:tc>
          <w:tcPr>
            <w:tcW w:w="1740" w:type="dxa"/>
            <w:tcBorders>
              <w:top w:val="nil"/>
              <w:left w:val="nil"/>
              <w:bottom w:val="nil"/>
              <w:right w:val="nil"/>
            </w:tcBorders>
            <w:shd w:val="clear" w:color="000000" w:fill="FFFFFF"/>
            <w:noWrap/>
            <w:vAlign w:val="bottom"/>
            <w:hideMark/>
          </w:tcPr>
          <w:p w14:paraId="5EBDCC15"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55.29 [4.59]</w:t>
            </w:r>
          </w:p>
        </w:tc>
        <w:tc>
          <w:tcPr>
            <w:tcW w:w="1860" w:type="dxa"/>
            <w:tcBorders>
              <w:top w:val="nil"/>
              <w:left w:val="nil"/>
              <w:bottom w:val="nil"/>
              <w:right w:val="nil"/>
            </w:tcBorders>
            <w:shd w:val="clear" w:color="000000" w:fill="FFFFFF"/>
            <w:noWrap/>
            <w:vAlign w:val="bottom"/>
            <w:hideMark/>
          </w:tcPr>
          <w:p w14:paraId="324B25F6"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3.04 [0.04]</w:t>
            </w:r>
          </w:p>
        </w:tc>
        <w:tc>
          <w:tcPr>
            <w:tcW w:w="1420" w:type="dxa"/>
            <w:tcBorders>
              <w:top w:val="nil"/>
              <w:left w:val="nil"/>
              <w:bottom w:val="nil"/>
              <w:right w:val="nil"/>
            </w:tcBorders>
            <w:shd w:val="clear" w:color="000000" w:fill="FFFFFF"/>
            <w:noWrap/>
            <w:vAlign w:val="bottom"/>
            <w:hideMark/>
          </w:tcPr>
          <w:p w14:paraId="07FC0A2A" w14:textId="77777777" w:rsidR="00B30A2A" w:rsidRPr="00B30A2A" w:rsidRDefault="00B30A2A" w:rsidP="00B30A2A">
            <w:pPr>
              <w:jc w:val="center"/>
              <w:rPr>
                <w:rFonts w:ascii="Times New Roman" w:hAnsi="Times New Roman" w:cs="Times New Roman"/>
                <w:color w:val="000000"/>
                <w:sz w:val="22"/>
                <w:szCs w:val="22"/>
              </w:rPr>
            </w:pPr>
            <w:r w:rsidRPr="00B30A2A">
              <w:rPr>
                <w:rFonts w:ascii="Times New Roman" w:hAnsi="Times New Roman" w:cs="Times New Roman"/>
                <w:color w:val="000000"/>
                <w:sz w:val="22"/>
                <w:szCs w:val="22"/>
              </w:rPr>
              <w:t>2.28 [0.29]</w:t>
            </w:r>
          </w:p>
        </w:tc>
      </w:tr>
    </w:tbl>
    <w:p w14:paraId="3E31C766" w14:textId="2EB54C33" w:rsidR="000A08F8" w:rsidRDefault="000A08F8" w:rsidP="009D06D1">
      <w:pPr>
        <w:pStyle w:val="Heading3"/>
        <w:numPr>
          <w:ilvl w:val="0"/>
          <w:numId w:val="0"/>
        </w:numPr>
      </w:pPr>
    </w:p>
    <w:p w14:paraId="7C38FE91" w14:textId="318AE9CD" w:rsidR="00B30A2A" w:rsidRDefault="00B30A2A" w:rsidP="00B30A2A"/>
    <w:p w14:paraId="7537597D" w14:textId="6771018D" w:rsidR="00B30A2A" w:rsidRDefault="00B30A2A" w:rsidP="00B30A2A"/>
    <w:p w14:paraId="755562D9" w14:textId="67BE1CDC" w:rsidR="00B30A2A" w:rsidRDefault="00B30A2A" w:rsidP="00B30A2A"/>
    <w:p w14:paraId="62759CAD" w14:textId="55087ED3" w:rsidR="00B30A2A" w:rsidRDefault="00B30A2A" w:rsidP="00B30A2A"/>
    <w:p w14:paraId="41F646A9" w14:textId="20018B5A" w:rsidR="00B30A2A" w:rsidRDefault="00B30A2A" w:rsidP="00B30A2A"/>
    <w:p w14:paraId="764BB9E2" w14:textId="52270A29" w:rsidR="00B30A2A" w:rsidRDefault="00B30A2A" w:rsidP="00B30A2A"/>
    <w:p w14:paraId="3EBDB8DC" w14:textId="0F69B454" w:rsidR="00B30A2A" w:rsidRDefault="00B30A2A" w:rsidP="00B30A2A"/>
    <w:p w14:paraId="109F1101" w14:textId="415BFAED" w:rsidR="00B30A2A" w:rsidRDefault="00B30A2A" w:rsidP="00B30A2A"/>
    <w:p w14:paraId="50A7B2EB" w14:textId="77777777" w:rsidR="00B30A2A" w:rsidRDefault="00B30A2A" w:rsidP="00B30A2A">
      <w:pPr>
        <w:keepNext/>
        <w:jc w:val="center"/>
      </w:pPr>
      <w:r>
        <w:rPr>
          <w:noProof/>
        </w:rPr>
        <w:lastRenderedPageBreak/>
        <w:drawing>
          <wp:inline distT="0" distB="0" distL="0" distR="0" wp14:anchorId="6CE10EDE" wp14:editId="7639A4E0">
            <wp:extent cx="4631377" cy="6522709"/>
            <wp:effectExtent l="0" t="0" r="0" b="0"/>
            <wp:docPr id="76" name="Picture 76" descr="Graphical user inte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chart&#10;&#10;Description automatically generated with medium confidence"/>
                    <pic:cNvPicPr/>
                  </pic:nvPicPr>
                  <pic:blipFill rotWithShape="1">
                    <a:blip r:embed="rId56" cstate="print">
                      <a:extLst>
                        <a:ext uri="{28A0092B-C50C-407E-A947-70E740481C1C}">
                          <a14:useLocalDpi xmlns:a14="http://schemas.microsoft.com/office/drawing/2010/main" val="0"/>
                        </a:ext>
                      </a:extLst>
                    </a:blip>
                    <a:srcRect l="7170" r="43218"/>
                    <a:stretch/>
                  </pic:blipFill>
                  <pic:spPr bwMode="auto">
                    <a:xfrm>
                      <a:off x="0" y="0"/>
                      <a:ext cx="4642950" cy="6539009"/>
                    </a:xfrm>
                    <a:prstGeom prst="rect">
                      <a:avLst/>
                    </a:prstGeom>
                    <a:ln>
                      <a:noFill/>
                    </a:ln>
                    <a:extLst>
                      <a:ext uri="{53640926-AAD7-44D8-BBD7-CCE9431645EC}">
                        <a14:shadowObscured xmlns:a14="http://schemas.microsoft.com/office/drawing/2010/main"/>
                      </a:ext>
                    </a:extLst>
                  </pic:spPr>
                </pic:pic>
              </a:graphicData>
            </a:graphic>
          </wp:inline>
        </w:drawing>
      </w:r>
    </w:p>
    <w:p w14:paraId="00B62C58" w14:textId="74B76A3C" w:rsidR="00B30A2A" w:rsidRDefault="00B30A2A" w:rsidP="00F20503">
      <w:pPr>
        <w:pStyle w:val="Caption"/>
      </w:pPr>
      <w:bookmarkStart w:id="217" w:name="_Ref101216581"/>
      <w:bookmarkStart w:id="218" w:name="_Ref101216576"/>
      <w:bookmarkStart w:id="219" w:name="_Toc101365713"/>
      <w:r>
        <w:t xml:space="preserve">Figure </w:t>
      </w:r>
      <w:r w:rsidR="002F73EC">
        <w:fldChar w:fldCharType="begin"/>
      </w:r>
      <w:r w:rsidR="002F73EC">
        <w:instrText xml:space="preserve"> SEQ Figure \* ARABIC </w:instrText>
      </w:r>
      <w:r w:rsidR="002F73EC">
        <w:fldChar w:fldCharType="separate"/>
      </w:r>
      <w:r w:rsidR="00BF5717">
        <w:rPr>
          <w:noProof/>
        </w:rPr>
        <w:t>51</w:t>
      </w:r>
      <w:r w:rsidR="002F73EC">
        <w:rPr>
          <w:noProof/>
        </w:rPr>
        <w:fldChar w:fldCharType="end"/>
      </w:r>
      <w:bookmarkEnd w:id="217"/>
      <w:r>
        <w:t xml:space="preserve"> DMA curves for various cure conditions.  Note the shift in Tg as indicated by the Tan Delta peak, which increases with post curing.</w:t>
      </w:r>
      <w:bookmarkEnd w:id="218"/>
      <w:bookmarkEnd w:id="219"/>
    </w:p>
    <w:p w14:paraId="2D208590" w14:textId="53B0AD05" w:rsidR="00B30A2A" w:rsidRDefault="00B30A2A" w:rsidP="00B30A2A"/>
    <w:p w14:paraId="3BEA6C23" w14:textId="2B4353F5" w:rsidR="00B30A2A" w:rsidRDefault="00B30A2A" w:rsidP="00B30A2A"/>
    <w:p w14:paraId="50F89E4B" w14:textId="195EEA45" w:rsidR="00B30A2A" w:rsidRDefault="00B30A2A" w:rsidP="00B30A2A"/>
    <w:p w14:paraId="694E0B91" w14:textId="721EA3D9" w:rsidR="00747382" w:rsidRDefault="00747382" w:rsidP="00B30A2A"/>
    <w:p w14:paraId="005BC848" w14:textId="71BEE7F0" w:rsidR="00736705" w:rsidRDefault="0093124C" w:rsidP="00681A33">
      <w:pPr>
        <w:spacing w:line="360" w:lineRule="auto"/>
        <w:rPr>
          <w:rFonts w:ascii="Times New Roman" w:hAnsi="Times New Roman" w:cs="Times New Roman"/>
        </w:rPr>
      </w:pPr>
      <w:r w:rsidRPr="00681A33">
        <w:rPr>
          <w:rFonts w:ascii="Times New Roman" w:hAnsi="Times New Roman" w:cs="Times New Roman"/>
        </w:rPr>
        <w:lastRenderedPageBreak/>
        <w:t>treatment, and with Post Cure B the peak also becomes narrower.  With UV Only and Post Cure A, the Storage Modulus and Loss Modulus curves both indicate a broad transition region.  With Post Cure B, there is a clear transition in both Storage Modulus and Loss Modulus that coincides with the Tan Delta peak.  The T</w:t>
      </w:r>
      <w:r w:rsidRPr="00681A33">
        <w:rPr>
          <w:rFonts w:ascii="Times New Roman" w:hAnsi="Times New Roman" w:cs="Times New Roman"/>
          <w:vertAlign w:val="subscript"/>
        </w:rPr>
        <w:t>g</w:t>
      </w:r>
      <w:r w:rsidRPr="00681A33">
        <w:rPr>
          <w:rFonts w:ascii="Times New Roman" w:hAnsi="Times New Roman" w:cs="Times New Roman"/>
        </w:rPr>
        <w:t xml:space="preserve"> as measured by this peak is 103 ºC for UV Only, 133 ºC for Post Cure A, and 186 ºC for Post Cure B.</w:t>
      </w:r>
      <w:r w:rsidR="00017A30" w:rsidRPr="00681A33">
        <w:rPr>
          <w:rFonts w:ascii="Times New Roman" w:hAnsi="Times New Roman" w:cs="Times New Roman"/>
        </w:rPr>
        <w:t xml:space="preserve">  This highest T</w:t>
      </w:r>
      <w:r w:rsidR="00017A30" w:rsidRPr="00681A33">
        <w:rPr>
          <w:rFonts w:ascii="Times New Roman" w:hAnsi="Times New Roman" w:cs="Times New Roman"/>
          <w:vertAlign w:val="subscript"/>
        </w:rPr>
        <w:t>g</w:t>
      </w:r>
      <w:r w:rsidR="00017A30" w:rsidRPr="00681A33">
        <w:rPr>
          <w:rFonts w:ascii="Times New Roman" w:hAnsi="Times New Roman" w:cs="Times New Roman"/>
        </w:rPr>
        <w:t xml:space="preserve"> is </w:t>
      </w:r>
      <w:r w:rsidR="006F5C08" w:rsidRPr="00681A33">
        <w:rPr>
          <w:rFonts w:ascii="Times New Roman" w:hAnsi="Times New Roman" w:cs="Times New Roman"/>
        </w:rPr>
        <w:t>9</w:t>
      </w:r>
      <w:r w:rsidR="00017A30" w:rsidRPr="00681A33">
        <w:rPr>
          <w:rFonts w:ascii="Times New Roman" w:hAnsi="Times New Roman" w:cs="Times New Roman"/>
        </w:rPr>
        <w:t>% higher than the value reported by the resin supplier</w:t>
      </w:r>
      <w:r w:rsidR="006F5C08" w:rsidRPr="00681A33">
        <w:rPr>
          <w:rFonts w:ascii="Times New Roman" w:hAnsi="Times New Roman" w:cs="Times New Roman"/>
        </w:rPr>
        <w:t xml:space="preserve">, and 8% higher than the value reported for Bis-EMA:PETIA photopolymer tooling after thermal cycling at 135 °C </w:t>
      </w:r>
      <w:r w:rsidR="006F5C08" w:rsidRPr="00681A33">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sidR="006F5C08" w:rsidRPr="00681A33">
        <w:rPr>
          <w:rFonts w:ascii="Times New Roman" w:hAnsi="Times New Roman" w:cs="Times New Roman"/>
        </w:rPr>
        <w:fldChar w:fldCharType="separate"/>
      </w:r>
      <w:r w:rsidR="00280E34" w:rsidRPr="00280E34">
        <w:rPr>
          <w:rFonts w:ascii="Times New Roman" w:hAnsi="Times New Roman" w:cs="Times New Roman"/>
          <w:noProof/>
        </w:rPr>
        <w:t>[109]</w:t>
      </w:r>
      <w:r w:rsidR="006F5C08" w:rsidRPr="00681A33">
        <w:rPr>
          <w:rFonts w:ascii="Times New Roman" w:hAnsi="Times New Roman" w:cs="Times New Roman"/>
        </w:rPr>
        <w:fldChar w:fldCharType="end"/>
      </w:r>
      <w:r w:rsidR="006F5C08" w:rsidRPr="00681A33">
        <w:rPr>
          <w:rFonts w:ascii="Times New Roman" w:hAnsi="Times New Roman" w:cs="Times New Roman"/>
        </w:rPr>
        <w:t>.</w:t>
      </w:r>
    </w:p>
    <w:p w14:paraId="43D4C671" w14:textId="77777777" w:rsidR="009D06D1" w:rsidRPr="00681A33" w:rsidRDefault="009D06D1" w:rsidP="00681A33">
      <w:pPr>
        <w:spacing w:line="360" w:lineRule="auto"/>
        <w:rPr>
          <w:rFonts w:ascii="Times New Roman" w:hAnsi="Times New Roman" w:cs="Times New Roman"/>
        </w:rPr>
      </w:pPr>
    </w:p>
    <w:p w14:paraId="3E1CB4E9" w14:textId="65A8CC41" w:rsidR="0093124C" w:rsidRPr="009D06D1" w:rsidRDefault="0093124C" w:rsidP="009D06D1">
      <w:pPr>
        <w:rPr>
          <w:rFonts w:ascii="Times New Roman" w:hAnsi="Times New Roman" w:cs="Times New Roman"/>
          <w:i/>
          <w:iCs/>
        </w:rPr>
      </w:pPr>
      <w:r w:rsidRPr="009D06D1">
        <w:rPr>
          <w:rFonts w:ascii="Times New Roman" w:hAnsi="Times New Roman" w:cs="Times New Roman"/>
          <w:i/>
          <w:iCs/>
        </w:rPr>
        <w:t>TGA</w:t>
      </w:r>
    </w:p>
    <w:p w14:paraId="2D12A8D8" w14:textId="105847F7" w:rsidR="0093124C" w:rsidRPr="00EF6E91" w:rsidRDefault="002036FA" w:rsidP="00EF6E91">
      <w:pPr>
        <w:spacing w:line="360" w:lineRule="auto"/>
        <w:rPr>
          <w:rFonts w:ascii="Times New Roman" w:hAnsi="Times New Roman" w:cs="Times New Roman"/>
        </w:rPr>
      </w:pPr>
      <w:r w:rsidRPr="00EF6E91">
        <w:rPr>
          <w:rFonts w:ascii="Times New Roman" w:hAnsi="Times New Roman" w:cs="Times New Roman"/>
        </w:rPr>
        <w:t xml:space="preserve">Thermogravimetric analysis was performed on the three cure conditions, with results shown in </w:t>
      </w:r>
      <w:r w:rsidRPr="00EF6E91">
        <w:rPr>
          <w:rFonts w:ascii="Times New Roman" w:hAnsi="Times New Roman" w:cs="Times New Roman"/>
          <w:highlight w:val="yellow"/>
        </w:rPr>
        <w:fldChar w:fldCharType="begin"/>
      </w:r>
      <w:r w:rsidRPr="00EF6E91">
        <w:rPr>
          <w:rFonts w:ascii="Times New Roman" w:hAnsi="Times New Roman" w:cs="Times New Roman"/>
        </w:rPr>
        <w:instrText xml:space="preserve"> REF _Ref101276752 \h </w:instrText>
      </w:r>
      <w:r w:rsidRPr="00EF6E91">
        <w:rPr>
          <w:rFonts w:ascii="Times New Roman" w:hAnsi="Times New Roman" w:cs="Times New Roman"/>
          <w:highlight w:val="yellow"/>
        </w:rPr>
        <w:instrText xml:space="preserve"> \* MERGEFORMAT </w:instrText>
      </w:r>
      <w:r w:rsidRPr="00EF6E91">
        <w:rPr>
          <w:rFonts w:ascii="Times New Roman" w:hAnsi="Times New Roman" w:cs="Times New Roman"/>
          <w:highlight w:val="yellow"/>
        </w:rPr>
      </w:r>
      <w:r w:rsidRPr="00EF6E91">
        <w:rPr>
          <w:rFonts w:ascii="Times New Roman" w:hAnsi="Times New Roman" w:cs="Times New Roman"/>
          <w:highlight w:val="yellow"/>
        </w:rPr>
        <w:fldChar w:fldCharType="separate"/>
      </w:r>
      <w:r w:rsidRPr="00EF6E91">
        <w:rPr>
          <w:rFonts w:ascii="Times New Roman" w:hAnsi="Times New Roman" w:cs="Times New Roman"/>
        </w:rPr>
        <w:t xml:space="preserve">Figure </w:t>
      </w:r>
      <w:r w:rsidRPr="00EF6E91">
        <w:rPr>
          <w:rFonts w:ascii="Times New Roman" w:hAnsi="Times New Roman" w:cs="Times New Roman"/>
          <w:noProof/>
        </w:rPr>
        <w:t>52</w:t>
      </w:r>
      <w:r w:rsidRPr="00EF6E91">
        <w:rPr>
          <w:rFonts w:ascii="Times New Roman" w:hAnsi="Times New Roman" w:cs="Times New Roman"/>
          <w:highlight w:val="yellow"/>
        </w:rPr>
        <w:fldChar w:fldCharType="end"/>
      </w:r>
      <w:r w:rsidRPr="00EF6E91">
        <w:rPr>
          <w:rFonts w:ascii="Times New Roman" w:hAnsi="Times New Roman" w:cs="Times New Roman"/>
        </w:rPr>
        <w:t xml:space="preserve">.  The mass loss curves </w:t>
      </w:r>
      <w:r w:rsidR="008106CC" w:rsidRPr="00EF6E91">
        <w:rPr>
          <w:rFonts w:ascii="Times New Roman" w:hAnsi="Times New Roman" w:cs="Times New Roman"/>
        </w:rPr>
        <w:t>were</w:t>
      </w:r>
      <w:r w:rsidRPr="00EF6E91">
        <w:rPr>
          <w:rFonts w:ascii="Times New Roman" w:hAnsi="Times New Roman" w:cs="Times New Roman"/>
        </w:rPr>
        <w:t xml:space="preserve"> similar, with most mass loss occurring </w:t>
      </w:r>
      <w:r w:rsidR="008106CC" w:rsidRPr="00EF6E91">
        <w:rPr>
          <w:rFonts w:ascii="Times New Roman" w:hAnsi="Times New Roman" w:cs="Times New Roman"/>
        </w:rPr>
        <w:t>at temperatures &gt;380 °C.  Both Post Cures dropped below 95% mass at ~380 °C, while the UV Only specimen</w:t>
      </w:r>
      <w:r w:rsidR="00A92759" w:rsidRPr="00EF6E91">
        <w:rPr>
          <w:rFonts w:ascii="Times New Roman" w:hAnsi="Times New Roman" w:cs="Times New Roman"/>
        </w:rPr>
        <w:t xml:space="preserve"> dropped below 95% mass at ~360 °C.  </w:t>
      </w:r>
    </w:p>
    <w:p w14:paraId="2F310EA7" w14:textId="080BEE45" w:rsidR="0093124C" w:rsidRDefault="0093124C" w:rsidP="0093124C"/>
    <w:p w14:paraId="66665B42" w14:textId="2DDD7B82" w:rsidR="009B3D25" w:rsidRDefault="0093124C" w:rsidP="0093124C">
      <w:pPr>
        <w:rPr>
          <w:rFonts w:ascii="Times New Roman" w:hAnsi="Times New Roman" w:cs="Times New Roman"/>
          <w:i/>
          <w:iCs/>
        </w:rPr>
      </w:pPr>
      <w:r w:rsidRPr="0093124C">
        <w:rPr>
          <w:rFonts w:ascii="Times New Roman" w:hAnsi="Times New Roman" w:cs="Times New Roman"/>
          <w:i/>
          <w:iCs/>
        </w:rPr>
        <w:t>Discussion:</w:t>
      </w:r>
      <w:r w:rsidR="00A92759">
        <w:rPr>
          <w:rFonts w:ascii="Times New Roman" w:hAnsi="Times New Roman" w:cs="Times New Roman"/>
          <w:i/>
          <w:iCs/>
        </w:rPr>
        <w:t xml:space="preserve"> </w:t>
      </w:r>
    </w:p>
    <w:p w14:paraId="2CD7B130" w14:textId="0734D955" w:rsidR="00D7663F" w:rsidRDefault="008E23C2" w:rsidP="009B3D25">
      <w:pPr>
        <w:spacing w:line="360" w:lineRule="auto"/>
        <w:rPr>
          <w:rFonts w:ascii="Times New Roman" w:hAnsi="Times New Roman" w:cs="Times New Roman"/>
        </w:rPr>
      </w:pPr>
      <w:r>
        <w:rPr>
          <w:rFonts w:ascii="Times New Roman" w:hAnsi="Times New Roman" w:cs="Times New Roman"/>
        </w:rPr>
        <w:t>For</w:t>
      </w:r>
      <w:r w:rsidR="009B3D25">
        <w:rPr>
          <w:rFonts w:ascii="Times New Roman" w:hAnsi="Times New Roman" w:cs="Times New Roman"/>
        </w:rPr>
        <w:t xml:space="preserve"> the cure conditions tested, a high temperature post cure of 2 hrs at 200 °C </w:t>
      </w:r>
      <w:r w:rsidR="004E6808">
        <w:rPr>
          <w:rFonts w:ascii="Times New Roman" w:hAnsi="Times New Roman" w:cs="Times New Roman"/>
        </w:rPr>
        <w:t xml:space="preserve">(Post Cure B) </w:t>
      </w:r>
      <w:r w:rsidR="009B3D25">
        <w:rPr>
          <w:rFonts w:ascii="Times New Roman" w:hAnsi="Times New Roman" w:cs="Times New Roman"/>
        </w:rPr>
        <w:t xml:space="preserve">yields </w:t>
      </w:r>
      <w:r w:rsidR="004E6808">
        <w:rPr>
          <w:rFonts w:ascii="Times New Roman" w:hAnsi="Times New Roman" w:cs="Times New Roman"/>
        </w:rPr>
        <w:t xml:space="preserve">both </w:t>
      </w:r>
      <w:r w:rsidR="009B3D25">
        <w:rPr>
          <w:rFonts w:ascii="Times New Roman" w:hAnsi="Times New Roman" w:cs="Times New Roman"/>
        </w:rPr>
        <w:t>the highest T</w:t>
      </w:r>
      <w:r w:rsidR="009B3D25" w:rsidRPr="009B3D25">
        <w:rPr>
          <w:rFonts w:ascii="Times New Roman" w:hAnsi="Times New Roman" w:cs="Times New Roman"/>
          <w:vertAlign w:val="subscript"/>
        </w:rPr>
        <w:t>g</w:t>
      </w:r>
      <w:r w:rsidR="004E6808">
        <w:rPr>
          <w:rFonts w:ascii="Times New Roman" w:hAnsi="Times New Roman" w:cs="Times New Roman"/>
        </w:rPr>
        <w:t xml:space="preserve"> (186 °C) and the highest DC</w:t>
      </w:r>
      <w:r w:rsidR="00AD1450">
        <w:rPr>
          <w:rFonts w:ascii="Times New Roman" w:hAnsi="Times New Roman" w:cs="Times New Roman"/>
        </w:rPr>
        <w:t xml:space="preserve"> </w:t>
      </w:r>
      <w:r w:rsidR="004E6808">
        <w:rPr>
          <w:rFonts w:ascii="Times New Roman" w:hAnsi="Times New Roman" w:cs="Times New Roman"/>
        </w:rPr>
        <w:t>(98%).  TGA results also indicate the highest thermal stability with Post Cure B, and a small</w:t>
      </w:r>
      <w:r>
        <w:rPr>
          <w:rFonts w:ascii="Times New Roman" w:hAnsi="Times New Roman" w:cs="Times New Roman"/>
        </w:rPr>
        <w:t xml:space="preserve"> (&lt; 5% mass loss)</w:t>
      </w:r>
      <w:r w:rsidR="004E6808">
        <w:rPr>
          <w:rFonts w:ascii="Times New Roman" w:hAnsi="Times New Roman" w:cs="Times New Roman"/>
        </w:rPr>
        <w:t xml:space="preserve"> but observable trend of increased thermal stability with either post cure.  </w:t>
      </w:r>
      <w:r w:rsidR="00593A5F">
        <w:rPr>
          <w:rFonts w:ascii="Times New Roman" w:hAnsi="Times New Roman" w:cs="Times New Roman"/>
        </w:rPr>
        <w:t xml:space="preserve">DMA and FTIR both confirm that Post Cure B achieves the most complete cure and is higher than the 90.5% DC reported by the resin supplier for Bis-EMA when cured as a thermoset </w:t>
      </w:r>
      <w:r w:rsidR="00CD4017">
        <w:rPr>
          <w:rFonts w:ascii="Times New Roman" w:hAnsi="Times New Roman" w:cs="Times New Roman"/>
        </w:rPr>
        <w:t xml:space="preserve">with a post cure cycle </w:t>
      </w:r>
      <w:proofErr w:type="gramStart"/>
      <w:r w:rsidR="00CD4017">
        <w:rPr>
          <w:rFonts w:ascii="Times New Roman" w:hAnsi="Times New Roman" w:cs="Times New Roman"/>
        </w:rPr>
        <w:t>similar to</w:t>
      </w:r>
      <w:proofErr w:type="gramEnd"/>
      <w:r w:rsidR="00CD4017">
        <w:rPr>
          <w:rFonts w:ascii="Times New Roman" w:hAnsi="Times New Roman" w:cs="Times New Roman"/>
        </w:rPr>
        <w:t xml:space="preserve"> Post Cure A (see p.12).  </w:t>
      </w:r>
      <w:r>
        <w:rPr>
          <w:rFonts w:ascii="Times New Roman" w:hAnsi="Times New Roman" w:cs="Times New Roman"/>
        </w:rPr>
        <w:t xml:space="preserve">However, there is no significant improvement in the tensile properties with Post Cure B versus Post Cure A.  </w:t>
      </w:r>
    </w:p>
    <w:p w14:paraId="0D692048" w14:textId="1508335D" w:rsidR="00F5787E" w:rsidRDefault="00F5787E" w:rsidP="009B3D25">
      <w:pPr>
        <w:spacing w:line="360" w:lineRule="auto"/>
        <w:rPr>
          <w:rFonts w:ascii="Times New Roman" w:hAnsi="Times New Roman" w:cs="Times New Roman"/>
        </w:rPr>
      </w:pPr>
    </w:p>
    <w:p w14:paraId="76A73C04" w14:textId="54A664B2" w:rsidR="00F5787E" w:rsidRPr="006F7FAC" w:rsidRDefault="00F5787E" w:rsidP="009B3D25">
      <w:pPr>
        <w:spacing w:line="360" w:lineRule="auto"/>
        <w:rPr>
          <w:rFonts w:ascii="Times New Roman" w:hAnsi="Times New Roman" w:cs="Times New Roman"/>
        </w:rPr>
      </w:pPr>
      <w:r>
        <w:rPr>
          <w:rFonts w:ascii="Times New Roman" w:hAnsi="Times New Roman" w:cs="Times New Roman"/>
        </w:rPr>
        <w:t xml:space="preserve">In </w:t>
      </w:r>
      <w:r w:rsidR="006F7FAC">
        <w:rPr>
          <w:rFonts w:ascii="Times New Roman" w:hAnsi="Times New Roman" w:cs="Times New Roman"/>
        </w:rPr>
        <w:t xml:space="preserve">photopolymers, Decker et al. postulated that </w:t>
      </w:r>
      <w:r>
        <w:rPr>
          <w:rFonts w:ascii="Times New Roman" w:hAnsi="Times New Roman" w:cs="Times New Roman"/>
        </w:rPr>
        <w:t>t</w:t>
      </w:r>
      <w:r w:rsidRPr="00670343">
        <w:rPr>
          <w:rFonts w:ascii="Times New Roman" w:hAnsi="Times New Roman" w:cs="Times New Roman"/>
        </w:rPr>
        <w:t xml:space="preserve">hermal post cure cycles do not generate additional free radicals in a photopolymer, </w:t>
      </w:r>
      <w:r>
        <w:rPr>
          <w:rFonts w:ascii="Times New Roman" w:hAnsi="Times New Roman" w:cs="Times New Roman"/>
        </w:rPr>
        <w:t>but</w:t>
      </w:r>
      <w:r w:rsidRPr="00670343">
        <w:rPr>
          <w:rFonts w:ascii="Times New Roman" w:hAnsi="Times New Roman" w:cs="Times New Roman"/>
        </w:rPr>
        <w:t xml:space="preserve"> </w:t>
      </w:r>
      <w:r w:rsidR="006F7FAC">
        <w:rPr>
          <w:rFonts w:ascii="Times New Roman" w:hAnsi="Times New Roman" w:cs="Times New Roman"/>
        </w:rPr>
        <w:t xml:space="preserve">that the </w:t>
      </w:r>
      <w:r w:rsidR="008573D3">
        <w:rPr>
          <w:rFonts w:ascii="Times New Roman" w:hAnsi="Times New Roman" w:cs="Times New Roman"/>
        </w:rPr>
        <w:t>thermal energy</w:t>
      </w:r>
      <w:r w:rsidR="006F7FAC">
        <w:rPr>
          <w:rFonts w:ascii="Times New Roman" w:hAnsi="Times New Roman" w:cs="Times New Roman"/>
        </w:rPr>
        <w:t xml:space="preserve"> can restore </w:t>
      </w:r>
      <w:r w:rsidRPr="00670343">
        <w:rPr>
          <w:rFonts w:ascii="Times New Roman" w:hAnsi="Times New Roman" w:cs="Times New Roman"/>
        </w:rPr>
        <w:t xml:space="preserve">some chain mobility </w:t>
      </w:r>
      <w:r w:rsidR="006F7FAC">
        <w:rPr>
          <w:rFonts w:ascii="Times New Roman" w:hAnsi="Times New Roman" w:cs="Times New Roman"/>
        </w:rPr>
        <w:t>and allow</w:t>
      </w:r>
      <w:r w:rsidRPr="00670343">
        <w:rPr>
          <w:rFonts w:ascii="Times New Roman" w:hAnsi="Times New Roman" w:cs="Times New Roman"/>
        </w:rPr>
        <w:t xml:space="preserve"> trapped free radicals to react</w:t>
      </w:r>
      <w:r>
        <w:rPr>
          <w:rFonts w:ascii="Times New Roman" w:eastAsiaTheme="minorEastAsia" w:hAnsi="Times New Roman" w:cs="Times New Roman"/>
        </w:rPr>
        <w:t xml:space="preserve"> </w:t>
      </w:r>
      <w:r>
        <w:rPr>
          <w:rFonts w:ascii="Times New Roman" w:eastAsiaTheme="minorEastAsia" w:hAnsi="Times New Roman" w:cs="Times New Roman"/>
        </w:rPr>
        <w:fldChar w:fldCharType="begin" w:fldLock="1"/>
      </w:r>
      <w:r>
        <w:rPr>
          <w:rFonts w:ascii="Times New Roman" w:eastAsiaTheme="minorEastAsia" w:hAnsi="Times New Roman" w:cs="Times New Roman"/>
        </w:rPr>
        <w:instrText>ADDIN CSL_CITATION {"citationItems":[{"id":"ITEM-1","itemData":{"DOI":"10.1002/pola.1987.080250227","ISSN":"0887624X","author":[{"dropping-particle":"","family":"Decker","given":"C.","non-dropping-particle":"","parse-names":false,"suffix":""},{"dropping-particle":"","family":"Moussa","given":"K.","non-dropping-particle":"","parse-names":false,"suffix":""}],"container-title":"Journal of Polymer Science Part A: Polymer Chemistry","id":"ITEM-1","issue":"2","issued":{"date-parts":[["1987","2","1"]]},"page":"739-742","publisher":"John Wiley &amp; Sons, Ltd","title":"Radical trapping in photopolymerized acrylic networks","type":"article-journal","volume":"25"},"uris":["http://www.mendeley.com/documents/?uuid=e2a3dc3b-61bf-310e-a7cd-901577694a41"]},{"id":"ITEM-2","itemData":{"DOI":"10.1002/pi.821","ISSN":"09598103","abstract":"Light-induced polymerization of multifunctional monomers is a powerful method to transform a liquid resin into a solid polymer almost instantly, selectively in the illuminated areas. The reaction can conveniently be followed by real-time infrared spectroscopy, a technique which records directly conversion versus time curves in photosensitive resins undergoing ultrafast curing upon UV or laser exposure. The photoinitiator was shown to play a key role in laser-induced polymerization because of the monochromatic character of the emitted radiation. By using highly sensitive acrylate photoresists, relief images of micronic size were obtained by fast scanning with a focused laser beam. The laser direct imaging technology makes image transfer obsolete and eliminates the manufacture of photolithographic masks. Polymer networks of different architectures have been obtained by UV irradiation of various monomer blends: acrylate-epoxide, acrylate-vinyl ether, acrylate-polyene, vinyl ether-maleate and thiol-polyene. With monomers polymerizing by different mechanisms, ie radical and cationic types, interpenetrating polymer networks have been generated upon UV exposure in the presence of adequate photoinitiators. The crosslinking reaction was also performed in the solid state on polybutadiene which was plasticized with a multifunctional acrylate or thiol monomer. Thermoplastic elastomers were transformed within a fraction of a second into an insoluble material showing a greatly improved resistance to heat and chemicals, because of the tight polymer network formed. © 2002 Society of Chemical Industry.","author":[{"dropping-particle":"","family":"Decker","given":"Christian","non-dropping-particle":"","parse-names":false,"suffix":""}],"container-title":"Polymer International","id":"ITEM-2","issue":"11","issued":{"date-parts":[["2002","11","1"]]},"page":"1141-1150","publisher":"John Wiley &amp; Sons, Ltd","title":"Light-induced crosslinking polymerization","type":"article-journal","volume":"51"},"uris":["http://www.mendeley.com/documents/?uuid=3d0b4d3a-17fa-39ea-8b2c-c838d10161ac"]}],"mendeley":{"formattedCitation":"[62], [63]","plainTextFormattedCitation":"[62], [63]","previouslyFormattedCitation":"[62], [63]"},"properties":{"noteIndex":0},"schema":"https://github.com/citation-style-language/schema/raw/master/csl-citation.json"}</w:instrText>
      </w:r>
      <w:r>
        <w:rPr>
          <w:rFonts w:ascii="Times New Roman" w:eastAsiaTheme="minorEastAsia" w:hAnsi="Times New Roman" w:cs="Times New Roman"/>
        </w:rPr>
        <w:fldChar w:fldCharType="separate"/>
      </w:r>
      <w:r w:rsidRPr="00115FB0">
        <w:rPr>
          <w:rFonts w:ascii="Times New Roman" w:eastAsiaTheme="minorEastAsia" w:hAnsi="Times New Roman" w:cs="Times New Roman"/>
          <w:noProof/>
        </w:rPr>
        <w:t>[62], [63]</w:t>
      </w:r>
      <w:r>
        <w:rPr>
          <w:rFonts w:ascii="Times New Roman" w:eastAsiaTheme="minorEastAsia" w:hAnsi="Times New Roman" w:cs="Times New Roman"/>
        </w:rPr>
        <w:fldChar w:fldCharType="end"/>
      </w:r>
      <w:r w:rsidRPr="00670343">
        <w:rPr>
          <w:rFonts w:ascii="Times New Roman" w:eastAsiaTheme="minorEastAsia" w:hAnsi="Times New Roman" w:cs="Times New Roman"/>
        </w:rPr>
        <w:t>.</w:t>
      </w:r>
      <w:r w:rsidR="006F7FAC">
        <w:rPr>
          <w:rFonts w:ascii="Times New Roman" w:eastAsiaTheme="minorEastAsia" w:hAnsi="Times New Roman" w:cs="Times New Roman"/>
        </w:rPr>
        <w:t xml:space="preserve">  Therefore, one explanation for the improved DC with Post Cure B v</w:t>
      </w:r>
      <w:r w:rsidR="008573D3">
        <w:rPr>
          <w:rFonts w:ascii="Times New Roman" w:eastAsiaTheme="minorEastAsia" w:hAnsi="Times New Roman" w:cs="Times New Roman"/>
        </w:rPr>
        <w:t>ersus</w:t>
      </w:r>
      <w:r w:rsidR="006F7FAC">
        <w:rPr>
          <w:rFonts w:ascii="Times New Roman" w:eastAsiaTheme="minorEastAsia" w:hAnsi="Times New Roman" w:cs="Times New Roman"/>
        </w:rPr>
        <w:t xml:space="preserve"> Post Cure A is the higher temperature, </w:t>
      </w:r>
      <w:r w:rsidR="004F368D">
        <w:rPr>
          <w:rFonts w:ascii="Times New Roman" w:eastAsiaTheme="minorEastAsia" w:hAnsi="Times New Roman" w:cs="Times New Roman"/>
        </w:rPr>
        <w:t>and specifically a temperature above the</w:t>
      </w:r>
      <w:r w:rsidR="006F7FAC">
        <w:rPr>
          <w:rFonts w:ascii="Times New Roman" w:eastAsiaTheme="minorEastAsia" w:hAnsi="Times New Roman" w:cs="Times New Roman"/>
        </w:rPr>
        <w:t xml:space="preserve"> T</w:t>
      </w:r>
      <w:r w:rsidR="006F7FAC" w:rsidRPr="006F7FAC">
        <w:rPr>
          <w:rFonts w:ascii="Times New Roman" w:eastAsiaTheme="minorEastAsia" w:hAnsi="Times New Roman" w:cs="Times New Roman"/>
          <w:vertAlign w:val="subscript"/>
        </w:rPr>
        <w:t>g</w:t>
      </w:r>
      <w:r w:rsidR="006F7FAC">
        <w:rPr>
          <w:rFonts w:ascii="Times New Roman" w:eastAsiaTheme="minorEastAsia" w:hAnsi="Times New Roman" w:cs="Times New Roman"/>
        </w:rPr>
        <w:t>.  However,</w:t>
      </w:r>
      <w:r w:rsidR="00031EA6">
        <w:rPr>
          <w:rFonts w:ascii="Times New Roman" w:eastAsiaTheme="minorEastAsia" w:hAnsi="Times New Roman" w:cs="Times New Roman"/>
        </w:rPr>
        <w:t xml:space="preserve"> in addition to potential improved free-radical mobility,</w:t>
      </w:r>
      <w:r w:rsidR="006F7FAC">
        <w:rPr>
          <w:rFonts w:ascii="Times New Roman" w:eastAsiaTheme="minorEastAsia" w:hAnsi="Times New Roman" w:cs="Times New Roman"/>
        </w:rPr>
        <w:t xml:space="preserve"> </w:t>
      </w:r>
      <w:r w:rsidR="00031EA6">
        <w:rPr>
          <w:rFonts w:ascii="Times New Roman" w:eastAsiaTheme="minorEastAsia" w:hAnsi="Times New Roman" w:cs="Times New Roman"/>
        </w:rPr>
        <w:t xml:space="preserve">at 200 °C the Bis-EMA:PETIA blend </w:t>
      </w:r>
      <w:r w:rsidR="007D3933">
        <w:rPr>
          <w:rFonts w:ascii="Times New Roman" w:eastAsiaTheme="minorEastAsia" w:hAnsi="Times New Roman" w:cs="Times New Roman"/>
        </w:rPr>
        <w:t>is likely</w:t>
      </w:r>
      <w:r w:rsidR="00031EA6">
        <w:rPr>
          <w:rFonts w:ascii="Times New Roman" w:eastAsiaTheme="minorEastAsia" w:hAnsi="Times New Roman" w:cs="Times New Roman"/>
        </w:rPr>
        <w:t xml:space="preserve"> </w:t>
      </w:r>
      <w:r w:rsidR="007D3933">
        <w:rPr>
          <w:rFonts w:ascii="Times New Roman" w:eastAsiaTheme="minorEastAsia" w:hAnsi="Times New Roman" w:cs="Times New Roman"/>
        </w:rPr>
        <w:lastRenderedPageBreak/>
        <w:t>undergoing</w:t>
      </w:r>
      <w:r w:rsidR="00031EA6">
        <w:rPr>
          <w:rFonts w:ascii="Times New Roman" w:eastAsiaTheme="minorEastAsia" w:hAnsi="Times New Roman" w:cs="Times New Roman"/>
        </w:rPr>
        <w:t xml:space="preserve"> thermally induced polymerization.  </w:t>
      </w:r>
      <w:r w:rsidR="004F368D">
        <w:rPr>
          <w:rFonts w:ascii="Times New Roman" w:eastAsiaTheme="minorEastAsia" w:hAnsi="Times New Roman" w:cs="Times New Roman"/>
        </w:rPr>
        <w:t xml:space="preserve">Gilmer et al. reported thermal polymerization occurred </w:t>
      </w:r>
      <w:r w:rsidR="00FD0E40">
        <w:rPr>
          <w:rFonts w:ascii="Times New Roman" w:eastAsiaTheme="minorEastAsia" w:hAnsi="Times New Roman" w:cs="Times New Roman"/>
        </w:rPr>
        <w:t>for</w:t>
      </w:r>
      <w:r w:rsidR="004F368D">
        <w:rPr>
          <w:rFonts w:ascii="Times New Roman" w:eastAsiaTheme="minorEastAsia" w:hAnsi="Times New Roman" w:cs="Times New Roman"/>
        </w:rPr>
        <w:t xml:space="preserve"> TEGDMA</w:t>
      </w:r>
      <w:r w:rsidR="00FD0E40">
        <w:rPr>
          <w:rFonts w:ascii="Times New Roman" w:eastAsiaTheme="minorEastAsia" w:hAnsi="Times New Roman" w:cs="Times New Roman"/>
        </w:rPr>
        <w:t>, a common methacrylate monomer,</w:t>
      </w:r>
      <w:r w:rsidR="004F368D">
        <w:rPr>
          <w:rFonts w:ascii="Times New Roman" w:eastAsiaTheme="minorEastAsia" w:hAnsi="Times New Roman" w:cs="Times New Roman"/>
        </w:rPr>
        <w:t xml:space="preserve"> </w:t>
      </w:r>
      <w:r w:rsidR="00FD0E40">
        <w:rPr>
          <w:rFonts w:ascii="Times New Roman" w:eastAsiaTheme="minorEastAsia" w:hAnsi="Times New Roman" w:cs="Times New Roman"/>
        </w:rPr>
        <w:t xml:space="preserve">at 134 °C -138 °C </w:t>
      </w:r>
      <w:r w:rsidR="004F368D">
        <w:rPr>
          <w:rFonts w:ascii="Times New Roman" w:eastAsiaTheme="minorEastAsia" w:hAnsi="Times New Roman" w:cs="Times New Roman"/>
        </w:rPr>
        <w:t xml:space="preserve">without any initiator </w:t>
      </w:r>
      <w:r w:rsidR="004F368D">
        <w:rPr>
          <w:rFonts w:ascii="Times New Roman" w:eastAsiaTheme="minorEastAsia" w:hAnsi="Times New Roman" w:cs="Times New Roman"/>
        </w:rPr>
        <w:fldChar w:fldCharType="begin" w:fldLock="1"/>
      </w:r>
      <w:r w:rsidR="00280E34">
        <w:rPr>
          <w:rFonts w:ascii="Times New Roman" w:eastAsiaTheme="minorEastAsia" w:hAnsi="Times New Roman" w:cs="Times New Roman"/>
        </w:rPr>
        <w:instrText>ADDIN CSL_CITATION {"citationItems":[{"id":"ITEM-1","itemData":{"DOI":"10.1016/J.ADDMA.2020.101341","ISSN":"2214-8604","abstract":"Additive Manufacturing (AM) of metals is a potentially disruptive technology that could significantly change the industrial supply chain. There are a limited number of AM methods capable of creating metal parts, and one method showing significant potential is Binder Jet AM (Binder Jetting). Binder Jetting utilizes an inkjet print head to deposit a binder fluid onto a powder bed and bind together powder particles into a desired geometry. This study investigates a new binder system consisting of a difunctional monomer, triethylene glycol dimethacrylate (TEG-DMA). TEG-DMA exhibits excellent printability with an Ohnesorge's number of. 258 making the Z number 3.876. During the thermal curing process, the difunctional monomer polymerizes and crosslinks at the onset temperature of 138 °C, becoming a solid dimethacrylate network. When the binder is utilized within the stainless-steel powder bed at 200 °C, it forms a network incorporating the stainless-steel particles, binding the powder into any specified geometry. Crosslinking the monomer within the stainless-steel 420 powder bed imparts a flexural strength of 1.0–3.3 MPa to the green part depending on the volume of monomer in the part. After sintering, the final stainless-steel parts results in a void fraction close to 60 % and carbon content below 0.4 %.","author":[{"dropping-particle":"","family":"Gilmer","given":"Dustin","non-dropping-particle":"","parse-names":false,"suffix":""},{"dropping-particle":"","family":"Han","given":"Lu","non-dropping-particle":"","parse-names":false,"suffix":""},{"dropping-particle":"","family":"Hong","given":"Eunice","non-dropping-particle":"","parse-names":false,"suffix":""},{"dropping-particle":"","family":"Siddel","given":"Derek","non-dropping-particle":"","parse-names":false,"suffix":""},{"dropping-particle":"","family":"Kisliuk","given":"Alexander","non-dropping-particle":"","parse-names":false,"suffix":""},{"dropping-particle":"","family":"Cheng","given":"Shiwang","non-dropping-particle":"","parse-names":false,"suffix":""},{"dropping-particle":"","family":"Brunermer","given":"Dan","non-dropping-particle":"","parse-names":false,"suffix":""},{"dropping-particle":"","family":"Elliott","given":"Amy","non-dropping-particle":"","parse-names":false,"suffix":""},{"dropping-particle":"","family":"Saito","given":"Tomonori","non-dropping-particle":"","parse-names":false,"suffix":""}],"container-title":"Additive Manufacturing","id":"ITEM-1","issued":{"date-parts":[["2020","10","1"]]},"page":"101341","publisher":"Elsevier","title":"An in-situ crosslinking binder for binder jet additive manufacturing","type":"article-journal","volume":"35"},"uris":["http://www.mendeley.com/documents/?uuid=0643ef85-399e-30db-b9b9-58bb495008da"]}],"mendeley":{"formattedCitation":"[151]","plainTextFormattedCitation":"[151]","previouslyFormattedCitation":"[151]"},"properties":{"noteIndex":0},"schema":"https://github.com/citation-style-language/schema/raw/master/csl-citation.json"}</w:instrText>
      </w:r>
      <w:r w:rsidR="004F368D">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[151]</w:t>
      </w:r>
      <w:r w:rsidR="004F368D">
        <w:rPr>
          <w:rFonts w:ascii="Times New Roman" w:eastAsiaTheme="minorEastAsia" w:hAnsi="Times New Roman" w:cs="Times New Roman"/>
        </w:rPr>
        <w:fldChar w:fldCharType="end"/>
      </w:r>
      <w:r w:rsidR="004F368D">
        <w:rPr>
          <w:rFonts w:ascii="Times New Roman" w:eastAsiaTheme="minorEastAsia" w:hAnsi="Times New Roman" w:cs="Times New Roman"/>
        </w:rPr>
        <w:t xml:space="preserve">.  </w:t>
      </w:r>
      <w:r w:rsidR="00031EA6">
        <w:rPr>
          <w:rFonts w:ascii="Times New Roman" w:eastAsiaTheme="minorEastAsia" w:hAnsi="Times New Roman" w:cs="Times New Roman"/>
        </w:rPr>
        <w:t>The MSDS for PETIA states that the monomer is polymerized by 220 °C</w:t>
      </w:r>
      <w:r w:rsidR="008573D3">
        <w:rPr>
          <w:rFonts w:ascii="Times New Roman" w:eastAsiaTheme="minorEastAsia" w:hAnsi="Times New Roman" w:cs="Times New Roman"/>
        </w:rPr>
        <w:t xml:space="preserve">, </w:t>
      </w:r>
      <w:r w:rsidR="00FD0E40">
        <w:rPr>
          <w:rFonts w:ascii="Times New Roman" w:eastAsiaTheme="minorEastAsia" w:hAnsi="Times New Roman" w:cs="Times New Roman"/>
        </w:rPr>
        <w:t>but no polymerization temperature was listed in the MSDS for Bis-EMA</w:t>
      </w:r>
      <w:r w:rsidR="005023B7">
        <w:rPr>
          <w:rFonts w:ascii="Times New Roman" w:eastAsiaTheme="minorEastAsia" w:hAnsi="Times New Roman" w:cs="Times New Roman"/>
        </w:rPr>
        <w:t xml:space="preserve">.  </w:t>
      </w:r>
      <w:r w:rsidR="00FD0E40">
        <w:rPr>
          <w:rFonts w:ascii="Times New Roman" w:eastAsiaTheme="minorEastAsia" w:hAnsi="Times New Roman" w:cs="Times New Roman"/>
        </w:rPr>
        <w:t xml:space="preserve">To assess </w:t>
      </w:r>
      <w:r w:rsidR="00EC6A73">
        <w:rPr>
          <w:rFonts w:ascii="Times New Roman" w:eastAsiaTheme="minorEastAsia" w:hAnsi="Times New Roman" w:cs="Times New Roman"/>
        </w:rPr>
        <w:t>this behavior</w:t>
      </w:r>
      <w:r w:rsidR="00FD0E40">
        <w:rPr>
          <w:rFonts w:ascii="Times New Roman" w:eastAsiaTheme="minorEastAsia" w:hAnsi="Times New Roman" w:cs="Times New Roman"/>
        </w:rPr>
        <w:t xml:space="preserve">, </w:t>
      </w:r>
      <w:r w:rsidR="005023B7">
        <w:rPr>
          <w:rFonts w:ascii="Times New Roman" w:eastAsiaTheme="minorEastAsia" w:hAnsi="Times New Roman" w:cs="Times New Roman"/>
        </w:rPr>
        <w:t xml:space="preserve">DSC testing was conducted on </w:t>
      </w:r>
      <w:r w:rsidR="00FD0E40">
        <w:rPr>
          <w:rFonts w:ascii="Times New Roman" w:eastAsiaTheme="minorEastAsia" w:hAnsi="Times New Roman" w:cs="Times New Roman"/>
        </w:rPr>
        <w:t>uncured</w:t>
      </w:r>
      <w:r w:rsidR="005023B7">
        <w:rPr>
          <w:rFonts w:ascii="Times New Roman" w:eastAsiaTheme="minorEastAsia" w:hAnsi="Times New Roman" w:cs="Times New Roman"/>
        </w:rPr>
        <w:t xml:space="preserve"> 80:20 Bis-EMA:PETIA without a</w:t>
      </w:r>
      <w:r w:rsidR="00FD0E40">
        <w:rPr>
          <w:rFonts w:ascii="Times New Roman" w:eastAsiaTheme="minorEastAsia" w:hAnsi="Times New Roman" w:cs="Times New Roman"/>
        </w:rPr>
        <w:t xml:space="preserve"> PI</w:t>
      </w:r>
      <w:r w:rsidR="005023B7">
        <w:rPr>
          <w:rFonts w:ascii="Times New Roman" w:eastAsiaTheme="minorEastAsia" w:hAnsi="Times New Roman" w:cs="Times New Roman"/>
        </w:rPr>
        <w:t>.  With a temperature sweep of 0 °C to 3</w:t>
      </w:r>
      <w:r w:rsidR="004F368D">
        <w:rPr>
          <w:rFonts w:ascii="Times New Roman" w:eastAsiaTheme="minorEastAsia" w:hAnsi="Times New Roman" w:cs="Times New Roman"/>
        </w:rPr>
        <w:t>5</w:t>
      </w:r>
      <w:r w:rsidR="005023B7">
        <w:rPr>
          <w:rFonts w:ascii="Times New Roman" w:eastAsiaTheme="minorEastAsia" w:hAnsi="Times New Roman" w:cs="Times New Roman"/>
        </w:rPr>
        <w:t xml:space="preserve">0 °C and a ramp of </w:t>
      </w:r>
      <w:r w:rsidR="004F368D">
        <w:rPr>
          <w:rFonts w:ascii="Times New Roman" w:eastAsiaTheme="minorEastAsia" w:hAnsi="Times New Roman" w:cs="Times New Roman"/>
        </w:rPr>
        <w:t>5</w:t>
      </w:r>
      <w:r w:rsidR="005023B7">
        <w:rPr>
          <w:rFonts w:ascii="Times New Roman" w:eastAsiaTheme="minorEastAsia" w:hAnsi="Times New Roman" w:cs="Times New Roman"/>
        </w:rPr>
        <w:t xml:space="preserve"> °C/min, </w:t>
      </w:r>
      <w:r w:rsidR="00FD0E40">
        <w:rPr>
          <w:rFonts w:ascii="Times New Roman" w:eastAsiaTheme="minorEastAsia" w:hAnsi="Times New Roman" w:cs="Times New Roman"/>
        </w:rPr>
        <w:t xml:space="preserve">the </w:t>
      </w:r>
      <w:r w:rsidR="005023B7">
        <w:rPr>
          <w:rFonts w:ascii="Times New Roman" w:eastAsiaTheme="minorEastAsia" w:hAnsi="Times New Roman" w:cs="Times New Roman"/>
        </w:rPr>
        <w:t xml:space="preserve">system exhibited a strong exothermic reaction </w:t>
      </w:r>
      <w:r w:rsidR="00F20503">
        <w:rPr>
          <w:rFonts w:ascii="Times New Roman" w:eastAsiaTheme="minorEastAsia" w:hAnsi="Times New Roman" w:cs="Times New Roman"/>
        </w:rPr>
        <w:t xml:space="preserve">starting at ~170 °C (see </w:t>
      </w:r>
      <w:r w:rsidR="00F20503" w:rsidRPr="00F20503">
        <w:rPr>
          <w:rFonts w:ascii="Times New Roman" w:eastAsiaTheme="minorEastAsia" w:hAnsi="Times New Roman" w:cs="Times New Roman"/>
        </w:rPr>
        <w:fldChar w:fldCharType="begin"/>
      </w:r>
      <w:r w:rsidR="00F20503" w:rsidRPr="00F20503">
        <w:rPr>
          <w:rFonts w:ascii="Times New Roman" w:eastAsiaTheme="minorEastAsia" w:hAnsi="Times New Roman" w:cs="Times New Roman"/>
        </w:rPr>
        <w:instrText xml:space="preserve"> REF _Ref101354479 \h </w:instrText>
      </w:r>
      <w:r w:rsidR="00F20503">
        <w:rPr>
          <w:rFonts w:ascii="Times New Roman" w:eastAsiaTheme="minorEastAsia" w:hAnsi="Times New Roman" w:cs="Times New Roman"/>
        </w:rPr>
        <w:instrText xml:space="preserve"> \* MERGEFORMAT </w:instrText>
      </w:r>
      <w:r w:rsidR="00F20503" w:rsidRPr="00F20503">
        <w:rPr>
          <w:rFonts w:ascii="Times New Roman" w:eastAsiaTheme="minorEastAsia" w:hAnsi="Times New Roman" w:cs="Times New Roman"/>
        </w:rPr>
      </w:r>
      <w:r w:rsidR="00F20503" w:rsidRPr="00F20503">
        <w:rPr>
          <w:rFonts w:ascii="Times New Roman" w:eastAsiaTheme="minorEastAsia" w:hAnsi="Times New Roman" w:cs="Times New Roman"/>
        </w:rPr>
        <w:fldChar w:fldCharType="separate"/>
      </w:r>
      <w:r w:rsidR="00F20503" w:rsidRPr="00F20503">
        <w:rPr>
          <w:rFonts w:ascii="Times New Roman" w:hAnsi="Times New Roman" w:cs="Times New Roman"/>
        </w:rPr>
        <w:t xml:space="preserve">Figure </w:t>
      </w:r>
      <w:r w:rsidR="00F20503" w:rsidRPr="00F20503">
        <w:rPr>
          <w:rFonts w:ascii="Times New Roman" w:hAnsi="Times New Roman" w:cs="Times New Roman"/>
          <w:noProof/>
        </w:rPr>
        <w:t>53</w:t>
      </w:r>
      <w:r w:rsidR="00F20503" w:rsidRPr="00F20503">
        <w:rPr>
          <w:rFonts w:ascii="Times New Roman" w:eastAsiaTheme="minorEastAsia" w:hAnsi="Times New Roman" w:cs="Times New Roman"/>
        </w:rPr>
        <w:fldChar w:fldCharType="end"/>
      </w:r>
      <w:r w:rsidR="00F20503" w:rsidRPr="00F20503">
        <w:rPr>
          <w:rFonts w:ascii="Times New Roman" w:eastAsiaTheme="minorEastAsia" w:hAnsi="Times New Roman" w:cs="Times New Roman"/>
        </w:rPr>
        <w:t>)</w:t>
      </w:r>
      <w:r w:rsidR="00F20503">
        <w:rPr>
          <w:rFonts w:ascii="Times New Roman" w:eastAsiaTheme="minorEastAsia" w:hAnsi="Times New Roman" w:cs="Times New Roman"/>
        </w:rPr>
        <w:t xml:space="preserve">.  </w:t>
      </w:r>
      <w:r w:rsidR="00FD0E40">
        <w:rPr>
          <w:rFonts w:ascii="Times New Roman" w:eastAsiaTheme="minorEastAsia" w:hAnsi="Times New Roman" w:cs="Times New Roman"/>
        </w:rPr>
        <w:t xml:space="preserve">Further DSC testing showed that the addition of 0.1 wt% BAPO did </w:t>
      </w:r>
      <w:r w:rsidR="006D1CBD">
        <w:rPr>
          <w:rFonts w:ascii="Times New Roman" w:eastAsiaTheme="minorEastAsia" w:hAnsi="Times New Roman" w:cs="Times New Roman"/>
        </w:rPr>
        <w:t xml:space="preserve">not change this reaction onset temperature, and that Bis-EMA alone had a much lower reaction enthalpy than the Bis-EMA:PETIA blend </w:t>
      </w:r>
      <w:r w:rsidR="0064260B">
        <w:rPr>
          <w:rFonts w:ascii="Times New Roman" w:eastAsiaTheme="minorEastAsia" w:hAnsi="Times New Roman" w:cs="Times New Roman"/>
        </w:rPr>
        <w:t>(see Appendix)</w:t>
      </w:r>
      <w:r w:rsidR="00EF6E91">
        <w:rPr>
          <w:rFonts w:ascii="Times New Roman" w:eastAsiaTheme="minorEastAsia" w:hAnsi="Times New Roman" w:cs="Times New Roman"/>
        </w:rPr>
        <w:t>.</w:t>
      </w:r>
      <w:r w:rsidR="006D1CBD">
        <w:rPr>
          <w:rFonts w:ascii="Times New Roman" w:eastAsiaTheme="minorEastAsia" w:hAnsi="Times New Roman" w:cs="Times New Roman"/>
        </w:rPr>
        <w:t xml:space="preserve">  The DSC testing confirmed </w:t>
      </w:r>
      <w:r w:rsidR="00EC6A73">
        <w:rPr>
          <w:rFonts w:ascii="Times New Roman" w:eastAsiaTheme="minorEastAsia" w:hAnsi="Times New Roman" w:cs="Times New Roman"/>
        </w:rPr>
        <w:t xml:space="preserve">the potential for </w:t>
      </w:r>
      <w:r w:rsidR="00FA114D">
        <w:rPr>
          <w:rFonts w:ascii="Times New Roman" w:eastAsiaTheme="minorEastAsia" w:hAnsi="Times New Roman" w:cs="Times New Roman"/>
        </w:rPr>
        <w:t>post curing</w:t>
      </w:r>
      <w:r w:rsidR="00EC6A73">
        <w:rPr>
          <w:rFonts w:ascii="Times New Roman" w:eastAsiaTheme="minorEastAsia" w:hAnsi="Times New Roman" w:cs="Times New Roman"/>
        </w:rPr>
        <w:t xml:space="preserve"> at 200 ºC</w:t>
      </w:r>
      <w:r w:rsidR="006D1CBD">
        <w:rPr>
          <w:rFonts w:ascii="Times New Roman" w:eastAsiaTheme="minorEastAsia" w:hAnsi="Times New Roman" w:cs="Times New Roman"/>
        </w:rPr>
        <w:t xml:space="preserve"> </w:t>
      </w:r>
      <w:r w:rsidR="00EC6A73">
        <w:rPr>
          <w:rFonts w:ascii="Times New Roman" w:eastAsiaTheme="minorEastAsia" w:hAnsi="Times New Roman" w:cs="Times New Roman"/>
        </w:rPr>
        <w:t xml:space="preserve">to </w:t>
      </w:r>
      <w:r w:rsidR="00FA114D">
        <w:rPr>
          <w:rFonts w:ascii="Times New Roman" w:eastAsiaTheme="minorEastAsia" w:hAnsi="Times New Roman" w:cs="Times New Roman"/>
        </w:rPr>
        <w:t>improve DC</w:t>
      </w:r>
      <w:r w:rsidR="00EC6A73">
        <w:rPr>
          <w:rFonts w:ascii="Times New Roman" w:eastAsiaTheme="minorEastAsia" w:hAnsi="Times New Roman" w:cs="Times New Roman"/>
        </w:rPr>
        <w:t xml:space="preserve"> </w:t>
      </w:r>
      <w:r w:rsidR="00FA114D">
        <w:rPr>
          <w:rFonts w:ascii="Times New Roman" w:eastAsiaTheme="minorEastAsia" w:hAnsi="Times New Roman" w:cs="Times New Roman"/>
        </w:rPr>
        <w:t>by thermally induced polymerization.</w:t>
      </w:r>
      <w:r w:rsidR="00EC6A73">
        <w:rPr>
          <w:rFonts w:ascii="Times New Roman" w:eastAsiaTheme="minorEastAsia" w:hAnsi="Times New Roman" w:cs="Times New Roman"/>
        </w:rPr>
        <w:t xml:space="preserve"> </w:t>
      </w:r>
    </w:p>
    <w:p w14:paraId="3F071CAF" w14:textId="0EE436E0" w:rsidR="00D42901" w:rsidRDefault="00D42901" w:rsidP="009B3D25">
      <w:pPr>
        <w:spacing w:line="360" w:lineRule="auto"/>
        <w:rPr>
          <w:rFonts w:ascii="Times New Roman" w:hAnsi="Times New Roman" w:cs="Times New Roman"/>
        </w:rPr>
      </w:pPr>
    </w:p>
    <w:p w14:paraId="6B873ECB" w14:textId="71E6977E" w:rsidR="00D7663F" w:rsidRDefault="00D42901" w:rsidP="009B3D25">
      <w:pPr>
        <w:spacing w:line="360" w:lineRule="auto"/>
        <w:rPr>
          <w:rFonts w:ascii="Times New Roman" w:hAnsi="Times New Roman" w:cs="Times New Roman"/>
        </w:rPr>
      </w:pPr>
      <w:r>
        <w:rPr>
          <w:rFonts w:ascii="Times New Roman" w:hAnsi="Times New Roman" w:cs="Times New Roman"/>
        </w:rPr>
        <w:t xml:space="preserve">The tensile properties for UV Only were comparable to those reported previously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for an 80:20 Bis-EMA:PETIA blend</w:t>
      </w:r>
      <w:r w:rsidR="008573D3">
        <w:rPr>
          <w:rFonts w:ascii="Times New Roman" w:hAnsi="Times New Roman" w:cs="Times New Roman"/>
        </w:rPr>
        <w:t>.  This</w:t>
      </w:r>
      <w:r>
        <w:rPr>
          <w:rFonts w:ascii="Times New Roman" w:hAnsi="Times New Roman" w:cs="Times New Roman"/>
        </w:rPr>
        <w:t xml:space="preserve"> previous work used a higher dose of 8.0 J/cm</w:t>
      </w:r>
      <w:r w:rsidRPr="00D42901">
        <w:rPr>
          <w:rFonts w:ascii="Times New Roman" w:hAnsi="Times New Roman" w:cs="Times New Roman"/>
          <w:vertAlign w:val="superscript"/>
        </w:rPr>
        <w:t>2</w:t>
      </w:r>
      <w:r>
        <w:rPr>
          <w:rFonts w:ascii="Times New Roman" w:hAnsi="Times New Roman" w:cs="Times New Roman"/>
        </w:rPr>
        <w:t xml:space="preserve">, 1.0 wt% BDMB as PI, and 3 mm thick tensile specimens.  Most significantly, the thinner 1 mm specimens tested </w:t>
      </w:r>
      <w:r w:rsidR="008573D3">
        <w:rPr>
          <w:rFonts w:ascii="Times New Roman" w:hAnsi="Times New Roman" w:cs="Times New Roman"/>
        </w:rPr>
        <w:t>in the present work</w:t>
      </w:r>
      <w:r>
        <w:rPr>
          <w:rFonts w:ascii="Times New Roman" w:hAnsi="Times New Roman" w:cs="Times New Roman"/>
        </w:rPr>
        <w:t xml:space="preserve"> had a much lower standard deviation</w:t>
      </w:r>
      <w:r w:rsidR="00F43C42">
        <w:rPr>
          <w:rFonts w:ascii="Times New Roman" w:hAnsi="Times New Roman" w:cs="Times New Roman"/>
        </w:rPr>
        <w:t xml:space="preserve"> in tensile strength</w:t>
      </w:r>
      <w:r>
        <w:rPr>
          <w:rFonts w:ascii="Times New Roman" w:hAnsi="Times New Roman" w:cs="Times New Roman"/>
        </w:rPr>
        <w:t xml:space="preserve">, at 4.29 MPa </w:t>
      </w:r>
      <w:r w:rsidR="00F43C42">
        <w:rPr>
          <w:rFonts w:ascii="Times New Roman" w:hAnsi="Times New Roman" w:cs="Times New Roman"/>
        </w:rPr>
        <w:t xml:space="preserve">versus 15.91 MPa for the 3 mm specimens.  The tensile curves also did not exhibit the inflection point and two distinct modulus regions reported for the 3 mm specimens.  As shown in the Appendix, all three cure modes </w:t>
      </w:r>
      <w:r w:rsidR="008573D3">
        <w:rPr>
          <w:rFonts w:ascii="Times New Roman" w:hAnsi="Times New Roman" w:cs="Times New Roman"/>
        </w:rPr>
        <w:t>for</w:t>
      </w:r>
      <w:r w:rsidR="00F43C42">
        <w:rPr>
          <w:rFonts w:ascii="Times New Roman" w:hAnsi="Times New Roman" w:cs="Times New Roman"/>
        </w:rPr>
        <w:t xml:space="preserve"> the 1 mm thick specimens exhibited a more typical thermoset stress-strain curve.  These results </w:t>
      </w:r>
      <w:r w:rsidR="00F5787E">
        <w:rPr>
          <w:rFonts w:ascii="Times New Roman" w:hAnsi="Times New Roman" w:cs="Times New Roman"/>
        </w:rPr>
        <w:t>and the similar top and bottom FTIR confirm that the 1 mm thick specimens had a more even cure through the thickness than the 3 mm thick specimens tested previously.</w:t>
      </w:r>
      <w:r w:rsidR="00F43C42">
        <w:rPr>
          <w:rFonts w:ascii="Times New Roman" w:hAnsi="Times New Roman" w:cs="Times New Roman"/>
        </w:rPr>
        <w:t xml:space="preserve"> </w:t>
      </w:r>
    </w:p>
    <w:p w14:paraId="0C6E5A92" w14:textId="5D9AD26D" w:rsidR="00CD4017" w:rsidRDefault="00CD4017" w:rsidP="009B3D25">
      <w:pPr>
        <w:spacing w:line="360" w:lineRule="auto"/>
        <w:rPr>
          <w:rFonts w:ascii="Times New Roman" w:hAnsi="Times New Roman" w:cs="Times New Roman"/>
        </w:rPr>
      </w:pPr>
    </w:p>
    <w:p w14:paraId="27321A76" w14:textId="33827B86" w:rsidR="00747382" w:rsidRPr="006A2D7B" w:rsidRDefault="00177713" w:rsidP="006A2D7B">
      <w:pPr>
        <w:spacing w:line="360" w:lineRule="auto"/>
        <w:rPr>
          <w:rFonts w:ascii="Times New Roman" w:hAnsi="Times New Roman" w:cs="Times New Roman"/>
        </w:rPr>
      </w:pPr>
      <w:r>
        <w:rPr>
          <w:rFonts w:ascii="Times New Roman" w:hAnsi="Times New Roman" w:cs="Times New Roman"/>
        </w:rPr>
        <w:t>From a practical perspective, Post Cure B was found to increase warping in parts, and some panels cracked during the post cure process.  While Post Cure A did not achieve as high of a DC or T</w:t>
      </w:r>
      <w:r w:rsidRPr="00177713">
        <w:rPr>
          <w:rFonts w:ascii="Times New Roman" w:hAnsi="Times New Roman" w:cs="Times New Roman"/>
          <w:vertAlign w:val="subscript"/>
        </w:rPr>
        <w:t>g</w:t>
      </w:r>
      <w:r>
        <w:rPr>
          <w:rFonts w:ascii="Times New Roman" w:hAnsi="Times New Roman" w:cs="Times New Roman"/>
        </w:rPr>
        <w:t xml:space="preserve"> as Post Cure B, it achieved comparable tensile properties and did not suffer from the same processing issues.  Therefore, Post Cure A was selected for further study, and throughout the remainder of the chapter all post cured specimens will use this regimen.</w:t>
      </w:r>
      <w:r w:rsidR="00EF6E91">
        <w:rPr>
          <w:rFonts w:ascii="Times New Roman" w:hAnsi="Times New Roman" w:cs="Times New Roman"/>
        </w:rPr>
        <w:t xml:space="preserve">  Further testing is needed to assess whether the post cure cycle can be improved to induce thermal polymerization without causing these processing issues.</w:t>
      </w:r>
    </w:p>
    <w:p w14:paraId="3D843EF3" w14:textId="03B624C8" w:rsidR="00A83ADC" w:rsidRDefault="00961325" w:rsidP="00A83ADC">
      <w:pPr>
        <w:keepNext/>
        <w:jc w:val="center"/>
      </w:pPr>
      <w:r>
        <w:rPr>
          <w:noProof/>
        </w:rPr>
        <w:lastRenderedPageBreak/>
        <w:drawing>
          <wp:inline distT="0" distB="0" distL="0" distR="0" wp14:anchorId="7DADAE38" wp14:editId="2A9B3876">
            <wp:extent cx="4082143" cy="3298201"/>
            <wp:effectExtent l="0" t="0" r="0" b="0"/>
            <wp:docPr id="70" name="Picture 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pic:cNvPicPr/>
                  </pic:nvPicPr>
                  <pic:blipFill rotWithShape="1">
                    <a:blip r:embed="rId57" cstate="print">
                      <a:extLst>
                        <a:ext uri="{28A0092B-C50C-407E-A947-70E740481C1C}">
                          <a14:useLocalDpi xmlns:a14="http://schemas.microsoft.com/office/drawing/2010/main" val="0"/>
                        </a:ext>
                      </a:extLst>
                    </a:blip>
                    <a:srcRect l="7143" t="9617" r="10606" b="3558"/>
                    <a:stretch/>
                  </pic:blipFill>
                  <pic:spPr bwMode="auto">
                    <a:xfrm>
                      <a:off x="0" y="0"/>
                      <a:ext cx="4096261" cy="3309608"/>
                    </a:xfrm>
                    <a:prstGeom prst="rect">
                      <a:avLst/>
                    </a:prstGeom>
                    <a:ln>
                      <a:noFill/>
                    </a:ln>
                    <a:extLst>
                      <a:ext uri="{53640926-AAD7-44D8-BBD7-CCE9431645EC}">
                        <a14:shadowObscured xmlns:a14="http://schemas.microsoft.com/office/drawing/2010/main"/>
                      </a:ext>
                    </a:extLst>
                  </pic:spPr>
                </pic:pic>
              </a:graphicData>
            </a:graphic>
          </wp:inline>
        </w:drawing>
      </w:r>
    </w:p>
    <w:p w14:paraId="67D303B9" w14:textId="4AD71576" w:rsidR="00747382" w:rsidRDefault="00A83ADC" w:rsidP="00F20503">
      <w:pPr>
        <w:pStyle w:val="Caption"/>
      </w:pPr>
      <w:bookmarkStart w:id="220" w:name="_Ref101276752"/>
      <w:bookmarkStart w:id="221" w:name="_Toc101365714"/>
      <w:r>
        <w:t xml:space="preserve">Figure </w:t>
      </w:r>
      <w:r w:rsidR="002F73EC">
        <w:fldChar w:fldCharType="begin"/>
      </w:r>
      <w:r w:rsidR="002F73EC">
        <w:instrText xml:space="preserve"> SEQ Figure \* ARABIC </w:instrText>
      </w:r>
      <w:r w:rsidR="002F73EC">
        <w:fldChar w:fldCharType="separate"/>
      </w:r>
      <w:r w:rsidR="00BF5717">
        <w:rPr>
          <w:noProof/>
        </w:rPr>
        <w:t>52</w:t>
      </w:r>
      <w:r w:rsidR="002F73EC">
        <w:rPr>
          <w:noProof/>
        </w:rPr>
        <w:fldChar w:fldCharType="end"/>
      </w:r>
      <w:bookmarkEnd w:id="220"/>
      <w:r>
        <w:t xml:space="preserve"> TGA results for various cure conditions.  Note that there is less mass loss up to ~380 °C with post curing.</w:t>
      </w:r>
      <w:bookmarkEnd w:id="221"/>
    </w:p>
    <w:p w14:paraId="09C47D0F" w14:textId="4438FAD5" w:rsidR="00747382" w:rsidRDefault="00747382" w:rsidP="00B30A2A"/>
    <w:p w14:paraId="58FB9EB6" w14:textId="77777777" w:rsidR="00F20503" w:rsidRDefault="00F20503" w:rsidP="00B30A2A"/>
    <w:p w14:paraId="76B0ADEE" w14:textId="0D27AC88" w:rsidR="00F20503" w:rsidRDefault="006A2D7B" w:rsidP="00F20503">
      <w:pPr>
        <w:keepNext/>
        <w:jc w:val="center"/>
      </w:pPr>
      <w:r>
        <w:rPr>
          <w:noProof/>
        </w:rPr>
        <w:drawing>
          <wp:inline distT="0" distB="0" distL="0" distR="0" wp14:anchorId="4612A350" wp14:editId="667FB060">
            <wp:extent cx="3902149" cy="3245046"/>
            <wp:effectExtent l="0" t="0" r="3175" b="0"/>
            <wp:docPr id="86" name="Picture 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10;&#10;Description automatically generated"/>
                    <pic:cNvPicPr/>
                  </pic:nvPicPr>
                  <pic:blipFill rotWithShape="1">
                    <a:blip r:embed="rId58" cstate="print">
                      <a:extLst>
                        <a:ext uri="{28A0092B-C50C-407E-A947-70E740481C1C}">
                          <a14:useLocalDpi xmlns:a14="http://schemas.microsoft.com/office/drawing/2010/main" val="0"/>
                        </a:ext>
                      </a:extLst>
                    </a:blip>
                    <a:srcRect l="7754" t="9368" r="12772" b="4283"/>
                    <a:stretch/>
                  </pic:blipFill>
                  <pic:spPr bwMode="auto">
                    <a:xfrm>
                      <a:off x="0" y="0"/>
                      <a:ext cx="3912460" cy="3253621"/>
                    </a:xfrm>
                    <a:prstGeom prst="rect">
                      <a:avLst/>
                    </a:prstGeom>
                    <a:ln>
                      <a:noFill/>
                    </a:ln>
                    <a:extLst>
                      <a:ext uri="{53640926-AAD7-44D8-BBD7-CCE9431645EC}">
                        <a14:shadowObscured xmlns:a14="http://schemas.microsoft.com/office/drawing/2010/main"/>
                      </a:ext>
                    </a:extLst>
                  </pic:spPr>
                </pic:pic>
              </a:graphicData>
            </a:graphic>
          </wp:inline>
        </w:drawing>
      </w:r>
    </w:p>
    <w:p w14:paraId="46EA55B9" w14:textId="7BD6228A" w:rsidR="0093124C" w:rsidRPr="00B30A2A" w:rsidRDefault="00F20503" w:rsidP="00A31220">
      <w:pPr>
        <w:pStyle w:val="Caption"/>
      </w:pPr>
      <w:bookmarkStart w:id="222" w:name="_Ref101354479"/>
      <w:bookmarkStart w:id="223" w:name="_Toc101365715"/>
      <w:r>
        <w:t xml:space="preserve">Figure </w:t>
      </w:r>
      <w:r w:rsidR="002F73EC">
        <w:fldChar w:fldCharType="begin"/>
      </w:r>
      <w:r w:rsidR="002F73EC">
        <w:instrText xml:space="preserve"> SEQ Figure \* ARABIC </w:instrText>
      </w:r>
      <w:r w:rsidR="002F73EC">
        <w:fldChar w:fldCharType="separate"/>
      </w:r>
      <w:r w:rsidR="00BF5717">
        <w:rPr>
          <w:noProof/>
        </w:rPr>
        <w:t>53</w:t>
      </w:r>
      <w:r w:rsidR="002F73EC">
        <w:rPr>
          <w:noProof/>
        </w:rPr>
        <w:fldChar w:fldCharType="end"/>
      </w:r>
      <w:bookmarkEnd w:id="222"/>
      <w:r>
        <w:t xml:space="preserve"> DSC results for liquid 80:20 blend of Bis-EMA:PETIA.  Without any initiator</w:t>
      </w:r>
      <w:r w:rsidR="00214400">
        <w:t xml:space="preserve"> or UV exposure</w:t>
      </w:r>
      <w:r>
        <w:t>, the system polymerized starting at ~170 °C.</w:t>
      </w:r>
      <w:bookmarkEnd w:id="223"/>
    </w:p>
    <w:p w14:paraId="3330713B" w14:textId="1FA0DD5F" w:rsidR="000A08F8" w:rsidRDefault="000A08F8" w:rsidP="009D06D1">
      <w:pPr>
        <w:pStyle w:val="Heading3"/>
      </w:pPr>
      <w:bookmarkStart w:id="224" w:name="_Toc101701795"/>
      <w:r>
        <w:lastRenderedPageBreak/>
        <w:t>4</w:t>
      </w:r>
      <w:r w:rsidRPr="0094131D">
        <w:t>.</w:t>
      </w:r>
      <w:r>
        <w:t>2</w:t>
      </w:r>
      <w:r w:rsidRPr="0094131D">
        <w:t xml:space="preserve"> </w:t>
      </w:r>
      <w:r>
        <w:t>Cure depth profile on single-layer neat resin</w:t>
      </w:r>
      <w:bookmarkEnd w:id="224"/>
    </w:p>
    <w:p w14:paraId="7959481F" w14:textId="77777777" w:rsidR="009D06D1" w:rsidRPr="009D06D1" w:rsidRDefault="009D06D1" w:rsidP="009D06D1"/>
    <w:p w14:paraId="6474B38E" w14:textId="77777777" w:rsidR="000A08F8" w:rsidRPr="009D06D1" w:rsidRDefault="000A08F8" w:rsidP="009D06D1">
      <w:pPr>
        <w:rPr>
          <w:rFonts w:ascii="Times New Roman" w:hAnsi="Times New Roman" w:cs="Times New Roman"/>
          <w:i/>
          <w:iCs/>
        </w:rPr>
      </w:pPr>
      <w:r w:rsidRPr="009D06D1">
        <w:rPr>
          <w:rFonts w:ascii="Times New Roman" w:hAnsi="Times New Roman" w:cs="Times New Roman"/>
          <w:i/>
          <w:iCs/>
        </w:rPr>
        <w:t>FTIR Microscopy</w:t>
      </w:r>
    </w:p>
    <w:p w14:paraId="231336F7" w14:textId="0B50E20F" w:rsidR="000A08F8" w:rsidRDefault="000A08F8" w:rsidP="00322976">
      <w:pPr>
        <w:spacing w:line="360" w:lineRule="auto"/>
        <w:rPr>
          <w:rFonts w:ascii="Times New Roman" w:hAnsi="Times New Roman" w:cs="Times New Roman"/>
        </w:rPr>
      </w:pPr>
      <w:r>
        <w:rPr>
          <w:rFonts w:ascii="Times New Roman" w:hAnsi="Times New Roman" w:cs="Times New Roman"/>
        </w:rPr>
        <w:t>Degree of conversion (DC) was measured on potted and polished specimens from the RT-FTIR testing, with some specimens thermally post cured.</w:t>
      </w:r>
      <w:r w:rsidR="00843ABB">
        <w:rPr>
          <w:rFonts w:ascii="Times New Roman" w:hAnsi="Times New Roman" w:cs="Times New Roman"/>
        </w:rPr>
        <w:t xml:space="preserve"> </w:t>
      </w:r>
      <w:r>
        <w:rPr>
          <w:rFonts w:ascii="Times New Roman" w:hAnsi="Times New Roman" w:cs="Times New Roman"/>
        </w:rPr>
        <w:t xml:space="preserve"> </w:t>
      </w:r>
      <w:r w:rsidRPr="00F06D87">
        <w:rPr>
          <w:rFonts w:ascii="Times New Roman" w:hAnsi="Times New Roman" w:cs="Times New Roman"/>
        </w:rPr>
        <w:fldChar w:fldCharType="begin"/>
      </w:r>
      <w:r w:rsidRPr="00F06D87">
        <w:rPr>
          <w:rFonts w:ascii="Times New Roman" w:hAnsi="Times New Roman" w:cs="Times New Roman"/>
        </w:rPr>
        <w:instrText xml:space="preserve"> REF _Ref100936043 \h </w:instrText>
      </w:r>
      <w:r>
        <w:rPr>
          <w:rFonts w:ascii="Times New Roman" w:hAnsi="Times New Roman" w:cs="Times New Roman"/>
        </w:rPr>
        <w:instrText xml:space="preserve"> \* MERGEFORMAT </w:instrText>
      </w:r>
      <w:r w:rsidRPr="00F06D87">
        <w:rPr>
          <w:rFonts w:ascii="Times New Roman" w:hAnsi="Times New Roman" w:cs="Times New Roman"/>
        </w:rPr>
      </w:r>
      <w:r w:rsidRPr="00F06D87">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54</w:t>
      </w:r>
      <w:r w:rsidRPr="00F06D87">
        <w:rPr>
          <w:rFonts w:ascii="Times New Roman" w:hAnsi="Times New Roman" w:cs="Times New Roman"/>
        </w:rPr>
        <w:fldChar w:fldCharType="end"/>
      </w:r>
      <w:r>
        <w:rPr>
          <w:rFonts w:ascii="Times New Roman" w:hAnsi="Times New Roman" w:cs="Times New Roman"/>
        </w:rPr>
        <w:t xml:space="preserve"> indicates that</w:t>
      </w:r>
    </w:p>
    <w:p w14:paraId="1A3D7392" w14:textId="66796F89" w:rsidR="00C1521B" w:rsidRDefault="00C1521B" w:rsidP="00322976">
      <w:pPr>
        <w:spacing w:line="360" w:lineRule="auto"/>
        <w:rPr>
          <w:rFonts w:ascii="Times New Roman" w:hAnsi="Times New Roman" w:cs="Times New Roman"/>
        </w:rPr>
      </w:pPr>
      <w:r>
        <w:rPr>
          <w:rFonts w:ascii="Times New Roman" w:hAnsi="Times New Roman" w:cs="Times New Roman"/>
        </w:rPr>
        <w:t xml:space="preserve">DC is high at shallow depths closest to the irradiated surface, with a non-linear drop in DC across the polymer depth.  The highest DC values for the High Dose specimens were 7-8% DC higher than those of the Low Dose specimens, while the lowest DC values at depth differed by 20-28% DC.  The </w:t>
      </w:r>
      <w:r w:rsidR="0023205F">
        <w:rPr>
          <w:rFonts w:ascii="Times New Roman" w:hAnsi="Times New Roman" w:cs="Times New Roman"/>
        </w:rPr>
        <w:t xml:space="preserve">percent </w:t>
      </w:r>
      <w:r>
        <w:rPr>
          <w:rFonts w:ascii="Times New Roman" w:hAnsi="Times New Roman" w:cs="Times New Roman"/>
        </w:rPr>
        <w:t xml:space="preserve">difference in DC between Low Dose and High Dose specimens at depth is comparable to the difference measured via RT-FTIR, although all DC values were higher than those measured 10 minutes post irradiation.  70-80% DC is comparable to the values reported in earlier work with the same resin system and cure depth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10.1016/J.ADDMA.2021.102571","ISSN":"2214-8604","author":[{"dropping-particle":"","family":"Stiles","given":"Alex","non-dropping-particle":"","parse-names":false,"suffix":""},{"dropping-particle":"","family":"Kobler","given":"Will","non-dropping-particle":"","parse-names":false,"suffix":""},{"dropping-particle":"","family":"Yeole","given":"Pritesh","non-dropping-particle":"","parse-names":false,"suffix":""},{"dropping-particle":"","family":"Vaidya","given":"Uday","non-dropping-particle":"","parse-names":false,"suffix":""}],"container-title":"Additive Manufacturing","id":"ITEM-1","issued":{"date-parts":[["2022","2","1"]]},"publisher":"Elsevier","title":"Photopolymer formulation towards large scale additive manufacturing of autoclave capable tooling","type":"article-journal","volume":"50"},"uris":["http://www.mendeley.com/documents/?uuid=18ee70bb-70b0-3bd1-96da-1ead90e9942c"]}],"mendeley":{"formattedCitation":"[109]","plainTextFormattedCitation":"[109]","previouslyFormattedCitation":"[109]"},"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[109]</w:t>
      </w:r>
      <w:r>
        <w:rPr>
          <w:rFonts w:ascii="Times New Roman" w:hAnsi="Times New Roman" w:cs="Times New Roman"/>
        </w:rPr>
        <w:fldChar w:fldCharType="end"/>
      </w:r>
      <w:r>
        <w:rPr>
          <w:rFonts w:ascii="Times New Roman" w:hAnsi="Times New Roman" w:cs="Times New Roman"/>
        </w:rPr>
        <w:t xml:space="preserve">, although the UV dose was higher than the High Dose tested in the present work.  In both instances, the FTIR spectra </w:t>
      </w:r>
      <w:r w:rsidR="0023205F">
        <w:rPr>
          <w:rFonts w:ascii="Times New Roman" w:hAnsi="Times New Roman" w:cs="Times New Roman"/>
        </w:rPr>
        <w:t>were</w:t>
      </w:r>
      <w:r>
        <w:rPr>
          <w:rFonts w:ascii="Times New Roman" w:hAnsi="Times New Roman" w:cs="Times New Roman"/>
        </w:rPr>
        <w:t xml:space="preserve"> collected more than a month post irradiation, which implies that the additional ~20% DC may be the result of extended </w:t>
      </w:r>
      <w:r w:rsidRPr="008A0FFD">
        <w:rPr>
          <w:rFonts w:ascii="Times New Roman" w:hAnsi="Times New Roman" w:cs="Times New Roman"/>
        </w:rPr>
        <w:t>dark cure</w:t>
      </w:r>
      <w:r>
        <w:rPr>
          <w:rFonts w:ascii="Times New Roman" w:hAnsi="Times New Roman" w:cs="Times New Roman"/>
        </w:rPr>
        <w:t xml:space="preserve">.  This assertion is supported by the slight drop in DC values closest to the irradiated surface, which may be lower than values at ~1 mm depth because of free radical scavenging limiting propagation reactions as oxygen diffuses into the polymer over time.  </w:t>
      </w:r>
    </w:p>
    <w:p w14:paraId="1C003D7F" w14:textId="5043F28C" w:rsidR="00322976" w:rsidRDefault="00322976" w:rsidP="00322976">
      <w:pPr>
        <w:spacing w:line="360" w:lineRule="auto"/>
        <w:rPr>
          <w:rFonts w:ascii="Times New Roman" w:hAnsi="Times New Roman" w:cs="Times New Roman"/>
        </w:rPr>
      </w:pPr>
    </w:p>
    <w:p w14:paraId="08672B4B" w14:textId="77777777" w:rsidR="00322976" w:rsidRDefault="00322976" w:rsidP="00322976">
      <w:pPr>
        <w:spacing w:line="360" w:lineRule="auto"/>
        <w:rPr>
          <w:rFonts w:ascii="Times New Roman" w:hAnsi="Times New Roman" w:cs="Times New Roman"/>
        </w:rPr>
      </w:pPr>
      <w:r>
        <w:rPr>
          <w:rFonts w:ascii="Times New Roman" w:hAnsi="Times New Roman" w:cs="Times New Roman"/>
        </w:rPr>
        <w:t xml:space="preserve">Thermal post cure, which commenced within one hour of initial irradiation, appeared to have minimal effect on the High Dose specimen, with an increase of less than 3% DC at the deepest measured point. The post cure did appear to have a more pronounced effect on improving the cure in the Low Dose specimens, by up to 9% at 2 mm depth.  </w:t>
      </w:r>
    </w:p>
    <w:p w14:paraId="59BCD4A7" w14:textId="0DDCDE05" w:rsidR="00322976" w:rsidRDefault="00322976" w:rsidP="00322976">
      <w:pPr>
        <w:spacing w:line="360" w:lineRule="auto"/>
        <w:rPr>
          <w:rFonts w:ascii="Times New Roman" w:hAnsi="Times New Roman" w:cs="Times New Roman"/>
        </w:rPr>
      </w:pPr>
    </w:p>
    <w:p w14:paraId="04DB4736" w14:textId="77777777" w:rsidR="00841BCE" w:rsidRPr="009D06D1" w:rsidRDefault="00841BCE" w:rsidP="00841BCE">
      <w:pPr>
        <w:spacing w:line="360" w:lineRule="auto"/>
        <w:rPr>
          <w:rFonts w:ascii="Times New Roman" w:hAnsi="Times New Roman" w:cs="Times New Roman"/>
          <w:i/>
          <w:iCs/>
        </w:rPr>
      </w:pPr>
      <w:r w:rsidRPr="009D06D1">
        <w:rPr>
          <w:rFonts w:ascii="Times New Roman" w:hAnsi="Times New Roman" w:cs="Times New Roman"/>
          <w:i/>
          <w:iCs/>
        </w:rPr>
        <w:t>Nanoindentation</w:t>
      </w:r>
    </w:p>
    <w:p w14:paraId="01FCB181" w14:textId="2DF80B82" w:rsidR="0093124C" w:rsidRPr="00322976" w:rsidRDefault="00841BCE" w:rsidP="0093124C">
      <w:pPr>
        <w:spacing w:line="360" w:lineRule="auto"/>
        <w:rPr>
          <w:rFonts w:ascii="Times New Roman" w:hAnsi="Times New Roman" w:cs="Times New Roman"/>
        </w:rPr>
      </w:pPr>
      <w:r>
        <w:rPr>
          <w:rFonts w:ascii="Times New Roman" w:hAnsi="Times New Roman" w:cs="Times New Roman"/>
        </w:rPr>
        <w:t xml:space="preserve">The indentation hardness in nanoindentation is calculated using the projected area of an indent. This was converted to Vickers hardness (HV), which is calculated using surface area, by applying a conversion factor of 94.5.  As shown in </w:t>
      </w:r>
      <w:r w:rsidR="00F234D6" w:rsidRPr="00F234D6">
        <w:rPr>
          <w:rFonts w:ascii="Times New Roman" w:hAnsi="Times New Roman" w:cs="Times New Roman"/>
        </w:rPr>
        <w:fldChar w:fldCharType="begin"/>
      </w:r>
      <w:r w:rsidR="00F234D6" w:rsidRPr="00F234D6">
        <w:rPr>
          <w:rFonts w:ascii="Times New Roman" w:hAnsi="Times New Roman" w:cs="Times New Roman"/>
        </w:rPr>
        <w:instrText xml:space="preserve"> REF _Ref100936112 \h </w:instrText>
      </w:r>
      <w:r w:rsidR="00F234D6">
        <w:rPr>
          <w:rFonts w:ascii="Times New Roman" w:hAnsi="Times New Roman" w:cs="Times New Roman"/>
        </w:rPr>
        <w:instrText xml:space="preserve"> \* MERGEFORMAT </w:instrText>
      </w:r>
      <w:r w:rsidR="00F234D6" w:rsidRPr="00F234D6">
        <w:rPr>
          <w:rFonts w:ascii="Times New Roman" w:hAnsi="Times New Roman" w:cs="Times New Roman"/>
        </w:rPr>
      </w:r>
      <w:r w:rsidR="00F234D6" w:rsidRPr="00F234D6">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55</w:t>
      </w:r>
      <w:r w:rsidR="00F234D6" w:rsidRPr="00F234D6">
        <w:rPr>
          <w:rFonts w:ascii="Times New Roman" w:hAnsi="Times New Roman" w:cs="Times New Roman"/>
        </w:rPr>
        <w:fldChar w:fldCharType="end"/>
      </w:r>
      <w:r>
        <w:rPr>
          <w:rFonts w:ascii="Times New Roman" w:hAnsi="Times New Roman" w:cs="Times New Roman"/>
        </w:rPr>
        <w:t xml:space="preserve">, the calculated HV for the neat resin specimens was consistently higher for the High Dose specimens than for the Low Dose specimens.  This cure gradient is most pronounced with the Low Dose, </w:t>
      </w:r>
      <w:r>
        <w:rPr>
          <w:rFonts w:ascii="Times New Roman" w:hAnsi="Times New Roman" w:cs="Times New Roman"/>
        </w:rPr>
        <w:lastRenderedPageBreak/>
        <w:t>as HV drops from a maximum of 30 – 32 near the irradiated surface down to 3 at a depth of 2500</w:t>
      </w:r>
      <w:r w:rsidRPr="00A275AC">
        <w:rPr>
          <w:rFonts w:ascii="Times New Roman" w:hAnsi="Times New Roman" w:cs="Times New Roman"/>
          <w:iCs/>
        </w:rPr>
        <w:t xml:space="preserve"> </w:t>
      </w:r>
      <m:oMath>
        <m:r>
          <m:rPr>
            <m:sty m:val="p"/>
          </m:rPr>
          <w:rPr>
            <w:rFonts w:ascii="Cambria Math" w:hAnsi="Cambria Math" w:cs="Times New Roman"/>
          </w:rPr>
          <m:t>μm</m:t>
        </m:r>
      </m:oMath>
      <w:r>
        <w:rPr>
          <w:rFonts w:ascii="Times New Roman" w:eastAsiaTheme="minorEastAsia" w:hAnsi="Times New Roman" w:cs="Times New Roman"/>
          <w:iCs/>
        </w:rPr>
        <w:t xml:space="preserve">.  Post cure appears to improve overall HV for the High Dose specimens, with an improvement of 1.5 to 4.8 HV for all depths versus the non-post cured specimens.  This improvement is greatest at the depths of 2300 </w:t>
      </w:r>
      <m:oMath>
        <m:r>
          <m:rPr>
            <m:sty m:val="p"/>
          </m:rPr>
          <w:rPr>
            <w:rFonts w:ascii="Cambria Math" w:hAnsi="Cambria Math" w:cs="Times New Roman"/>
          </w:rPr>
          <m:t>μm</m:t>
        </m:r>
      </m:oMath>
      <w:r>
        <w:rPr>
          <w:rFonts w:ascii="Times New Roman" w:eastAsiaTheme="minorEastAsia" w:hAnsi="Times New Roman" w:cs="Times New Roman"/>
          <w:iCs/>
        </w:rPr>
        <w:t xml:space="preserve"> to 2900 </w:t>
      </w:r>
      <m:oMath>
        <m:r>
          <m:rPr>
            <m:sty m:val="p"/>
          </m:rPr>
          <w:rPr>
            <w:rFonts w:ascii="Cambria Math" w:hAnsi="Cambria Math" w:cs="Times New Roman"/>
          </w:rPr>
          <m:t>μm</m:t>
        </m:r>
      </m:oMath>
      <w:r>
        <w:rPr>
          <w:rFonts w:ascii="Times New Roman" w:eastAsiaTheme="minorEastAsia" w:hAnsi="Times New Roman" w:cs="Times New Roman"/>
          <w:iCs/>
        </w:rPr>
        <w:t>, and the cure gradient</w:t>
      </w:r>
      <w:r w:rsidR="0093124C" w:rsidRPr="0093124C">
        <w:rPr>
          <w:rFonts w:ascii="Times New Roman" w:eastAsiaTheme="minorEastAsia" w:hAnsi="Times New Roman" w:cs="Times New Roman"/>
          <w:iCs/>
        </w:rPr>
        <w:t xml:space="preserve"> </w:t>
      </w:r>
      <w:r w:rsidR="0093124C">
        <w:rPr>
          <w:rFonts w:ascii="Times New Roman" w:eastAsiaTheme="minorEastAsia" w:hAnsi="Times New Roman" w:cs="Times New Roman"/>
          <w:iCs/>
        </w:rPr>
        <w:t xml:space="preserve">in terms of HV decreases from 13.8 with the High Dose – No Post Cure to 12.5 with the High Dose – Post Cure specimens. </w:t>
      </w:r>
      <w:r w:rsidR="0093124C" w:rsidRPr="00322976">
        <w:rPr>
          <w:rFonts w:ascii="Times New Roman" w:hAnsi="Times New Roman" w:cs="Times New Roman"/>
        </w:rPr>
        <w:t xml:space="preserve"> </w:t>
      </w:r>
      <w:r w:rsidR="0093124C">
        <w:rPr>
          <w:rFonts w:ascii="Times New Roman" w:hAnsi="Times New Roman" w:cs="Times New Roman"/>
        </w:rPr>
        <w:t xml:space="preserve">The results indicate a non-linear cure gradient in neat resin, similar to those reported by Alrahlah et al. for highly filled dental photopolymers </w:t>
      </w:r>
      <w:r w:rsidR="0093124C">
        <w:rPr>
          <w:rFonts w:ascii="Times New Roman" w:hAnsi="Times New Roman" w:cs="Times New Roman"/>
        </w:rPr>
        <w:fldChar w:fldCharType="begin" w:fldLock="1"/>
      </w:r>
      <w:r w:rsidR="0093124C">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mendeley":{"formattedCitation":"[48]","plainTextFormattedCitation":"[48]","previouslyFormattedCitation":"[48]"},"properties":{"noteIndex":0},"schema":"https://github.com/citation-style-language/schema/raw/master/csl-citation.json"}</w:instrText>
      </w:r>
      <w:r w:rsidR="0093124C">
        <w:rPr>
          <w:rFonts w:ascii="Times New Roman" w:hAnsi="Times New Roman" w:cs="Times New Roman"/>
        </w:rPr>
        <w:fldChar w:fldCharType="separate"/>
      </w:r>
      <w:r w:rsidR="0093124C" w:rsidRPr="00115FB0">
        <w:rPr>
          <w:rFonts w:ascii="Times New Roman" w:hAnsi="Times New Roman" w:cs="Times New Roman"/>
          <w:noProof/>
        </w:rPr>
        <w:t>[48]</w:t>
      </w:r>
      <w:r w:rsidR="0093124C">
        <w:rPr>
          <w:rFonts w:ascii="Times New Roman" w:hAnsi="Times New Roman" w:cs="Times New Roman"/>
        </w:rPr>
        <w:fldChar w:fldCharType="end"/>
      </w:r>
      <w:r w:rsidR="0093124C">
        <w:rPr>
          <w:rFonts w:ascii="Times New Roman" w:hAnsi="Times New Roman" w:cs="Times New Roman"/>
        </w:rPr>
        <w:t xml:space="preserve">.  As expected, the cure gradient is more pronounced at a lower dose and shorter irradiation time.  </w:t>
      </w:r>
    </w:p>
    <w:p w14:paraId="56324946" w14:textId="4071988A" w:rsidR="0093124C" w:rsidRDefault="0093124C" w:rsidP="009D06D1">
      <w:pPr>
        <w:pStyle w:val="Heading3"/>
      </w:pPr>
      <w:bookmarkStart w:id="225" w:name="_Toc101701796"/>
      <w:r>
        <w:t>4</w:t>
      </w:r>
      <w:r w:rsidRPr="0094131D">
        <w:t>.</w:t>
      </w:r>
      <w:r w:rsidR="009D06D1">
        <w:t>3</w:t>
      </w:r>
      <w:r w:rsidRPr="0094131D">
        <w:t xml:space="preserve"> </w:t>
      </w:r>
      <w:r>
        <w:t>RT-FTIR on multi-layer neat resin</w:t>
      </w:r>
      <w:bookmarkEnd w:id="225"/>
    </w:p>
    <w:p w14:paraId="6231F119" w14:textId="2DA55631" w:rsidR="0093124C" w:rsidRDefault="0093124C" w:rsidP="0093124C">
      <w:pPr>
        <w:spacing w:line="360" w:lineRule="auto"/>
        <w:rPr>
          <w:rFonts w:ascii="Times New Roman" w:hAnsi="Times New Roman" w:cs="Times New Roman"/>
        </w:rPr>
      </w:pPr>
      <w:r>
        <w:rPr>
          <w:rFonts w:ascii="Times New Roman" w:hAnsi="Times New Roman" w:cs="Times New Roman"/>
        </w:rPr>
        <w:t xml:space="preserve">Neat resin formulations were first tested for their cure behavior under a Low or High UV dose. Single layer specimens were irradiated with the top surface uncovered, and degree of conversion (DC) was monitored at 3 mm depth in real-time for 10 minutes post irradiation.  As shown in </w:t>
      </w:r>
      <w:r w:rsidRPr="00F234D6">
        <w:rPr>
          <w:rFonts w:ascii="Times New Roman" w:hAnsi="Times New Roman" w:cs="Times New Roman"/>
        </w:rPr>
        <w:fldChar w:fldCharType="begin"/>
      </w:r>
      <w:r w:rsidRPr="00F234D6">
        <w:rPr>
          <w:rFonts w:ascii="Times New Roman" w:hAnsi="Times New Roman" w:cs="Times New Roman"/>
        </w:rPr>
        <w:instrText xml:space="preserve"> REF _Ref100936162 \h </w:instrText>
      </w:r>
      <w:r>
        <w:rPr>
          <w:rFonts w:ascii="Times New Roman" w:hAnsi="Times New Roman" w:cs="Times New Roman"/>
        </w:rPr>
        <w:instrText xml:space="preserve"> \* MERGEFORMAT </w:instrText>
      </w:r>
      <w:r w:rsidRPr="00F234D6">
        <w:rPr>
          <w:rFonts w:ascii="Times New Roman" w:hAnsi="Times New Roman" w:cs="Times New Roman"/>
        </w:rPr>
      </w:r>
      <w:r w:rsidRPr="00F234D6">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56</w:t>
      </w:r>
      <w:r w:rsidRPr="00F234D6">
        <w:rPr>
          <w:rFonts w:ascii="Times New Roman" w:hAnsi="Times New Roman" w:cs="Times New Roman"/>
        </w:rPr>
        <w:fldChar w:fldCharType="end"/>
      </w:r>
      <w:r>
        <w:rPr>
          <w:rFonts w:ascii="Times New Roman" w:hAnsi="Times New Roman" w:cs="Times New Roman"/>
        </w:rPr>
        <w:t xml:space="preserve">, a rapid onset of cure occurred within the first 30 s, followed by a gradual further increase in cure over the remaining 10 minutes.  This effect is known as “dark cure,” and is the result of continuing reactions from the free radicals generated during irradiation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{"citationItems":[{"id":"ITEM-1","itemData":{"DOI":"10.1002/app.11787","ISSN":"0021-8995","abstract":"Difunctional methacrylate monomers containing stiff or flexible spacers were combined with a vinylcyclopropane derivate in a copolymerization to form densely crosslinked networks. The high rate of visible light photoinitiation at 20-22°C was used for starting the polymerization. By switching off the light after 40 s, the longlived free radicals, trapped in the polymer network, retain radical processes, however, at substantially retarded rates. The postcuring development of the network structure in the investigated samples lasting at least 12 weeks was proved by the increasing density of the crosslinks, by the increasing amount of the gel fraction, and by the decreasing of the residual unsaturation. The relaxation spectra from dynamic mechanical thermal analyses (DMTA) show curves with two evident maxima. The first one belonged the glass transition (Tg) of original network and increases in the postcuring period. The second one belonged to the final structure to which the crosslinked polymer approaches slowly during aging. The final state develops fast during a DMTA thermal scan to 200°C. All procedures proceeded in the dark, but in the presence of air oxygen. The chemiluminescence (CL) response of the postcured samples proved the accumulation of hydroperoxides. The oxidation chain reaction took place in the postcuring time and competed with the building up of additional crosslinks. The majority of postcuring changes were observed during the first 3 weeks of aging. Nine weeks later, the long-lived radicals were still present in the network and maintained the sensibility of the crosslinked polymer to free-radical reactions. © 2003 Wiley Periodicals, Inc.","author":[{"dropping-particle":"","family":"Pavlinec","given":"Juraj","non-dropping-particle":"","parse-names":false,"suffix":""},{"dropping-particle":"","family":"Moszner","given":"Norbert","non-dropping-particle":"","parse-names":false,"suffix":""}],"container-title":"Journal of Applied Polymer Science","id":"ITEM-1","issue":"3","issued":{"date-parts":[["2003","7","18"]]},"page":"579-588","publisher":"John Wiley &amp; Sons, Ltd","title":"Dark reactions of free radicals trapped in densely crosslinked polymer networks after photopolymerization","type":"article-journal","volume":"89"},"uris":["http://www.mendeley.com/documents/?uuid=292cb5af-7247-38bd-b83d-1e79997a5d4f"]},{"id":"ITEM-2","itemData":{"DOI":"10.1016/j.dental.2013.09.002","ISSN":"01095641","PMID":"24080378","abstract":"Objectives This study seeks to correlate the interrelated properties of conversion, shrinkage, modulus and stress as dimethacrylate networks transition from rubbery to glassy states during photopolymerization. Methods An unfilled BisGMA/TEGDMA resin was photocured for various irradiation intervals (7-600 s) to provide controlled levels of immediate conversion, which was monitored continuously for 10 min. Fiber optic near-infrared spectroscopy permitted coupling of real-time conversion measurement with dynamic polymerization shrinkage (linometer), modulus (dynamic mechanical analyzer) and stress (tensometer) development profiles. Results The varied irradiation conditions produced final conversion ranging from 6% to more than 60%. Post-irradiation conversion (dark cure) was quite limited when photopolymerization was interrupted either at very low or very high levels of conversion while significant dark cure contributions were possible for photocuring reactions suspended within the post-gel, rubbery regime. Analysis of conversion-based property evolution during and subsequent to photocuring demonstrated that the shrinkage rate increased significantly at about 40% conversion followed by late-stage suppression in the conversion-dependent shrinkage rate that begins at about 45-50% conversion. The gradual vitrification process over this conversion range is evident based on the broad but well-defined inflection in the modulus versus conversion data. As limiting conversion is approached, modulus and, to a somewhat lesser extent, stress rise precipitously as a result of vitrification with the stress profile showing little if any late-stage suppression as seen with shrinkage. Significance Near the limiting conversion for this model resin, the volumetric polymerization shrinkage rate slows while an exponential rise in modulus promotes the vitrification process that appears to largely dictate stress development. © 2013 Academy of Dental Materials.","author":[{"dropping-particle":"","family":"Abu-Elenain","given":"Dalia A.","non-dropping-particle":"","parse-names":false,"suffix":""},{"dropping-particle":"","family":"Lewis","given":"Steven H.","non-dropping-particle":"","parse-names":false,"suffix":""},{"dropping-particle":"","family":"Stansbury","given":"Jeffrey W.","non-dropping-particle":"","parse-names":false,"suffix":""}],"container-title":"Dental Materials","id":"ITEM-2","issue":"11","issued":{"date-parts":[["2013","11","1"]]},"page":"1173-1181","publisher":"Elsevier","title":"Property evolution during vitrification of dimethacrylate photopolymer networks","type":"article-journal","volume":"29"},"uris":["http://www.mendeley.com/documents/?uuid=f3462eb9-9ec8-3a17-9a51-9086646d05dd"]},{"id":"ITEM-3","itemData":{"DOI":"10.1002/macp.1988.021891016","ISSN":"0025-116X","abstract":"An original method based on IR spectroscopy has been developed in order to follow real-tirr.e photopolymerizations that take place in less than one second. Conversion versus time curv(:s were directly recorded for various multiacrylic monomers irradiated in condensed phase, thtls allowing an immediate evaluation of both the rate of polymerization and the amount of residu i l unsaturation in the UV-cured polymer. This method proved well suited to study the effect c n the polymerization rate of the photoinitiator efficiency, the monomer reactivity, the light intensity , the film thickness, and the 0, inhibition. The dark polymerization that develops just aftcr the UV exposure was investigated as a function of the degree of conversion and was shown 10 represent up to 60% of the total process. A comparison with other methods of kinetic analysis shows the unique advantages of real-time infra-red (RTIR) spectroscopy which permits I o follow quantitatively and in situ ultra-fast polymerizations.","author":[{"dropping-particle":"","family":"Decker","given":"Christian","non-dropping-particle":"","parse-names":false,"suffix":""},{"dropping-particle":"","family":"Moussa","given":"Khalil","non-dropping-particle":"","parse-names":false,"suffix":""}],"container-title":"Die Makromolekulare Chemie","id":"ITEM-3","issue":"10","issued":{"date-parts":[["1988","10","1"]]},"page":"2381-2394","publisher":"John Wiley &amp; Sons, Ltd","title":"A new method for monitoring ultra‐fast photopolymerizations by real‐time infra‐red (RTIR) spectroscopy","type":"article-journal","volume":"189"},"uris":["http://www.mendeley.com/documents/?uuid=50e24e96-e4ff-376e-877a-985d3cd1a512"]}],"mendeley":{"formattedCitation":"[56], [152], [153]","plainTextFormattedCitation":"[56], [152], [153]","previouslyFormattedCitation":"[56], [152], [153]"},"properties":{"noteIndex":0},"schema":"https://github.com/citation-style-language/schema/raw/master/csl-citation.json"}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[56], [152], [153]</w:t>
      </w:r>
      <w:r>
        <w:rPr>
          <w:rFonts w:ascii="Times New Roman" w:hAnsi="Times New Roman" w:cs="Times New Roman"/>
        </w:rPr>
        <w:fldChar w:fldCharType="end"/>
      </w:r>
      <w:r>
        <w:rPr>
          <w:rFonts w:ascii="Times New Roman" w:hAnsi="Times New Roman" w:cs="Times New Roman"/>
        </w:rPr>
        <w:t xml:space="preserve">.   The initial slope of the High Dose specimens is higher than that of the Low Dose, indicating a higher initial polymerization rate with a longer irradiation time.  While DC improved over time, the dark cure effect was limited.  Without new free radical generation from further UV exposure, the maximum cure after 10 minutes varied widely for the Low Dose specimens from 16-35% DC, with an average of 25% DC.  At a High Dose, the cure behavior at 3 mm depth was consistently within 52-53% DC at 10 minutes for all five tested specimens.  </w:t>
      </w:r>
    </w:p>
    <w:p w14:paraId="6D3E29EC" w14:textId="30FB47CA" w:rsidR="00841BCE" w:rsidRDefault="00841BCE" w:rsidP="00841BCE">
      <w:pPr>
        <w:spacing w:line="360" w:lineRule="auto"/>
        <w:rPr>
          <w:rFonts w:ascii="Times New Roman" w:eastAsiaTheme="minorEastAsia" w:hAnsi="Times New Roman" w:cs="Times New Roman"/>
          <w:iCs/>
        </w:rPr>
      </w:pPr>
    </w:p>
    <w:p w14:paraId="6FA1BF09" w14:textId="5A5E2207" w:rsidR="0093124C" w:rsidRPr="0093124C" w:rsidRDefault="0093124C" w:rsidP="00841BCE">
      <w:pPr>
        <w:spacing w:line="360" w:lineRule="auto"/>
        <w:rPr>
          <w:rFonts w:ascii="Times New Roman" w:eastAsiaTheme="minorEastAsia" w:hAnsi="Times New Roman" w:cs="Times New Roman"/>
          <w:iCs/>
        </w:rPr>
      </w:pPr>
      <w:r>
        <w:rPr>
          <w:rFonts w:ascii="Times New Roman" w:hAnsi="Times New Roman" w:cs="Times New Roman"/>
        </w:rPr>
        <w:t>For 5 Layer specimens, a new layer was added and irradiated every 2 minutes, and with each irradiation the UV lamp moved a further 3 mm from the original layer.  The combined effect of additional distance from the light source and additional polymer leads to light attenuation that restricts the ability for new free radicals to form at the bottom</w:t>
      </w:r>
      <w:r w:rsidRPr="0093124C">
        <w:rPr>
          <w:rFonts w:ascii="Times New Roman" w:hAnsi="Times New Roman" w:cs="Times New Roman"/>
        </w:rPr>
        <w:t xml:space="preserve"> </w:t>
      </w:r>
      <w:r>
        <w:rPr>
          <w:rFonts w:ascii="Times New Roman" w:hAnsi="Times New Roman" w:cs="Times New Roman"/>
        </w:rPr>
        <w:t>surface of the first layer.  For the High Dose specimens, no observable changes occurred</w:t>
      </w:r>
    </w:p>
    <w:p w14:paraId="34CD3A7D" w14:textId="77777777" w:rsidR="00F06D87" w:rsidRDefault="00C1521B" w:rsidP="00F06D87">
      <w:pPr>
        <w:keepNext/>
        <w:spacing w:line="360" w:lineRule="auto"/>
        <w:jc w:val="center"/>
      </w:pPr>
      <w:r>
        <w:rPr>
          <w:noProof/>
        </w:rPr>
        <w:lastRenderedPageBreak/>
        <w:drawing>
          <wp:inline distT="0" distB="0" distL="0" distR="0" wp14:anchorId="26CFCE05" wp14:editId="2917C311">
            <wp:extent cx="3835664" cy="3143010"/>
            <wp:effectExtent l="0" t="0" r="0" b="635"/>
            <wp:docPr id="51" name="Picture 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scatter chart&#10;&#10;Description automatically generated"/>
                    <pic:cNvPicPr/>
                  </pic:nvPicPr>
                  <pic:blipFill rotWithShape="1">
                    <a:blip r:embed="rId59" cstate="print">
                      <a:extLst>
                        <a:ext uri="{28A0092B-C50C-407E-A947-70E740481C1C}">
                          <a14:useLocalDpi xmlns:a14="http://schemas.microsoft.com/office/drawing/2010/main" val="0"/>
                        </a:ext>
                      </a:extLst>
                    </a:blip>
                    <a:srcRect l="7853" t="8378" r="9615" b="3239"/>
                    <a:stretch/>
                  </pic:blipFill>
                  <pic:spPr bwMode="auto">
                    <a:xfrm>
                      <a:off x="0" y="0"/>
                      <a:ext cx="3905848" cy="3200520"/>
                    </a:xfrm>
                    <a:prstGeom prst="rect">
                      <a:avLst/>
                    </a:prstGeom>
                    <a:ln>
                      <a:noFill/>
                    </a:ln>
                    <a:extLst>
                      <a:ext uri="{53640926-AAD7-44D8-BBD7-CCE9431645EC}">
                        <a14:shadowObscured xmlns:a14="http://schemas.microsoft.com/office/drawing/2010/main"/>
                      </a:ext>
                    </a:extLst>
                  </pic:spPr>
                </pic:pic>
              </a:graphicData>
            </a:graphic>
          </wp:inline>
        </w:drawing>
      </w:r>
    </w:p>
    <w:p w14:paraId="21D38CB9" w14:textId="19E213D8" w:rsidR="006B1E6B" w:rsidRDefault="00F06D87" w:rsidP="00F20503">
      <w:pPr>
        <w:pStyle w:val="Caption"/>
      </w:pPr>
      <w:bookmarkStart w:id="226" w:name="_Ref100936043"/>
      <w:bookmarkStart w:id="227" w:name="_Toc101365716"/>
      <w:r>
        <w:t xml:space="preserve">Figure </w:t>
      </w:r>
      <w:r w:rsidR="002F73EC">
        <w:fldChar w:fldCharType="begin"/>
      </w:r>
      <w:r w:rsidR="002F73EC">
        <w:instrText xml:space="preserve"> SEQ Figure \* ARABIC </w:instrText>
      </w:r>
      <w:r w:rsidR="002F73EC">
        <w:fldChar w:fldCharType="separate"/>
      </w:r>
      <w:r w:rsidR="00BF5717">
        <w:rPr>
          <w:noProof/>
        </w:rPr>
        <w:t>54</w:t>
      </w:r>
      <w:r w:rsidR="002F73EC">
        <w:rPr>
          <w:noProof/>
        </w:rPr>
        <w:fldChar w:fldCharType="end"/>
      </w:r>
      <w:bookmarkEnd w:id="226"/>
      <w:r>
        <w:t xml:space="preserve"> Degree of conversion across the depth of a 3 mm specimen.  At High Dose, the DC is both higher and has less of a gradient than the Low Dose specimen.  The shift in depth for the onset of cure gradient may indicate some photobleaching effect.</w:t>
      </w:r>
      <w:bookmarkEnd w:id="227"/>
    </w:p>
    <w:p w14:paraId="2C921962" w14:textId="10728E15" w:rsidR="006B1E6B" w:rsidRDefault="006B1E6B" w:rsidP="006B1E6B"/>
    <w:p w14:paraId="15C165BE" w14:textId="77777777" w:rsidR="00F06D87" w:rsidRPr="006B1E6B" w:rsidRDefault="00F06D87" w:rsidP="006B1E6B"/>
    <w:p w14:paraId="028ACB76" w14:textId="77777777" w:rsidR="00F06D87" w:rsidRDefault="00C1521B" w:rsidP="00F06D87">
      <w:pPr>
        <w:keepNext/>
        <w:spacing w:line="360" w:lineRule="auto"/>
        <w:jc w:val="center"/>
      </w:pPr>
      <w:r>
        <w:rPr>
          <w:noProof/>
        </w:rPr>
        <w:drawing>
          <wp:inline distT="0" distB="0" distL="0" distR="0" wp14:anchorId="05EDD11B" wp14:editId="2BAB577B">
            <wp:extent cx="3882280" cy="2921767"/>
            <wp:effectExtent l="0" t="0" r="4445" b="0"/>
            <wp:docPr id="52" name="Picture 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pic:nvPicPr>
                  <pic:blipFill rotWithShape="1">
                    <a:blip r:embed="rId60" cstate="print">
                      <a:extLst>
                        <a:ext uri="{28A0092B-C50C-407E-A947-70E740481C1C}">
                          <a14:useLocalDpi xmlns:a14="http://schemas.microsoft.com/office/drawing/2010/main" val="0"/>
                        </a:ext>
                      </a:extLst>
                    </a:blip>
                    <a:srcRect l="8160" t="7749" r="1340" b="3240"/>
                    <a:stretch/>
                  </pic:blipFill>
                  <pic:spPr bwMode="auto">
                    <a:xfrm>
                      <a:off x="0" y="0"/>
                      <a:ext cx="3977304" cy="2993281"/>
                    </a:xfrm>
                    <a:prstGeom prst="rect">
                      <a:avLst/>
                    </a:prstGeom>
                    <a:ln>
                      <a:noFill/>
                    </a:ln>
                    <a:extLst>
                      <a:ext uri="{53640926-AAD7-44D8-BBD7-CCE9431645EC}">
                        <a14:shadowObscured xmlns:a14="http://schemas.microsoft.com/office/drawing/2010/main"/>
                      </a:ext>
                    </a:extLst>
                  </pic:spPr>
                </pic:pic>
              </a:graphicData>
            </a:graphic>
          </wp:inline>
        </w:drawing>
      </w:r>
    </w:p>
    <w:p w14:paraId="276CDF6B" w14:textId="2D69B700" w:rsidR="00643ACA" w:rsidRPr="00643ACA" w:rsidRDefault="00F06D87" w:rsidP="00F20503">
      <w:pPr>
        <w:pStyle w:val="Caption"/>
      </w:pPr>
      <w:bookmarkStart w:id="228" w:name="_Ref100936112"/>
      <w:bookmarkStart w:id="229" w:name="_Toc101365717"/>
      <w:r>
        <w:t xml:space="preserve">Figure </w:t>
      </w:r>
      <w:r w:rsidR="002F73EC">
        <w:fldChar w:fldCharType="begin"/>
      </w:r>
      <w:r w:rsidR="002F73EC">
        <w:instrText xml:space="preserve"> SEQ Figure \* ARABIC </w:instrText>
      </w:r>
      <w:r w:rsidR="002F73EC">
        <w:fldChar w:fldCharType="separate"/>
      </w:r>
      <w:r w:rsidR="00BF5717">
        <w:rPr>
          <w:noProof/>
        </w:rPr>
        <w:t>55</w:t>
      </w:r>
      <w:r w:rsidR="002F73EC">
        <w:rPr>
          <w:noProof/>
        </w:rPr>
        <w:fldChar w:fldCharType="end"/>
      </w:r>
      <w:bookmarkEnd w:id="228"/>
      <w:r>
        <w:t xml:space="preserve"> Hardness values via nanoindentation across specimen depth for neat resin.  Note that both nanoindentation and FTIR microscopy results used the same specimens, with nanoindentation measurements taken from the center region of each specimen.</w:t>
      </w:r>
      <w:bookmarkEnd w:id="229"/>
    </w:p>
    <w:p w14:paraId="2F2732BC" w14:textId="0DD22DAB" w:rsidR="00841BCE" w:rsidRDefault="00841BCE" w:rsidP="00841BCE">
      <w:pPr>
        <w:spacing w:line="360" w:lineRule="auto"/>
        <w:rPr>
          <w:rFonts w:ascii="Times New Roman" w:hAnsi="Times New Roman" w:cs="Times New Roman"/>
        </w:rPr>
      </w:pPr>
    </w:p>
    <w:p w14:paraId="0AFD058B" w14:textId="77777777" w:rsidR="00F234D6" w:rsidRDefault="00C1521B" w:rsidP="00F234D6">
      <w:pPr>
        <w:keepNext/>
        <w:spacing w:line="360" w:lineRule="auto"/>
      </w:pPr>
      <w:r>
        <w:rPr>
          <w:rFonts w:ascii="Times New Roman" w:hAnsi="Times New Roman" w:cs="Times New Roman"/>
          <w:b/>
          <w:bCs/>
          <w:noProof/>
          <w:sz w:val="28"/>
          <w:szCs w:val="28"/>
        </w:rPr>
        <w:drawing>
          <wp:inline distT="0" distB="0" distL="0" distR="0" wp14:anchorId="15BCD792" wp14:editId="08A6BA1F">
            <wp:extent cx="5692289" cy="3943350"/>
            <wp:effectExtent l="0" t="0" r="3810"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5354" b="4135"/>
                    <a:stretch/>
                  </pic:blipFill>
                  <pic:spPr bwMode="auto">
                    <a:xfrm>
                      <a:off x="0" y="0"/>
                      <a:ext cx="5734529" cy="3972612"/>
                    </a:xfrm>
                    <a:prstGeom prst="rect">
                      <a:avLst/>
                    </a:prstGeom>
                    <a:noFill/>
                    <a:ln>
                      <a:noFill/>
                    </a:ln>
                    <a:extLst>
                      <a:ext uri="{53640926-AAD7-44D8-BBD7-CCE9431645EC}">
                        <a14:shadowObscured xmlns:a14="http://schemas.microsoft.com/office/drawing/2010/main"/>
                      </a:ext>
                    </a:extLst>
                  </pic:spPr>
                </pic:pic>
              </a:graphicData>
            </a:graphic>
          </wp:inline>
        </w:drawing>
      </w:r>
    </w:p>
    <w:p w14:paraId="17853FB1" w14:textId="1E245D6D" w:rsidR="00C1521B" w:rsidRPr="00F234D6" w:rsidRDefault="00F234D6" w:rsidP="00F20503">
      <w:pPr>
        <w:pStyle w:val="Caption"/>
        <w:rPr>
          <w:b/>
          <w:bCs/>
        </w:rPr>
      </w:pPr>
      <w:bookmarkStart w:id="230" w:name="_Ref100936162"/>
      <w:bookmarkStart w:id="231" w:name="_Toc101365718"/>
      <w:r>
        <w:t xml:space="preserve">Figure </w:t>
      </w:r>
      <w:r w:rsidR="002F73EC">
        <w:fldChar w:fldCharType="begin"/>
      </w:r>
      <w:r w:rsidR="002F73EC">
        <w:instrText xml:space="preserve"> SE</w:instrText>
      </w:r>
      <w:r w:rsidR="002F73EC">
        <w:instrText xml:space="preserve">Q Figure \* ARABIC </w:instrText>
      </w:r>
      <w:r w:rsidR="002F73EC">
        <w:fldChar w:fldCharType="separate"/>
      </w:r>
      <w:r w:rsidR="00BF5717">
        <w:rPr>
          <w:noProof/>
        </w:rPr>
        <w:t>56</w:t>
      </w:r>
      <w:r w:rsidR="002F73EC">
        <w:rPr>
          <w:noProof/>
        </w:rPr>
        <w:fldChar w:fldCharType="end"/>
      </w:r>
      <w:bookmarkEnd w:id="230"/>
      <w:r>
        <w:t xml:space="preserve"> </w:t>
      </w:r>
      <w:r>
        <w:rPr>
          <w:noProof/>
        </w:rPr>
        <w:t>Degree of conversion on the bottom surface over time, with 1-layer specimens irradiated once at t=0 and dark cure occuring over the course of 10 minutes.  5-layer specimens were irradiated at 2 minute intervals with the addition of new 3 mm layers.  At Low Dose, the DC improves with the 2</w:t>
      </w:r>
      <w:r w:rsidRPr="00E05C7E">
        <w:rPr>
          <w:noProof/>
          <w:vertAlign w:val="superscript"/>
        </w:rPr>
        <w:t>nd</w:t>
      </w:r>
      <w:r>
        <w:rPr>
          <w:noProof/>
        </w:rPr>
        <w:t xml:space="preserve"> dose irradiation, but the multi-layer effect appears to be limited.</w:t>
      </w:r>
      <w:bookmarkEnd w:id="231"/>
    </w:p>
    <w:p w14:paraId="245DA052" w14:textId="37A6F557" w:rsidR="00C1521B" w:rsidRDefault="00C1521B" w:rsidP="00322976">
      <w:pPr>
        <w:spacing w:line="360" w:lineRule="auto"/>
      </w:pPr>
    </w:p>
    <w:p w14:paraId="1B1EE99E" w14:textId="0BF5122A" w:rsidR="00322976" w:rsidRDefault="00322976" w:rsidP="00322976">
      <w:pPr>
        <w:spacing w:line="360" w:lineRule="auto"/>
      </w:pPr>
    </w:p>
    <w:p w14:paraId="53C69ED6" w14:textId="05C85FD2" w:rsidR="00322976" w:rsidRDefault="00322976" w:rsidP="00322976">
      <w:pPr>
        <w:spacing w:line="360" w:lineRule="auto"/>
      </w:pPr>
    </w:p>
    <w:p w14:paraId="7310BA3A" w14:textId="63C53316" w:rsidR="00322976" w:rsidRDefault="00322976" w:rsidP="00322976">
      <w:pPr>
        <w:spacing w:line="360" w:lineRule="auto"/>
      </w:pPr>
    </w:p>
    <w:p w14:paraId="1F45C21D" w14:textId="52349452" w:rsidR="00322976" w:rsidRDefault="00322976" w:rsidP="00322976">
      <w:pPr>
        <w:spacing w:line="360" w:lineRule="auto"/>
      </w:pPr>
    </w:p>
    <w:p w14:paraId="462AFA0F" w14:textId="79C7FD58" w:rsidR="00322976" w:rsidRDefault="00322976" w:rsidP="00322976">
      <w:pPr>
        <w:spacing w:line="360" w:lineRule="auto"/>
      </w:pPr>
    </w:p>
    <w:p w14:paraId="084F0864" w14:textId="7ED46453" w:rsidR="00322976" w:rsidRDefault="00322976" w:rsidP="00322976">
      <w:pPr>
        <w:spacing w:line="360" w:lineRule="auto"/>
      </w:pPr>
    </w:p>
    <w:p w14:paraId="3519AF3A" w14:textId="77777777" w:rsidR="0093124C" w:rsidRDefault="0093124C" w:rsidP="00322976">
      <w:pPr>
        <w:spacing w:line="360" w:lineRule="auto"/>
      </w:pPr>
    </w:p>
    <w:p w14:paraId="3E5642F4" w14:textId="0E536D06" w:rsidR="00643ACA" w:rsidRDefault="00643ACA" w:rsidP="00322976">
      <w:pPr>
        <w:spacing w:line="360" w:lineRule="auto"/>
      </w:pPr>
    </w:p>
    <w:p w14:paraId="67BF04C8" w14:textId="77777777" w:rsidR="00322976" w:rsidRPr="002B67DC" w:rsidRDefault="00322976" w:rsidP="00322976">
      <w:pPr>
        <w:spacing w:line="360" w:lineRule="auto"/>
      </w:pPr>
    </w:p>
    <w:p w14:paraId="3C0AA122" w14:textId="77777777" w:rsidR="0093124C" w:rsidRPr="006B1E6B" w:rsidRDefault="0093124C" w:rsidP="0093124C">
      <w:pPr>
        <w:spacing w:line="360" w:lineRule="auto"/>
        <w:rPr>
          <w:rFonts w:ascii="Times New Roman" w:hAnsi="Times New Roman" w:cs="Times New Roman"/>
        </w:rPr>
      </w:pPr>
      <w:r>
        <w:rPr>
          <w:rFonts w:ascii="Times New Roman" w:hAnsi="Times New Roman" w:cs="Times New Roman"/>
        </w:rPr>
        <w:lastRenderedPageBreak/>
        <w:t xml:space="preserve">at the bottom surface </w:t>
      </w:r>
      <w:proofErr w:type="gramStart"/>
      <w:r>
        <w:rPr>
          <w:rFonts w:ascii="Times New Roman" w:hAnsi="Times New Roman" w:cs="Times New Roman"/>
        </w:rPr>
        <w:t>as</w:t>
      </w:r>
      <w:proofErr w:type="gramEnd"/>
      <w:r>
        <w:rPr>
          <w:rFonts w:ascii="Times New Roman" w:hAnsi="Times New Roman" w:cs="Times New Roman"/>
        </w:rPr>
        <w:t xml:space="preserve"> new layers were added and irradiated.  However, for the Low Dose specimens, the irradiation of the 2</w:t>
      </w:r>
      <w:r w:rsidRPr="00956593">
        <w:rPr>
          <w:rFonts w:ascii="Times New Roman" w:hAnsi="Times New Roman" w:cs="Times New Roman"/>
          <w:vertAlign w:val="superscript"/>
        </w:rPr>
        <w:t>nd</w:t>
      </w:r>
      <w:r>
        <w:rPr>
          <w:rFonts w:ascii="Times New Roman" w:hAnsi="Times New Roman" w:cs="Times New Roman"/>
        </w:rPr>
        <w:t xml:space="preserve"> layer induced a measurable improvement in the DC of the bottom layer, with final DC at the bottom surface improving from 25% DC up to 33% on average.  This effect was limited only to the 2</w:t>
      </w:r>
      <w:r w:rsidRPr="00956593">
        <w:rPr>
          <w:rFonts w:ascii="Times New Roman" w:hAnsi="Times New Roman" w:cs="Times New Roman"/>
          <w:vertAlign w:val="superscript"/>
        </w:rPr>
        <w:t>nd</w:t>
      </w:r>
      <w:r>
        <w:rPr>
          <w:rFonts w:ascii="Times New Roman" w:hAnsi="Times New Roman" w:cs="Times New Roman"/>
        </w:rPr>
        <w:t xml:space="preserve"> layer, and further additional</w:t>
      </w:r>
    </w:p>
    <w:p w14:paraId="35500BE5" w14:textId="3B505D00" w:rsidR="00C1521B" w:rsidRPr="00E05C7E" w:rsidRDefault="00C1521B" w:rsidP="00322976">
      <w:pPr>
        <w:spacing w:line="360" w:lineRule="auto"/>
        <w:rPr>
          <w:rFonts w:ascii="Times New Roman" w:hAnsi="Times New Roman" w:cs="Times New Roman"/>
        </w:rPr>
      </w:pPr>
      <w:r>
        <w:rPr>
          <w:rFonts w:ascii="Times New Roman" w:hAnsi="Times New Roman" w:cs="Times New Roman"/>
        </w:rPr>
        <w:t>layers had no effect on the bottom surface cure.  Note that even with multi-layer improvements for the Low Dose specimen, the final DC remained 20% lower than that of the High Dose specimens.</w:t>
      </w:r>
    </w:p>
    <w:p w14:paraId="5AE513B3" w14:textId="4FCC99E0" w:rsidR="00C1521B" w:rsidRDefault="00C1521B" w:rsidP="009D06D1">
      <w:pPr>
        <w:pStyle w:val="Heading3"/>
      </w:pPr>
      <w:bookmarkStart w:id="232" w:name="_Toc101701797"/>
      <w:r w:rsidRPr="00EB1E9F">
        <w:t>4.</w:t>
      </w:r>
      <w:r w:rsidR="009D06D1">
        <w:t>4</w:t>
      </w:r>
      <w:r w:rsidRPr="00EB1E9F">
        <w:t xml:space="preserve"> Cure depth heat map on multi-layer neat resin</w:t>
      </w:r>
      <w:bookmarkEnd w:id="232"/>
      <w:r w:rsidRPr="00EB1E9F">
        <w:t xml:space="preserve"> </w:t>
      </w:r>
    </w:p>
    <w:p w14:paraId="2131AD1F" w14:textId="6FA3D60F" w:rsidR="00C1521B" w:rsidRDefault="00C1521B" w:rsidP="00322976">
      <w:pPr>
        <w:spacing w:line="360" w:lineRule="auto"/>
        <w:rPr>
          <w:rFonts w:ascii="Times New Roman" w:hAnsi="Times New Roman" w:cs="Times New Roman"/>
        </w:rPr>
      </w:pPr>
      <w:r>
        <w:rPr>
          <w:rFonts w:ascii="Times New Roman" w:hAnsi="Times New Roman" w:cs="Times New Roman"/>
        </w:rPr>
        <w:t xml:space="preserve">Heat maps of DC values were generated for the FTIR microscopy measurements of 5 Layer neat resin specimens irradiated under Low, Medium and High Doses with </w:t>
      </w:r>
      <w:r w:rsidRPr="00E15ACA">
        <w:rPr>
          <w:rFonts w:ascii="Times New Roman" w:hAnsi="Times New Roman" w:cs="Times New Roman"/>
        </w:rPr>
        <w:t>350</w:t>
      </w:r>
      <w:r>
        <w:rPr>
          <w:rFonts w:ascii="Times New Roman" w:hAnsi="Times New Roman" w:cs="Times New Roman"/>
        </w:rPr>
        <w:t xml:space="preserve"> μm  spacing between rows in a 45 x 4 grid.  As shown in </w:t>
      </w:r>
      <w:r w:rsidR="00F234D6" w:rsidRPr="00F234D6">
        <w:rPr>
          <w:rFonts w:ascii="Times New Roman" w:hAnsi="Times New Roman" w:cs="Times New Roman"/>
        </w:rPr>
        <w:fldChar w:fldCharType="begin"/>
      </w:r>
      <w:r w:rsidR="00F234D6" w:rsidRPr="00F234D6">
        <w:rPr>
          <w:rFonts w:ascii="Times New Roman" w:hAnsi="Times New Roman" w:cs="Times New Roman"/>
        </w:rPr>
        <w:instrText xml:space="preserve"> REF _Ref100936419 \h </w:instrText>
      </w:r>
      <w:r w:rsidR="00F234D6">
        <w:rPr>
          <w:rFonts w:ascii="Times New Roman" w:hAnsi="Times New Roman" w:cs="Times New Roman"/>
        </w:rPr>
        <w:instrText xml:space="preserve"> \* MERGEFORMAT </w:instrText>
      </w:r>
      <w:r w:rsidR="00F234D6" w:rsidRPr="00F234D6">
        <w:rPr>
          <w:rFonts w:ascii="Times New Roman" w:hAnsi="Times New Roman" w:cs="Times New Roman"/>
        </w:rPr>
      </w:r>
      <w:r w:rsidR="00F234D6" w:rsidRPr="00F234D6">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57</w:t>
      </w:r>
      <w:r w:rsidR="00F234D6" w:rsidRPr="00F234D6">
        <w:rPr>
          <w:rFonts w:ascii="Times New Roman" w:hAnsi="Times New Roman" w:cs="Times New Roman"/>
        </w:rPr>
        <w:fldChar w:fldCharType="end"/>
      </w:r>
      <w:r w:rsidR="00F234D6">
        <w:rPr>
          <w:rFonts w:ascii="Times New Roman" w:hAnsi="Times New Roman" w:cs="Times New Roman"/>
        </w:rPr>
        <w:t xml:space="preserve">, </w:t>
      </w:r>
      <w:r w:rsidR="00F234D6" w:rsidRPr="00F234D6">
        <w:rPr>
          <w:rFonts w:ascii="Times New Roman" w:hAnsi="Times New Roman" w:cs="Times New Roman"/>
        </w:rPr>
        <w:fldChar w:fldCharType="begin"/>
      </w:r>
      <w:r w:rsidR="00F234D6" w:rsidRPr="00F234D6">
        <w:rPr>
          <w:rFonts w:ascii="Times New Roman" w:hAnsi="Times New Roman" w:cs="Times New Roman"/>
        </w:rPr>
        <w:instrText xml:space="preserve"> REF _Ref100936424 \h </w:instrText>
      </w:r>
      <w:r w:rsidR="00F234D6">
        <w:rPr>
          <w:rFonts w:ascii="Times New Roman" w:hAnsi="Times New Roman" w:cs="Times New Roman"/>
        </w:rPr>
        <w:instrText xml:space="preserve"> \* MERGEFORMAT </w:instrText>
      </w:r>
      <w:r w:rsidR="00F234D6" w:rsidRPr="00F234D6">
        <w:rPr>
          <w:rFonts w:ascii="Times New Roman" w:hAnsi="Times New Roman" w:cs="Times New Roman"/>
        </w:rPr>
      </w:r>
      <w:r w:rsidR="00F234D6" w:rsidRPr="00F234D6">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58</w:t>
      </w:r>
      <w:r w:rsidR="00F234D6" w:rsidRPr="00F234D6">
        <w:rPr>
          <w:rFonts w:ascii="Times New Roman" w:hAnsi="Times New Roman" w:cs="Times New Roman"/>
        </w:rPr>
        <w:fldChar w:fldCharType="end"/>
      </w:r>
      <w:r w:rsidR="00F234D6">
        <w:rPr>
          <w:rFonts w:ascii="Times New Roman" w:hAnsi="Times New Roman" w:cs="Times New Roman"/>
        </w:rPr>
        <w:t xml:space="preserve">, and </w:t>
      </w:r>
      <w:r w:rsidR="00F234D6" w:rsidRPr="00F234D6">
        <w:rPr>
          <w:rFonts w:ascii="Times New Roman" w:hAnsi="Times New Roman" w:cs="Times New Roman"/>
        </w:rPr>
        <w:fldChar w:fldCharType="begin"/>
      </w:r>
      <w:r w:rsidR="00F234D6" w:rsidRPr="00F234D6">
        <w:rPr>
          <w:rFonts w:ascii="Times New Roman" w:hAnsi="Times New Roman" w:cs="Times New Roman"/>
        </w:rPr>
        <w:instrText xml:space="preserve"> REF _Ref100936426 \h </w:instrText>
      </w:r>
      <w:r w:rsidR="00F234D6">
        <w:rPr>
          <w:rFonts w:ascii="Times New Roman" w:hAnsi="Times New Roman" w:cs="Times New Roman"/>
        </w:rPr>
        <w:instrText xml:space="preserve"> \* MERGEFORMAT </w:instrText>
      </w:r>
      <w:r w:rsidR="00F234D6" w:rsidRPr="00F234D6">
        <w:rPr>
          <w:rFonts w:ascii="Times New Roman" w:hAnsi="Times New Roman" w:cs="Times New Roman"/>
        </w:rPr>
      </w:r>
      <w:r w:rsidR="00F234D6" w:rsidRPr="00F234D6">
        <w:rPr>
          <w:rFonts w:ascii="Times New Roman" w:hAnsi="Times New Roman" w:cs="Times New Roman"/>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59</w:t>
      </w:r>
      <w:r w:rsidR="00F234D6" w:rsidRPr="00F234D6">
        <w:rPr>
          <w:rFonts w:ascii="Times New Roman" w:hAnsi="Times New Roman" w:cs="Times New Roman"/>
        </w:rPr>
        <w:fldChar w:fldCharType="end"/>
      </w:r>
      <w:r>
        <w:rPr>
          <w:rFonts w:ascii="Times New Roman" w:hAnsi="Times New Roman" w:cs="Times New Roman"/>
        </w:rPr>
        <w:t xml:space="preserve">, in order to fully capture the specimens the grid spacing extended beyond the top of the specimens and into the potting epoxy. Measurements in the epoxy and invalid test results are shown as blank white spaces.    </w:t>
      </w:r>
    </w:p>
    <w:p w14:paraId="376D65EF" w14:textId="77777777" w:rsidR="00322976" w:rsidRDefault="00322976" w:rsidP="00322976">
      <w:pPr>
        <w:spacing w:line="360" w:lineRule="auto"/>
        <w:rPr>
          <w:rFonts w:ascii="Times New Roman" w:hAnsi="Times New Roman" w:cs="Times New Roman"/>
        </w:rPr>
      </w:pPr>
    </w:p>
    <w:p w14:paraId="23BC4632" w14:textId="363D1E06" w:rsidR="00322976" w:rsidRDefault="00322976" w:rsidP="0039323C">
      <w:pPr>
        <w:widowControl w:val="0"/>
        <w:spacing w:line="360" w:lineRule="auto"/>
        <w:rPr>
          <w:rFonts w:ascii="Times New Roman" w:hAnsi="Times New Roman" w:cs="Times New Roman"/>
        </w:rPr>
      </w:pPr>
      <w:r>
        <w:rPr>
          <w:rFonts w:ascii="Times New Roman" w:hAnsi="Times New Roman" w:cs="Times New Roman"/>
        </w:rPr>
        <w:t xml:space="preserve">In comparing the different dose levels, a clear trend emerges of an overall increase in DC with higher UV dose.  </w:t>
      </w:r>
      <w:bookmarkStart w:id="233" w:name="_Hlk97145496"/>
      <w:r>
        <w:rPr>
          <w:rFonts w:ascii="Times New Roman" w:hAnsi="Times New Roman" w:cs="Times New Roman"/>
        </w:rPr>
        <w:t>Without post cure, the average DC increased from 53.8% at Low Dose to 74.1% at Medium Dose and 78.3% at High Dose.</w:t>
      </w:r>
      <w:bookmarkEnd w:id="233"/>
      <w:r>
        <w:rPr>
          <w:rFonts w:ascii="Times New Roman" w:hAnsi="Times New Roman" w:cs="Times New Roman"/>
        </w:rPr>
        <w:t xml:space="preserve">  The average DC did not change significantly with post cure.  Layers are easily distinguished </w:t>
      </w:r>
      <w:r w:rsidR="0039323C">
        <w:rPr>
          <w:rFonts w:ascii="Times New Roman" w:hAnsi="Times New Roman" w:cs="Times New Roman"/>
        </w:rPr>
        <w:t xml:space="preserve">at </w:t>
      </w:r>
      <w:r>
        <w:rPr>
          <w:rFonts w:ascii="Times New Roman" w:hAnsi="Times New Roman" w:cs="Times New Roman"/>
        </w:rPr>
        <w:t xml:space="preserve">all doses, the result of a cure gradient within each layer.  The difference in DC from the top to bottom of a given layer varies widely from </w:t>
      </w:r>
      <w:bookmarkStart w:id="234" w:name="_Hlk97145743"/>
      <w:r>
        <w:rPr>
          <w:rFonts w:ascii="Times New Roman" w:hAnsi="Times New Roman" w:cs="Times New Roman"/>
        </w:rPr>
        <w:t>18.7% to 51.0% in the Low Dose specimens</w:t>
      </w:r>
      <w:bookmarkEnd w:id="234"/>
      <w:r>
        <w:rPr>
          <w:rFonts w:ascii="Times New Roman" w:hAnsi="Times New Roman" w:cs="Times New Roman"/>
        </w:rPr>
        <w:t xml:space="preserve">.  In the Medium Dose specimens, the cure gradient ranged from 6.9% DC to 17.1% DC, and for High Dose specimens the gradient further reduced to a range of 3.6% DC to 10.3% DC.  As expected, the cure gradient diminishes with longer irradiation </w:t>
      </w:r>
      <w:r w:rsidR="00EE00B6">
        <w:rPr>
          <w:rFonts w:ascii="Times New Roman" w:hAnsi="Times New Roman" w:cs="Times New Roman"/>
        </w:rPr>
        <w:t>times and higher dose.  However, if the 1st layer were removed, the cure gradient becomes even smaller, at 6.9% to 11.6% for Medium Dose and 3.6% to 7.6% for High Dose specimens.  Even after taking layer thickness variations into consideration, the first layer for all Medium Dose and High Dose specimens had a bottom surface DC that was consistently lower than any subsequent layers, which contradicts the hypothesized effect</w:t>
      </w:r>
      <w:r w:rsidR="00EE00B6" w:rsidRPr="00EE00B6">
        <w:rPr>
          <w:rFonts w:ascii="Times New Roman" w:hAnsi="Times New Roman" w:cs="Times New Roman"/>
        </w:rPr>
        <w:t xml:space="preserve"> </w:t>
      </w:r>
      <w:r w:rsidR="00EE00B6">
        <w:rPr>
          <w:rFonts w:ascii="Times New Roman" w:hAnsi="Times New Roman" w:cs="Times New Roman"/>
        </w:rPr>
        <w:t xml:space="preserve">of multi-irradiation curing.  </w:t>
      </w:r>
      <w:r w:rsidR="00EE00B6">
        <w:rPr>
          <w:rFonts w:ascii="Times New Roman" w:hAnsi="Times New Roman" w:cs="Times New Roman"/>
        </w:rPr>
        <w:lastRenderedPageBreak/>
        <w:t>Because this surface was in direct contact with the FTIR-ATR accessory, the conclusion is that the high thermal conductivity of the steel ATR</w:t>
      </w:r>
      <w:r w:rsidR="00643ACA">
        <w:rPr>
          <w:rFonts w:ascii="Times New Roman" w:hAnsi="Times New Roman" w:cs="Times New Roman"/>
        </w:rPr>
        <w:t xml:space="preserve"> platform effectively restricted exotherm reaction temperatures, reducing overall DC. Layers 2-4 were better insulated during curing and could achieve a higher exotherm.</w:t>
      </w:r>
    </w:p>
    <w:p w14:paraId="61B5A86A" w14:textId="110ADB5A" w:rsidR="00843ABB" w:rsidRDefault="00843ABB" w:rsidP="0039323C">
      <w:pPr>
        <w:widowControl w:val="0"/>
        <w:spacing w:line="360" w:lineRule="auto"/>
        <w:rPr>
          <w:rFonts w:ascii="Times New Roman" w:hAnsi="Times New Roman" w:cs="Times New Roman"/>
        </w:rPr>
      </w:pPr>
    </w:p>
    <w:p w14:paraId="24166830" w14:textId="3D316111" w:rsidR="00843ABB" w:rsidRDefault="00843ABB" w:rsidP="00843ABB">
      <w:pPr>
        <w:spacing w:line="360" w:lineRule="auto"/>
        <w:rPr>
          <w:rFonts w:ascii="Times New Roman" w:hAnsi="Times New Roman" w:cs="Times New Roman"/>
        </w:rPr>
      </w:pPr>
      <w:r>
        <w:rPr>
          <w:rFonts w:ascii="Times New Roman" w:hAnsi="Times New Roman" w:cs="Times New Roman"/>
        </w:rPr>
        <w:t xml:space="preserve">For further analysis, the two centermost data points from post cured each specimen were averaged and used to construct a depth profile through the five-layer specimens (see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_Ref100936895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60</w:t>
      </w:r>
      <w:r w:rsidRPr="00045079">
        <w:rPr>
          <w:rFonts w:ascii="Times New Roman" w:hAnsi="Times New Roman" w:cs="Times New Roman"/>
        </w:rPr>
        <w:fldChar w:fldCharType="end"/>
      </w:r>
      <w:r>
        <w:rPr>
          <w:rFonts w:ascii="Times New Roman" w:hAnsi="Times New Roman" w:cs="Times New Roman"/>
        </w:rPr>
        <w:t xml:space="preserve">).  The trend observed in single layer specimens (see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_Ref100936043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54</w:t>
      </w:r>
      <w:r w:rsidRPr="00045079">
        <w:rPr>
          <w:rFonts w:ascii="Times New Roman" w:hAnsi="Times New Roman" w:cs="Times New Roman"/>
        </w:rPr>
        <w:fldChar w:fldCharType="end"/>
      </w:r>
      <w:r>
        <w:rPr>
          <w:rFonts w:ascii="Times New Roman" w:hAnsi="Times New Roman" w:cs="Times New Roman"/>
        </w:rPr>
        <w:t xml:space="preserve">) is also found in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_Ref100936895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60</w:t>
      </w:r>
      <w:r w:rsidRPr="00045079">
        <w:rPr>
          <w:rFonts w:ascii="Times New Roman" w:hAnsi="Times New Roman" w:cs="Times New Roman"/>
        </w:rPr>
        <w:fldChar w:fldCharType="end"/>
      </w:r>
      <w:r>
        <w:rPr>
          <w:rFonts w:ascii="Times New Roman" w:hAnsi="Times New Roman" w:cs="Times New Roman"/>
        </w:rPr>
        <w:t>, with the High Dose specimens achieving the highest DC values at a depth of 850 μm to 1200 μm for each layer.  Likewise, there is some indication that the Low Dose layer cure improves with multiple irradiations, as the 1</w:t>
      </w:r>
      <w:r w:rsidRPr="00EB1E9F">
        <w:rPr>
          <w:rFonts w:ascii="Times New Roman" w:hAnsi="Times New Roman" w:cs="Times New Roman"/>
          <w:vertAlign w:val="superscript"/>
        </w:rPr>
        <w:t>st</w:t>
      </w:r>
      <w:r>
        <w:rPr>
          <w:rFonts w:ascii="Times New Roman" w:hAnsi="Times New Roman" w:cs="Times New Roman"/>
        </w:rPr>
        <w:t xml:space="preserve"> layer has the highest bottom surface DC of any layer at 49.7 %.  Layers 2 and 3 in the Low Dose specimen also have higher DC values at their bottom surfaces, while Layers 4 and 5 have the lowest bottom surface DC values and the fewest irradiation cycles.  The Low bottom surface DC of Layer 5 (21.9%) may also be the result of its comparatively high layer thickness of 3.55 mm.  At 2.96 mm thick, layer 4 also has a low bottom surface DC of 35.6% and more clearly demonstrates the multi-irradiation effect. </w:t>
      </w:r>
    </w:p>
    <w:p w14:paraId="0AA7C797" w14:textId="3E1EC51B" w:rsidR="00843ABB" w:rsidRDefault="00843ABB" w:rsidP="009D06D1">
      <w:pPr>
        <w:pStyle w:val="Heading3"/>
      </w:pPr>
      <w:bookmarkStart w:id="235" w:name="_Toc101701798"/>
      <w:r>
        <w:t>4</w:t>
      </w:r>
      <w:r w:rsidRPr="0094131D">
        <w:t>.</w:t>
      </w:r>
      <w:r w:rsidR="009D06D1">
        <w:t>5</w:t>
      </w:r>
      <w:r w:rsidRPr="0094131D">
        <w:t xml:space="preserve"> </w:t>
      </w:r>
      <w:r>
        <w:t>Cure depth profile on multi-layer fiberglass composite</w:t>
      </w:r>
      <w:bookmarkEnd w:id="235"/>
    </w:p>
    <w:p w14:paraId="61A0B0A3" w14:textId="77777777" w:rsidR="00843ABB" w:rsidRDefault="00843ABB" w:rsidP="00843ABB">
      <w:pPr>
        <w:spacing w:line="360" w:lineRule="auto"/>
        <w:rPr>
          <w:rFonts w:ascii="Times New Roman" w:hAnsi="Times New Roman" w:cs="Times New Roman"/>
        </w:rPr>
      </w:pPr>
      <w:r>
        <w:rPr>
          <w:rFonts w:ascii="Times New Roman" w:hAnsi="Times New Roman" w:cs="Times New Roman"/>
        </w:rPr>
        <w:t>To assess the potential cure gradient in composite specimens, nano-indentation was performed in the pockets of polymer in between densely packed fiber bundles.  The fiber structure in the laminate was primarily unidirectional, with approximately 8% of fibers in the transverse direction and 1% polyester stitching fibers between the roving.  Stitching, transverse fibers, alignment of rovings between layers, and gaps in roving may all influence light transmission and the resulting local cure in the polymer.  Therefore, nanoindentation sites were selected to encompass the extent of a sample and minimize local variations as much as possible.</w:t>
      </w:r>
    </w:p>
    <w:p w14:paraId="688DD44C" w14:textId="69200C9C" w:rsidR="00843ABB" w:rsidRDefault="00843ABB" w:rsidP="0039323C">
      <w:pPr>
        <w:widowControl w:val="0"/>
        <w:spacing w:line="360" w:lineRule="auto"/>
        <w:rPr>
          <w:rFonts w:ascii="Times New Roman" w:hAnsi="Times New Roman" w:cs="Times New Roman"/>
        </w:rPr>
      </w:pPr>
    </w:p>
    <w:p w14:paraId="0D90BA08" w14:textId="043D73F7" w:rsidR="005B0D2A" w:rsidRPr="00EB1E9F" w:rsidRDefault="005B0D2A" w:rsidP="0039323C">
      <w:pPr>
        <w:widowControl w:val="0"/>
        <w:spacing w:line="360" w:lineRule="auto"/>
        <w:rPr>
          <w:rFonts w:ascii="Times New Roman" w:hAnsi="Times New Roman" w:cs="Times New Roman"/>
        </w:rPr>
      </w:pPr>
      <w:r>
        <w:rPr>
          <w:rFonts w:ascii="Times New Roman" w:hAnsi="Times New Roman" w:cs="Times New Roman"/>
        </w:rPr>
        <w:t xml:space="preserve">As shown in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_Ref100937026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61</w:t>
      </w:r>
      <w:r w:rsidRPr="00045079">
        <w:rPr>
          <w:rFonts w:ascii="Times New Roman" w:hAnsi="Times New Roman" w:cs="Times New Roman"/>
        </w:rPr>
        <w:fldChar w:fldCharType="end"/>
      </w:r>
      <w:r>
        <w:rPr>
          <w:rFonts w:ascii="Times New Roman" w:hAnsi="Times New Roman" w:cs="Times New Roman"/>
        </w:rPr>
        <w:t xml:space="preserve">, the trends observed in the neat resin (see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_Ref100936112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55</w:t>
      </w:r>
      <w:r w:rsidRPr="00045079">
        <w:rPr>
          <w:rFonts w:ascii="Times New Roman" w:hAnsi="Times New Roman" w:cs="Times New Roman"/>
        </w:rPr>
        <w:fldChar w:fldCharType="end"/>
      </w:r>
      <w:r>
        <w:rPr>
          <w:rFonts w:ascii="Times New Roman" w:hAnsi="Times New Roman" w:cs="Times New Roman"/>
        </w:rPr>
        <w:t>) were similar in the fiberglass composite specimens.  The peak hardness values for the composite</w:t>
      </w:r>
    </w:p>
    <w:p w14:paraId="305806BB" w14:textId="77777777" w:rsidR="00F234D6" w:rsidRDefault="00C1521B" w:rsidP="00F234D6">
      <w:pPr>
        <w:keepNext/>
        <w:spacing w:line="360" w:lineRule="auto"/>
        <w:jc w:val="center"/>
      </w:pPr>
      <w:r>
        <w:rPr>
          <w:noProof/>
        </w:rPr>
        <w:lastRenderedPageBreak/>
        <w:drawing>
          <wp:inline distT="0" distB="0" distL="0" distR="0" wp14:anchorId="7F3EEA52" wp14:editId="66F1106D">
            <wp:extent cx="5133474" cy="7184647"/>
            <wp:effectExtent l="0" t="0" r="0" b="0"/>
            <wp:docPr id="54" name="Picture 54" descr="Chart, calendar,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calendar, bar char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2268" cy="7196955"/>
                    </a:xfrm>
                    <a:prstGeom prst="rect">
                      <a:avLst/>
                    </a:prstGeom>
                    <a:noFill/>
                    <a:ln>
                      <a:noFill/>
                    </a:ln>
                  </pic:spPr>
                </pic:pic>
              </a:graphicData>
            </a:graphic>
          </wp:inline>
        </w:drawing>
      </w:r>
    </w:p>
    <w:p w14:paraId="09CB31BE" w14:textId="1D1EA32C" w:rsidR="00C1521B" w:rsidRDefault="00F234D6" w:rsidP="00F20503">
      <w:pPr>
        <w:pStyle w:val="Caption"/>
      </w:pPr>
      <w:bookmarkStart w:id="236" w:name="_Ref100936419"/>
      <w:bookmarkStart w:id="237" w:name="_Toc101365719"/>
      <w:r>
        <w:t xml:space="preserve">Figure </w:t>
      </w:r>
      <w:r w:rsidR="002F73EC">
        <w:fldChar w:fldCharType="begin"/>
      </w:r>
      <w:r w:rsidR="002F73EC">
        <w:instrText xml:space="preserve"> SEQ Figure \* ARABIC </w:instrText>
      </w:r>
      <w:r w:rsidR="002F73EC">
        <w:fldChar w:fldCharType="separate"/>
      </w:r>
      <w:r w:rsidR="00BF5717">
        <w:rPr>
          <w:noProof/>
        </w:rPr>
        <w:t>57</w:t>
      </w:r>
      <w:r w:rsidR="002F73EC">
        <w:rPr>
          <w:noProof/>
        </w:rPr>
        <w:fldChar w:fldCharType="end"/>
      </w:r>
      <w:bookmarkEnd w:id="236"/>
      <w:r>
        <w:t xml:space="preserve"> FTIR microscopy results (left) for five-layer Low Dose specimens.  Note that the darker regions in the optical microscopy (right) correspond with a low DC.</w:t>
      </w:r>
      <w:bookmarkEnd w:id="237"/>
      <w:r>
        <w:t xml:space="preserve">  </w:t>
      </w:r>
    </w:p>
    <w:p w14:paraId="4B85068D" w14:textId="77777777" w:rsidR="00F234D6" w:rsidRDefault="00C1521B" w:rsidP="00F234D6">
      <w:pPr>
        <w:keepNext/>
        <w:spacing w:line="360" w:lineRule="auto"/>
        <w:jc w:val="center"/>
      </w:pPr>
      <w:r>
        <w:rPr>
          <w:rFonts w:ascii="Times New Roman" w:hAnsi="Times New Roman" w:cs="Times New Roman"/>
          <w:noProof/>
        </w:rPr>
        <w:lastRenderedPageBreak/>
        <w:drawing>
          <wp:inline distT="0" distB="0" distL="0" distR="0" wp14:anchorId="27081DFC" wp14:editId="2FF33E08">
            <wp:extent cx="5181600" cy="7252001"/>
            <wp:effectExtent l="0" t="0" r="0" b="6350"/>
            <wp:docPr id="55" name="Picture 55" descr="Chart, bar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bar chart, treemap char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13946" cy="7297272"/>
                    </a:xfrm>
                    <a:prstGeom prst="rect">
                      <a:avLst/>
                    </a:prstGeom>
                    <a:noFill/>
                    <a:ln>
                      <a:noFill/>
                    </a:ln>
                  </pic:spPr>
                </pic:pic>
              </a:graphicData>
            </a:graphic>
          </wp:inline>
        </w:drawing>
      </w:r>
    </w:p>
    <w:p w14:paraId="571A2344" w14:textId="6E2B4C2E" w:rsidR="00C1521B" w:rsidRDefault="00F234D6" w:rsidP="00F20503">
      <w:pPr>
        <w:pStyle w:val="Caption"/>
      </w:pPr>
      <w:bookmarkStart w:id="238" w:name="_Ref100936424"/>
      <w:bookmarkStart w:id="239" w:name="_Toc101365720"/>
      <w:r>
        <w:t xml:space="preserve">Figure </w:t>
      </w:r>
      <w:r w:rsidR="002F73EC">
        <w:fldChar w:fldCharType="begin"/>
      </w:r>
      <w:r w:rsidR="002F73EC">
        <w:instrText xml:space="preserve"> SEQ Figure \* ARABIC </w:instrText>
      </w:r>
      <w:r w:rsidR="002F73EC">
        <w:fldChar w:fldCharType="separate"/>
      </w:r>
      <w:r w:rsidR="00BF5717">
        <w:rPr>
          <w:noProof/>
        </w:rPr>
        <w:t>58</w:t>
      </w:r>
      <w:r w:rsidR="002F73EC">
        <w:rPr>
          <w:noProof/>
        </w:rPr>
        <w:fldChar w:fldCharType="end"/>
      </w:r>
      <w:bookmarkEnd w:id="238"/>
      <w:r>
        <w:t xml:space="preserve"> FTIR microscopy for Medium Dose specimens.  The overall DC is higher than the Low Dose specimens, but layers are easily distinguished by the cure gradient.</w:t>
      </w:r>
      <w:bookmarkEnd w:id="239"/>
    </w:p>
    <w:p w14:paraId="49B494A8" w14:textId="77777777" w:rsidR="00F234D6" w:rsidRDefault="00C1521B" w:rsidP="00F234D6">
      <w:pPr>
        <w:keepNext/>
        <w:spacing w:line="360" w:lineRule="auto"/>
        <w:jc w:val="center"/>
      </w:pPr>
      <w:r>
        <w:rPr>
          <w:noProof/>
        </w:rPr>
        <w:lastRenderedPageBreak/>
        <w:drawing>
          <wp:inline distT="0" distB="0" distL="0" distR="0" wp14:anchorId="4238FC4E" wp14:editId="4F6C1754">
            <wp:extent cx="5080000" cy="7109806"/>
            <wp:effectExtent l="0" t="0" r="6350" b="0"/>
            <wp:docPr id="56" name="Picture 56" descr="Chart, bar chart, waterfall 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bar chart, waterfall chart, treemap char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16005" cy="7160197"/>
                    </a:xfrm>
                    <a:prstGeom prst="rect">
                      <a:avLst/>
                    </a:prstGeom>
                    <a:noFill/>
                    <a:ln>
                      <a:noFill/>
                    </a:ln>
                  </pic:spPr>
                </pic:pic>
              </a:graphicData>
            </a:graphic>
          </wp:inline>
        </w:drawing>
      </w:r>
    </w:p>
    <w:p w14:paraId="6F924E5C" w14:textId="3D014149" w:rsidR="00DE1EB8" w:rsidRPr="00322976" w:rsidRDefault="00F234D6" w:rsidP="00843ABB">
      <w:pPr>
        <w:pStyle w:val="Caption"/>
      </w:pPr>
      <w:bookmarkStart w:id="240" w:name="_Ref100936426"/>
      <w:bookmarkStart w:id="241" w:name="_Toc101365721"/>
      <w:r>
        <w:t xml:space="preserve">Figure </w:t>
      </w:r>
      <w:r w:rsidR="002F73EC">
        <w:fldChar w:fldCharType="begin"/>
      </w:r>
      <w:r w:rsidR="002F73EC">
        <w:instrText xml:space="preserve"> SEQ Figure \* ARABIC </w:instrText>
      </w:r>
      <w:r w:rsidR="002F73EC">
        <w:fldChar w:fldCharType="separate"/>
      </w:r>
      <w:r w:rsidR="00BF5717">
        <w:rPr>
          <w:noProof/>
        </w:rPr>
        <w:t>59</w:t>
      </w:r>
      <w:r w:rsidR="002F73EC">
        <w:rPr>
          <w:noProof/>
        </w:rPr>
        <w:fldChar w:fldCharType="end"/>
      </w:r>
      <w:bookmarkEnd w:id="240"/>
      <w:r>
        <w:t xml:space="preserve"> FTIR microscopy for High Dose specimens.  Some cure gradient is still present, and a defect in the top two layers of the No Post Cure specimen was identified with lower DC.</w:t>
      </w:r>
      <w:bookmarkEnd w:id="241"/>
    </w:p>
    <w:p w14:paraId="525CF9F3" w14:textId="449680E7" w:rsidR="00643ACA" w:rsidRDefault="00DE1EB8" w:rsidP="00DE1EB8">
      <w:pPr>
        <w:spacing w:line="360" w:lineRule="auto"/>
        <w:rPr>
          <w:rFonts w:ascii="Times New Roman" w:hAnsi="Times New Roman" w:cs="Times New Roman"/>
        </w:rPr>
      </w:pPr>
      <w:r>
        <w:rPr>
          <w:rFonts w:ascii="Times New Roman" w:hAnsi="Times New Roman" w:cs="Times New Roman"/>
        </w:rPr>
        <w:lastRenderedPageBreak/>
        <w:t>specimens were consistently lower than the peak values for the neat resin specimens, by 1.1 to 5.2 HV. There was no clear improvement from the multiple irradiations, but</w:t>
      </w:r>
      <w:r w:rsidR="00643ACA">
        <w:rPr>
          <w:rFonts w:ascii="Times New Roman" w:hAnsi="Times New Roman" w:cs="Times New Roman"/>
        </w:rPr>
        <w:t xml:space="preserve"> </w:t>
      </w:r>
      <w:r>
        <w:rPr>
          <w:rFonts w:ascii="Times New Roman" w:hAnsi="Times New Roman" w:cs="Times New Roman"/>
        </w:rPr>
        <w:t xml:space="preserve">thermal post curing yielded an overall increase in hardness values for both doses. </w:t>
      </w:r>
      <w:r w:rsidR="00643ACA">
        <w:rPr>
          <w:rFonts w:ascii="Times New Roman" w:hAnsi="Times New Roman" w:cs="Times New Roman"/>
        </w:rPr>
        <w:t xml:space="preserve">    </w:t>
      </w:r>
    </w:p>
    <w:p w14:paraId="03B61F1A" w14:textId="27478698" w:rsidR="00843ABB" w:rsidRDefault="00843ABB" w:rsidP="00DE1EB8">
      <w:pPr>
        <w:spacing w:line="360" w:lineRule="auto"/>
        <w:rPr>
          <w:rFonts w:ascii="Times New Roman" w:hAnsi="Times New Roman" w:cs="Times New Roman"/>
        </w:rPr>
      </w:pPr>
    </w:p>
    <w:p w14:paraId="5E4D9785" w14:textId="06020E9C" w:rsidR="00843ABB" w:rsidRPr="00643ACA" w:rsidRDefault="00843ABB" w:rsidP="00843ABB">
      <w:pPr>
        <w:spacing w:line="360" w:lineRule="auto"/>
        <w:rPr>
          <w:rFonts w:ascii="Times New Roman" w:hAnsi="Times New Roman" w:cs="Times New Roman"/>
          <w:b/>
          <w:bCs/>
        </w:rPr>
      </w:pPr>
      <w:r>
        <w:rPr>
          <w:rFonts w:ascii="Times New Roman" w:hAnsi="Times New Roman" w:cs="Times New Roman"/>
        </w:rPr>
        <w:t xml:space="preserve">As with the neat resin FTIR microscopy results (see </w:t>
      </w:r>
      <w:r w:rsidRPr="00045079">
        <w:rPr>
          <w:rFonts w:ascii="Times New Roman" w:hAnsi="Times New Roman" w:cs="Times New Roman"/>
        </w:rPr>
        <w:fldChar w:fldCharType="begin"/>
      </w:r>
      <w:r w:rsidRPr="00045079">
        <w:rPr>
          <w:rFonts w:ascii="Times New Roman" w:hAnsi="Times New Roman" w:cs="Times New Roman"/>
        </w:rPr>
        <w:instrText xml:space="preserve"> REF _Ref100936895 \h </w:instrText>
      </w:r>
      <w:r>
        <w:rPr>
          <w:rFonts w:ascii="Times New Roman" w:hAnsi="Times New Roman" w:cs="Times New Roman"/>
        </w:rPr>
        <w:instrText xml:space="preserve"> \* MERGEFORMAT </w:instrText>
      </w:r>
      <w:r w:rsidRPr="00045079">
        <w:rPr>
          <w:rFonts w:ascii="Times New Roman" w:hAnsi="Times New Roman" w:cs="Times New Roman"/>
        </w:rPr>
      </w:r>
      <w:r w:rsidRPr="00045079">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60</w:t>
      </w:r>
      <w:r w:rsidRPr="00045079">
        <w:rPr>
          <w:rFonts w:ascii="Times New Roman" w:hAnsi="Times New Roman" w:cs="Times New Roman"/>
        </w:rPr>
        <w:fldChar w:fldCharType="end"/>
      </w:r>
      <w:r>
        <w:rPr>
          <w:rFonts w:ascii="Times New Roman" w:hAnsi="Times New Roman" w:cs="Times New Roman"/>
        </w:rPr>
        <w:t xml:space="preserve">), each layer had a cure gradient and </w:t>
      </w:r>
      <w:r w:rsidR="00FB6763">
        <w:rPr>
          <w:rFonts w:ascii="Times New Roman" w:hAnsi="Times New Roman" w:cs="Times New Roman"/>
        </w:rPr>
        <w:t>hardness increased</w:t>
      </w:r>
      <w:r>
        <w:rPr>
          <w:rFonts w:ascii="Times New Roman" w:hAnsi="Times New Roman" w:cs="Times New Roman"/>
        </w:rPr>
        <w:t xml:space="preserve"> at the layer interface for the Low Dose specimens.  For the Low Dose composite specimens, the HV gradient varied from 12.0 to 18.9 without a post cure and from 8.9 to 14.9 with a post cure, indicating a reduced cure gradient.  </w:t>
      </w:r>
    </w:p>
    <w:p w14:paraId="61BAA70D" w14:textId="77777777" w:rsidR="00843ABB" w:rsidRDefault="00843ABB" w:rsidP="00843ABB">
      <w:pPr>
        <w:spacing w:line="360" w:lineRule="auto"/>
        <w:rPr>
          <w:rFonts w:ascii="Times New Roman" w:hAnsi="Times New Roman" w:cs="Times New Roman"/>
        </w:rPr>
      </w:pPr>
    </w:p>
    <w:p w14:paraId="50A7807A" w14:textId="4E5DA382" w:rsidR="00843ABB" w:rsidRDefault="00843ABB" w:rsidP="00843ABB">
      <w:pPr>
        <w:spacing w:line="360" w:lineRule="auto"/>
        <w:rPr>
          <w:rFonts w:ascii="Times New Roman" w:hAnsi="Times New Roman" w:cs="Times New Roman"/>
        </w:rPr>
      </w:pPr>
      <w:r>
        <w:rPr>
          <w:rFonts w:ascii="Times New Roman" w:hAnsi="Times New Roman" w:cs="Times New Roman"/>
        </w:rPr>
        <w:t xml:space="preserve">As shown in </w:t>
      </w:r>
      <w:r w:rsidRPr="009134C6">
        <w:rPr>
          <w:rFonts w:ascii="Times New Roman" w:hAnsi="Times New Roman" w:cs="Times New Roman"/>
        </w:rPr>
        <w:fldChar w:fldCharType="begin"/>
      </w:r>
      <w:r w:rsidRPr="009134C6">
        <w:rPr>
          <w:rFonts w:ascii="Times New Roman" w:hAnsi="Times New Roman" w:cs="Times New Roman"/>
        </w:rPr>
        <w:instrText xml:space="preserve"> REF _Ref100937026 \h </w:instrText>
      </w:r>
      <w:r>
        <w:rPr>
          <w:rFonts w:ascii="Times New Roman" w:hAnsi="Times New Roman" w:cs="Times New Roman"/>
        </w:rPr>
        <w:instrText xml:space="preserve"> \* MERGEFORMAT </w:instrText>
      </w:r>
      <w:r w:rsidRPr="009134C6">
        <w:rPr>
          <w:rFonts w:ascii="Times New Roman" w:hAnsi="Times New Roman" w:cs="Times New Roman"/>
        </w:rPr>
      </w:r>
      <w:r w:rsidRPr="009134C6">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61</w:t>
      </w:r>
      <w:r w:rsidRPr="009134C6">
        <w:rPr>
          <w:rFonts w:ascii="Times New Roman" w:hAnsi="Times New Roman" w:cs="Times New Roman"/>
        </w:rPr>
        <w:fldChar w:fldCharType="end"/>
      </w:r>
      <w:r>
        <w:rPr>
          <w:rFonts w:ascii="Times New Roman" w:hAnsi="Times New Roman" w:cs="Times New Roman"/>
        </w:rPr>
        <w:t>, the High Dose composite specimens exhibited a plateau region with higher HV and a drop in hardness within the 2-3 mm depth range of a layer.  For the High Dose composite specimens, the Layer 2 without post cure had a higher amount of scatter than the other specimens, but Layer 1 had less scatter and a hardness gradient of 4.3.  With a post cure the hardness gradient increased to a range of 6.1 to 6.9 HV, although the median hardness also increased from 27.3 without a post cure to 33.2 with a post cure.</w:t>
      </w:r>
    </w:p>
    <w:p w14:paraId="31C807B1" w14:textId="68DB2741" w:rsidR="00843ABB" w:rsidRDefault="00843ABB" w:rsidP="009D06D1">
      <w:pPr>
        <w:pStyle w:val="Heading3"/>
      </w:pPr>
      <w:bookmarkStart w:id="242" w:name="_Toc101701799"/>
      <w:r>
        <w:t>4</w:t>
      </w:r>
      <w:r w:rsidRPr="0094131D">
        <w:t>.</w:t>
      </w:r>
      <w:r w:rsidR="009D06D1">
        <w:t>6</w:t>
      </w:r>
      <w:r w:rsidRPr="0094131D">
        <w:t xml:space="preserve"> </w:t>
      </w:r>
      <w:r>
        <w:t>ILSS on Multi-Layer Fiberglass Composite</w:t>
      </w:r>
      <w:bookmarkEnd w:id="242"/>
    </w:p>
    <w:p w14:paraId="61DBCE11" w14:textId="3D63AE61" w:rsidR="00843ABB" w:rsidRDefault="00843ABB" w:rsidP="00843ABB">
      <w:pPr>
        <w:spacing w:line="360" w:lineRule="auto"/>
        <w:rPr>
          <w:rFonts w:ascii="Times New Roman" w:hAnsi="Times New Roman" w:cs="Times New Roman"/>
        </w:rPr>
      </w:pPr>
      <w:r>
        <w:rPr>
          <w:rFonts w:ascii="Times New Roman" w:hAnsi="Times New Roman" w:cs="Times New Roman"/>
        </w:rPr>
        <w:t xml:space="preserve">To better assess the influence of the cure gradient on bond strength at the layer interface, ILSS testing was conducted on both single and multi-layer composites.  Four dose levels were tested equivalent to the High, Medium, and Low static doses, with an additional intermediate dose at a 15 mm/s scan rate (see </w:t>
      </w:r>
      <w:r w:rsidRPr="00F44455">
        <w:rPr>
          <w:rFonts w:ascii="Times New Roman" w:hAnsi="Times New Roman" w:cs="Times New Roman"/>
          <w:highlight w:val="yellow"/>
        </w:rPr>
        <w:fldChar w:fldCharType="begin"/>
      </w:r>
      <w:r w:rsidRPr="00F44455">
        <w:rPr>
          <w:rFonts w:ascii="Times New Roman" w:hAnsi="Times New Roman" w:cs="Times New Roman"/>
        </w:rPr>
        <w:instrText xml:space="preserve"> REF _Ref100935341 \h </w:instrText>
      </w:r>
      <w:r>
        <w:rPr>
          <w:rFonts w:ascii="Times New Roman" w:hAnsi="Times New Roman" w:cs="Times New Roman"/>
          <w:highlight w:val="yellow"/>
        </w:rPr>
        <w:instrText xml:space="preserve"> \* MERGEFORMAT </w:instrText>
      </w:r>
      <w:r w:rsidRPr="00F44455">
        <w:rPr>
          <w:rFonts w:ascii="Times New Roman" w:hAnsi="Times New Roman" w:cs="Times New Roman"/>
          <w:highlight w:val="yellow"/>
        </w:rPr>
      </w:r>
      <w:r w:rsidRPr="00F44455">
        <w:rPr>
          <w:rFonts w:ascii="Times New Roman" w:hAnsi="Times New Roman" w:cs="Times New Roman"/>
          <w:highlight w:val="yellow"/>
        </w:rPr>
        <w:fldChar w:fldCharType="separate"/>
      </w:r>
      <w:r w:rsidRPr="00843ABB">
        <w:rPr>
          <w:rFonts w:ascii="Times New Roman" w:hAnsi="Times New Roman" w:cs="Times New Roman"/>
        </w:rPr>
        <w:t xml:space="preserve">Table </w:t>
      </w:r>
      <w:r w:rsidRPr="00843ABB">
        <w:rPr>
          <w:rFonts w:ascii="Times New Roman" w:hAnsi="Times New Roman" w:cs="Times New Roman"/>
          <w:noProof/>
        </w:rPr>
        <w:t>7</w:t>
      </w:r>
      <w:r w:rsidRPr="00F44455">
        <w:rPr>
          <w:rFonts w:ascii="Times New Roman" w:hAnsi="Times New Roman" w:cs="Times New Roman"/>
          <w:highlight w:val="yellow"/>
        </w:rPr>
        <w:fldChar w:fldCharType="end"/>
      </w:r>
      <w:r>
        <w:rPr>
          <w:rFonts w:ascii="Times New Roman" w:hAnsi="Times New Roman" w:cs="Times New Roman"/>
        </w:rPr>
        <w:t xml:space="preserve">).  In </w:t>
      </w:r>
      <w:r w:rsidRPr="009134C6">
        <w:rPr>
          <w:rFonts w:ascii="Times New Roman" w:hAnsi="Times New Roman" w:cs="Times New Roman"/>
        </w:rPr>
        <w:fldChar w:fldCharType="begin"/>
      </w:r>
      <w:r w:rsidRPr="009134C6">
        <w:rPr>
          <w:rFonts w:ascii="Times New Roman" w:hAnsi="Times New Roman" w:cs="Times New Roman"/>
        </w:rPr>
        <w:instrText xml:space="preserve"> REF _Ref100937329 \h </w:instrText>
      </w:r>
      <w:r>
        <w:rPr>
          <w:rFonts w:ascii="Times New Roman" w:hAnsi="Times New Roman" w:cs="Times New Roman"/>
        </w:rPr>
        <w:instrText xml:space="preserve"> \* MERGEFORMAT </w:instrText>
      </w:r>
      <w:r w:rsidRPr="009134C6">
        <w:rPr>
          <w:rFonts w:ascii="Times New Roman" w:hAnsi="Times New Roman" w:cs="Times New Roman"/>
        </w:rPr>
      </w:r>
      <w:r w:rsidRPr="009134C6">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62</w:t>
      </w:r>
      <w:r w:rsidRPr="009134C6">
        <w:rPr>
          <w:rFonts w:ascii="Times New Roman" w:hAnsi="Times New Roman" w:cs="Times New Roman"/>
        </w:rPr>
        <w:fldChar w:fldCharType="end"/>
      </w:r>
      <w:r>
        <w:rPr>
          <w:rFonts w:ascii="Times New Roman" w:hAnsi="Times New Roman" w:cs="Times New Roman"/>
        </w:rPr>
        <w:t xml:space="preserve">, there does not appear to be a clear trend in ILSS with increasing dose for 1-layer specimens. However, thermal post cure improved the average ILSS by 5-9 MPa for all except the 10 mm/s equivalent dose, which had a high standard deviation in results. </w:t>
      </w:r>
    </w:p>
    <w:p w14:paraId="34258F1D" w14:textId="382161F0" w:rsidR="005B0D2A" w:rsidRDefault="005B0D2A" w:rsidP="00843ABB">
      <w:pPr>
        <w:spacing w:line="360" w:lineRule="auto"/>
        <w:rPr>
          <w:rFonts w:ascii="Times New Roman" w:hAnsi="Times New Roman" w:cs="Times New Roman"/>
        </w:rPr>
      </w:pPr>
    </w:p>
    <w:p w14:paraId="691E4215" w14:textId="0DDC1848" w:rsidR="00843ABB" w:rsidRDefault="005B0D2A" w:rsidP="00DE1EB8">
      <w:pPr>
        <w:spacing w:line="360" w:lineRule="auto"/>
        <w:rPr>
          <w:rFonts w:ascii="Times New Roman" w:hAnsi="Times New Roman" w:cs="Times New Roman"/>
        </w:rPr>
      </w:pPr>
      <w:r>
        <w:rPr>
          <w:rFonts w:ascii="Times New Roman" w:hAnsi="Times New Roman" w:cs="Times New Roman"/>
        </w:rPr>
        <w:t xml:space="preserve">With two layers of composite, the total thickness of the ILSS samples increased to 6 mm.  As indicated by </w:t>
      </w:r>
      <w:r w:rsidRPr="00F44455">
        <w:rPr>
          <w:rFonts w:ascii="Times New Roman" w:hAnsi="Times New Roman" w:cs="Times New Roman"/>
        </w:rPr>
        <w:fldChar w:fldCharType="begin"/>
      </w:r>
      <w:r w:rsidRPr="00F44455">
        <w:rPr>
          <w:rFonts w:ascii="Times New Roman" w:hAnsi="Times New Roman" w:cs="Times New Roman"/>
        </w:rPr>
        <w:instrText xml:space="preserve"> REF _Ref100937501 \h </w:instrText>
      </w:r>
      <w:r>
        <w:rPr>
          <w:rFonts w:ascii="Times New Roman" w:hAnsi="Times New Roman" w:cs="Times New Roman"/>
        </w:rPr>
        <w:instrText xml:space="preserve"> \* MERGEFORMAT </w:instrText>
      </w:r>
      <w:r w:rsidRPr="00F44455">
        <w:rPr>
          <w:rFonts w:ascii="Times New Roman" w:hAnsi="Times New Roman" w:cs="Times New Roman"/>
        </w:rPr>
      </w:r>
      <w:r w:rsidRPr="00F44455">
        <w:rPr>
          <w:rFonts w:ascii="Times New Roman" w:hAnsi="Times New Roman" w:cs="Times New Roman"/>
        </w:rPr>
        <w:fldChar w:fldCharType="separate"/>
      </w:r>
      <w:r w:rsidRPr="00843ABB">
        <w:rPr>
          <w:rFonts w:ascii="Times New Roman" w:hAnsi="Times New Roman" w:cs="Times New Roman"/>
        </w:rPr>
        <w:t xml:space="preserve">Figure </w:t>
      </w:r>
      <w:r w:rsidRPr="00843ABB">
        <w:rPr>
          <w:rFonts w:ascii="Times New Roman" w:hAnsi="Times New Roman" w:cs="Times New Roman"/>
          <w:noProof/>
        </w:rPr>
        <w:t>63</w:t>
      </w:r>
      <w:r w:rsidRPr="00F44455">
        <w:rPr>
          <w:rFonts w:ascii="Times New Roman" w:hAnsi="Times New Roman" w:cs="Times New Roman"/>
        </w:rPr>
        <w:fldChar w:fldCharType="end"/>
      </w:r>
      <w:r>
        <w:rPr>
          <w:rFonts w:ascii="Times New Roman" w:hAnsi="Times New Roman" w:cs="Times New Roman"/>
        </w:rPr>
        <w:t>, average ILSS values improved consistently with increasing UV dose.  Likewise, thermal post cure consistently improved average ILSS, increasing</w:t>
      </w:r>
      <w:r w:rsidR="00FB6763">
        <w:rPr>
          <w:rFonts w:ascii="Times New Roman" w:hAnsi="Times New Roman" w:cs="Times New Roman"/>
        </w:rPr>
        <w:t xml:space="preserve"> by as much as 4.0 to 4.5 MPa at the High Dose and Medium Dose levels.  From the High</w:t>
      </w:r>
    </w:p>
    <w:p w14:paraId="5838DFA0" w14:textId="77777777" w:rsidR="00045079" w:rsidRDefault="00C1521B" w:rsidP="00045079">
      <w:pPr>
        <w:keepNext/>
        <w:spacing w:line="360" w:lineRule="auto"/>
        <w:jc w:val="center"/>
      </w:pPr>
      <w:r>
        <w:rPr>
          <w:rFonts w:ascii="Times New Roman" w:hAnsi="Times New Roman" w:cs="Times New Roman"/>
          <w:b/>
          <w:bCs/>
          <w:noProof/>
        </w:rPr>
        <w:lastRenderedPageBreak/>
        <w:drawing>
          <wp:inline distT="0" distB="0" distL="0" distR="0" wp14:anchorId="2CE486C7" wp14:editId="11329C5B">
            <wp:extent cx="4305490" cy="3561347"/>
            <wp:effectExtent l="0" t="0" r="0" b="1270"/>
            <wp:docPr id="57" name="Picture 5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scatter chart&#10;&#10;Description automatically generated"/>
                    <pic:cNvPicPr/>
                  </pic:nvPicPr>
                  <pic:blipFill rotWithShape="1">
                    <a:blip r:embed="rId65" cstate="print">
                      <a:extLst>
                        <a:ext uri="{28A0092B-C50C-407E-A947-70E740481C1C}">
                          <a14:useLocalDpi xmlns:a14="http://schemas.microsoft.com/office/drawing/2010/main" val="0"/>
                        </a:ext>
                      </a:extLst>
                    </a:blip>
                    <a:srcRect l="16638" t="8650" r="2676" b="4125"/>
                    <a:stretch/>
                  </pic:blipFill>
                  <pic:spPr bwMode="auto">
                    <a:xfrm>
                      <a:off x="0" y="0"/>
                      <a:ext cx="4316322" cy="3570307"/>
                    </a:xfrm>
                    <a:prstGeom prst="rect">
                      <a:avLst/>
                    </a:prstGeom>
                    <a:ln>
                      <a:noFill/>
                    </a:ln>
                    <a:extLst>
                      <a:ext uri="{53640926-AAD7-44D8-BBD7-CCE9431645EC}">
                        <a14:shadowObscured xmlns:a14="http://schemas.microsoft.com/office/drawing/2010/main"/>
                      </a:ext>
                    </a:extLst>
                  </pic:spPr>
                </pic:pic>
              </a:graphicData>
            </a:graphic>
          </wp:inline>
        </w:drawing>
      </w:r>
    </w:p>
    <w:p w14:paraId="36846429" w14:textId="44837428" w:rsidR="00C1521B" w:rsidRDefault="00045079" w:rsidP="00F20503">
      <w:pPr>
        <w:pStyle w:val="Caption"/>
      </w:pPr>
      <w:bookmarkStart w:id="243" w:name="_Ref100936895"/>
      <w:bookmarkStart w:id="244" w:name="_Toc101365722"/>
      <w:r>
        <w:t xml:space="preserve">Figure </w:t>
      </w:r>
      <w:r w:rsidR="002F73EC">
        <w:fldChar w:fldCharType="begin"/>
      </w:r>
      <w:r w:rsidR="002F73EC">
        <w:instrText xml:space="preserve"> SEQ Figure \* ARABIC </w:instrText>
      </w:r>
      <w:r w:rsidR="002F73EC">
        <w:fldChar w:fldCharType="separate"/>
      </w:r>
      <w:r w:rsidR="00BF5717">
        <w:rPr>
          <w:noProof/>
        </w:rPr>
        <w:t>60</w:t>
      </w:r>
      <w:r w:rsidR="002F73EC">
        <w:rPr>
          <w:noProof/>
        </w:rPr>
        <w:fldChar w:fldCharType="end"/>
      </w:r>
      <w:bookmarkEnd w:id="243"/>
      <w:r>
        <w:t xml:space="preserve"> Centerline depth profile of post cured five-layer specimens.  The cure gradient </w:t>
      </w:r>
      <w:proofErr w:type="gramStart"/>
      <w:r>
        <w:t>decreases</w:t>
      </w:r>
      <w:proofErr w:type="gramEnd"/>
      <w:r>
        <w:t xml:space="preserve"> and overall DC increases with longer irradiation times.</w:t>
      </w:r>
      <w:bookmarkEnd w:id="244"/>
    </w:p>
    <w:p w14:paraId="7AD8084D" w14:textId="37050073" w:rsidR="006B1E6B" w:rsidRDefault="006B1E6B" w:rsidP="006B1E6B"/>
    <w:p w14:paraId="55EF0043" w14:textId="77777777" w:rsidR="006B1E6B" w:rsidRPr="006B1E6B" w:rsidRDefault="006B1E6B" w:rsidP="006B1E6B"/>
    <w:p w14:paraId="1760C2EE" w14:textId="77777777" w:rsidR="00045079" w:rsidRDefault="00322976" w:rsidP="00045079">
      <w:pPr>
        <w:keepNext/>
        <w:spacing w:line="360" w:lineRule="auto"/>
      </w:pPr>
      <w:r>
        <w:rPr>
          <w:noProof/>
        </w:rPr>
        <w:drawing>
          <wp:inline distT="0" distB="0" distL="0" distR="0" wp14:anchorId="0720B418" wp14:editId="3DC742A6">
            <wp:extent cx="5839327" cy="2668234"/>
            <wp:effectExtent l="0" t="0" r="0" b="0"/>
            <wp:docPr id="67" name="Picture 6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pic:nvPicPr>
                  <pic:blipFill rotWithShape="1">
                    <a:blip r:embed="rId66" cstate="print">
                      <a:extLst>
                        <a:ext uri="{28A0092B-C50C-407E-A947-70E740481C1C}">
                          <a14:useLocalDpi xmlns:a14="http://schemas.microsoft.com/office/drawing/2010/main" val="0"/>
                        </a:ext>
                      </a:extLst>
                    </a:blip>
                    <a:srcRect l="7212" r="1603" b="40349"/>
                    <a:stretch/>
                  </pic:blipFill>
                  <pic:spPr bwMode="auto">
                    <a:xfrm>
                      <a:off x="0" y="0"/>
                      <a:ext cx="5856090" cy="2675894"/>
                    </a:xfrm>
                    <a:prstGeom prst="rect">
                      <a:avLst/>
                    </a:prstGeom>
                    <a:ln>
                      <a:noFill/>
                    </a:ln>
                    <a:extLst>
                      <a:ext uri="{53640926-AAD7-44D8-BBD7-CCE9431645EC}">
                        <a14:shadowObscured xmlns:a14="http://schemas.microsoft.com/office/drawing/2010/main"/>
                      </a:ext>
                    </a:extLst>
                  </pic:spPr>
                </pic:pic>
              </a:graphicData>
            </a:graphic>
          </wp:inline>
        </w:drawing>
      </w:r>
    </w:p>
    <w:p w14:paraId="3858F819" w14:textId="0ECD95A9" w:rsidR="00DE1EB8" w:rsidRDefault="00045079" w:rsidP="00843ABB">
      <w:pPr>
        <w:pStyle w:val="Caption"/>
      </w:pPr>
      <w:bookmarkStart w:id="245" w:name="_Ref100937026"/>
      <w:bookmarkStart w:id="246" w:name="_Toc101365723"/>
      <w:r>
        <w:t xml:space="preserve">Figure </w:t>
      </w:r>
      <w:r w:rsidR="002F73EC">
        <w:fldChar w:fldCharType="begin"/>
      </w:r>
      <w:r w:rsidR="002F73EC">
        <w:instrText xml:space="preserve"> SEQ Figure \* ARABIC </w:instrText>
      </w:r>
      <w:r w:rsidR="002F73EC">
        <w:fldChar w:fldCharType="separate"/>
      </w:r>
      <w:r w:rsidR="00BF5717">
        <w:rPr>
          <w:noProof/>
        </w:rPr>
        <w:t>61</w:t>
      </w:r>
      <w:r w:rsidR="002F73EC">
        <w:rPr>
          <w:noProof/>
        </w:rPr>
        <w:fldChar w:fldCharType="end"/>
      </w:r>
      <w:bookmarkEnd w:id="245"/>
      <w:r>
        <w:t xml:space="preserve"> Nanoindentation hardness profile across layers, </w:t>
      </w:r>
      <w:r w:rsidRPr="00E83CB0">
        <w:t xml:space="preserve">with 0 </w:t>
      </w:r>
      <m:oMath>
        <m:r>
          <w:rPr>
            <w:rFonts w:ascii="Cambria Math" w:hAnsi="Cambria Math"/>
          </w:rPr>
          <m:t>μm</m:t>
        </m:r>
      </m:oMath>
      <w:r w:rsidRPr="00EB1E9F">
        <w:t xml:space="preserve"> </w:t>
      </w:r>
      <w:r w:rsidRPr="00E83CB0">
        <w:t xml:space="preserve"> and 3000 </w:t>
      </w:r>
      <w:r>
        <w:t>μm  depths as the UV irradiated surfaces.  The dotted line represents the interface between the two layers.</w:t>
      </w:r>
      <w:bookmarkEnd w:id="246"/>
    </w:p>
    <w:p w14:paraId="58AC4295" w14:textId="4F9C466A" w:rsidR="00DE1EB8" w:rsidRDefault="00DE1EB8" w:rsidP="00322976">
      <w:pPr>
        <w:spacing w:line="360" w:lineRule="auto"/>
        <w:rPr>
          <w:rFonts w:ascii="Times New Roman" w:hAnsi="Times New Roman" w:cs="Times New Roman"/>
          <w:noProof/>
        </w:rPr>
      </w:pPr>
      <w:r>
        <w:rPr>
          <w:rFonts w:ascii="Times New Roman" w:hAnsi="Times New Roman" w:cs="Times New Roman"/>
        </w:rPr>
        <w:lastRenderedPageBreak/>
        <w:t>Dose to the Low Dose, the average ILSS improves by 5 MPa without a post cure, and by 8 MPa with a post cure, the latter a 40% improvement in adhesion between layers.</w:t>
      </w:r>
      <w:r w:rsidR="00643ACA">
        <w:rPr>
          <w:rFonts w:ascii="Times New Roman" w:hAnsi="Times New Roman" w:cs="Times New Roman"/>
        </w:rPr>
        <w:t xml:space="preserve"> </w:t>
      </w:r>
      <w:r w:rsidR="00F44455" w:rsidRPr="00F44455">
        <w:rPr>
          <w:rFonts w:ascii="Times New Roman" w:hAnsi="Times New Roman" w:cs="Times New Roman"/>
          <w:noProof/>
        </w:rPr>
        <w:fldChar w:fldCharType="begin"/>
      </w:r>
      <w:r w:rsidR="00F44455" w:rsidRPr="00F44455">
        <w:rPr>
          <w:rFonts w:ascii="Times New Roman" w:hAnsi="Times New Roman" w:cs="Times New Roman"/>
        </w:rPr>
        <w:instrText xml:space="preserve"> REF _Ref100937547 \h </w:instrText>
      </w:r>
      <w:r w:rsidR="00F44455">
        <w:rPr>
          <w:rFonts w:ascii="Times New Roman" w:hAnsi="Times New Roman" w:cs="Times New Roman"/>
          <w:noProof/>
        </w:rPr>
        <w:instrText xml:space="preserve"> \* MERGEFORMAT </w:instrText>
      </w:r>
      <w:r w:rsidR="00F44455" w:rsidRPr="00F44455">
        <w:rPr>
          <w:rFonts w:ascii="Times New Roman" w:hAnsi="Times New Roman" w:cs="Times New Roman"/>
          <w:noProof/>
        </w:rPr>
      </w:r>
      <w:r w:rsidR="00F44455" w:rsidRPr="00F44455">
        <w:rPr>
          <w:rFonts w:ascii="Times New Roman" w:hAnsi="Times New Roman" w:cs="Times New Roman"/>
          <w:noProof/>
        </w:rPr>
        <w:fldChar w:fldCharType="separate"/>
      </w:r>
      <w:r w:rsidR="00843ABB" w:rsidRPr="00843ABB">
        <w:rPr>
          <w:rFonts w:ascii="Times New Roman" w:hAnsi="Times New Roman" w:cs="Times New Roman"/>
        </w:rPr>
        <w:t xml:space="preserve">Figure </w:t>
      </w:r>
      <w:r w:rsidR="00843ABB" w:rsidRPr="00843ABB">
        <w:rPr>
          <w:rFonts w:ascii="Times New Roman" w:hAnsi="Times New Roman" w:cs="Times New Roman"/>
          <w:noProof/>
        </w:rPr>
        <w:t>64</w:t>
      </w:r>
      <w:r w:rsidR="00F44455" w:rsidRPr="00F44455">
        <w:rPr>
          <w:rFonts w:ascii="Times New Roman" w:hAnsi="Times New Roman" w:cs="Times New Roman"/>
          <w:noProof/>
        </w:rPr>
        <w:fldChar w:fldCharType="end"/>
      </w:r>
      <w:r w:rsidR="00F44455">
        <w:rPr>
          <w:rFonts w:ascii="Times New Roman" w:hAnsi="Times New Roman" w:cs="Times New Roman"/>
          <w:noProof/>
        </w:rPr>
        <w:t xml:space="preserve"> </w:t>
      </w:r>
      <w:r w:rsidR="00643ACA">
        <w:rPr>
          <w:rFonts w:ascii="Times New Roman" w:hAnsi="Times New Roman" w:cs="Times New Roman"/>
          <w:noProof/>
        </w:rPr>
        <w:t>summarizes the 1 Layer and 2 Layer composite ILSS results for High and Low Dose.</w:t>
      </w:r>
    </w:p>
    <w:p w14:paraId="1A9A02A5" w14:textId="21643BE0" w:rsidR="00843ABB" w:rsidRDefault="00843ABB" w:rsidP="00322976">
      <w:pPr>
        <w:spacing w:line="360" w:lineRule="auto"/>
        <w:rPr>
          <w:rFonts w:ascii="Times New Roman" w:hAnsi="Times New Roman" w:cs="Times New Roman"/>
          <w:noProof/>
        </w:rPr>
      </w:pPr>
    </w:p>
    <w:p w14:paraId="4180200C" w14:textId="40CC3580" w:rsidR="00843ABB" w:rsidRDefault="00843ABB" w:rsidP="00843ABB">
      <w:pPr>
        <w:spacing w:line="360" w:lineRule="auto"/>
        <w:rPr>
          <w:rFonts w:ascii="Times New Roman" w:hAnsi="Times New Roman" w:cs="Times New Roman"/>
        </w:rPr>
      </w:pPr>
      <w:r>
        <w:rPr>
          <w:rFonts w:ascii="Times New Roman" w:hAnsi="Times New Roman" w:cs="Times New Roman"/>
          <w:noProof/>
        </w:rPr>
        <w:t xml:space="preserve">The ILSS values decrease for the 2 Layer </w:t>
      </w:r>
      <w:r w:rsidR="00FB6763">
        <w:rPr>
          <w:rFonts w:ascii="Times New Roman" w:hAnsi="Times New Roman" w:cs="Times New Roman"/>
          <w:noProof/>
        </w:rPr>
        <w:t xml:space="preserve">versus </w:t>
      </w:r>
      <w:r>
        <w:rPr>
          <w:rFonts w:ascii="Times New Roman" w:hAnsi="Times New Roman" w:cs="Times New Roman"/>
          <w:noProof/>
        </w:rPr>
        <w:t xml:space="preserve">1 Layer specimens.  For the Low Dose, this drop varies from 5.3 MPa without post cure to 11.1 MPa with post cure.  The High Dose average values nearly match between 1 Layer and 2 Layer, with the 1 Layer ILSS 2.1 MPa higher without post cure and 2.9 MPa higher with post cure.  </w:t>
      </w:r>
    </w:p>
    <w:p w14:paraId="6B5A35C9" w14:textId="77777777" w:rsidR="00843ABB" w:rsidRDefault="00843ABB" w:rsidP="00843ABB">
      <w:pPr>
        <w:spacing w:line="360" w:lineRule="auto"/>
      </w:pPr>
    </w:p>
    <w:p w14:paraId="7ECE6085" w14:textId="6744EEF7" w:rsidR="00843ABB" w:rsidRDefault="00843ABB" w:rsidP="00843ABB">
      <w:pPr>
        <w:spacing w:line="360" w:lineRule="auto"/>
        <w:rPr>
          <w:rFonts w:ascii="Times New Roman" w:hAnsi="Times New Roman" w:cs="Times New Roman"/>
        </w:rPr>
      </w:pPr>
      <w:r>
        <w:rPr>
          <w:rFonts w:ascii="Times New Roman" w:hAnsi="Times New Roman" w:cs="Times New Roman"/>
          <w:noProof/>
        </w:rPr>
        <w:t xml:space="preserve">As shown in </w:t>
      </w:r>
      <w:r w:rsidRPr="00F44455">
        <w:rPr>
          <w:rFonts w:ascii="Times New Roman" w:hAnsi="Times New Roman" w:cs="Times New Roman"/>
          <w:noProof/>
          <w:highlight w:val="yellow"/>
        </w:rPr>
        <w:fldChar w:fldCharType="begin"/>
      </w:r>
      <w:r w:rsidRPr="00F44455">
        <w:rPr>
          <w:rFonts w:ascii="Times New Roman" w:hAnsi="Times New Roman" w:cs="Times New Roman"/>
          <w:noProof/>
        </w:rPr>
        <w:instrText xml:space="preserve"> REF _Ref100937614 \h </w:instrText>
      </w:r>
      <w:r>
        <w:rPr>
          <w:rFonts w:ascii="Times New Roman" w:hAnsi="Times New Roman" w:cs="Times New Roman"/>
          <w:noProof/>
          <w:highlight w:val="yellow"/>
        </w:rPr>
        <w:instrText xml:space="preserve"> \* MERGEFORMAT </w:instrText>
      </w:r>
      <w:r w:rsidRPr="00F44455">
        <w:rPr>
          <w:rFonts w:ascii="Times New Roman" w:hAnsi="Times New Roman" w:cs="Times New Roman"/>
          <w:noProof/>
          <w:highlight w:val="yellow"/>
        </w:rPr>
      </w:r>
      <w:r w:rsidRPr="00F44455">
        <w:rPr>
          <w:rFonts w:ascii="Times New Roman" w:hAnsi="Times New Roman" w:cs="Times New Roman"/>
          <w:noProof/>
          <w:highlight w:val="yellow"/>
        </w:rPr>
        <w:fldChar w:fldCharType="separate"/>
      </w:r>
      <w:r w:rsidRPr="00843ABB">
        <w:rPr>
          <w:rFonts w:ascii="Times New Roman" w:hAnsi="Times New Roman" w:cs="Times New Roman"/>
        </w:rPr>
        <w:t xml:space="preserve">Table </w:t>
      </w:r>
      <w:r w:rsidRPr="00843ABB">
        <w:rPr>
          <w:rFonts w:ascii="Times New Roman" w:hAnsi="Times New Roman" w:cs="Times New Roman"/>
          <w:noProof/>
        </w:rPr>
        <w:t>9</w:t>
      </w:r>
      <w:r w:rsidRPr="00F44455">
        <w:rPr>
          <w:rFonts w:ascii="Times New Roman" w:hAnsi="Times New Roman" w:cs="Times New Roman"/>
          <w:noProof/>
          <w:highlight w:val="yellow"/>
        </w:rPr>
        <w:fldChar w:fldCharType="end"/>
      </w:r>
      <w:r>
        <w:rPr>
          <w:rFonts w:ascii="Times New Roman" w:hAnsi="Times New Roman" w:cs="Times New Roman"/>
          <w:noProof/>
        </w:rPr>
        <w:t xml:space="preserve">, this difference in manufacturing method is apparent in the fiber volume fraction, with the 2-layer thermoset controls achieving a </w:t>
      </w:r>
      <w:r w:rsidRPr="008F7FD5">
        <w:rPr>
          <w:rFonts w:ascii="Times New Roman" w:hAnsi="Times New Roman" w:cs="Times New Roman"/>
          <w:color w:val="000000"/>
        </w:rPr>
        <w:t>V</w:t>
      </w:r>
      <w:r w:rsidRPr="008F7FD5">
        <w:rPr>
          <w:rFonts w:ascii="Times New Roman" w:hAnsi="Times New Roman" w:cs="Times New Roman"/>
          <w:color w:val="000000"/>
          <w:vertAlign w:val="subscript"/>
        </w:rPr>
        <w:t>f</w:t>
      </w:r>
      <w:r>
        <w:t xml:space="preserve"> </w:t>
      </w:r>
      <w:r w:rsidRPr="008F7FD5">
        <w:rPr>
          <w:rFonts w:ascii="Times New Roman" w:hAnsi="Times New Roman" w:cs="Times New Roman"/>
        </w:rPr>
        <w:t>equivalent to the 1-layer specimen</w:t>
      </w:r>
      <w:r>
        <w:rPr>
          <w:rFonts w:ascii="Times New Roman" w:hAnsi="Times New Roman" w:cs="Times New Roman"/>
        </w:rPr>
        <w:t xml:space="preserve"> average of 54.2%.  The 2-layer UV cured composites had a lower average of 49.6% fiber volume fraction, which can be attributed to the resin rich surfaces created at the planar interface between the previously cured layer and the second layer infusion.  </w:t>
      </w:r>
    </w:p>
    <w:p w14:paraId="4E59BBF0" w14:textId="77777777" w:rsidR="00843ABB" w:rsidRDefault="00843ABB" w:rsidP="00843ABB">
      <w:pPr>
        <w:spacing w:line="360" w:lineRule="auto"/>
        <w:rPr>
          <w:rFonts w:ascii="Times New Roman" w:hAnsi="Times New Roman" w:cs="Times New Roman"/>
          <w:noProof/>
        </w:rPr>
      </w:pPr>
    </w:p>
    <w:p w14:paraId="1D59C23D" w14:textId="258AD312" w:rsidR="00843ABB" w:rsidRDefault="00843ABB" w:rsidP="00322976">
      <w:pPr>
        <w:spacing w:line="360" w:lineRule="auto"/>
        <w:rPr>
          <w:rFonts w:ascii="Times New Roman" w:hAnsi="Times New Roman" w:cs="Times New Roman"/>
        </w:rPr>
      </w:pPr>
      <w:r>
        <w:rPr>
          <w:rFonts w:ascii="Times New Roman" w:hAnsi="Times New Roman" w:cs="Times New Roman"/>
        </w:rPr>
        <w:t xml:space="preserve">Within the 2-layer panels, it is also notable that all panels at High Dose and Low Dose achieved lower ILSS than their equivalent 1 Layer counterparts.  The most obvious explanation for this is the difference in the quality of the secondary bond between layers vs. the interlaminar bonds within an infused layer, which was investigated using SEM. </w:t>
      </w:r>
    </w:p>
    <w:p w14:paraId="1AC7148E" w14:textId="77777777" w:rsidR="005B0D2A" w:rsidRDefault="005B0D2A" w:rsidP="005B0D2A">
      <w:pPr>
        <w:pStyle w:val="Heading3"/>
        <w:numPr>
          <w:ilvl w:val="0"/>
          <w:numId w:val="0"/>
        </w:numPr>
      </w:pPr>
      <w:bookmarkStart w:id="247" w:name="_Toc101701800"/>
      <w:r>
        <w:t>4</w:t>
      </w:r>
      <w:r w:rsidRPr="0094131D">
        <w:t>.</w:t>
      </w:r>
      <w:r>
        <w:t>7</w:t>
      </w:r>
      <w:r w:rsidRPr="0094131D">
        <w:t xml:space="preserve"> </w:t>
      </w:r>
      <w:r>
        <w:t>Single-Layer Fracture Surface Analysis</w:t>
      </w:r>
      <w:bookmarkEnd w:id="247"/>
    </w:p>
    <w:p w14:paraId="626C564A" w14:textId="77777777" w:rsidR="005B0D2A" w:rsidRDefault="005B0D2A" w:rsidP="005B0D2A">
      <w:pPr>
        <w:spacing w:line="360" w:lineRule="auto"/>
        <w:rPr>
          <w:rFonts w:ascii="Times New Roman" w:hAnsi="Times New Roman" w:cs="Times New Roman"/>
          <w:noProof/>
        </w:rPr>
      </w:pPr>
      <w:r>
        <w:rPr>
          <w:rFonts w:ascii="Times New Roman" w:hAnsi="Times New Roman" w:cs="Times New Roman"/>
        </w:rPr>
        <w:t>SEM imaging was used to assess the fracture surfaces of the various ILSS configurations for the single-layer laminates.  Few differences were apparent among the UV cured specimens, and all imaged specimens had evidence of fracture across the entire face of the exposed fracture surface, often with some exposed transverse fibers. As shown in</w:t>
      </w:r>
    </w:p>
    <w:p w14:paraId="582B89D8" w14:textId="4C0EE455" w:rsidR="00843ABB" w:rsidRDefault="005B0D2A" w:rsidP="005B0D2A">
      <w:pPr>
        <w:spacing w:line="360" w:lineRule="auto"/>
        <w:rPr>
          <w:rFonts w:ascii="Times New Roman" w:hAnsi="Times New Roman" w:cs="Times New Roman"/>
        </w:rPr>
      </w:pPr>
      <w:r w:rsidRPr="002064D7">
        <w:rPr>
          <w:rFonts w:ascii="Times New Roman" w:hAnsi="Times New Roman" w:cs="Times New Roman"/>
        </w:rPr>
        <w:fldChar w:fldCharType="begin"/>
      </w:r>
      <w:r w:rsidRPr="002064D7">
        <w:rPr>
          <w:rFonts w:ascii="Times New Roman" w:hAnsi="Times New Roman" w:cs="Times New Roman"/>
        </w:rPr>
        <w:instrText xml:space="preserve"> REF _Ref100938271 \h </w:instrText>
      </w:r>
      <w:r>
        <w:rPr>
          <w:rFonts w:ascii="Times New Roman" w:hAnsi="Times New Roman" w:cs="Times New Roman"/>
        </w:rPr>
        <w:instrText xml:space="preserve"> \* MERGEFORMAT </w:instrText>
      </w:r>
      <w:r w:rsidRPr="002064D7">
        <w:rPr>
          <w:rFonts w:ascii="Times New Roman" w:hAnsi="Times New Roman" w:cs="Times New Roman"/>
        </w:rPr>
      </w:r>
      <w:r w:rsidRPr="002064D7">
        <w:rPr>
          <w:rFonts w:ascii="Times New Roman" w:hAnsi="Times New Roman" w:cs="Times New Roman"/>
        </w:rPr>
        <w:fldChar w:fldCharType="separate"/>
      </w:r>
      <w:r w:rsidRPr="00C6616A">
        <w:rPr>
          <w:rFonts w:ascii="Times New Roman" w:hAnsi="Times New Roman" w:cs="Times New Roman"/>
        </w:rPr>
        <w:t xml:space="preserve">Figure </w:t>
      </w:r>
      <w:r w:rsidRPr="00C6616A">
        <w:rPr>
          <w:rFonts w:ascii="Times New Roman" w:hAnsi="Times New Roman" w:cs="Times New Roman"/>
          <w:noProof/>
        </w:rPr>
        <w:t>65</w:t>
      </w:r>
      <w:r w:rsidRPr="002064D7">
        <w:rPr>
          <w:rFonts w:ascii="Times New Roman" w:hAnsi="Times New Roman" w:cs="Times New Roman"/>
        </w:rPr>
        <w:fldChar w:fldCharType="end"/>
      </w:r>
      <w:r>
        <w:rPr>
          <w:rFonts w:ascii="Times New Roman" w:hAnsi="Times New Roman" w:cs="Times New Roman"/>
        </w:rPr>
        <w:t>, a typical fracture surface exhibited hackling within the polymer, an indicator of mode II shear failure that was also observed by Di Pietro in similar UV-cured</w:t>
      </w:r>
      <w:r w:rsidR="00FB6763">
        <w:rPr>
          <w:rFonts w:ascii="Times New Roman" w:hAnsi="Times New Roman" w:cs="Times New Roman"/>
        </w:rPr>
        <w:t xml:space="preserve"> composite ILSS testing </w:t>
      </w:r>
      <w:r w:rsidR="00FB6763">
        <w:rPr>
          <w:rFonts w:ascii="Times New Roman" w:hAnsi="Times New Roman" w:cs="Times New Roman"/>
        </w:rPr>
        <w:fldChar w:fldCharType="begin" w:fldLock="1"/>
      </w:r>
      <w:r w:rsidR="00FB6763">
        <w:rPr>
          <w:rFonts w:ascii="Times New Roman" w:hAnsi="Times New Roman" w:cs="Times New Roman"/>
        </w:rPr>
        <w:instrText>ADDIN CSL_CITATION {"citationItems":[{"id":"ITEM-1","itemData":{"DOI":"10.1007/s10853-009-3544-2","ISSN":"00222461","author":[{"dropping-particle":"","family":"Pietro","given":"A.","non-dropping-particle":"Di","parse-names":false,"suffix":""},{"dropping-particle":"","family":"Compston","given":"Paul","non-dropping-particle":"","parse-names":false,"suffix":""}],"container-title":"Journal of Materials Science","id":"ITEM-1","issue":"15","issued":{"date-parts":[["2009","8","22"]]},"page":"4188-4190","publisher":"Springer","title":"Resin hardness and interlaminar shear strength of a glass-fibre/vinylester composite cured with high intensity ultraviolet (UV) light","type":"article-journal","volume":"44"},"uris":["http://www.mendeley.com/documents/?uuid=76cb18dd-1362-3df5-9574-9b5dfd23ee83"]}],"mendeley":{"formattedCitation":"[123]","plainTextFormattedCitation":"[123]","previouslyFormattedCitation":"[123]"},"properties":{"noteIndex":0},"schema":"https://github.com/citation-style-language/schema/raw/master/csl-citation.json"}</w:instrText>
      </w:r>
      <w:r w:rsidR="00FB6763">
        <w:rPr>
          <w:rFonts w:ascii="Times New Roman" w:hAnsi="Times New Roman" w:cs="Times New Roman"/>
        </w:rPr>
        <w:fldChar w:fldCharType="separate"/>
      </w:r>
      <w:r w:rsidR="00FB6763" w:rsidRPr="00280E34">
        <w:rPr>
          <w:rFonts w:ascii="Times New Roman" w:hAnsi="Times New Roman" w:cs="Times New Roman"/>
          <w:noProof/>
        </w:rPr>
        <w:t>[123]</w:t>
      </w:r>
      <w:r w:rsidR="00FB6763">
        <w:rPr>
          <w:rFonts w:ascii="Times New Roman" w:hAnsi="Times New Roman" w:cs="Times New Roman"/>
        </w:rPr>
        <w:fldChar w:fldCharType="end"/>
      </w:r>
      <w:r w:rsidR="00FB6763">
        <w:rPr>
          <w:rFonts w:ascii="Times New Roman" w:hAnsi="Times New Roman" w:cs="Times New Roman"/>
        </w:rPr>
        <w:t xml:space="preserve">.  All specimens exhibited regions with exposed glass fibers and regions with polymer bearing the imprints of fibers that had pulled away from the polymer during or after fracture.  </w:t>
      </w:r>
    </w:p>
    <w:p w14:paraId="1E5475E5" w14:textId="77777777" w:rsidR="009134C6" w:rsidRDefault="00C1521B" w:rsidP="009134C6">
      <w:pPr>
        <w:keepNext/>
        <w:spacing w:line="360" w:lineRule="auto"/>
        <w:jc w:val="center"/>
      </w:pPr>
      <w:r>
        <w:rPr>
          <w:noProof/>
        </w:rPr>
        <w:lastRenderedPageBreak/>
        <w:drawing>
          <wp:inline distT="0" distB="0" distL="0" distR="0" wp14:anchorId="56D22B6D" wp14:editId="2F7CF532">
            <wp:extent cx="3709359" cy="3202180"/>
            <wp:effectExtent l="0" t="0" r="5715" b="0"/>
            <wp:docPr id="59" name="Picture 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pic:nvPicPr>
                  <pic:blipFill rotWithShape="1">
                    <a:blip r:embed="rId67" cstate="print">
                      <a:extLst>
                        <a:ext uri="{28A0092B-C50C-407E-A947-70E740481C1C}">
                          <a14:useLocalDpi xmlns:a14="http://schemas.microsoft.com/office/drawing/2010/main" val="0"/>
                        </a:ext>
                      </a:extLst>
                    </a:blip>
                    <a:srcRect l="9302" t="7950" r="12158" b="3440"/>
                    <a:stretch/>
                  </pic:blipFill>
                  <pic:spPr bwMode="auto">
                    <a:xfrm>
                      <a:off x="0" y="0"/>
                      <a:ext cx="3753848" cy="3240586"/>
                    </a:xfrm>
                    <a:prstGeom prst="rect">
                      <a:avLst/>
                    </a:prstGeom>
                    <a:ln>
                      <a:noFill/>
                    </a:ln>
                    <a:extLst>
                      <a:ext uri="{53640926-AAD7-44D8-BBD7-CCE9431645EC}">
                        <a14:shadowObscured xmlns:a14="http://schemas.microsoft.com/office/drawing/2010/main"/>
                      </a:ext>
                    </a:extLst>
                  </pic:spPr>
                </pic:pic>
              </a:graphicData>
            </a:graphic>
          </wp:inline>
        </w:drawing>
      </w:r>
    </w:p>
    <w:p w14:paraId="42F3ECBF" w14:textId="4D52CD5A" w:rsidR="00C1521B" w:rsidRDefault="009134C6" w:rsidP="00F20503">
      <w:pPr>
        <w:pStyle w:val="Caption"/>
      </w:pPr>
      <w:bookmarkStart w:id="248" w:name="_Ref100937329"/>
      <w:bookmarkStart w:id="249" w:name="_Toc101365724"/>
      <w:r>
        <w:t xml:space="preserve">Figure </w:t>
      </w:r>
      <w:r w:rsidR="002F73EC">
        <w:fldChar w:fldCharType="begin"/>
      </w:r>
      <w:r w:rsidR="002F73EC">
        <w:instrText xml:space="preserve"> SEQ Figure \* ARABIC </w:instrText>
      </w:r>
      <w:r w:rsidR="002F73EC">
        <w:fldChar w:fldCharType="separate"/>
      </w:r>
      <w:r w:rsidR="00BF5717">
        <w:rPr>
          <w:noProof/>
        </w:rPr>
        <w:t>62</w:t>
      </w:r>
      <w:r w:rsidR="002F73EC">
        <w:rPr>
          <w:noProof/>
        </w:rPr>
        <w:fldChar w:fldCharType="end"/>
      </w:r>
      <w:bookmarkEnd w:id="248"/>
      <w:r>
        <w:t xml:space="preserve"> </w:t>
      </w:r>
      <w:r>
        <w:rPr>
          <w:noProof/>
        </w:rPr>
        <w:t>Interlaminar shear strength for 1 layer composites, with typical failure occuring at the mid-plane between to plies of non-crimp fiberglass fabric.</w:t>
      </w:r>
      <w:bookmarkEnd w:id="249"/>
      <w:r>
        <w:rPr>
          <w:noProof/>
        </w:rPr>
        <w:t xml:space="preserve">  </w:t>
      </w:r>
    </w:p>
    <w:p w14:paraId="46FDA0E5" w14:textId="77777777" w:rsidR="006B1E6B" w:rsidRPr="006B1E6B" w:rsidRDefault="006B1E6B" w:rsidP="006B1E6B"/>
    <w:p w14:paraId="44004917" w14:textId="77777777" w:rsidR="006B1E6B" w:rsidRPr="006B1E6B" w:rsidRDefault="006B1E6B" w:rsidP="006B1E6B"/>
    <w:p w14:paraId="32DB6234" w14:textId="77777777" w:rsidR="009134C6" w:rsidRDefault="00322976" w:rsidP="009134C6">
      <w:pPr>
        <w:keepNext/>
        <w:spacing w:line="360" w:lineRule="auto"/>
        <w:jc w:val="center"/>
      </w:pPr>
      <w:r>
        <w:rPr>
          <w:noProof/>
        </w:rPr>
        <w:drawing>
          <wp:inline distT="0" distB="0" distL="0" distR="0" wp14:anchorId="19F20358" wp14:editId="287B80D0">
            <wp:extent cx="3768457" cy="3165227"/>
            <wp:effectExtent l="0" t="0" r="3810" b="0"/>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pic:cNvPicPr/>
                  </pic:nvPicPr>
                  <pic:blipFill rotWithShape="1">
                    <a:blip r:embed="rId68" cstate="print">
                      <a:extLst>
                        <a:ext uri="{28A0092B-C50C-407E-A947-70E740481C1C}">
                          <a14:useLocalDpi xmlns:a14="http://schemas.microsoft.com/office/drawing/2010/main" val="0"/>
                        </a:ext>
                      </a:extLst>
                    </a:blip>
                    <a:srcRect l="9284" t="8666" r="11124" b="3966"/>
                    <a:stretch/>
                  </pic:blipFill>
                  <pic:spPr bwMode="auto">
                    <a:xfrm>
                      <a:off x="0" y="0"/>
                      <a:ext cx="3800832" cy="3192419"/>
                    </a:xfrm>
                    <a:prstGeom prst="rect">
                      <a:avLst/>
                    </a:prstGeom>
                    <a:ln>
                      <a:noFill/>
                    </a:ln>
                    <a:extLst>
                      <a:ext uri="{53640926-AAD7-44D8-BBD7-CCE9431645EC}">
                        <a14:shadowObscured xmlns:a14="http://schemas.microsoft.com/office/drawing/2010/main"/>
                      </a:ext>
                    </a:extLst>
                  </pic:spPr>
                </pic:pic>
              </a:graphicData>
            </a:graphic>
          </wp:inline>
        </w:drawing>
      </w:r>
    </w:p>
    <w:p w14:paraId="25533A76" w14:textId="131EEE71" w:rsidR="009134C6" w:rsidRDefault="009134C6" w:rsidP="00F20503">
      <w:pPr>
        <w:pStyle w:val="Caption"/>
        <w:rPr>
          <w:noProof/>
        </w:rPr>
      </w:pPr>
      <w:bookmarkStart w:id="250" w:name="_Ref100937501"/>
      <w:bookmarkStart w:id="251" w:name="_Toc101365725"/>
      <w:r>
        <w:t xml:space="preserve">Figure </w:t>
      </w:r>
      <w:r w:rsidR="002F73EC">
        <w:fldChar w:fldCharType="begin"/>
      </w:r>
      <w:r w:rsidR="002F73EC">
        <w:instrText xml:space="preserve"> SEQ Figure \* ARABIC </w:instrText>
      </w:r>
      <w:r w:rsidR="002F73EC">
        <w:fldChar w:fldCharType="separate"/>
      </w:r>
      <w:r w:rsidR="00BF5717">
        <w:rPr>
          <w:noProof/>
        </w:rPr>
        <w:t>63</w:t>
      </w:r>
      <w:r w:rsidR="002F73EC">
        <w:rPr>
          <w:noProof/>
        </w:rPr>
        <w:fldChar w:fldCharType="end"/>
      </w:r>
      <w:bookmarkEnd w:id="250"/>
      <w:r>
        <w:t xml:space="preserve"> </w:t>
      </w:r>
      <w:r>
        <w:rPr>
          <w:noProof/>
        </w:rPr>
        <w:t>For multi-layer, multi-irradiation composites, increasing UV dose and applying thermal post cure appear to both improve adhesion between layers.</w:t>
      </w:r>
      <w:bookmarkEnd w:id="251"/>
      <w:r>
        <w:rPr>
          <w:noProof/>
        </w:rPr>
        <w:t xml:space="preserve">  </w:t>
      </w:r>
    </w:p>
    <w:p w14:paraId="42DD4DC7" w14:textId="77777777" w:rsidR="00F44455" w:rsidRDefault="00C1521B" w:rsidP="00F44455">
      <w:pPr>
        <w:keepNext/>
        <w:spacing w:line="360" w:lineRule="auto"/>
        <w:jc w:val="center"/>
      </w:pPr>
      <w:r>
        <w:rPr>
          <w:noProof/>
        </w:rPr>
        <w:lastRenderedPageBreak/>
        <w:drawing>
          <wp:inline distT="0" distB="0" distL="0" distR="0" wp14:anchorId="4A7B9B45" wp14:editId="438A88A8">
            <wp:extent cx="4219074" cy="3540543"/>
            <wp:effectExtent l="0" t="0" r="0" b="3175"/>
            <wp:docPr id="61" name="Picture 6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rotWithShape="1">
                    <a:blip r:embed="rId69" cstate="print">
                      <a:extLst>
                        <a:ext uri="{28A0092B-C50C-407E-A947-70E740481C1C}">
                          <a14:useLocalDpi xmlns:a14="http://schemas.microsoft.com/office/drawing/2010/main" val="0"/>
                        </a:ext>
                      </a:extLst>
                    </a:blip>
                    <a:srcRect l="9134" t="9006" r="13141" b="5752"/>
                    <a:stretch/>
                  </pic:blipFill>
                  <pic:spPr bwMode="auto">
                    <a:xfrm>
                      <a:off x="0" y="0"/>
                      <a:ext cx="4227376" cy="3547510"/>
                    </a:xfrm>
                    <a:prstGeom prst="rect">
                      <a:avLst/>
                    </a:prstGeom>
                    <a:ln>
                      <a:noFill/>
                    </a:ln>
                    <a:extLst>
                      <a:ext uri="{53640926-AAD7-44D8-BBD7-CCE9431645EC}">
                        <a14:shadowObscured xmlns:a14="http://schemas.microsoft.com/office/drawing/2010/main"/>
                      </a:ext>
                    </a:extLst>
                  </pic:spPr>
                </pic:pic>
              </a:graphicData>
            </a:graphic>
          </wp:inline>
        </w:drawing>
      </w:r>
    </w:p>
    <w:p w14:paraId="2E0769FF" w14:textId="1815A621" w:rsidR="00F44455" w:rsidRPr="00322976" w:rsidRDefault="00F44455" w:rsidP="00F20503">
      <w:pPr>
        <w:pStyle w:val="Caption"/>
      </w:pPr>
      <w:bookmarkStart w:id="252" w:name="_Ref100937547"/>
      <w:bookmarkStart w:id="253" w:name="_Toc101365726"/>
      <w:r>
        <w:t xml:space="preserve">Figure </w:t>
      </w:r>
      <w:r w:rsidR="002F73EC">
        <w:fldChar w:fldCharType="begin"/>
      </w:r>
      <w:r w:rsidR="002F73EC">
        <w:instrText xml:space="preserve"> SEQ Figure \* ARABIC </w:instrText>
      </w:r>
      <w:r w:rsidR="002F73EC">
        <w:fldChar w:fldCharType="separate"/>
      </w:r>
      <w:r w:rsidR="00BF5717">
        <w:rPr>
          <w:noProof/>
        </w:rPr>
        <w:t>64</w:t>
      </w:r>
      <w:r w:rsidR="002F73EC">
        <w:rPr>
          <w:noProof/>
        </w:rPr>
        <w:fldChar w:fldCharType="end"/>
      </w:r>
      <w:bookmarkEnd w:id="252"/>
      <w:r>
        <w:t xml:space="preserve"> Interlaminar shear strength for 3 mm single layer laminates and 6 mm double-layer laminates, with different thermal treatments and Low Dose versus High Dose irradiation.  Note the general trend of lower ILSS for double layer versus single layer.</w:t>
      </w:r>
      <w:bookmarkEnd w:id="253"/>
    </w:p>
    <w:p w14:paraId="7E51BA64" w14:textId="6D7A2AE9" w:rsidR="00C1521B" w:rsidRDefault="00C1521B" w:rsidP="00F20503">
      <w:pPr>
        <w:pStyle w:val="Caption"/>
      </w:pPr>
    </w:p>
    <w:p w14:paraId="1DE1D870" w14:textId="77777777" w:rsidR="00C1521B" w:rsidRPr="009C5829" w:rsidRDefault="00C1521B" w:rsidP="00322976">
      <w:pPr>
        <w:spacing w:line="360" w:lineRule="auto"/>
      </w:pPr>
    </w:p>
    <w:p w14:paraId="2D2FCCA5" w14:textId="6484C9FE" w:rsidR="00F44455" w:rsidRDefault="00F44455" w:rsidP="00F20503">
      <w:pPr>
        <w:pStyle w:val="Caption"/>
      </w:pPr>
      <w:bookmarkStart w:id="254" w:name="_Ref100937614"/>
      <w:bookmarkStart w:id="255" w:name="_Toc101382370"/>
      <w:r>
        <w:t xml:space="preserve">Table </w:t>
      </w:r>
      <w:r w:rsidR="002F73EC">
        <w:fldChar w:fldCharType="begin"/>
      </w:r>
      <w:r w:rsidR="002F73EC">
        <w:instrText xml:space="preserve"> SEQ Table \* ARABIC </w:instrText>
      </w:r>
      <w:r w:rsidR="002F73EC">
        <w:fldChar w:fldCharType="separate"/>
      </w:r>
      <w:r w:rsidR="00B30A2A">
        <w:rPr>
          <w:noProof/>
        </w:rPr>
        <w:t>9</w:t>
      </w:r>
      <w:r w:rsidR="002F73EC">
        <w:rPr>
          <w:noProof/>
        </w:rPr>
        <w:fldChar w:fldCharType="end"/>
      </w:r>
      <w:bookmarkEnd w:id="254"/>
      <w:r>
        <w:t xml:space="preserve"> Summary of average interlaminar shear strength and fiber volume fraction results, excluding the 10 mm/s and 15 mm/s scan rates.  [x] indicates standard deviation.</w:t>
      </w:r>
      <w:bookmarkEnd w:id="255"/>
    </w:p>
    <w:tbl>
      <w:tblPr>
        <w:tblW w:w="6440" w:type="dxa"/>
        <w:tblLook w:val="04A0" w:firstRow="1" w:lastRow="0" w:firstColumn="1" w:lastColumn="0" w:noHBand="0" w:noVBand="1"/>
      </w:tblPr>
      <w:tblGrid>
        <w:gridCol w:w="1530"/>
        <w:gridCol w:w="710"/>
        <w:gridCol w:w="1340"/>
        <w:gridCol w:w="1400"/>
        <w:gridCol w:w="1460"/>
      </w:tblGrid>
      <w:tr w:rsidR="00C1521B" w:rsidRPr="00803CDC" w14:paraId="727027B2" w14:textId="77777777" w:rsidTr="00F44455">
        <w:trPr>
          <w:trHeight w:val="300"/>
        </w:trPr>
        <w:tc>
          <w:tcPr>
            <w:tcW w:w="1530" w:type="dxa"/>
            <w:tcBorders>
              <w:top w:val="nil"/>
              <w:left w:val="nil"/>
              <w:bottom w:val="single" w:sz="8" w:space="0" w:color="auto"/>
              <w:right w:val="nil"/>
            </w:tcBorders>
            <w:shd w:val="clear" w:color="000000" w:fill="FFFFFF"/>
            <w:noWrap/>
            <w:vAlign w:val="bottom"/>
            <w:hideMark/>
          </w:tcPr>
          <w:p w14:paraId="3379B8B6" w14:textId="77777777" w:rsidR="00C1521B" w:rsidRPr="00803CDC" w:rsidRDefault="00C1521B" w:rsidP="00322976">
            <w:pPr>
              <w:spacing w:line="360" w:lineRule="auto"/>
              <w:rPr>
                <w:rFonts w:ascii="Times New Roman" w:hAnsi="Times New Roman" w:cs="Times New Roman"/>
                <w:color w:val="000000"/>
              </w:rPr>
            </w:pPr>
            <w:r w:rsidRPr="00803CDC">
              <w:rPr>
                <w:rFonts w:ascii="Times New Roman" w:hAnsi="Times New Roman" w:cs="Times New Roman"/>
                <w:color w:val="000000"/>
              </w:rPr>
              <w:t> </w:t>
            </w:r>
          </w:p>
        </w:tc>
        <w:tc>
          <w:tcPr>
            <w:tcW w:w="710" w:type="dxa"/>
            <w:tcBorders>
              <w:top w:val="nil"/>
              <w:left w:val="nil"/>
              <w:bottom w:val="single" w:sz="8" w:space="0" w:color="auto"/>
              <w:right w:val="nil"/>
            </w:tcBorders>
            <w:shd w:val="clear" w:color="000000" w:fill="FFFFFF"/>
            <w:noWrap/>
            <w:vAlign w:val="center"/>
            <w:hideMark/>
          </w:tcPr>
          <w:p w14:paraId="5FAFE7EC" w14:textId="77777777" w:rsidR="00C1521B" w:rsidRPr="00803CDC" w:rsidRDefault="00C1521B" w:rsidP="00322976">
            <w:pPr>
              <w:spacing w:line="360" w:lineRule="auto"/>
              <w:jc w:val="center"/>
              <w:rPr>
                <w:rFonts w:ascii="Times New Roman" w:hAnsi="Times New Roman" w:cs="Times New Roman"/>
                <w:b/>
                <w:bCs/>
                <w:color w:val="000000"/>
              </w:rPr>
            </w:pPr>
            <w:r w:rsidRPr="00803CDC">
              <w:rPr>
                <w:rFonts w:ascii="Times New Roman" w:hAnsi="Times New Roman" w:cs="Times New Roman"/>
                <w:b/>
                <w:bCs/>
                <w:color w:val="000000"/>
              </w:rPr>
              <w:t>Dose</w:t>
            </w:r>
          </w:p>
        </w:tc>
        <w:tc>
          <w:tcPr>
            <w:tcW w:w="1340" w:type="dxa"/>
            <w:tcBorders>
              <w:top w:val="nil"/>
              <w:left w:val="nil"/>
              <w:bottom w:val="single" w:sz="8" w:space="0" w:color="auto"/>
              <w:right w:val="nil"/>
            </w:tcBorders>
            <w:shd w:val="clear" w:color="000000" w:fill="FFFFFF"/>
            <w:vAlign w:val="center"/>
            <w:hideMark/>
          </w:tcPr>
          <w:p w14:paraId="7A611F59" w14:textId="77777777" w:rsidR="00C1521B" w:rsidRPr="00803CDC" w:rsidRDefault="00C1521B" w:rsidP="00322976">
            <w:pPr>
              <w:spacing w:line="360" w:lineRule="auto"/>
              <w:jc w:val="center"/>
              <w:rPr>
                <w:rFonts w:ascii="Times New Roman" w:hAnsi="Times New Roman" w:cs="Times New Roman"/>
                <w:b/>
                <w:bCs/>
                <w:color w:val="000000"/>
              </w:rPr>
            </w:pPr>
            <w:r w:rsidRPr="00803CDC">
              <w:rPr>
                <w:rFonts w:ascii="Times New Roman" w:hAnsi="Times New Roman" w:cs="Times New Roman"/>
                <w:b/>
                <w:bCs/>
                <w:color w:val="000000"/>
              </w:rPr>
              <w:t xml:space="preserve">Post Cure </w:t>
            </w:r>
          </w:p>
        </w:tc>
        <w:tc>
          <w:tcPr>
            <w:tcW w:w="1400" w:type="dxa"/>
            <w:tcBorders>
              <w:top w:val="nil"/>
              <w:left w:val="nil"/>
              <w:bottom w:val="single" w:sz="8" w:space="0" w:color="auto"/>
              <w:right w:val="nil"/>
            </w:tcBorders>
            <w:shd w:val="clear" w:color="000000" w:fill="FFFFFF"/>
            <w:noWrap/>
            <w:vAlign w:val="center"/>
            <w:hideMark/>
          </w:tcPr>
          <w:p w14:paraId="7AFC98A2" w14:textId="77777777" w:rsidR="00C1521B" w:rsidRPr="00803CDC" w:rsidRDefault="00C1521B" w:rsidP="00322976">
            <w:pPr>
              <w:spacing w:line="360" w:lineRule="auto"/>
              <w:jc w:val="center"/>
              <w:rPr>
                <w:rFonts w:ascii="Times New Roman" w:hAnsi="Times New Roman" w:cs="Times New Roman"/>
                <w:b/>
                <w:bCs/>
                <w:color w:val="000000"/>
              </w:rPr>
            </w:pPr>
            <w:r w:rsidRPr="00803CDC">
              <w:rPr>
                <w:rFonts w:ascii="Times New Roman" w:hAnsi="Times New Roman" w:cs="Times New Roman"/>
                <w:b/>
                <w:bCs/>
                <w:color w:val="000000"/>
              </w:rPr>
              <w:t>V</w:t>
            </w:r>
            <w:r w:rsidRPr="00EB1E9F">
              <w:rPr>
                <w:rFonts w:ascii="Times New Roman" w:hAnsi="Times New Roman" w:cs="Times New Roman"/>
                <w:b/>
                <w:bCs/>
                <w:color w:val="000000"/>
                <w:vertAlign w:val="subscript"/>
              </w:rPr>
              <w:t>f</w:t>
            </w:r>
            <w:r w:rsidRPr="00803CDC">
              <w:rPr>
                <w:rFonts w:ascii="Times New Roman" w:hAnsi="Times New Roman" w:cs="Times New Roman"/>
                <w:b/>
                <w:bCs/>
                <w:color w:val="000000"/>
              </w:rPr>
              <w:t xml:space="preserve"> (%)</w:t>
            </w:r>
          </w:p>
        </w:tc>
        <w:tc>
          <w:tcPr>
            <w:tcW w:w="1460" w:type="dxa"/>
            <w:tcBorders>
              <w:top w:val="nil"/>
              <w:left w:val="nil"/>
              <w:bottom w:val="single" w:sz="8" w:space="0" w:color="auto"/>
              <w:right w:val="nil"/>
            </w:tcBorders>
            <w:shd w:val="clear" w:color="000000" w:fill="FFFFFF"/>
            <w:noWrap/>
            <w:vAlign w:val="center"/>
            <w:hideMark/>
          </w:tcPr>
          <w:p w14:paraId="47787011" w14:textId="77777777" w:rsidR="00C1521B" w:rsidRPr="00803CDC" w:rsidRDefault="00C1521B" w:rsidP="00322976">
            <w:pPr>
              <w:spacing w:line="360" w:lineRule="auto"/>
              <w:jc w:val="center"/>
              <w:rPr>
                <w:rFonts w:ascii="Times New Roman" w:hAnsi="Times New Roman" w:cs="Times New Roman"/>
                <w:b/>
                <w:bCs/>
                <w:color w:val="000000"/>
              </w:rPr>
            </w:pPr>
            <w:r w:rsidRPr="00803CDC">
              <w:rPr>
                <w:rFonts w:ascii="Times New Roman" w:hAnsi="Times New Roman" w:cs="Times New Roman"/>
                <w:b/>
                <w:bCs/>
                <w:color w:val="000000"/>
              </w:rPr>
              <w:t>ILSS (MPa)</w:t>
            </w:r>
          </w:p>
        </w:tc>
      </w:tr>
      <w:tr w:rsidR="00C1521B" w:rsidRPr="00803CDC" w14:paraId="0F1F58D5" w14:textId="77777777" w:rsidTr="00F44455">
        <w:trPr>
          <w:trHeight w:val="288"/>
        </w:trPr>
        <w:tc>
          <w:tcPr>
            <w:tcW w:w="1530" w:type="dxa"/>
            <w:vMerge w:val="restart"/>
            <w:tcBorders>
              <w:top w:val="nil"/>
              <w:left w:val="nil"/>
              <w:bottom w:val="nil"/>
              <w:right w:val="nil"/>
            </w:tcBorders>
            <w:shd w:val="clear" w:color="000000" w:fill="FFFFFF"/>
            <w:vAlign w:val="center"/>
            <w:hideMark/>
          </w:tcPr>
          <w:p w14:paraId="53AFCA9A"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1 layer           (4 plies)</w:t>
            </w:r>
          </w:p>
        </w:tc>
        <w:tc>
          <w:tcPr>
            <w:tcW w:w="710" w:type="dxa"/>
            <w:tcBorders>
              <w:top w:val="nil"/>
              <w:left w:val="nil"/>
              <w:bottom w:val="nil"/>
              <w:right w:val="nil"/>
            </w:tcBorders>
            <w:shd w:val="clear" w:color="000000" w:fill="FFFFFF"/>
            <w:noWrap/>
            <w:vAlign w:val="bottom"/>
            <w:hideMark/>
          </w:tcPr>
          <w:p w14:paraId="19FC685D"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Low</w:t>
            </w:r>
          </w:p>
        </w:tc>
        <w:tc>
          <w:tcPr>
            <w:tcW w:w="1340" w:type="dxa"/>
            <w:tcBorders>
              <w:top w:val="nil"/>
              <w:left w:val="nil"/>
              <w:bottom w:val="nil"/>
              <w:right w:val="nil"/>
            </w:tcBorders>
            <w:shd w:val="clear" w:color="000000" w:fill="FFFFFF"/>
            <w:noWrap/>
            <w:vAlign w:val="bottom"/>
            <w:hideMark/>
          </w:tcPr>
          <w:p w14:paraId="033C7947"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N</w:t>
            </w:r>
          </w:p>
        </w:tc>
        <w:tc>
          <w:tcPr>
            <w:tcW w:w="1400" w:type="dxa"/>
            <w:tcBorders>
              <w:top w:val="nil"/>
              <w:left w:val="nil"/>
              <w:bottom w:val="nil"/>
              <w:right w:val="nil"/>
            </w:tcBorders>
            <w:shd w:val="clear" w:color="000000" w:fill="FFFFFF"/>
            <w:noWrap/>
            <w:vAlign w:val="bottom"/>
            <w:hideMark/>
          </w:tcPr>
          <w:p w14:paraId="420542D4"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50.9 [0.9]</w:t>
            </w:r>
          </w:p>
        </w:tc>
        <w:tc>
          <w:tcPr>
            <w:tcW w:w="1460" w:type="dxa"/>
            <w:tcBorders>
              <w:top w:val="nil"/>
              <w:left w:val="nil"/>
              <w:bottom w:val="nil"/>
              <w:right w:val="nil"/>
            </w:tcBorders>
            <w:shd w:val="clear" w:color="000000" w:fill="FFFFFF"/>
            <w:noWrap/>
            <w:vAlign w:val="bottom"/>
            <w:hideMark/>
          </w:tcPr>
          <w:p w14:paraId="5EE19509"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25.5 [0.8]</w:t>
            </w:r>
          </w:p>
        </w:tc>
      </w:tr>
      <w:tr w:rsidR="00C1521B" w:rsidRPr="00803CDC" w14:paraId="66E048B5" w14:textId="77777777" w:rsidTr="00F44455">
        <w:trPr>
          <w:trHeight w:val="288"/>
        </w:trPr>
        <w:tc>
          <w:tcPr>
            <w:tcW w:w="1530" w:type="dxa"/>
            <w:vMerge/>
            <w:tcBorders>
              <w:top w:val="nil"/>
              <w:left w:val="nil"/>
              <w:bottom w:val="nil"/>
              <w:right w:val="nil"/>
            </w:tcBorders>
            <w:vAlign w:val="center"/>
            <w:hideMark/>
          </w:tcPr>
          <w:p w14:paraId="409F9FB2"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single" w:sz="4" w:space="0" w:color="auto"/>
              <w:right w:val="nil"/>
            </w:tcBorders>
            <w:shd w:val="clear" w:color="000000" w:fill="FFFFFF"/>
            <w:noWrap/>
            <w:vAlign w:val="bottom"/>
            <w:hideMark/>
          </w:tcPr>
          <w:p w14:paraId="46BE51F8"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High</w:t>
            </w:r>
          </w:p>
        </w:tc>
        <w:tc>
          <w:tcPr>
            <w:tcW w:w="1340" w:type="dxa"/>
            <w:tcBorders>
              <w:top w:val="nil"/>
              <w:left w:val="nil"/>
              <w:bottom w:val="single" w:sz="4" w:space="0" w:color="auto"/>
              <w:right w:val="nil"/>
            </w:tcBorders>
            <w:shd w:val="clear" w:color="000000" w:fill="FFFFFF"/>
            <w:noWrap/>
            <w:vAlign w:val="bottom"/>
            <w:hideMark/>
          </w:tcPr>
          <w:p w14:paraId="0E5B7CED"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N</w:t>
            </w:r>
          </w:p>
        </w:tc>
        <w:tc>
          <w:tcPr>
            <w:tcW w:w="1400" w:type="dxa"/>
            <w:tcBorders>
              <w:top w:val="nil"/>
              <w:left w:val="nil"/>
              <w:bottom w:val="single" w:sz="4" w:space="0" w:color="auto"/>
              <w:right w:val="nil"/>
            </w:tcBorders>
            <w:shd w:val="clear" w:color="000000" w:fill="FFFFFF"/>
            <w:noWrap/>
            <w:vAlign w:val="bottom"/>
            <w:hideMark/>
          </w:tcPr>
          <w:p w14:paraId="66D43DCD"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54.6 [0.7]</w:t>
            </w:r>
          </w:p>
        </w:tc>
        <w:tc>
          <w:tcPr>
            <w:tcW w:w="1460" w:type="dxa"/>
            <w:tcBorders>
              <w:top w:val="nil"/>
              <w:left w:val="nil"/>
              <w:bottom w:val="single" w:sz="4" w:space="0" w:color="auto"/>
              <w:right w:val="nil"/>
            </w:tcBorders>
            <w:shd w:val="clear" w:color="000000" w:fill="FFFFFF"/>
            <w:noWrap/>
            <w:vAlign w:val="bottom"/>
            <w:hideMark/>
          </w:tcPr>
          <w:p w14:paraId="7753DA07"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27.0 [2.4]</w:t>
            </w:r>
          </w:p>
        </w:tc>
      </w:tr>
      <w:tr w:rsidR="00C1521B" w:rsidRPr="00803CDC" w14:paraId="2BDF149D" w14:textId="77777777" w:rsidTr="00F44455">
        <w:trPr>
          <w:trHeight w:val="288"/>
        </w:trPr>
        <w:tc>
          <w:tcPr>
            <w:tcW w:w="1530" w:type="dxa"/>
            <w:vMerge/>
            <w:tcBorders>
              <w:top w:val="nil"/>
              <w:left w:val="nil"/>
              <w:bottom w:val="nil"/>
              <w:right w:val="nil"/>
            </w:tcBorders>
            <w:vAlign w:val="center"/>
            <w:hideMark/>
          </w:tcPr>
          <w:p w14:paraId="455245DC"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nil"/>
              <w:right w:val="nil"/>
            </w:tcBorders>
            <w:shd w:val="clear" w:color="000000" w:fill="FFFFFF"/>
            <w:noWrap/>
            <w:vAlign w:val="bottom"/>
            <w:hideMark/>
          </w:tcPr>
          <w:p w14:paraId="004ED74D"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Low</w:t>
            </w:r>
          </w:p>
        </w:tc>
        <w:tc>
          <w:tcPr>
            <w:tcW w:w="1340" w:type="dxa"/>
            <w:tcBorders>
              <w:top w:val="nil"/>
              <w:left w:val="nil"/>
              <w:bottom w:val="nil"/>
              <w:right w:val="nil"/>
            </w:tcBorders>
            <w:shd w:val="clear" w:color="000000" w:fill="FFFFFF"/>
            <w:noWrap/>
            <w:vAlign w:val="bottom"/>
            <w:hideMark/>
          </w:tcPr>
          <w:p w14:paraId="6BA6584C"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Y</w:t>
            </w:r>
          </w:p>
        </w:tc>
        <w:tc>
          <w:tcPr>
            <w:tcW w:w="1400" w:type="dxa"/>
            <w:tcBorders>
              <w:top w:val="nil"/>
              <w:left w:val="nil"/>
              <w:bottom w:val="nil"/>
              <w:right w:val="nil"/>
            </w:tcBorders>
            <w:shd w:val="clear" w:color="000000" w:fill="FFFFFF"/>
            <w:noWrap/>
            <w:vAlign w:val="bottom"/>
            <w:hideMark/>
          </w:tcPr>
          <w:p w14:paraId="679645B5"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55.4 [0.7]</w:t>
            </w:r>
          </w:p>
        </w:tc>
        <w:tc>
          <w:tcPr>
            <w:tcW w:w="1460" w:type="dxa"/>
            <w:tcBorders>
              <w:top w:val="nil"/>
              <w:left w:val="nil"/>
              <w:bottom w:val="nil"/>
              <w:right w:val="nil"/>
            </w:tcBorders>
            <w:shd w:val="clear" w:color="000000" w:fill="FFFFFF"/>
            <w:noWrap/>
            <w:vAlign w:val="bottom"/>
            <w:hideMark/>
          </w:tcPr>
          <w:p w14:paraId="0AFD20C6"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31.2 [1.6]</w:t>
            </w:r>
          </w:p>
        </w:tc>
      </w:tr>
      <w:tr w:rsidR="00C1521B" w:rsidRPr="00803CDC" w14:paraId="451CA4DB" w14:textId="77777777" w:rsidTr="00F44455">
        <w:trPr>
          <w:trHeight w:val="288"/>
        </w:trPr>
        <w:tc>
          <w:tcPr>
            <w:tcW w:w="1530" w:type="dxa"/>
            <w:vMerge/>
            <w:tcBorders>
              <w:top w:val="nil"/>
              <w:left w:val="nil"/>
              <w:bottom w:val="nil"/>
              <w:right w:val="nil"/>
            </w:tcBorders>
            <w:vAlign w:val="center"/>
            <w:hideMark/>
          </w:tcPr>
          <w:p w14:paraId="282685DB"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nil"/>
              <w:right w:val="nil"/>
            </w:tcBorders>
            <w:shd w:val="clear" w:color="000000" w:fill="FFFFFF"/>
            <w:noWrap/>
            <w:vAlign w:val="bottom"/>
            <w:hideMark/>
          </w:tcPr>
          <w:p w14:paraId="68E9EC96"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High</w:t>
            </w:r>
          </w:p>
        </w:tc>
        <w:tc>
          <w:tcPr>
            <w:tcW w:w="1340" w:type="dxa"/>
            <w:tcBorders>
              <w:top w:val="nil"/>
              <w:left w:val="nil"/>
              <w:bottom w:val="nil"/>
              <w:right w:val="nil"/>
            </w:tcBorders>
            <w:shd w:val="clear" w:color="000000" w:fill="FFFFFF"/>
            <w:noWrap/>
            <w:vAlign w:val="bottom"/>
            <w:hideMark/>
          </w:tcPr>
          <w:p w14:paraId="71262203"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Y</w:t>
            </w:r>
          </w:p>
        </w:tc>
        <w:tc>
          <w:tcPr>
            <w:tcW w:w="1400" w:type="dxa"/>
            <w:tcBorders>
              <w:top w:val="nil"/>
              <w:left w:val="nil"/>
              <w:bottom w:val="nil"/>
              <w:right w:val="nil"/>
            </w:tcBorders>
            <w:shd w:val="clear" w:color="000000" w:fill="FFFFFF"/>
            <w:noWrap/>
            <w:vAlign w:val="bottom"/>
            <w:hideMark/>
          </w:tcPr>
          <w:p w14:paraId="5EF3C007"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55.4 [1.0]</w:t>
            </w:r>
          </w:p>
        </w:tc>
        <w:tc>
          <w:tcPr>
            <w:tcW w:w="1460" w:type="dxa"/>
            <w:tcBorders>
              <w:top w:val="nil"/>
              <w:left w:val="nil"/>
              <w:bottom w:val="nil"/>
              <w:right w:val="nil"/>
            </w:tcBorders>
            <w:shd w:val="clear" w:color="000000" w:fill="FFFFFF"/>
            <w:noWrap/>
            <w:vAlign w:val="bottom"/>
            <w:hideMark/>
          </w:tcPr>
          <w:p w14:paraId="481ABEF5"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32.3 [1.4]</w:t>
            </w:r>
          </w:p>
        </w:tc>
      </w:tr>
      <w:tr w:rsidR="00C1521B" w:rsidRPr="00803CDC" w14:paraId="0C8DA04D" w14:textId="77777777" w:rsidTr="00F44455">
        <w:trPr>
          <w:trHeight w:val="288"/>
        </w:trPr>
        <w:tc>
          <w:tcPr>
            <w:tcW w:w="1530" w:type="dxa"/>
            <w:vMerge w:val="restart"/>
            <w:tcBorders>
              <w:top w:val="single" w:sz="4" w:space="0" w:color="auto"/>
              <w:left w:val="nil"/>
              <w:bottom w:val="single" w:sz="4" w:space="0" w:color="000000"/>
              <w:right w:val="nil"/>
            </w:tcBorders>
            <w:shd w:val="clear" w:color="000000" w:fill="FFFFFF"/>
            <w:vAlign w:val="center"/>
            <w:hideMark/>
          </w:tcPr>
          <w:p w14:paraId="76ED35F4"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 layers        (8 plies)</w:t>
            </w:r>
          </w:p>
        </w:tc>
        <w:tc>
          <w:tcPr>
            <w:tcW w:w="710" w:type="dxa"/>
            <w:tcBorders>
              <w:top w:val="single" w:sz="4" w:space="0" w:color="auto"/>
              <w:left w:val="nil"/>
              <w:bottom w:val="nil"/>
              <w:right w:val="nil"/>
            </w:tcBorders>
            <w:shd w:val="clear" w:color="000000" w:fill="FFFFFF"/>
            <w:noWrap/>
            <w:vAlign w:val="bottom"/>
            <w:hideMark/>
          </w:tcPr>
          <w:p w14:paraId="053BCE07"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Low</w:t>
            </w:r>
          </w:p>
        </w:tc>
        <w:tc>
          <w:tcPr>
            <w:tcW w:w="1340" w:type="dxa"/>
            <w:tcBorders>
              <w:top w:val="single" w:sz="4" w:space="0" w:color="auto"/>
              <w:left w:val="nil"/>
              <w:bottom w:val="nil"/>
              <w:right w:val="nil"/>
            </w:tcBorders>
            <w:shd w:val="clear" w:color="000000" w:fill="FFFFFF"/>
            <w:noWrap/>
            <w:vAlign w:val="bottom"/>
            <w:hideMark/>
          </w:tcPr>
          <w:p w14:paraId="625B83BC"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N</w:t>
            </w:r>
          </w:p>
        </w:tc>
        <w:tc>
          <w:tcPr>
            <w:tcW w:w="1400" w:type="dxa"/>
            <w:tcBorders>
              <w:top w:val="single" w:sz="4" w:space="0" w:color="auto"/>
              <w:left w:val="nil"/>
              <w:bottom w:val="nil"/>
              <w:right w:val="nil"/>
            </w:tcBorders>
            <w:shd w:val="clear" w:color="000000" w:fill="FFFFFF"/>
            <w:noWrap/>
            <w:vAlign w:val="bottom"/>
            <w:hideMark/>
          </w:tcPr>
          <w:p w14:paraId="6BD9AF0B"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49.7 [0.9]</w:t>
            </w:r>
          </w:p>
        </w:tc>
        <w:tc>
          <w:tcPr>
            <w:tcW w:w="1460" w:type="dxa"/>
            <w:tcBorders>
              <w:top w:val="single" w:sz="4" w:space="0" w:color="auto"/>
              <w:left w:val="nil"/>
              <w:bottom w:val="nil"/>
              <w:right w:val="nil"/>
            </w:tcBorders>
            <w:shd w:val="clear" w:color="000000" w:fill="FFFFFF"/>
            <w:noWrap/>
            <w:vAlign w:val="bottom"/>
            <w:hideMark/>
          </w:tcPr>
          <w:p w14:paraId="191D1A7B"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20.2 [2.0]</w:t>
            </w:r>
          </w:p>
        </w:tc>
      </w:tr>
      <w:tr w:rsidR="00C1521B" w:rsidRPr="00803CDC" w14:paraId="76766945" w14:textId="77777777" w:rsidTr="00F44455">
        <w:trPr>
          <w:trHeight w:val="288"/>
        </w:trPr>
        <w:tc>
          <w:tcPr>
            <w:tcW w:w="1530" w:type="dxa"/>
            <w:vMerge/>
            <w:tcBorders>
              <w:top w:val="single" w:sz="4" w:space="0" w:color="auto"/>
              <w:left w:val="nil"/>
              <w:bottom w:val="single" w:sz="4" w:space="0" w:color="000000"/>
              <w:right w:val="nil"/>
            </w:tcBorders>
            <w:vAlign w:val="center"/>
            <w:hideMark/>
          </w:tcPr>
          <w:p w14:paraId="304B659E"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single" w:sz="4" w:space="0" w:color="auto"/>
              <w:right w:val="nil"/>
            </w:tcBorders>
            <w:shd w:val="clear" w:color="000000" w:fill="FFFFFF"/>
            <w:noWrap/>
            <w:vAlign w:val="bottom"/>
            <w:hideMark/>
          </w:tcPr>
          <w:p w14:paraId="5786285A"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High</w:t>
            </w:r>
          </w:p>
        </w:tc>
        <w:tc>
          <w:tcPr>
            <w:tcW w:w="1340" w:type="dxa"/>
            <w:tcBorders>
              <w:top w:val="nil"/>
              <w:left w:val="nil"/>
              <w:bottom w:val="single" w:sz="4" w:space="0" w:color="auto"/>
              <w:right w:val="nil"/>
            </w:tcBorders>
            <w:shd w:val="clear" w:color="000000" w:fill="FFFFFF"/>
            <w:noWrap/>
            <w:vAlign w:val="bottom"/>
            <w:hideMark/>
          </w:tcPr>
          <w:p w14:paraId="50C6E940"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N</w:t>
            </w:r>
          </w:p>
        </w:tc>
        <w:tc>
          <w:tcPr>
            <w:tcW w:w="1400" w:type="dxa"/>
            <w:tcBorders>
              <w:top w:val="nil"/>
              <w:left w:val="nil"/>
              <w:bottom w:val="single" w:sz="4" w:space="0" w:color="auto"/>
              <w:right w:val="nil"/>
            </w:tcBorders>
            <w:shd w:val="clear" w:color="000000" w:fill="FFFFFF"/>
            <w:noWrap/>
            <w:vAlign w:val="bottom"/>
            <w:hideMark/>
          </w:tcPr>
          <w:p w14:paraId="79EF0CF2"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47.1 [1.6]</w:t>
            </w:r>
          </w:p>
        </w:tc>
        <w:tc>
          <w:tcPr>
            <w:tcW w:w="1460" w:type="dxa"/>
            <w:tcBorders>
              <w:top w:val="nil"/>
              <w:left w:val="nil"/>
              <w:bottom w:val="single" w:sz="4" w:space="0" w:color="auto"/>
              <w:right w:val="nil"/>
            </w:tcBorders>
            <w:shd w:val="clear" w:color="000000" w:fill="FFFFFF"/>
            <w:noWrap/>
            <w:vAlign w:val="bottom"/>
            <w:hideMark/>
          </w:tcPr>
          <w:p w14:paraId="62D091CE"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24.9 [2.5]</w:t>
            </w:r>
          </w:p>
        </w:tc>
      </w:tr>
      <w:tr w:rsidR="00C1521B" w:rsidRPr="00803CDC" w14:paraId="40063C4B" w14:textId="77777777" w:rsidTr="00F44455">
        <w:trPr>
          <w:trHeight w:val="288"/>
        </w:trPr>
        <w:tc>
          <w:tcPr>
            <w:tcW w:w="1530" w:type="dxa"/>
            <w:vMerge/>
            <w:tcBorders>
              <w:top w:val="single" w:sz="4" w:space="0" w:color="auto"/>
              <w:left w:val="nil"/>
              <w:bottom w:val="single" w:sz="4" w:space="0" w:color="000000"/>
              <w:right w:val="nil"/>
            </w:tcBorders>
            <w:vAlign w:val="center"/>
            <w:hideMark/>
          </w:tcPr>
          <w:p w14:paraId="37B16950"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nil"/>
              <w:right w:val="nil"/>
            </w:tcBorders>
            <w:shd w:val="clear" w:color="000000" w:fill="FFFFFF"/>
            <w:noWrap/>
            <w:vAlign w:val="bottom"/>
            <w:hideMark/>
          </w:tcPr>
          <w:p w14:paraId="2C21F59C"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Low</w:t>
            </w:r>
          </w:p>
        </w:tc>
        <w:tc>
          <w:tcPr>
            <w:tcW w:w="1340" w:type="dxa"/>
            <w:tcBorders>
              <w:top w:val="nil"/>
              <w:left w:val="nil"/>
              <w:bottom w:val="nil"/>
              <w:right w:val="nil"/>
            </w:tcBorders>
            <w:shd w:val="clear" w:color="000000" w:fill="FFFFFF"/>
            <w:noWrap/>
            <w:vAlign w:val="bottom"/>
            <w:hideMark/>
          </w:tcPr>
          <w:p w14:paraId="2DD82974"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Y</w:t>
            </w:r>
          </w:p>
        </w:tc>
        <w:tc>
          <w:tcPr>
            <w:tcW w:w="1400" w:type="dxa"/>
            <w:tcBorders>
              <w:top w:val="nil"/>
              <w:left w:val="nil"/>
              <w:bottom w:val="nil"/>
              <w:right w:val="nil"/>
            </w:tcBorders>
            <w:shd w:val="clear" w:color="000000" w:fill="FFFFFF"/>
            <w:noWrap/>
            <w:vAlign w:val="bottom"/>
            <w:hideMark/>
          </w:tcPr>
          <w:p w14:paraId="58BB216E"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51.5 [1.3]</w:t>
            </w:r>
          </w:p>
        </w:tc>
        <w:tc>
          <w:tcPr>
            <w:tcW w:w="1460" w:type="dxa"/>
            <w:tcBorders>
              <w:top w:val="nil"/>
              <w:left w:val="nil"/>
              <w:bottom w:val="nil"/>
              <w:right w:val="nil"/>
            </w:tcBorders>
            <w:shd w:val="clear" w:color="000000" w:fill="FFFFFF"/>
            <w:noWrap/>
            <w:vAlign w:val="bottom"/>
            <w:hideMark/>
          </w:tcPr>
          <w:p w14:paraId="1DFE4E15"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21.0 [1.3]</w:t>
            </w:r>
          </w:p>
        </w:tc>
      </w:tr>
      <w:tr w:rsidR="00C1521B" w:rsidRPr="00803CDC" w14:paraId="0DFEAD12" w14:textId="77777777" w:rsidTr="00F44455">
        <w:trPr>
          <w:trHeight w:val="288"/>
        </w:trPr>
        <w:tc>
          <w:tcPr>
            <w:tcW w:w="1530" w:type="dxa"/>
            <w:vMerge/>
            <w:tcBorders>
              <w:top w:val="single" w:sz="4" w:space="0" w:color="auto"/>
              <w:left w:val="nil"/>
              <w:bottom w:val="single" w:sz="4" w:space="0" w:color="000000"/>
              <w:right w:val="nil"/>
            </w:tcBorders>
            <w:vAlign w:val="center"/>
            <w:hideMark/>
          </w:tcPr>
          <w:p w14:paraId="4A43D9B8" w14:textId="77777777" w:rsidR="00C1521B" w:rsidRPr="00803CDC" w:rsidRDefault="00C1521B" w:rsidP="00322976">
            <w:pPr>
              <w:spacing w:line="360" w:lineRule="auto"/>
              <w:rPr>
                <w:rFonts w:ascii="Times New Roman" w:hAnsi="Times New Roman" w:cs="Times New Roman"/>
                <w:color w:val="000000"/>
              </w:rPr>
            </w:pPr>
          </w:p>
        </w:tc>
        <w:tc>
          <w:tcPr>
            <w:tcW w:w="710" w:type="dxa"/>
            <w:tcBorders>
              <w:top w:val="nil"/>
              <w:left w:val="nil"/>
              <w:bottom w:val="single" w:sz="4" w:space="0" w:color="auto"/>
              <w:right w:val="nil"/>
            </w:tcBorders>
            <w:shd w:val="clear" w:color="000000" w:fill="FFFFFF"/>
            <w:noWrap/>
            <w:vAlign w:val="bottom"/>
            <w:hideMark/>
          </w:tcPr>
          <w:p w14:paraId="280444D5"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High</w:t>
            </w:r>
          </w:p>
        </w:tc>
        <w:tc>
          <w:tcPr>
            <w:tcW w:w="1340" w:type="dxa"/>
            <w:tcBorders>
              <w:top w:val="nil"/>
              <w:left w:val="nil"/>
              <w:bottom w:val="single" w:sz="4" w:space="0" w:color="auto"/>
              <w:right w:val="nil"/>
            </w:tcBorders>
            <w:shd w:val="clear" w:color="000000" w:fill="FFFFFF"/>
            <w:noWrap/>
            <w:vAlign w:val="bottom"/>
            <w:hideMark/>
          </w:tcPr>
          <w:p w14:paraId="46D162D0"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Y</w:t>
            </w:r>
          </w:p>
        </w:tc>
        <w:tc>
          <w:tcPr>
            <w:tcW w:w="1400" w:type="dxa"/>
            <w:tcBorders>
              <w:top w:val="nil"/>
              <w:left w:val="nil"/>
              <w:bottom w:val="single" w:sz="4" w:space="0" w:color="auto"/>
              <w:right w:val="nil"/>
            </w:tcBorders>
            <w:shd w:val="clear" w:color="000000" w:fill="FFFFFF"/>
            <w:noWrap/>
            <w:vAlign w:val="bottom"/>
            <w:hideMark/>
          </w:tcPr>
          <w:p w14:paraId="69C8B1AF"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50.0 [0.8]</w:t>
            </w:r>
          </w:p>
        </w:tc>
        <w:tc>
          <w:tcPr>
            <w:tcW w:w="1460" w:type="dxa"/>
            <w:tcBorders>
              <w:top w:val="nil"/>
              <w:left w:val="nil"/>
              <w:bottom w:val="single" w:sz="4" w:space="0" w:color="auto"/>
              <w:right w:val="nil"/>
            </w:tcBorders>
            <w:shd w:val="clear" w:color="000000" w:fill="FFFFFF"/>
            <w:noWrap/>
            <w:vAlign w:val="bottom"/>
            <w:hideMark/>
          </w:tcPr>
          <w:p w14:paraId="53556489" w14:textId="77777777" w:rsidR="00C1521B" w:rsidRPr="00803CDC" w:rsidRDefault="00C1521B" w:rsidP="00322976">
            <w:pPr>
              <w:spacing w:line="360" w:lineRule="auto"/>
              <w:jc w:val="center"/>
              <w:rPr>
                <w:rFonts w:ascii="Times New Roman" w:hAnsi="Times New Roman" w:cs="Times New Roman"/>
                <w:color w:val="000000"/>
              </w:rPr>
            </w:pPr>
            <w:r w:rsidRPr="00803CDC">
              <w:rPr>
                <w:rFonts w:ascii="Times New Roman" w:hAnsi="Times New Roman" w:cs="Times New Roman"/>
                <w:color w:val="000000"/>
              </w:rPr>
              <w:t>29.4 [0.5]</w:t>
            </w:r>
          </w:p>
        </w:tc>
      </w:tr>
    </w:tbl>
    <w:p w14:paraId="12543895" w14:textId="3BE639F8" w:rsidR="00843ABB" w:rsidRPr="00FB6763" w:rsidRDefault="00843ABB" w:rsidP="00FB6763">
      <w:pPr>
        <w:pStyle w:val="Heading3"/>
      </w:pPr>
      <w:bookmarkStart w:id="256" w:name="_Toc101701801"/>
      <w:r>
        <w:lastRenderedPageBreak/>
        <w:t>4</w:t>
      </w:r>
      <w:r w:rsidRPr="0094131D">
        <w:t>.</w:t>
      </w:r>
      <w:r w:rsidR="005E7604">
        <w:t>8</w:t>
      </w:r>
      <w:r w:rsidRPr="0094131D">
        <w:t xml:space="preserve"> </w:t>
      </w:r>
      <w:r>
        <w:t>Multi-Layer Fracture Surface Analysis</w:t>
      </w:r>
      <w:bookmarkEnd w:id="256"/>
    </w:p>
    <w:p w14:paraId="31B13AB3" w14:textId="0C40516D" w:rsidR="00C6616A" w:rsidRDefault="00843ABB" w:rsidP="00C6616A">
      <w:pPr>
        <w:spacing w:line="360" w:lineRule="auto"/>
        <w:rPr>
          <w:rFonts w:ascii="Times New Roman" w:hAnsi="Times New Roman" w:cs="Times New Roman"/>
          <w:noProof/>
        </w:rPr>
      </w:pPr>
      <w:r>
        <w:rPr>
          <w:rFonts w:ascii="Times New Roman" w:hAnsi="Times New Roman" w:cs="Times New Roman"/>
        </w:rPr>
        <w:t xml:space="preserve">When observing multi-layer specimens, a clear difference emerges in the UV cured specimens.  As </w:t>
      </w:r>
      <w:r w:rsidRPr="002064D7">
        <w:rPr>
          <w:rFonts w:ascii="Times New Roman" w:hAnsi="Times New Roman" w:cs="Times New Roman"/>
        </w:rPr>
        <w:fldChar w:fldCharType="begin"/>
      </w:r>
      <w:r w:rsidRPr="002064D7">
        <w:rPr>
          <w:rFonts w:ascii="Times New Roman" w:hAnsi="Times New Roman" w:cs="Times New Roman"/>
        </w:rPr>
        <w:instrText xml:space="preserve"> REF _Ref100938370 \h </w:instrText>
      </w:r>
      <w:r>
        <w:rPr>
          <w:rFonts w:ascii="Times New Roman" w:hAnsi="Times New Roman" w:cs="Times New Roman"/>
        </w:rPr>
        <w:instrText xml:space="preserve"> \* MERGEFORMAT </w:instrText>
      </w:r>
      <w:r w:rsidRPr="002064D7">
        <w:rPr>
          <w:rFonts w:ascii="Times New Roman" w:hAnsi="Times New Roman" w:cs="Times New Roman"/>
        </w:rPr>
      </w:r>
      <w:r w:rsidRPr="002064D7">
        <w:rPr>
          <w:rFonts w:ascii="Times New Roman" w:hAnsi="Times New Roman" w:cs="Times New Roman"/>
        </w:rPr>
        <w:fldChar w:fldCharType="separate"/>
      </w:r>
      <w:r w:rsidR="00C6616A" w:rsidRPr="00C6616A">
        <w:rPr>
          <w:rFonts w:ascii="Times New Roman" w:hAnsi="Times New Roman" w:cs="Times New Roman"/>
        </w:rPr>
        <w:t xml:space="preserve">Figure </w:t>
      </w:r>
      <w:r w:rsidR="00C6616A" w:rsidRPr="00C6616A">
        <w:rPr>
          <w:rFonts w:ascii="Times New Roman" w:hAnsi="Times New Roman" w:cs="Times New Roman"/>
          <w:noProof/>
        </w:rPr>
        <w:t>66</w:t>
      </w:r>
      <w:r w:rsidRPr="002064D7">
        <w:rPr>
          <w:rFonts w:ascii="Times New Roman" w:hAnsi="Times New Roman" w:cs="Times New Roman"/>
        </w:rPr>
        <w:fldChar w:fldCharType="end"/>
      </w:r>
      <w:r>
        <w:rPr>
          <w:rFonts w:ascii="Times New Roman" w:hAnsi="Times New Roman" w:cs="Times New Roman"/>
        </w:rPr>
        <w:t xml:space="preserve"> shows, many UV double-layer specimens had fracture surfaces</w:t>
      </w:r>
      <w:r w:rsidR="00C6616A">
        <w:rPr>
          <w:rFonts w:ascii="Times New Roman" w:hAnsi="Times New Roman" w:cs="Times New Roman"/>
        </w:rPr>
        <w:t xml:space="preserve"> featuring large smooth regions interspersed with several fracture zones.  Within these</w:t>
      </w:r>
    </w:p>
    <w:p w14:paraId="7725C36F" w14:textId="77777777" w:rsidR="00C6616A" w:rsidRPr="003143FF" w:rsidRDefault="00C6616A" w:rsidP="00C6616A">
      <w:pPr>
        <w:spacing w:line="360" w:lineRule="auto"/>
        <w:rPr>
          <w:rFonts w:ascii="Times New Roman" w:hAnsi="Times New Roman" w:cs="Times New Roman"/>
        </w:rPr>
      </w:pPr>
      <w:r>
        <w:rPr>
          <w:rFonts w:ascii="Times New Roman" w:hAnsi="Times New Roman" w:cs="Times New Roman"/>
        </w:rPr>
        <w:t xml:space="preserve">smaller regions, the expected signs of fracture are present such as resin cracking, hackling, exposed </w:t>
      </w:r>
      <w:proofErr w:type="gramStart"/>
      <w:r>
        <w:rPr>
          <w:rFonts w:ascii="Times New Roman" w:hAnsi="Times New Roman" w:cs="Times New Roman"/>
        </w:rPr>
        <w:t>fibers</w:t>
      </w:r>
      <w:proofErr w:type="gramEnd"/>
      <w:r>
        <w:rPr>
          <w:rFonts w:ascii="Times New Roman" w:hAnsi="Times New Roman" w:cs="Times New Roman"/>
        </w:rPr>
        <w:t xml:space="preserve"> and fiber imprints.  Within the smooth region, very few features are apparent under SEM.</w:t>
      </w:r>
    </w:p>
    <w:p w14:paraId="7EC7746E" w14:textId="77777777" w:rsidR="00C6616A" w:rsidRDefault="00C6616A" w:rsidP="00C6616A">
      <w:pPr>
        <w:spacing w:line="360" w:lineRule="auto"/>
        <w:rPr>
          <w:rFonts w:ascii="Times New Roman" w:hAnsi="Times New Roman" w:cs="Times New Roman"/>
        </w:rPr>
      </w:pPr>
    </w:p>
    <w:p w14:paraId="7BB5C666" w14:textId="27838D86" w:rsidR="00C6616A" w:rsidRDefault="00C6616A" w:rsidP="003A21C7">
      <w:pPr>
        <w:spacing w:line="360" w:lineRule="auto"/>
        <w:rPr>
          <w:rFonts w:ascii="Times New Roman" w:hAnsi="Times New Roman" w:cs="Times New Roman"/>
        </w:rPr>
      </w:pPr>
      <w:r>
        <w:rPr>
          <w:rFonts w:ascii="Times New Roman" w:hAnsi="Times New Roman" w:cs="Times New Roman"/>
        </w:rPr>
        <w:t xml:space="preserve">For single-layer specimens there was no secondary bond region and thus all specimens failed between fiberglass plies, typically along the neutral axis.  Most of the double layer specimens, on the other hand, failed at the resin-rich secondary bond interface between infused layers, which ILSS has shown is generally a weaker bond than the interlaminar bonds for the UV doses tested.  The exception to this failure mode is the High Dose, post cured sample set.  During ILSS testing, the typical failure mode for this set was a series of fractures along the lower, tension-dominated half of the specimen, with fiberglass plies separating and sliding past each other.  In </w:t>
      </w:r>
      <w:r w:rsidRPr="002064D7">
        <w:rPr>
          <w:rFonts w:ascii="Times New Roman" w:hAnsi="Times New Roman" w:cs="Times New Roman"/>
        </w:rPr>
        <w:fldChar w:fldCharType="begin"/>
      </w:r>
      <w:r w:rsidRPr="002064D7">
        <w:rPr>
          <w:rFonts w:ascii="Times New Roman" w:hAnsi="Times New Roman" w:cs="Times New Roman"/>
        </w:rPr>
        <w:instrText xml:space="preserve"> REF _Ref100938425 \h </w:instrText>
      </w:r>
      <w:r>
        <w:rPr>
          <w:rFonts w:ascii="Times New Roman" w:hAnsi="Times New Roman" w:cs="Times New Roman"/>
        </w:rPr>
        <w:instrText xml:space="preserve"> \* MERGEFORMAT </w:instrText>
      </w:r>
      <w:r w:rsidRPr="002064D7">
        <w:rPr>
          <w:rFonts w:ascii="Times New Roman" w:hAnsi="Times New Roman" w:cs="Times New Roman"/>
        </w:rPr>
      </w:r>
      <w:r w:rsidRPr="002064D7">
        <w:rPr>
          <w:rFonts w:ascii="Times New Roman" w:hAnsi="Times New Roman" w:cs="Times New Roman"/>
        </w:rPr>
        <w:fldChar w:fldCharType="separate"/>
      </w:r>
      <w:r w:rsidRPr="00C6616A">
        <w:rPr>
          <w:rFonts w:ascii="Times New Roman" w:hAnsi="Times New Roman" w:cs="Times New Roman"/>
        </w:rPr>
        <w:t xml:space="preserve">Figure </w:t>
      </w:r>
      <w:r w:rsidRPr="00C6616A">
        <w:rPr>
          <w:rFonts w:ascii="Times New Roman" w:hAnsi="Times New Roman" w:cs="Times New Roman"/>
          <w:noProof/>
        </w:rPr>
        <w:t>67</w:t>
      </w:r>
      <w:r w:rsidRPr="002064D7">
        <w:rPr>
          <w:rFonts w:ascii="Times New Roman" w:hAnsi="Times New Roman" w:cs="Times New Roman"/>
        </w:rPr>
        <w:fldChar w:fldCharType="end"/>
      </w:r>
      <w:r>
        <w:rPr>
          <w:rFonts w:ascii="Times New Roman" w:hAnsi="Times New Roman" w:cs="Times New Roman"/>
        </w:rPr>
        <w:t xml:space="preserve">, typical fracture surfaces are shown for each of the High Dose and Low Dose methods for 2-layer UV cured composites.  While a, b, and c show regions of smooth polymer outside of fracture regions, only the High Dose post cured specimens exhibited signs of fracture across its entire face.  </w:t>
      </w:r>
    </w:p>
    <w:p w14:paraId="42B38202" w14:textId="77777777" w:rsidR="00FB6763" w:rsidRDefault="00FB6763" w:rsidP="00FB6763">
      <w:pPr>
        <w:pStyle w:val="Heading2"/>
      </w:pPr>
      <w:bookmarkStart w:id="257" w:name="_Toc101701802"/>
      <w:r w:rsidRPr="00B0254F">
        <w:t xml:space="preserve">5.0 </w:t>
      </w:r>
      <w:r>
        <w:t xml:space="preserve">Overall </w:t>
      </w:r>
      <w:r w:rsidRPr="00B0254F">
        <w:t>Discussion</w:t>
      </w:r>
      <w:bookmarkEnd w:id="257"/>
    </w:p>
    <w:p w14:paraId="7B8F6236" w14:textId="77777777" w:rsidR="00FB6763" w:rsidRPr="00EB1E9F" w:rsidRDefault="00FB6763" w:rsidP="00FB6763">
      <w:pPr>
        <w:pStyle w:val="Heading3"/>
      </w:pPr>
      <w:bookmarkStart w:id="258" w:name="_Toc101701803"/>
      <w:r>
        <w:t>5.1 Single-layer n</w:t>
      </w:r>
      <w:r w:rsidRPr="00EB1E9F">
        <w:t xml:space="preserve">eat </w:t>
      </w:r>
      <w:r>
        <w:t>r</w:t>
      </w:r>
      <w:r w:rsidRPr="00EB1E9F">
        <w:t xml:space="preserve">esin </w:t>
      </w:r>
      <w:r>
        <w:t xml:space="preserve">depth profile via </w:t>
      </w:r>
      <w:r w:rsidRPr="00EB1E9F">
        <w:t>FTIR microscopy versus nanoindentation</w:t>
      </w:r>
      <w:bookmarkEnd w:id="258"/>
    </w:p>
    <w:p w14:paraId="46B7A981" w14:textId="77777777" w:rsidR="00FB6763" w:rsidRPr="004E1E6D" w:rsidRDefault="00FB6763" w:rsidP="00FB6763">
      <w:pPr>
        <w:spacing w:line="360" w:lineRule="auto"/>
        <w:rPr>
          <w:rFonts w:ascii="Times New Roman" w:hAnsi="Times New Roman" w:cs="Times New Roman"/>
        </w:rPr>
      </w:pPr>
      <w:r>
        <w:rPr>
          <w:rFonts w:ascii="Times New Roman" w:hAnsi="Times New Roman" w:cs="Times New Roman"/>
        </w:rPr>
        <w:t xml:space="preserve">The same single-layer neat resin specimens were used for both nanoindentation and FTIR microscopy, and the results follow similar trends. </w:t>
      </w:r>
      <w:r>
        <w:rPr>
          <w:rFonts w:ascii="Times New Roman" w:eastAsiaTheme="minorEastAsia" w:hAnsi="Times New Roman" w:cs="Times New Roman"/>
          <w:iCs/>
        </w:rPr>
        <w:t>A plateau region is present in both test</w:t>
      </w:r>
    </w:p>
    <w:p w14:paraId="0EEE8552" w14:textId="77777777" w:rsidR="00FB6763" w:rsidRDefault="00FB6763" w:rsidP="00FB6763">
      <w:pPr>
        <w:spacing w:line="360" w:lineRule="auto"/>
        <w:rPr>
          <w:rFonts w:ascii="Times New Roman" w:eastAsiaTheme="minorEastAsia" w:hAnsi="Times New Roman" w:cs="Times New Roman"/>
          <w:iCs/>
        </w:rPr>
      </w:pPr>
      <w:r>
        <w:rPr>
          <w:rFonts w:ascii="Times New Roman" w:eastAsiaTheme="minorEastAsia" w:hAnsi="Times New Roman" w:cs="Times New Roman"/>
          <w:iCs/>
        </w:rPr>
        <w:t>results, with DC values &gt;70% up to 1 mm depth at Low Dose and &gt;80% up to 2 mm depth at High Dose.  This increasing plateau region confirms the photofrontal cure behavior predicted for photopolymers with initiators such as BAPO.  Photofrontal cure is</w:t>
      </w:r>
    </w:p>
    <w:p w14:paraId="7CD91921" w14:textId="34AEFE32" w:rsidR="00FB6763" w:rsidRPr="00FB6763" w:rsidRDefault="00FB6763" w:rsidP="003A21C7">
      <w:pPr>
        <w:spacing w:line="360" w:lineRule="auto"/>
        <w:rPr>
          <w:rFonts w:ascii="Times New Roman" w:eastAsiaTheme="minorEastAsia" w:hAnsi="Times New Roman" w:cs="Times New Roman"/>
          <w:iCs/>
        </w:rPr>
      </w:pPr>
      <w:r>
        <w:rPr>
          <w:rFonts w:ascii="Times New Roman" w:eastAsiaTheme="minorEastAsia" w:hAnsi="Times New Roman" w:cs="Times New Roman"/>
          <w:iCs/>
        </w:rPr>
        <w:t xml:space="preserve">possible as certain PIs react and photobleach, allowing increased light penetration and inducing a progressive cure through the polymer depth with increasing irradiation time </w:t>
      </w:r>
      <w:r>
        <w:rPr>
          <w:rFonts w:ascii="Times New Roman" w:eastAsiaTheme="minorEastAsia" w:hAnsi="Times New Roman" w:cs="Times New Roman"/>
          <w:iCs/>
        </w:rPr>
        <w:fldChar w:fldCharType="begin" w:fldLock="1"/>
      </w:r>
      <w:r>
        <w:rPr>
          <w:rFonts w:ascii="Times New Roman" w:eastAsiaTheme="minorEastAsia" w:hAnsi="Times New Roman" w:cs="Times New Roman"/>
          <w:iCs/>
        </w:rPr>
        <w:instrText>ADDIN CSL_CITATION {"citationItems":[{"id":"ITEM-1","itemData":{"DOI":"10.1002/pola","abstract":"We present a mathematical description of the spatial and temporal evolution of the light intensity gradient, initiator concentration gradient, and initiation rate profiles for photobleaching initiator systems. This article builds on the foundation provided by previous researchers' contributions by generalizing the governing differential equations to include the effects of absorption by the initiator fragments, absorption by the monomer, and diffusion of the initiator. Simulation results have confirmed that, at any given time, the initiation rate profile resembles a wave front that propagates through the sample. The simulation results suggest that there is an optimum initiator concentration for efficient photopolymerization of thick samples. As either the initiator concentration or molar absorptivity is increased, the initiation rate at the peak of the wave front increases, the breadth of the propagating front decreases, and the rate of spatial propagation through the sample decreases. In contrast, the maximum pho-toinitiation rate and rate of spatial propagation of the initiation front can be simultaneously increased with an increasing initiator quantum yield or a decreasing absorp-tivity of the monomer or photolysis products. Finally, on the basis of these studies, diffusion is expected to have negligible effects in most photobleaching systems.","author":[{"dropping-particle":"","family":"Miller","given":"G A","non-dropping-particle":"","parse-names":false,"suffix":""},{"dropping-particle":"","family":"Gou","given":"L","non-dropping-particle":"","parse-names":false,"suffix":""},{"dropping-particle":"","family":"Narayanan","given":"V","non-dropping-particle":"","parse-names":false,"suffix":""},{"dropping-particle":"","family":"Scranton","given":"A B","non-dropping-particle":"","parse-names":false,"suffix":""}],"container-title":"J Polym Sci Part A: Polym Chem","id":"ITEM-1","issued":{"date-parts":[["2002"]]},"page":"793-808","title":"Modeling of Photobleaching for the Photoinitiation of Thick Polymerization Systems","type":"article-journal","volume":"40"},"uris":["http://www.mendeley.com/documents/?uuid=1be3ef49-2c86-3605-abc9-a29c2fff38fe"]},{"id":"ITEM-2","itemData":{"DOI":"10.1002/pi.2047","abstract":"A complete and accurate description of polychromatic photoinitiation in thick systems is presented in which the incident intensity and molar absorptivities of all components may be independently specified at each incident wavelength. The analysis reveals that the photoinitiation rate profile obtained with polychromatic illumination is considerably different from the sum of the monochromatic profiles, and that synergistic coupling of the contributions from multiple wavelengths can lead to both high rates of initiation near the surface and significant initiation deep in the sample. Simulations reveal that the shape and attributes of the aggregate photoinitiation rate profile may change markedly if any of a number of variables are changed, including the relative intensities, the absolute intensity, initiator concentration, and degree of photobleaching. The polychromatic description of photoinitiation presented here can be applied to any combination of monomer, initiator, and light source and may provide an invaluable tool for design of these systems.","author":[{"dropping-particle":"","family":"Stephenson Kenning","given":"Nicole","non-dropping-particle":"","parse-names":false,"suffix":""},{"dropping-particle":"","family":"Kriks","given":"Dane","non-dropping-particle":"","parse-names":false,"suffix":""},{"dropping-particle":"","family":"El-Maazawi","given":"Mohammed","non-dropping-particle":"","parse-names":false,"suffix":""},{"dropping-particle":"","family":"Scranton","given":"Alec","non-dropping-particle":"","parse-names":false,"suffix":""}],"container-title":"Polymer International Polym Int","id":"ITEM-2","issued":{"date-parts":[["2006"]]},"page":"994-1006","title":"Spatial and temporal evolution of the photoinitiation rate for thick polymer systems illuminated with polychromatic light","type":"article-journal","volume":"55"},"uris":["http://www.mendeley.com/documents/?uuid=74060935-a9be-39b6-9a7d-fbe6cce6878e"]},{"id":"ITEM-3","itemData":{"DOI":"10.1002/pi.2455","abstract":"BACKGROUND: Four common free radical photoinitiators were evaluated for use in thick photopolymerizations illuminated with a medium-pressure 200 W mercury-xenon arc lamp and a high-intensity 400 nm light-emitting diode (LED) lamp. For each photoinitiator/lamp combination, the spatial and temporal evolution of the photoinitiation rate profile was analyzed by solving the set of differential equations that govern the light intensity gradient and initiator concentration gradient for polychromatic illumination.","author":[{"dropping-particle":"","family":"Stephenson Kenning","given":"Nicole","non-dropping-particle":"","parse-names":false,"suffix":""},{"dropping-particle":"","family":"Ficek","given":"Beth A","non-dropping-particle":"","parse-names":false,"suffix":""},{"dropping-particle":"","family":"Hoppe","given":"Cindy C","non-dropping-particle":"","parse-names":false,"suffix":""},{"dropping-particle":"","family":"Scranton","given":"Alec B","non-dropping-particle":"","parse-names":false,"suffix":""}],"container-title":"Polymer International Polym Int","id":"ITEM-3","issued":{"date-parts":[["2008"]]},"page":"1134-1140","title":"Spatial and temporal evolution of the photoinitiation rate for thick polymer systems illuminated by polychromatic light: selection of efficient photoinitiators for LED or mercury lamps","type":"article-journal","volume":"57"},"uris":["http://www.mendeley.com/documents/?uuid=718d6e70-452b-369b-9baf-1694b00baaa2"]},{"id":"ITEM-4","itemData":{"abstract":"The frontal polymerization of a monomer exposed continuously to UV radiation in the presence of a photobleachable initiator has been studied on the basis of the rate equations. The time dependence of photoinitiator concentration pro®le and that of monomer conversion within the irradiated sample have been calculated, assuming steady-state conditions. It is thus possible to visualize how fast the polymerization pro®le is moving within the sample and how effectively the polymerization of a monomer layer located at a given distance from the surface proceeds upon exposure to UV radiation.","author":[{"dropping-particle":"V","family":"Ivanov","given":"Vladimir","non-dropping-particle":"","parse-names":false,"suffix":""},{"dropping-particle":"","family":"Decker","given":"Christian","non-dropping-particle":"","parse-names":false,"suffix":""}],"id":"ITEM-4","issued":{"date-parts":[["0"]]},"title":"Kinetic study of photoinitiated frontal polymerization","type":"article-journal"},"uris":["http://www.mendeley.com/documents/?uuid=31fb4922-0a7e-3339-a4b5-eeab18ca697b"]}],"mendeley":{"formattedCitation":"[36], [41], [107], [128]","plainTextFormattedCitation":"[36], [41], [107], [128]","previouslyFormattedCitation":"[36], [41], [107], [128]"},"properties":{"noteIndex":0},"schema":"https://github.com/citation-style-language/schema/raw/master/csl-citation.json"}</w:instrText>
      </w:r>
      <w:r>
        <w:rPr>
          <w:rFonts w:ascii="Times New Roman" w:eastAsiaTheme="minorEastAsia" w:hAnsi="Times New Roman" w:cs="Times New Roman"/>
          <w:iCs/>
        </w:rPr>
        <w:fldChar w:fldCharType="separate"/>
      </w:r>
      <w:r w:rsidRPr="00280E34">
        <w:rPr>
          <w:rFonts w:ascii="Times New Roman" w:eastAsiaTheme="minorEastAsia" w:hAnsi="Times New Roman" w:cs="Times New Roman"/>
          <w:iCs/>
          <w:noProof/>
        </w:rPr>
        <w:t>[36], [41], [107], [128]</w:t>
      </w:r>
      <w:r>
        <w:rPr>
          <w:rFonts w:ascii="Times New Roman" w:eastAsiaTheme="minorEastAsia" w:hAnsi="Times New Roman" w:cs="Times New Roman"/>
          <w:iCs/>
        </w:rPr>
        <w:fldChar w:fldCharType="end"/>
      </w:r>
      <w:r>
        <w:rPr>
          <w:rFonts w:ascii="Times New Roman" w:eastAsiaTheme="minorEastAsia" w:hAnsi="Times New Roman" w:cs="Times New Roman"/>
          <w:iCs/>
        </w:rPr>
        <w:t xml:space="preserve">.  </w:t>
      </w:r>
    </w:p>
    <w:p w14:paraId="224C3DC4" w14:textId="73005525" w:rsidR="002064D7" w:rsidRDefault="00C1521B" w:rsidP="002064D7">
      <w:pPr>
        <w:keepNext/>
        <w:spacing w:line="360" w:lineRule="auto"/>
        <w:jc w:val="center"/>
      </w:pPr>
      <w:r>
        <w:rPr>
          <w:noProof/>
        </w:rPr>
        <w:lastRenderedPageBreak/>
        <w:drawing>
          <wp:inline distT="0" distB="0" distL="0" distR="0" wp14:anchorId="480C185D" wp14:editId="130F7E7C">
            <wp:extent cx="4094018" cy="3061328"/>
            <wp:effectExtent l="0" t="0" r="1905" b="6350"/>
            <wp:docPr id="62" name="Picture 6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outdoor&#10;&#10;Description automatically generated"/>
                    <pic:cNvPicPr/>
                  </pic:nvPicPr>
                  <pic:blipFill>
                    <a:blip r:embed="rId70"/>
                    <a:stretch>
                      <a:fillRect/>
                    </a:stretch>
                  </pic:blipFill>
                  <pic:spPr>
                    <a:xfrm>
                      <a:off x="0" y="0"/>
                      <a:ext cx="4098309" cy="3064537"/>
                    </a:xfrm>
                    <a:prstGeom prst="rect">
                      <a:avLst/>
                    </a:prstGeom>
                  </pic:spPr>
                </pic:pic>
              </a:graphicData>
            </a:graphic>
          </wp:inline>
        </w:drawing>
      </w:r>
    </w:p>
    <w:p w14:paraId="2B1B4B4E" w14:textId="3DD6D48E" w:rsidR="002064D7" w:rsidRDefault="002064D7" w:rsidP="00F20503">
      <w:pPr>
        <w:pStyle w:val="Caption"/>
      </w:pPr>
      <w:bookmarkStart w:id="259" w:name="_Ref100938271"/>
      <w:bookmarkStart w:id="260" w:name="_Toc101365727"/>
      <w:r>
        <w:t xml:space="preserve">Figure </w:t>
      </w:r>
      <w:r w:rsidR="002F73EC">
        <w:fldChar w:fldCharType="begin"/>
      </w:r>
      <w:r w:rsidR="002F73EC">
        <w:instrText xml:space="preserve"> SEQ Figure \* ARABIC </w:instrText>
      </w:r>
      <w:r w:rsidR="002F73EC">
        <w:fldChar w:fldCharType="separate"/>
      </w:r>
      <w:r w:rsidR="00BF5717">
        <w:rPr>
          <w:noProof/>
        </w:rPr>
        <w:t>65</w:t>
      </w:r>
      <w:r w:rsidR="002F73EC">
        <w:rPr>
          <w:noProof/>
        </w:rPr>
        <w:fldChar w:fldCharType="end"/>
      </w:r>
      <w:bookmarkEnd w:id="259"/>
      <w:r>
        <w:t xml:space="preserve"> The interlaminar fracture surfaces for a single layer laminate at high UV dose, post cured. Note the visible hackling in the polymer.</w:t>
      </w:r>
      <w:bookmarkEnd w:id="260"/>
      <w:r>
        <w:t xml:space="preserve">    </w:t>
      </w:r>
    </w:p>
    <w:p w14:paraId="79392EF1" w14:textId="77777777" w:rsidR="00C6616A" w:rsidRPr="00C6616A" w:rsidRDefault="00C6616A" w:rsidP="00C6616A"/>
    <w:p w14:paraId="0D7B0EE0" w14:textId="77777777" w:rsidR="002064D7" w:rsidRPr="006B1E6B" w:rsidRDefault="002064D7" w:rsidP="006B1E6B"/>
    <w:p w14:paraId="6CDADA15" w14:textId="77777777" w:rsidR="002064D7" w:rsidRDefault="002064D7" w:rsidP="002064D7">
      <w:pPr>
        <w:keepNext/>
        <w:spacing w:line="360" w:lineRule="auto"/>
        <w:jc w:val="center"/>
      </w:pPr>
      <w:r w:rsidRPr="002064D7">
        <w:rPr>
          <w:noProof/>
        </w:rPr>
        <w:drawing>
          <wp:inline distT="0" distB="0" distL="0" distR="0" wp14:anchorId="556687C3" wp14:editId="74A37851">
            <wp:extent cx="4075793" cy="3025478"/>
            <wp:effectExtent l="0" t="0" r="1270" b="3810"/>
            <wp:docPr id="38" name="Picture 6" descr="A picture containing diagram&#10;&#10;Description automatically generated">
              <a:extLst xmlns:a="http://schemas.openxmlformats.org/drawingml/2006/main">
                <a:ext uri="{FF2B5EF4-FFF2-40B4-BE49-F238E27FC236}">
                  <a16:creationId xmlns:a16="http://schemas.microsoft.com/office/drawing/2014/main" id="{9B924DD0-9425-444B-A41B-9F7976EA15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descr="A picture containing diagram&#10;&#10;Description automatically generated">
                      <a:extLst>
                        <a:ext uri="{FF2B5EF4-FFF2-40B4-BE49-F238E27FC236}">
                          <a16:creationId xmlns:a16="http://schemas.microsoft.com/office/drawing/2014/main" id="{9B924DD0-9425-444B-A41B-9F7976EA1578}"/>
                        </a:ext>
                      </a:extLst>
                    </pic:cNvPr>
                    <pic:cNvPicPr>
                      <a:picLocks noChangeAspect="1"/>
                    </pic:cNvPicPr>
                  </pic:nvPicPr>
                  <pic:blipFill rotWithShape="1">
                    <a:blip r:embed="rId71"/>
                    <a:srcRect r="9952"/>
                    <a:stretch/>
                  </pic:blipFill>
                  <pic:spPr>
                    <a:xfrm>
                      <a:off x="0" y="0"/>
                      <a:ext cx="4079774" cy="3028433"/>
                    </a:xfrm>
                    <a:prstGeom prst="rect">
                      <a:avLst/>
                    </a:prstGeom>
                  </pic:spPr>
                </pic:pic>
              </a:graphicData>
            </a:graphic>
          </wp:inline>
        </w:drawing>
      </w:r>
    </w:p>
    <w:p w14:paraId="0F56A5CA" w14:textId="2C32FEEA" w:rsidR="00C1521B" w:rsidRDefault="002064D7" w:rsidP="00F20503">
      <w:pPr>
        <w:pStyle w:val="Caption"/>
      </w:pPr>
      <w:bookmarkStart w:id="261" w:name="_Ref100938370"/>
      <w:bookmarkStart w:id="262" w:name="_Toc101365728"/>
      <w:r>
        <w:t xml:space="preserve">Figure </w:t>
      </w:r>
      <w:r w:rsidR="002F73EC">
        <w:fldChar w:fldCharType="begin"/>
      </w:r>
      <w:r w:rsidR="002F73EC">
        <w:instrText xml:space="preserve"> SEQ Figure \* ARABIC </w:instrText>
      </w:r>
      <w:r w:rsidR="002F73EC">
        <w:fldChar w:fldCharType="separate"/>
      </w:r>
      <w:r w:rsidR="00BF5717">
        <w:rPr>
          <w:noProof/>
        </w:rPr>
        <w:t>66</w:t>
      </w:r>
      <w:r w:rsidR="002F73EC">
        <w:rPr>
          <w:noProof/>
        </w:rPr>
        <w:fldChar w:fldCharType="end"/>
      </w:r>
      <w:bookmarkEnd w:id="261"/>
      <w:r>
        <w:t xml:space="preserve"> The low UV dose double-layer fracture surface is primarily smooth and featureless, with several regions that exhibit signs of fiber tearing and polymer fracture.</w:t>
      </w:r>
      <w:bookmarkEnd w:id="262"/>
      <w:r>
        <w:t xml:space="preserve">  </w:t>
      </w:r>
    </w:p>
    <w:p w14:paraId="507F44E1" w14:textId="77777777" w:rsidR="002064D7" w:rsidRDefault="00C1521B" w:rsidP="002064D7">
      <w:pPr>
        <w:keepNext/>
        <w:spacing w:line="360" w:lineRule="auto"/>
        <w:jc w:val="center"/>
      </w:pPr>
      <w:r>
        <w:rPr>
          <w:noProof/>
        </w:rPr>
        <w:lastRenderedPageBreak/>
        <w:drawing>
          <wp:inline distT="0" distB="0" distL="0" distR="0" wp14:anchorId="5D8B97A4" wp14:editId="0B8DA088">
            <wp:extent cx="5484625" cy="4658264"/>
            <wp:effectExtent l="0" t="0" r="1905" b="9525"/>
            <wp:docPr id="64" name="Picture 6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website&#10;&#10;Description automatically generated"/>
                    <pic:cNvPicPr/>
                  </pic:nvPicPr>
                  <pic:blipFill rotWithShape="1">
                    <a:blip r:embed="rId72">
                      <a:extLst>
                        <a:ext uri="{28A0092B-C50C-407E-A947-70E740481C1C}">
                          <a14:useLocalDpi xmlns:a14="http://schemas.microsoft.com/office/drawing/2010/main" val="0"/>
                        </a:ext>
                      </a:extLst>
                    </a:blip>
                    <a:srcRect r="5589" b="39874"/>
                    <a:stretch/>
                  </pic:blipFill>
                  <pic:spPr bwMode="auto">
                    <a:xfrm>
                      <a:off x="0" y="0"/>
                      <a:ext cx="5501500" cy="4672597"/>
                    </a:xfrm>
                    <a:prstGeom prst="rect">
                      <a:avLst/>
                    </a:prstGeom>
                    <a:ln>
                      <a:noFill/>
                    </a:ln>
                    <a:extLst>
                      <a:ext uri="{53640926-AAD7-44D8-BBD7-CCE9431645EC}">
                        <a14:shadowObscured xmlns:a14="http://schemas.microsoft.com/office/drawing/2010/main"/>
                      </a:ext>
                    </a:extLst>
                  </pic:spPr>
                </pic:pic>
              </a:graphicData>
            </a:graphic>
          </wp:inline>
        </w:drawing>
      </w:r>
    </w:p>
    <w:p w14:paraId="1E783287" w14:textId="1D217BEF" w:rsidR="00C1521B" w:rsidRDefault="002064D7" w:rsidP="00F20503">
      <w:pPr>
        <w:pStyle w:val="Caption"/>
      </w:pPr>
      <w:bookmarkStart w:id="263" w:name="_Ref100938425"/>
      <w:bookmarkStart w:id="264" w:name="_Toc101365729"/>
      <w:r>
        <w:t xml:space="preserve">Figure </w:t>
      </w:r>
      <w:r w:rsidR="002F73EC">
        <w:fldChar w:fldCharType="begin"/>
      </w:r>
      <w:r w:rsidR="002F73EC">
        <w:instrText xml:space="preserve"> SEQ Figure \* ARABIC </w:instrText>
      </w:r>
      <w:r w:rsidR="002F73EC">
        <w:fldChar w:fldCharType="separate"/>
      </w:r>
      <w:r w:rsidR="00BF5717">
        <w:rPr>
          <w:noProof/>
        </w:rPr>
        <w:t>67</w:t>
      </w:r>
      <w:r w:rsidR="002F73EC">
        <w:rPr>
          <w:noProof/>
        </w:rPr>
        <w:fldChar w:fldCharType="end"/>
      </w:r>
      <w:bookmarkEnd w:id="263"/>
      <w:r>
        <w:t xml:space="preserve"> </w:t>
      </w:r>
      <w:r w:rsidRPr="00913A1D">
        <w:t>Fracture surfaces for double-layer specimens: a) Low dose, no post cure, b) Low dose, post cured, c) High dose, no post cure, d) High dose post cured.  Specimens a-c failed at the interface between infused layers, while d failed within a laminate.</w:t>
      </w:r>
      <w:bookmarkEnd w:id="264"/>
    </w:p>
    <w:p w14:paraId="361AE778" w14:textId="40AC409B" w:rsidR="00322976" w:rsidRDefault="00322976" w:rsidP="00322976">
      <w:pPr>
        <w:spacing w:line="360" w:lineRule="auto"/>
        <w:rPr>
          <w:rFonts w:ascii="Times New Roman" w:hAnsi="Times New Roman" w:cs="Times New Roman"/>
        </w:rPr>
      </w:pPr>
    </w:p>
    <w:p w14:paraId="2B376455" w14:textId="0710EB8C" w:rsidR="00B438C4" w:rsidRDefault="00B438C4" w:rsidP="00322976">
      <w:pPr>
        <w:spacing w:line="360" w:lineRule="auto"/>
        <w:rPr>
          <w:rFonts w:ascii="Times New Roman" w:hAnsi="Times New Roman" w:cs="Times New Roman"/>
        </w:rPr>
      </w:pPr>
    </w:p>
    <w:p w14:paraId="2F290518" w14:textId="53B53C24" w:rsidR="00B438C4" w:rsidRDefault="00B438C4" w:rsidP="00322976">
      <w:pPr>
        <w:spacing w:line="360" w:lineRule="auto"/>
        <w:rPr>
          <w:rFonts w:ascii="Times New Roman" w:hAnsi="Times New Roman" w:cs="Times New Roman"/>
        </w:rPr>
      </w:pPr>
    </w:p>
    <w:p w14:paraId="6AD1036C" w14:textId="77777777" w:rsidR="00B438C4" w:rsidRDefault="00B438C4" w:rsidP="00322976">
      <w:pPr>
        <w:spacing w:line="360" w:lineRule="auto"/>
        <w:rPr>
          <w:rFonts w:ascii="Times New Roman" w:hAnsi="Times New Roman" w:cs="Times New Roman"/>
        </w:rPr>
      </w:pPr>
    </w:p>
    <w:p w14:paraId="01F50EA6" w14:textId="1C414D17" w:rsidR="00322976" w:rsidRDefault="00322976" w:rsidP="00322976">
      <w:pPr>
        <w:spacing w:line="360" w:lineRule="auto"/>
        <w:rPr>
          <w:rFonts w:ascii="Times New Roman" w:hAnsi="Times New Roman" w:cs="Times New Roman"/>
        </w:rPr>
      </w:pPr>
    </w:p>
    <w:p w14:paraId="103725BA" w14:textId="4B87C7E6" w:rsidR="00643ACA" w:rsidRDefault="00643ACA" w:rsidP="00322976">
      <w:pPr>
        <w:spacing w:line="360" w:lineRule="auto"/>
        <w:rPr>
          <w:rFonts w:ascii="Times New Roman" w:hAnsi="Times New Roman" w:cs="Times New Roman"/>
        </w:rPr>
      </w:pPr>
    </w:p>
    <w:p w14:paraId="330C9B1F" w14:textId="05A7C291" w:rsidR="006B1E6B" w:rsidRDefault="006B1E6B" w:rsidP="00322976">
      <w:pPr>
        <w:spacing w:line="360" w:lineRule="auto"/>
        <w:rPr>
          <w:rFonts w:ascii="Times New Roman" w:hAnsi="Times New Roman" w:cs="Times New Roman"/>
        </w:rPr>
      </w:pPr>
    </w:p>
    <w:p w14:paraId="0FDFE109" w14:textId="77777777" w:rsidR="006B1E6B" w:rsidRDefault="006B1E6B" w:rsidP="00322976">
      <w:pPr>
        <w:spacing w:line="360" w:lineRule="auto"/>
        <w:rPr>
          <w:rFonts w:ascii="Times New Roman" w:hAnsi="Times New Roman" w:cs="Times New Roman"/>
        </w:rPr>
      </w:pPr>
    </w:p>
    <w:p w14:paraId="5B133E85" w14:textId="77777777" w:rsidR="00643ACA" w:rsidRDefault="00643ACA" w:rsidP="00322976">
      <w:pPr>
        <w:spacing w:line="360" w:lineRule="auto"/>
        <w:rPr>
          <w:rFonts w:ascii="Times New Roman" w:hAnsi="Times New Roman" w:cs="Times New Roman"/>
        </w:rPr>
      </w:pPr>
    </w:p>
    <w:p w14:paraId="3D591D0E" w14:textId="584ECCF8" w:rsidR="00C1521B" w:rsidRDefault="00C1521B" w:rsidP="00322976">
      <w:pPr>
        <w:spacing w:line="360" w:lineRule="auto"/>
        <w:rPr>
          <w:rFonts w:ascii="Times New Roman" w:eastAsiaTheme="minorEastAsia" w:hAnsi="Times New Roman" w:cs="Times New Roman"/>
          <w:iCs/>
        </w:rPr>
      </w:pPr>
      <w:r>
        <w:rPr>
          <w:rFonts w:ascii="Times New Roman" w:eastAsiaTheme="minorEastAsia" w:hAnsi="Times New Roman" w:cs="Times New Roman"/>
          <w:iCs/>
        </w:rPr>
        <w:lastRenderedPageBreak/>
        <w:t xml:space="preserve">Thermal post cure improved HV and DC in both dose levels, but the improvement indicated by the results for Low Dose – Post Cure specimens is lower for nanoindentation than with FTIR microscopy.  This is explained in part by the difference in measurement locations, as the FTIR microscopy results for a given depth were taken at 1600 </w:t>
      </w:r>
      <m:oMath>
        <m:r>
          <m:rPr>
            <m:sty m:val="p"/>
          </m:rPr>
          <w:rPr>
            <w:rFonts w:ascii="Cambria Math" w:hAnsi="Cambria Math" w:cs="Times New Roman"/>
          </w:rPr>
          <m:t>μm</m:t>
        </m:r>
      </m:oMath>
      <w:r>
        <w:rPr>
          <w:rFonts w:ascii="Times New Roman" w:eastAsiaTheme="minorEastAsia" w:hAnsi="Times New Roman" w:cs="Times New Roman"/>
          <w:iCs/>
        </w:rPr>
        <w:t xml:space="preserve"> intervals along the x-axis, while nanoindentation results were all taken close to the center line for a given specimen.  As shown in </w:t>
      </w:r>
      <w:r w:rsidR="00C34857" w:rsidRPr="00C34857">
        <w:rPr>
          <w:rFonts w:ascii="Times New Roman" w:eastAsiaTheme="minorEastAsia" w:hAnsi="Times New Roman" w:cs="Times New Roman"/>
          <w:iCs/>
        </w:rPr>
        <w:fldChar w:fldCharType="begin"/>
      </w:r>
      <w:r w:rsidR="00C34857" w:rsidRPr="00C34857">
        <w:rPr>
          <w:rFonts w:ascii="Times New Roman" w:eastAsiaTheme="minorEastAsia" w:hAnsi="Times New Roman" w:cs="Times New Roman"/>
          <w:iCs/>
        </w:rPr>
        <w:instrText xml:space="preserve"> REF _Ref100936043 \h </w:instrText>
      </w:r>
      <w:r w:rsidR="00C34857">
        <w:rPr>
          <w:rFonts w:ascii="Times New Roman" w:eastAsiaTheme="minorEastAsia" w:hAnsi="Times New Roman" w:cs="Times New Roman"/>
          <w:iCs/>
        </w:rPr>
        <w:instrText xml:space="preserve"> \* MERGEFORMAT </w:instrText>
      </w:r>
      <w:r w:rsidR="00C34857" w:rsidRPr="00C34857">
        <w:rPr>
          <w:rFonts w:ascii="Times New Roman" w:eastAsiaTheme="minorEastAsia" w:hAnsi="Times New Roman" w:cs="Times New Roman"/>
          <w:iCs/>
        </w:rPr>
      </w:r>
      <w:r w:rsidR="00C34857" w:rsidRPr="00C34857">
        <w:rPr>
          <w:rFonts w:ascii="Times New Roman" w:eastAsiaTheme="minorEastAsia" w:hAnsi="Times New Roman" w:cs="Times New Roman"/>
          <w:iCs/>
        </w:rPr>
        <w:fldChar w:fldCharType="separate"/>
      </w:r>
      <w:r w:rsidR="00C34857" w:rsidRPr="00C34857">
        <w:rPr>
          <w:rFonts w:ascii="Times New Roman" w:hAnsi="Times New Roman" w:cs="Times New Roman"/>
        </w:rPr>
        <w:t xml:space="preserve">Figure </w:t>
      </w:r>
      <w:r w:rsidR="00C34857" w:rsidRPr="00C34857">
        <w:rPr>
          <w:rFonts w:ascii="Times New Roman" w:hAnsi="Times New Roman" w:cs="Times New Roman"/>
          <w:noProof/>
        </w:rPr>
        <w:t>48</w:t>
      </w:r>
      <w:r w:rsidR="00C34857" w:rsidRPr="00C34857">
        <w:rPr>
          <w:rFonts w:ascii="Times New Roman" w:eastAsiaTheme="minorEastAsia" w:hAnsi="Times New Roman" w:cs="Times New Roman"/>
          <w:iCs/>
        </w:rPr>
        <w:fldChar w:fldCharType="end"/>
      </w:r>
      <w:r>
        <w:rPr>
          <w:rFonts w:ascii="Times New Roman" w:eastAsiaTheme="minorEastAsia" w:hAnsi="Times New Roman" w:cs="Times New Roman"/>
          <w:iCs/>
        </w:rPr>
        <w:t xml:space="preserve">, the standard deviation is highest for the Low Dose – Post Cured specimen.  This is because the average DC for the measurements along the outer vertical edge of each specimen are higher than the DC values at the center line.  At 1650 </w:t>
      </w:r>
      <m:oMath>
        <m:r>
          <m:rPr>
            <m:sty m:val="p"/>
          </m:rPr>
          <w:rPr>
            <w:rFonts w:ascii="Cambria Math" w:hAnsi="Cambria Math" w:cs="Times New Roman"/>
          </w:rPr>
          <m:t>μm</m:t>
        </m:r>
      </m:oMath>
      <w:r>
        <w:rPr>
          <w:rFonts w:ascii="Times New Roman" w:eastAsiaTheme="minorEastAsia" w:hAnsi="Times New Roman" w:cs="Times New Roman"/>
          <w:iCs/>
        </w:rPr>
        <w:t xml:space="preserve"> depth, this difference was an average 1.6 % DC, increasing to 7.1 % DC by 2700 </w:t>
      </w:r>
      <m:oMath>
        <m:r>
          <m:rPr>
            <m:sty m:val="p"/>
          </m:rPr>
          <w:rPr>
            <w:rFonts w:ascii="Cambria Math" w:hAnsi="Cambria Math" w:cs="Times New Roman"/>
          </w:rPr>
          <m:t>μm</m:t>
        </m:r>
      </m:oMath>
      <w:r>
        <w:rPr>
          <w:rFonts w:ascii="Times New Roman" w:eastAsiaTheme="minorEastAsia" w:hAnsi="Times New Roman" w:cs="Times New Roman"/>
          <w:iCs/>
        </w:rPr>
        <w:t xml:space="preserve"> depth.  It is unclear why the DC along the outer edges was higher in these specimens, as this was not </w:t>
      </w:r>
      <w:r w:rsidR="00AA00B8">
        <w:rPr>
          <w:rFonts w:ascii="Times New Roman" w:eastAsiaTheme="minorEastAsia" w:hAnsi="Times New Roman" w:cs="Times New Roman"/>
          <w:iCs/>
        </w:rPr>
        <w:t>present</w:t>
      </w:r>
      <w:r>
        <w:rPr>
          <w:rFonts w:ascii="Times New Roman" w:eastAsiaTheme="minorEastAsia" w:hAnsi="Times New Roman" w:cs="Times New Roman"/>
          <w:iCs/>
        </w:rPr>
        <w:t xml:space="preserve"> in the multi-layer specimens.   </w:t>
      </w:r>
    </w:p>
    <w:p w14:paraId="1EBC7EA0" w14:textId="5502E985" w:rsidR="00C1521B" w:rsidRPr="00EB1E9F" w:rsidRDefault="005E7604" w:rsidP="009D06D1">
      <w:pPr>
        <w:pStyle w:val="Heading3"/>
      </w:pPr>
      <w:bookmarkStart w:id="265" w:name="_Toc101701804"/>
      <w:r>
        <w:t xml:space="preserve">5.2 </w:t>
      </w:r>
      <w:proofErr w:type="gramStart"/>
      <w:r w:rsidR="00C1521B" w:rsidRPr="00EB1E9F">
        <w:t>Multi-Layer</w:t>
      </w:r>
      <w:proofErr w:type="gramEnd"/>
      <w:r w:rsidR="00C1521B" w:rsidRPr="00EB1E9F">
        <w:t xml:space="preserve"> neat resin results</w:t>
      </w:r>
      <w:bookmarkEnd w:id="265"/>
    </w:p>
    <w:p w14:paraId="5197A3C8" w14:textId="01165DFD" w:rsidR="00322976" w:rsidRDefault="00C1521B" w:rsidP="00322976">
      <w:pPr>
        <w:spacing w:line="360" w:lineRule="auto"/>
        <w:rPr>
          <w:rFonts w:ascii="Times New Roman" w:hAnsi="Times New Roman" w:cs="Times New Roman"/>
        </w:rPr>
      </w:pPr>
      <w:r>
        <w:rPr>
          <w:rFonts w:ascii="Times New Roman" w:hAnsi="Times New Roman" w:cs="Times New Roman"/>
        </w:rPr>
        <w:t>The Low Dose specimens proved somewhat challenging to prepare.  In RT-FTIR, Low Dose specimens had a much larger variation in DC after the first irradiation in comparison with the High dose specimens, although samples consistently improved to nearly identical final DC after the 2</w:t>
      </w:r>
      <w:r w:rsidRPr="00B627BF">
        <w:rPr>
          <w:rFonts w:ascii="Times New Roman" w:hAnsi="Times New Roman" w:cs="Times New Roman"/>
          <w:vertAlign w:val="superscript"/>
        </w:rPr>
        <w:t>nd</w:t>
      </w:r>
      <w:r>
        <w:rPr>
          <w:rFonts w:ascii="Times New Roman" w:hAnsi="Times New Roman" w:cs="Times New Roman"/>
        </w:rPr>
        <w:t xml:space="preserve"> layer irradiation.  The low DC, especially at the layer interface, resulted in multi-layer specimens that were delicate after testing and prone to separate into individual layers upon handling.  For some potted specimens, the low DC portions were prone to smearing during polishing, and in microscopy these regions were apparent as darker than the surrounding polished surfaces. </w:t>
      </w:r>
    </w:p>
    <w:p w14:paraId="4052801D" w14:textId="553AF361" w:rsidR="00C1521B" w:rsidRDefault="00C1521B" w:rsidP="00322976">
      <w:pPr>
        <w:spacing w:line="360" w:lineRule="auto"/>
        <w:rPr>
          <w:rFonts w:ascii="Times New Roman" w:hAnsi="Times New Roman" w:cs="Times New Roman"/>
        </w:rPr>
      </w:pPr>
      <w:r>
        <w:rPr>
          <w:rFonts w:ascii="Times New Roman" w:hAnsi="Times New Roman" w:cs="Times New Roman"/>
        </w:rPr>
        <w:t xml:space="preserve"> </w:t>
      </w:r>
    </w:p>
    <w:p w14:paraId="3809B705" w14:textId="638E04B8" w:rsidR="00C1521B" w:rsidRDefault="00C1521B" w:rsidP="00322976">
      <w:pPr>
        <w:spacing w:line="360" w:lineRule="auto"/>
        <w:rPr>
          <w:rFonts w:ascii="Times New Roman" w:hAnsi="Times New Roman" w:cs="Times New Roman"/>
        </w:rPr>
      </w:pPr>
      <w:r>
        <w:rPr>
          <w:rFonts w:ascii="Times New Roman" w:hAnsi="Times New Roman" w:cs="Times New Roman"/>
        </w:rPr>
        <w:t xml:space="preserve">For example, the first Low Dose – No Post Cure specimen tested using FTIR microscopy was ultimately a failed depth profile measurement because of a large defect between layers 2 and 3 (see </w:t>
      </w:r>
      <w:r w:rsidR="00EC331B" w:rsidRPr="00EC331B">
        <w:rPr>
          <w:rFonts w:ascii="Times New Roman" w:hAnsi="Times New Roman" w:cs="Times New Roman"/>
        </w:rPr>
        <w:fldChar w:fldCharType="begin"/>
      </w:r>
      <w:r w:rsidR="00EC331B" w:rsidRPr="00EC331B">
        <w:rPr>
          <w:rFonts w:ascii="Times New Roman" w:hAnsi="Times New Roman" w:cs="Times New Roman"/>
        </w:rPr>
        <w:instrText xml:space="preserve"> REF _Ref100939223 \h </w:instrText>
      </w:r>
      <w:r w:rsidR="00EC331B">
        <w:rPr>
          <w:rFonts w:ascii="Times New Roman" w:hAnsi="Times New Roman" w:cs="Times New Roman"/>
        </w:rPr>
        <w:instrText xml:space="preserve"> \* MERGEFORMAT </w:instrText>
      </w:r>
      <w:r w:rsidR="00EC331B" w:rsidRPr="00EC331B">
        <w:rPr>
          <w:rFonts w:ascii="Times New Roman" w:hAnsi="Times New Roman" w:cs="Times New Roman"/>
        </w:rPr>
      </w:r>
      <w:r w:rsidR="00EC331B" w:rsidRPr="00EC331B">
        <w:rPr>
          <w:rFonts w:ascii="Times New Roman" w:hAnsi="Times New Roman" w:cs="Times New Roman"/>
        </w:rPr>
        <w:fldChar w:fldCharType="separate"/>
      </w:r>
      <w:r w:rsidR="00C6616A" w:rsidRPr="00C6616A">
        <w:rPr>
          <w:rFonts w:ascii="Times New Roman" w:hAnsi="Times New Roman" w:cs="Times New Roman"/>
        </w:rPr>
        <w:t xml:space="preserve">Figure </w:t>
      </w:r>
      <w:r w:rsidR="00C6616A" w:rsidRPr="00C6616A">
        <w:rPr>
          <w:rFonts w:ascii="Times New Roman" w:hAnsi="Times New Roman" w:cs="Times New Roman"/>
          <w:noProof/>
        </w:rPr>
        <w:t>68</w:t>
      </w:r>
      <w:r w:rsidR="00EC331B" w:rsidRPr="00EC331B">
        <w:rPr>
          <w:rFonts w:ascii="Times New Roman" w:hAnsi="Times New Roman" w:cs="Times New Roman"/>
        </w:rPr>
        <w:fldChar w:fldCharType="end"/>
      </w:r>
      <w:r>
        <w:rPr>
          <w:rFonts w:ascii="Times New Roman" w:hAnsi="Times New Roman" w:cs="Times New Roman"/>
        </w:rPr>
        <w:t xml:space="preserve">).  This was either due to underfill or leakage prior to irradiation resulting in an exceptionally thin layer 2 (1.45 mm at centerline) and an exceptionally thick layer 3 (3.74 mm at centerline).  The average layer thickness for the specimens shown in Figures 10-13 was 2.97 mm, with a standard deviation of 0.26 mm due to slight variations in fill height, cure shrinkage and possible mold leakage.  However, at 3.74 mm height, the resulting bottom surface cure was so low that some of </w:t>
      </w:r>
      <w:r>
        <w:rPr>
          <w:rFonts w:ascii="Times New Roman" w:hAnsi="Times New Roman" w:cs="Times New Roman"/>
        </w:rPr>
        <w:lastRenderedPageBreak/>
        <w:t xml:space="preserve">the polymer smeared upwards across the layer during polishing.  At the darkest region of layer 3, the average DC is only 20.5%, and across the entire layer interface the average is 23.8%.  Not surprisingly, the layer 2 bottom surface DC is much higher (54%) due to the shallower depth.  Similar effects with even lower DC values and some missing data points were observed in the other Low Dose specimens as shown in </w:t>
      </w:r>
      <w:r w:rsidR="00EC331B" w:rsidRPr="00EC331B">
        <w:rPr>
          <w:rFonts w:ascii="Times New Roman" w:hAnsi="Times New Roman" w:cs="Times New Roman"/>
        </w:rPr>
        <w:fldChar w:fldCharType="begin"/>
      </w:r>
      <w:r w:rsidR="00EC331B" w:rsidRPr="00EC331B">
        <w:rPr>
          <w:rFonts w:ascii="Times New Roman" w:hAnsi="Times New Roman" w:cs="Times New Roman"/>
        </w:rPr>
        <w:instrText xml:space="preserve"> REF _Ref100936419 \h </w:instrText>
      </w:r>
      <w:r w:rsidR="00EC331B">
        <w:rPr>
          <w:rFonts w:ascii="Times New Roman" w:hAnsi="Times New Roman" w:cs="Times New Roman"/>
        </w:rPr>
        <w:instrText xml:space="preserve"> \* MERGEFORMAT </w:instrText>
      </w:r>
      <w:r w:rsidR="00EC331B" w:rsidRPr="00EC331B">
        <w:rPr>
          <w:rFonts w:ascii="Times New Roman" w:hAnsi="Times New Roman" w:cs="Times New Roman"/>
        </w:rPr>
      </w:r>
      <w:r w:rsidR="00EC331B" w:rsidRPr="00EC331B">
        <w:rPr>
          <w:rFonts w:ascii="Times New Roman" w:hAnsi="Times New Roman" w:cs="Times New Roman"/>
        </w:rPr>
        <w:fldChar w:fldCharType="separate"/>
      </w:r>
      <w:r w:rsidR="00C6616A" w:rsidRPr="00C6616A">
        <w:rPr>
          <w:rFonts w:ascii="Times New Roman" w:hAnsi="Times New Roman" w:cs="Times New Roman"/>
        </w:rPr>
        <w:t xml:space="preserve">Figure </w:t>
      </w:r>
      <w:r w:rsidR="00C6616A" w:rsidRPr="00C6616A">
        <w:rPr>
          <w:rFonts w:ascii="Times New Roman" w:hAnsi="Times New Roman" w:cs="Times New Roman"/>
          <w:noProof/>
        </w:rPr>
        <w:t>57</w:t>
      </w:r>
      <w:r w:rsidR="00EC331B" w:rsidRPr="00EC331B">
        <w:rPr>
          <w:rFonts w:ascii="Times New Roman" w:hAnsi="Times New Roman" w:cs="Times New Roman"/>
        </w:rPr>
        <w:fldChar w:fldCharType="end"/>
      </w:r>
      <w:r>
        <w:rPr>
          <w:rFonts w:ascii="Times New Roman" w:hAnsi="Times New Roman" w:cs="Times New Roman"/>
        </w:rPr>
        <w:t xml:space="preserve">.  </w:t>
      </w:r>
    </w:p>
    <w:p w14:paraId="784B1BC2" w14:textId="77777777" w:rsidR="00322976" w:rsidRDefault="00322976" w:rsidP="00322976">
      <w:pPr>
        <w:spacing w:line="360" w:lineRule="auto"/>
        <w:rPr>
          <w:rFonts w:ascii="Times New Roman" w:hAnsi="Times New Roman" w:cs="Times New Roman"/>
        </w:rPr>
      </w:pPr>
    </w:p>
    <w:p w14:paraId="67BF1687" w14:textId="77B0425E" w:rsidR="00C1521B" w:rsidRDefault="00C1521B" w:rsidP="00322976">
      <w:pPr>
        <w:spacing w:line="360" w:lineRule="auto"/>
        <w:rPr>
          <w:rFonts w:ascii="Times New Roman" w:hAnsi="Times New Roman" w:cs="Times New Roman"/>
        </w:rPr>
      </w:pPr>
      <w:r>
        <w:rPr>
          <w:rFonts w:ascii="Times New Roman" w:hAnsi="Times New Roman" w:cs="Times New Roman"/>
        </w:rPr>
        <w:t xml:space="preserve">The failed specimen in </w:t>
      </w:r>
      <w:r w:rsidR="00EC331B" w:rsidRPr="00EC331B">
        <w:rPr>
          <w:rFonts w:ascii="Times New Roman" w:hAnsi="Times New Roman" w:cs="Times New Roman"/>
        </w:rPr>
        <w:fldChar w:fldCharType="begin"/>
      </w:r>
      <w:r w:rsidR="00EC331B" w:rsidRPr="00EC331B">
        <w:rPr>
          <w:rFonts w:ascii="Times New Roman" w:hAnsi="Times New Roman" w:cs="Times New Roman"/>
        </w:rPr>
        <w:instrText xml:space="preserve"> REF _Ref100939223 \h </w:instrText>
      </w:r>
      <w:r w:rsidR="00EC331B">
        <w:rPr>
          <w:rFonts w:ascii="Times New Roman" w:hAnsi="Times New Roman" w:cs="Times New Roman"/>
        </w:rPr>
        <w:instrText xml:space="preserve"> \* MERGEFORMAT </w:instrText>
      </w:r>
      <w:r w:rsidR="00EC331B" w:rsidRPr="00EC331B">
        <w:rPr>
          <w:rFonts w:ascii="Times New Roman" w:hAnsi="Times New Roman" w:cs="Times New Roman"/>
        </w:rPr>
      </w:r>
      <w:r w:rsidR="00EC331B" w:rsidRPr="00EC331B">
        <w:rPr>
          <w:rFonts w:ascii="Times New Roman" w:hAnsi="Times New Roman" w:cs="Times New Roman"/>
        </w:rPr>
        <w:fldChar w:fldCharType="separate"/>
      </w:r>
      <w:r w:rsidR="00C6616A" w:rsidRPr="00C6616A">
        <w:rPr>
          <w:rFonts w:ascii="Times New Roman" w:hAnsi="Times New Roman" w:cs="Times New Roman"/>
        </w:rPr>
        <w:t xml:space="preserve">Figure </w:t>
      </w:r>
      <w:r w:rsidR="00C6616A" w:rsidRPr="00C6616A">
        <w:rPr>
          <w:rFonts w:ascii="Times New Roman" w:hAnsi="Times New Roman" w:cs="Times New Roman"/>
          <w:noProof/>
        </w:rPr>
        <w:t>68</w:t>
      </w:r>
      <w:r w:rsidR="00EC331B" w:rsidRPr="00EC331B">
        <w:rPr>
          <w:rFonts w:ascii="Times New Roman" w:hAnsi="Times New Roman" w:cs="Times New Roman"/>
        </w:rPr>
        <w:fldChar w:fldCharType="end"/>
      </w:r>
      <w:r w:rsidR="00EC331B">
        <w:rPr>
          <w:rFonts w:ascii="Times New Roman" w:hAnsi="Times New Roman" w:cs="Times New Roman"/>
        </w:rPr>
        <w:t xml:space="preserve"> </w:t>
      </w:r>
      <w:r>
        <w:rPr>
          <w:rFonts w:ascii="Times New Roman" w:hAnsi="Times New Roman" w:cs="Times New Roman"/>
        </w:rPr>
        <w:t>illustrates the importance of consistent layer height during a process such as LFAM.  It could also have implications on DIW print paths, as certain path configurations may result in partial road overlapping, overhangs or even bridging, all of which will influence the aspect ratio of the bead and change the effective depth of the layer.  For LFAM, care must be taken when optimizing print speeds to factor in effective layer heights, and certain path trajectories that alter bead aspect ratio may need to have print speed reduction factors incorporated into the slicing software.</w:t>
      </w:r>
    </w:p>
    <w:p w14:paraId="424D8A08" w14:textId="77777777" w:rsidR="00322976" w:rsidRDefault="00322976" w:rsidP="00322976">
      <w:pPr>
        <w:spacing w:line="360" w:lineRule="auto"/>
        <w:rPr>
          <w:rFonts w:ascii="Times New Roman" w:hAnsi="Times New Roman" w:cs="Times New Roman"/>
        </w:rPr>
      </w:pPr>
    </w:p>
    <w:p w14:paraId="53027DC5" w14:textId="5109313F" w:rsidR="007E5B56" w:rsidRDefault="00C1521B" w:rsidP="00322976">
      <w:pPr>
        <w:spacing w:line="360" w:lineRule="auto"/>
        <w:rPr>
          <w:rFonts w:ascii="Times New Roman" w:hAnsi="Times New Roman" w:cs="Times New Roman"/>
        </w:rPr>
      </w:pPr>
      <w:r>
        <w:rPr>
          <w:rFonts w:ascii="Times New Roman" w:hAnsi="Times New Roman" w:cs="Times New Roman"/>
        </w:rPr>
        <w:t xml:space="preserve">The results in </w:t>
      </w:r>
      <w:r w:rsidR="00EC331B" w:rsidRPr="00EC331B">
        <w:rPr>
          <w:rFonts w:ascii="Times New Roman" w:hAnsi="Times New Roman" w:cs="Times New Roman"/>
        </w:rPr>
        <w:fldChar w:fldCharType="begin"/>
      </w:r>
      <w:r w:rsidR="00EC331B" w:rsidRPr="00EC331B">
        <w:rPr>
          <w:rFonts w:ascii="Times New Roman" w:hAnsi="Times New Roman" w:cs="Times New Roman"/>
        </w:rPr>
        <w:instrText xml:space="preserve"> REF _Ref100939223 \h </w:instrText>
      </w:r>
      <w:r w:rsidR="00EC331B">
        <w:rPr>
          <w:rFonts w:ascii="Times New Roman" w:hAnsi="Times New Roman" w:cs="Times New Roman"/>
        </w:rPr>
        <w:instrText xml:space="preserve"> \* MERGEFORMAT </w:instrText>
      </w:r>
      <w:r w:rsidR="00EC331B" w:rsidRPr="00EC331B">
        <w:rPr>
          <w:rFonts w:ascii="Times New Roman" w:hAnsi="Times New Roman" w:cs="Times New Roman"/>
        </w:rPr>
      </w:r>
      <w:r w:rsidR="00EC331B" w:rsidRPr="00EC331B">
        <w:rPr>
          <w:rFonts w:ascii="Times New Roman" w:hAnsi="Times New Roman" w:cs="Times New Roman"/>
        </w:rPr>
        <w:fldChar w:fldCharType="separate"/>
      </w:r>
      <w:r w:rsidR="00C6616A" w:rsidRPr="00C6616A">
        <w:rPr>
          <w:rFonts w:ascii="Times New Roman" w:hAnsi="Times New Roman" w:cs="Times New Roman"/>
        </w:rPr>
        <w:t xml:space="preserve">Figure </w:t>
      </w:r>
      <w:r w:rsidR="00C6616A" w:rsidRPr="00C6616A">
        <w:rPr>
          <w:rFonts w:ascii="Times New Roman" w:hAnsi="Times New Roman" w:cs="Times New Roman"/>
          <w:noProof/>
        </w:rPr>
        <w:t>68</w:t>
      </w:r>
      <w:r w:rsidR="00EC331B" w:rsidRPr="00EC331B">
        <w:rPr>
          <w:rFonts w:ascii="Times New Roman" w:hAnsi="Times New Roman" w:cs="Times New Roman"/>
        </w:rPr>
        <w:fldChar w:fldCharType="end"/>
      </w:r>
      <w:r w:rsidR="00EC331B">
        <w:rPr>
          <w:rFonts w:ascii="Times New Roman" w:hAnsi="Times New Roman" w:cs="Times New Roman"/>
        </w:rPr>
        <w:t xml:space="preserve"> </w:t>
      </w:r>
      <w:r>
        <w:rPr>
          <w:rFonts w:ascii="Times New Roman" w:hAnsi="Times New Roman" w:cs="Times New Roman"/>
        </w:rPr>
        <w:t xml:space="preserve">also illustrate the efficacy of FTIR microscopy as a tool for investigating depth of cure.  The test was strongly influenced by the smeared polymer sections, and there is a clear correlation between the drop in DC and the defective regions.  It is apparent that a DC of &gt;30% is preferable when polishing specimens cured from the Bis-EMA:PETIA blend in the present study.    </w:t>
      </w:r>
    </w:p>
    <w:p w14:paraId="68B33060" w14:textId="3D53C1B2" w:rsidR="00F54702" w:rsidRDefault="00F54702" w:rsidP="00322976">
      <w:pPr>
        <w:spacing w:line="360" w:lineRule="auto"/>
        <w:rPr>
          <w:rFonts w:ascii="Times New Roman" w:hAnsi="Times New Roman" w:cs="Times New Roman"/>
        </w:rPr>
      </w:pPr>
    </w:p>
    <w:p w14:paraId="4F9714F1" w14:textId="77777777" w:rsidR="00F54702" w:rsidRPr="00EB1E9F" w:rsidRDefault="00F54702" w:rsidP="00F54702">
      <w:pPr>
        <w:pStyle w:val="Heading3"/>
        <w:rPr>
          <w:rFonts w:eastAsiaTheme="minorEastAsia"/>
        </w:rPr>
      </w:pPr>
      <w:bookmarkStart w:id="266" w:name="_Toc101701805"/>
      <w:r>
        <w:rPr>
          <w:rFonts w:eastAsiaTheme="minorEastAsia"/>
        </w:rPr>
        <w:t xml:space="preserve">5.3 </w:t>
      </w:r>
      <w:r w:rsidRPr="00EB1E9F">
        <w:rPr>
          <w:rFonts w:eastAsiaTheme="minorEastAsia"/>
        </w:rPr>
        <w:t>ILSS</w:t>
      </w:r>
      <w:bookmarkEnd w:id="266"/>
    </w:p>
    <w:p w14:paraId="720B4BF2" w14:textId="72A47F8B" w:rsidR="00F54702" w:rsidRPr="00C6616A" w:rsidRDefault="00F54702" w:rsidP="00F54702">
      <w:pPr>
        <w:widowControl w:val="0"/>
        <w:spacing w:line="360" w:lineRule="auto"/>
        <w:rPr>
          <w:rFonts w:ascii="Times New Roman" w:hAnsi="Times New Roman" w:cs="Times New Roman"/>
          <w:noProof/>
        </w:rPr>
      </w:pPr>
      <w:r>
        <w:rPr>
          <w:rFonts w:ascii="Times New Roman" w:hAnsi="Times New Roman" w:cs="Times New Roman"/>
          <w:noProof/>
        </w:rPr>
        <w:t xml:space="preserve">The observed failure mode of the 3 mm 1 Layer specimens was primarily at the specimen mid-line, which falls along the interface between the second and third plies of fiberglass. This is assumed as the area of highest shear stress according to a parabolic shear stress distribution </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{"citationItems":[{"id":"ITEM-1","itemData":{"ISBN":"9780195150971","abstract":"2nd ed. 1. Introduction -- 2. Basic concepts, materials, processes, and characteristics -- 3. Elastic behavior of composite lamina -- micromechanics -- 4. Elastic behavior of composite lamina -- macromechanics -- 5. Strength of unidirectional lamina -- micromechanics -- 6. Strength of composite lamina -- macromechanics -- 7. Elastic behavior of multidirectional laminates -- 8. Hygrothermal effects -- 9. Stress and failure analysis of multidirectional laminates -- 10. Experimental methods for characterization and testing of composite materials.","author":[{"dropping-particle":"","family":"Daniel","given":"Isaac M.","non-dropping-particle":"","parse-names":false,"suffix":""},{"dropping-particle":"","family":"Ishai","given":"Ori.","non-dropping-particle":"","parse-names":false,"suffix":""}],"id":"ITEM-1","issued":{"date-parts":[["2006"]]},"publisher":"Oxford University Press","title":"Engineering mechanics of composite materials","type":"book"},"uris":["http://www.mendeley.com/documents/?uuid=1261cb9f-92f6-30d4-956a-7b98fa8e29d4"]}],"mendeley":{"formattedCitation":"[141]","plainTextFormattedCitation":"[141]","previouslyFormattedCitation":"[141]"},"properties":{"noteIndex":0},"schema":"https://github.com/citation-style-language/schema/raw/master/csl-citation.json"}</w:instrText>
      </w:r>
      <w:r>
        <w:rPr>
          <w:rFonts w:ascii="Times New Roman" w:hAnsi="Times New Roman" w:cs="Times New Roman"/>
          <w:noProof/>
        </w:rPr>
        <w:fldChar w:fldCharType="separate"/>
      </w:r>
      <w:r w:rsidRPr="00280E34">
        <w:rPr>
          <w:rFonts w:ascii="Times New Roman" w:hAnsi="Times New Roman" w:cs="Times New Roman"/>
          <w:noProof/>
        </w:rPr>
        <w:t>[141]</w:t>
      </w:r>
      <w:r>
        <w:rPr>
          <w:rFonts w:ascii="Times New Roman" w:hAnsi="Times New Roman" w:cs="Times New Roman"/>
          <w:noProof/>
        </w:rPr>
        <w:fldChar w:fldCharType="end"/>
      </w:r>
      <w:r>
        <w:rPr>
          <w:rFonts w:ascii="Times New Roman" w:hAnsi="Times New Roman" w:cs="Times New Roman"/>
          <w:noProof/>
        </w:rPr>
        <w:t>.    At this depth of 1.5 mm, composite nanoindentation results indicate that the level of cure in a Low Dose laminate varied between 15 to 24 HV without a post cure and 26 to 29 HV with a post cure.  With a High Dose, the HV at 1.5 mm depth was equivalent to the peak HV values in the laminate, at approximately 30 without a post cure and 33 to 34 with a post cure.  Despite the lower HV at the mid-plane, the Low Dose 1-</w:t>
      </w:r>
      <w:r w:rsidRPr="007E5B56">
        <w:rPr>
          <w:rFonts w:ascii="Times New Roman" w:hAnsi="Times New Roman" w:cs="Times New Roman"/>
          <w:noProof/>
        </w:rPr>
        <w:t xml:space="preserve"> </w:t>
      </w:r>
    </w:p>
    <w:p w14:paraId="513A95F1" w14:textId="77777777" w:rsidR="00F54702" w:rsidRDefault="00F54702" w:rsidP="00322976">
      <w:pPr>
        <w:spacing w:line="360" w:lineRule="auto"/>
        <w:rPr>
          <w:rFonts w:ascii="Times New Roman" w:hAnsi="Times New Roman" w:cs="Times New Roman"/>
        </w:rPr>
      </w:pPr>
    </w:p>
    <w:p w14:paraId="39A783E3" w14:textId="77777777" w:rsidR="00C34857" w:rsidRDefault="00C1521B" w:rsidP="00C34857">
      <w:pPr>
        <w:keepNext/>
        <w:spacing w:line="360" w:lineRule="auto"/>
        <w:jc w:val="center"/>
      </w:pPr>
      <w:r>
        <w:rPr>
          <w:noProof/>
        </w:rPr>
        <w:drawing>
          <wp:inline distT="0" distB="0" distL="0" distR="0" wp14:anchorId="32C3D958" wp14:editId="1E75DEF6">
            <wp:extent cx="5252484" cy="4233304"/>
            <wp:effectExtent l="0" t="0" r="5715" b="0"/>
            <wp:docPr id="65" name="Picture 6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3570" r="6506" b="5190"/>
                    <a:stretch/>
                  </pic:blipFill>
                  <pic:spPr bwMode="auto">
                    <a:xfrm>
                      <a:off x="0" y="0"/>
                      <a:ext cx="5260469" cy="4239740"/>
                    </a:xfrm>
                    <a:prstGeom prst="rect">
                      <a:avLst/>
                    </a:prstGeom>
                    <a:noFill/>
                    <a:ln>
                      <a:noFill/>
                    </a:ln>
                    <a:extLst>
                      <a:ext uri="{53640926-AAD7-44D8-BBD7-CCE9431645EC}">
                        <a14:shadowObscured xmlns:a14="http://schemas.microsoft.com/office/drawing/2010/main"/>
                      </a:ext>
                    </a:extLst>
                  </pic:spPr>
                </pic:pic>
              </a:graphicData>
            </a:graphic>
          </wp:inline>
        </w:drawing>
      </w:r>
    </w:p>
    <w:p w14:paraId="5354240C" w14:textId="3C66C630" w:rsidR="00C1521B" w:rsidRDefault="00C34857" w:rsidP="00F20503">
      <w:pPr>
        <w:pStyle w:val="Caption"/>
      </w:pPr>
      <w:bookmarkStart w:id="267" w:name="_Ref100939223"/>
      <w:bookmarkStart w:id="268" w:name="_Toc101365730"/>
      <w:r>
        <w:t xml:space="preserve">Figure </w:t>
      </w:r>
      <w:r w:rsidR="002F73EC">
        <w:fldChar w:fldCharType="begin"/>
      </w:r>
      <w:r w:rsidR="002F73EC">
        <w:instrText xml:space="preserve"> SEQ Figure \* ARABIC </w:instrText>
      </w:r>
      <w:r w:rsidR="002F73EC">
        <w:fldChar w:fldCharType="separate"/>
      </w:r>
      <w:r w:rsidR="00BF5717">
        <w:rPr>
          <w:noProof/>
        </w:rPr>
        <w:t>68</w:t>
      </w:r>
      <w:r w:rsidR="002F73EC">
        <w:rPr>
          <w:noProof/>
        </w:rPr>
        <w:fldChar w:fldCharType="end"/>
      </w:r>
      <w:bookmarkEnd w:id="267"/>
      <w:r>
        <w:t xml:space="preserve"> FTIR Microscopy results for a 5-layer specimen irradiated under Low Dose, no post cure.  Note that the microscopy technique identifies defective regions as having a low DC.</w:t>
      </w:r>
      <w:bookmarkEnd w:id="268"/>
    </w:p>
    <w:p w14:paraId="0358CC15" w14:textId="33B52575" w:rsidR="00C1521B" w:rsidRDefault="00C1521B" w:rsidP="00322976">
      <w:pPr>
        <w:spacing w:line="360" w:lineRule="auto"/>
        <w:rPr>
          <w:rFonts w:asciiTheme="minorHAnsi" w:eastAsiaTheme="minorHAnsi" w:hAnsiTheme="minorHAnsi" w:cstheme="minorBidi"/>
          <w:sz w:val="22"/>
          <w:szCs w:val="22"/>
        </w:rPr>
      </w:pPr>
    </w:p>
    <w:p w14:paraId="476AB718" w14:textId="63FEF965" w:rsidR="00322976" w:rsidRDefault="00322976" w:rsidP="00322976">
      <w:pPr>
        <w:spacing w:line="360" w:lineRule="auto"/>
        <w:rPr>
          <w:rFonts w:asciiTheme="minorHAnsi" w:eastAsiaTheme="minorHAnsi" w:hAnsiTheme="minorHAnsi" w:cstheme="minorBidi"/>
          <w:sz w:val="22"/>
          <w:szCs w:val="22"/>
        </w:rPr>
      </w:pPr>
    </w:p>
    <w:p w14:paraId="47B28430" w14:textId="1FC3AA1D" w:rsidR="00322976" w:rsidRDefault="00322976" w:rsidP="00322976">
      <w:pPr>
        <w:spacing w:line="360" w:lineRule="auto"/>
        <w:rPr>
          <w:rFonts w:asciiTheme="minorHAnsi" w:eastAsiaTheme="minorHAnsi" w:hAnsiTheme="minorHAnsi" w:cstheme="minorBidi"/>
          <w:sz w:val="22"/>
          <w:szCs w:val="22"/>
        </w:rPr>
      </w:pPr>
    </w:p>
    <w:p w14:paraId="3061DDBF" w14:textId="3584BF9B" w:rsidR="00C6616A" w:rsidRDefault="00C6616A" w:rsidP="00322976">
      <w:pPr>
        <w:spacing w:line="360" w:lineRule="auto"/>
        <w:rPr>
          <w:rFonts w:asciiTheme="minorHAnsi" w:eastAsiaTheme="minorHAnsi" w:hAnsiTheme="minorHAnsi" w:cstheme="minorBidi"/>
          <w:sz w:val="22"/>
          <w:szCs w:val="22"/>
        </w:rPr>
      </w:pPr>
    </w:p>
    <w:p w14:paraId="40B76145" w14:textId="7CEC6246" w:rsidR="00C6616A" w:rsidRDefault="00C6616A" w:rsidP="00322976">
      <w:pPr>
        <w:spacing w:line="360" w:lineRule="auto"/>
        <w:rPr>
          <w:rFonts w:asciiTheme="minorHAnsi" w:eastAsiaTheme="minorHAnsi" w:hAnsiTheme="minorHAnsi" w:cstheme="minorBidi"/>
          <w:sz w:val="22"/>
          <w:szCs w:val="22"/>
        </w:rPr>
      </w:pPr>
    </w:p>
    <w:p w14:paraId="13831A8F" w14:textId="77777777" w:rsidR="00F54702" w:rsidRDefault="00F54702" w:rsidP="00322976">
      <w:pPr>
        <w:spacing w:line="360" w:lineRule="auto"/>
        <w:rPr>
          <w:rFonts w:asciiTheme="minorHAnsi" w:eastAsiaTheme="minorHAnsi" w:hAnsiTheme="minorHAnsi" w:cstheme="minorBidi"/>
          <w:sz w:val="22"/>
          <w:szCs w:val="22"/>
        </w:rPr>
      </w:pPr>
    </w:p>
    <w:p w14:paraId="73E15FA2" w14:textId="281EC423" w:rsidR="00C6616A" w:rsidRDefault="00C6616A" w:rsidP="00322976">
      <w:pPr>
        <w:spacing w:line="360" w:lineRule="auto"/>
        <w:rPr>
          <w:rFonts w:asciiTheme="minorHAnsi" w:eastAsiaTheme="minorHAnsi" w:hAnsiTheme="minorHAnsi" w:cstheme="minorBidi"/>
          <w:sz w:val="22"/>
          <w:szCs w:val="22"/>
        </w:rPr>
      </w:pPr>
    </w:p>
    <w:p w14:paraId="3F5736FA" w14:textId="0FE4DA82" w:rsidR="00C6616A" w:rsidRDefault="00C6616A" w:rsidP="00322976">
      <w:pPr>
        <w:spacing w:line="360" w:lineRule="auto"/>
        <w:rPr>
          <w:rFonts w:asciiTheme="minorHAnsi" w:eastAsiaTheme="minorHAnsi" w:hAnsiTheme="minorHAnsi" w:cstheme="minorBidi"/>
          <w:sz w:val="22"/>
          <w:szCs w:val="22"/>
        </w:rPr>
      </w:pPr>
    </w:p>
    <w:p w14:paraId="599F5DDB" w14:textId="2BBDEDA9" w:rsidR="00C6616A" w:rsidRDefault="00F54702" w:rsidP="00322976">
      <w:pPr>
        <w:spacing w:line="360" w:lineRule="auto"/>
        <w:rPr>
          <w:rFonts w:asciiTheme="minorHAnsi" w:eastAsiaTheme="minorHAnsi" w:hAnsiTheme="minorHAnsi" w:cstheme="minorBidi"/>
          <w:sz w:val="22"/>
          <w:szCs w:val="22"/>
        </w:rPr>
      </w:pPr>
      <w:r>
        <w:rPr>
          <w:rFonts w:ascii="Times New Roman" w:hAnsi="Times New Roman" w:cs="Times New Roman"/>
          <w:noProof/>
        </w:rPr>
        <w:lastRenderedPageBreak/>
        <w:t>Layer specimens had nearly equivalent ILSS values with the High Dose specimens for the same thermal treatment.  This behavior is not yet well understood, but further testing on fiber-matrix interactions may provide insight.</w:t>
      </w:r>
    </w:p>
    <w:p w14:paraId="23C0EF33" w14:textId="77777777" w:rsidR="009429BD" w:rsidRDefault="009429BD" w:rsidP="00322976">
      <w:pPr>
        <w:spacing w:line="360" w:lineRule="auto"/>
      </w:pPr>
    </w:p>
    <w:p w14:paraId="16175EB5" w14:textId="05A37B3C" w:rsidR="00C1521B" w:rsidRPr="00EB1E9F" w:rsidRDefault="00C1521B" w:rsidP="00322976">
      <w:pPr>
        <w:spacing w:line="360" w:lineRule="auto"/>
        <w:rPr>
          <w:rFonts w:ascii="Times New Roman" w:hAnsi="Times New Roman" w:cs="Times New Roman"/>
        </w:rPr>
      </w:pPr>
      <w:bookmarkStart w:id="269" w:name="_Hlk97150043"/>
      <w:r>
        <w:rPr>
          <w:rFonts w:ascii="Times New Roman" w:hAnsi="Times New Roman" w:cs="Times New Roman"/>
        </w:rPr>
        <w:t xml:space="preserve">ILSS results indicate that bond strength between 3 mm thick layers in a multi-layer AM process is generally lower than the interlaminar strength within each layer.  This is somewhat intuitive, as the 2 Layer ILSS will have the highest shear stress at the interface between layers, which is a resin-rich area that relies on secondary bonding for adhesion. </w:t>
      </w:r>
      <w:bookmarkEnd w:id="269"/>
      <w:r>
        <w:rPr>
          <w:rFonts w:ascii="Times New Roman" w:hAnsi="Times New Roman" w:cs="Times New Roman"/>
        </w:rPr>
        <w:t xml:space="preserve">FTIR microscopy and nanoindentation both confirm the presence of a cure gradient within the composite layers, and because of this one layer in the interface will always be at its lowest DC.  </w:t>
      </w:r>
      <w:bookmarkStart w:id="270" w:name="_Hlk97150075"/>
      <w:r>
        <w:rPr>
          <w:rFonts w:ascii="Times New Roman" w:hAnsi="Times New Roman" w:cs="Times New Roman"/>
        </w:rPr>
        <w:t>The original hypothesis was that this lower DC would allow for more crosslinking potential between layers with additional irradiations.  However, while the Low Dose 2 Layer composite specimens had the highest cure gradient and potential DC improvement, these specimens also had the lowest ILSS values of any UV dose tested.</w:t>
      </w:r>
      <w:bookmarkEnd w:id="270"/>
      <w:r>
        <w:rPr>
          <w:rFonts w:ascii="Times New Roman" w:hAnsi="Times New Roman" w:cs="Times New Roman"/>
        </w:rPr>
        <w:t xml:space="preserve">  Instead, the High Dose – Post Cured specimens had both the highest ILSS values and the smallest cure gradient.  For these specimens, the secondary bond strength at the layer interface was robust enough that the failure mode diverted into the plies. Because they did not fail at the layer interface, the High Dose – Post Cured samples demonstrate that at LFAM layer thickness, a photopolymer composite can achieve adhesive strength comparable to the polymer shear strength within a layer.</w:t>
      </w:r>
    </w:p>
    <w:p w14:paraId="1998FB2E" w14:textId="77777777" w:rsidR="00C1521B" w:rsidRDefault="00C1521B" w:rsidP="00DB3040">
      <w:pPr>
        <w:pStyle w:val="Heading2"/>
      </w:pPr>
      <w:bookmarkStart w:id="271" w:name="_Toc101701806"/>
      <w:r>
        <w:t>6</w:t>
      </w:r>
      <w:r w:rsidRPr="00501E4B">
        <w:t xml:space="preserve">.0 </w:t>
      </w:r>
      <w:r>
        <w:t>Conclusions</w:t>
      </w:r>
      <w:bookmarkEnd w:id="271"/>
    </w:p>
    <w:p w14:paraId="1CE8DABF" w14:textId="3E9F6DFC" w:rsidR="00C1521B" w:rsidRDefault="00C1521B" w:rsidP="00322976">
      <w:pPr>
        <w:spacing w:line="360" w:lineRule="auto"/>
        <w:rPr>
          <w:rFonts w:ascii="Times New Roman" w:hAnsi="Times New Roman" w:cs="Times New Roman"/>
        </w:rPr>
      </w:pPr>
      <w:r>
        <w:rPr>
          <w:rFonts w:ascii="Times New Roman" w:hAnsi="Times New Roman" w:cs="Times New Roman"/>
        </w:rPr>
        <w:t>In layer-based processing methods such as additive manufacturing (AM), UV curing photopolymers can benefit from multiple irradiation cycles with successive layers.  However, large-format AM processing has an average layer height of 2-4 mm, and light attenuation at this thickness can lead to cure gradients within a layer.  To assess the presence of a cure gradient and the effect of multi-layer processing at 3 mm layer thickness, a</w:t>
      </w:r>
      <w:r w:rsidRPr="00EB1E9F">
        <w:rPr>
          <w:rFonts w:ascii="Times New Roman" w:hAnsi="Times New Roman" w:cs="Times New Roman"/>
        </w:rPr>
        <w:t xml:space="preserve"> </w:t>
      </w:r>
      <w:r>
        <w:rPr>
          <w:rFonts w:ascii="Times New Roman" w:hAnsi="Times New Roman" w:cs="Times New Roman"/>
        </w:rPr>
        <w:t xml:space="preserve">vinyl ester </w:t>
      </w:r>
      <w:r w:rsidRPr="00EB1E9F">
        <w:rPr>
          <w:rFonts w:ascii="Times New Roman" w:hAnsi="Times New Roman" w:cs="Times New Roman"/>
        </w:rPr>
        <w:t xml:space="preserve">photopolymer formulation was tested </w:t>
      </w:r>
      <w:r>
        <w:rPr>
          <w:rFonts w:ascii="Times New Roman" w:hAnsi="Times New Roman" w:cs="Times New Roman"/>
        </w:rPr>
        <w:t>at several UV doses, with and without a</w:t>
      </w:r>
      <w:r w:rsidRPr="00EB1E9F">
        <w:rPr>
          <w:rFonts w:ascii="Times New Roman" w:hAnsi="Times New Roman" w:cs="Times New Roman"/>
        </w:rPr>
        <w:t xml:space="preserve"> thermal post cure.  Single layer </w:t>
      </w:r>
      <w:r>
        <w:rPr>
          <w:rFonts w:ascii="Times New Roman" w:hAnsi="Times New Roman" w:cs="Times New Roman"/>
        </w:rPr>
        <w:t xml:space="preserve">irradiated specimens were tested using nanoindentation and FTIR microscopy to assess cure across the profile depth.  Results </w:t>
      </w:r>
      <w:r>
        <w:rPr>
          <w:rFonts w:ascii="Times New Roman" w:hAnsi="Times New Roman" w:cs="Times New Roman"/>
        </w:rPr>
        <w:lastRenderedPageBreak/>
        <w:t xml:space="preserve">showed that degree of conversion (DC) was highest at the irradiated polymer surface and dropped across a specimen depth, and that this gradient was reduced as the UV Dose increased from 1.4 </w:t>
      </w:r>
      <w:r w:rsidRPr="00EB1E9F">
        <w:rPr>
          <w:rFonts w:ascii="Times New Roman" w:hAnsi="Times New Roman" w:cs="Times New Roman"/>
        </w:rPr>
        <w:t>J/cm</w:t>
      </w:r>
      <w:r w:rsidRPr="00EB1E9F">
        <w:rPr>
          <w:rFonts w:ascii="Times New Roman" w:hAnsi="Times New Roman" w:cs="Times New Roman"/>
          <w:vertAlign w:val="superscript"/>
        </w:rPr>
        <w:t>2</w:t>
      </w:r>
      <w:r w:rsidRPr="00EB1E9F">
        <w:rPr>
          <w:rFonts w:ascii="Times New Roman" w:hAnsi="Times New Roman" w:cs="Times New Roman"/>
        </w:rPr>
        <w:t xml:space="preserve"> </w:t>
      </w:r>
      <w:r>
        <w:rPr>
          <w:rFonts w:ascii="Times New Roman" w:hAnsi="Times New Roman" w:cs="Times New Roman"/>
        </w:rPr>
        <w:t xml:space="preserve">to 5.5 </w:t>
      </w:r>
      <w:r w:rsidRPr="00EB1E9F">
        <w:rPr>
          <w:rFonts w:ascii="Times New Roman" w:hAnsi="Times New Roman" w:cs="Times New Roman"/>
        </w:rPr>
        <w:t>J/cm</w:t>
      </w:r>
      <w:r w:rsidRPr="00EB1E9F">
        <w:rPr>
          <w:rFonts w:ascii="Times New Roman" w:hAnsi="Times New Roman" w:cs="Times New Roman"/>
          <w:vertAlign w:val="superscript"/>
        </w:rPr>
        <w:t>2</w:t>
      </w:r>
      <w:r>
        <w:rPr>
          <w:rFonts w:ascii="Times New Roman" w:hAnsi="Times New Roman" w:cs="Times New Roman"/>
        </w:rPr>
        <w:t xml:space="preserve">. Across all UV doses, a plateau region up to 2 mm in depth occurred with a high DC between 70% and 80%.  Post cure increases DC and hardness, but it was less effective than increased UV dose.  FTIR microscopy and real-time FTIR testing were conducted on 5 Layer irradiated specimens, and the beneficial effect of multiple irradiations only occurred at the lowest UV dose of 1.4 </w:t>
      </w:r>
      <w:r w:rsidRPr="00EB1E9F">
        <w:rPr>
          <w:rFonts w:ascii="Times New Roman" w:hAnsi="Times New Roman" w:cs="Times New Roman"/>
        </w:rPr>
        <w:t>J/cm</w:t>
      </w:r>
      <w:r w:rsidRPr="00EB1E9F">
        <w:rPr>
          <w:rFonts w:ascii="Times New Roman" w:hAnsi="Times New Roman" w:cs="Times New Roman"/>
          <w:vertAlign w:val="superscript"/>
        </w:rPr>
        <w:t>2</w:t>
      </w:r>
      <w:r>
        <w:rPr>
          <w:rFonts w:ascii="Times New Roman" w:hAnsi="Times New Roman" w:cs="Times New Roman"/>
        </w:rPr>
        <w:t xml:space="preserve">.  At higher doses, there was no measurable multi-irradiation effect, and even with the beneficial effect of multiple irradiations the specimens irradiated at 1.4 </w:t>
      </w:r>
      <w:r w:rsidRPr="00EB1E9F">
        <w:rPr>
          <w:rFonts w:ascii="Times New Roman" w:hAnsi="Times New Roman" w:cs="Times New Roman"/>
        </w:rPr>
        <w:t>J/cm</w:t>
      </w:r>
      <w:r w:rsidRPr="00EB1E9F">
        <w:rPr>
          <w:rFonts w:ascii="Times New Roman" w:hAnsi="Times New Roman" w:cs="Times New Roman"/>
          <w:vertAlign w:val="superscript"/>
        </w:rPr>
        <w:t>2</w:t>
      </w:r>
      <w:r>
        <w:rPr>
          <w:rFonts w:ascii="Times New Roman" w:hAnsi="Times New Roman" w:cs="Times New Roman"/>
        </w:rPr>
        <w:t xml:space="preserve"> had the largest cure gradient of any dose level tested.</w:t>
      </w:r>
    </w:p>
    <w:p w14:paraId="687592F1" w14:textId="77777777" w:rsidR="00322976" w:rsidRDefault="00322976" w:rsidP="00322976">
      <w:pPr>
        <w:spacing w:line="360" w:lineRule="auto"/>
        <w:rPr>
          <w:rFonts w:ascii="Times New Roman" w:hAnsi="Times New Roman" w:cs="Times New Roman"/>
        </w:rPr>
      </w:pPr>
    </w:p>
    <w:p w14:paraId="2C1C8C5B" w14:textId="01931F71" w:rsidR="00C1521B" w:rsidRDefault="00C1521B" w:rsidP="00322976">
      <w:pPr>
        <w:spacing w:line="360" w:lineRule="auto"/>
        <w:rPr>
          <w:rFonts w:ascii="Times New Roman" w:hAnsi="Times New Roman" w:cs="Times New Roman"/>
        </w:rPr>
      </w:pPr>
      <w:r>
        <w:rPr>
          <w:rFonts w:ascii="Times New Roman" w:hAnsi="Times New Roman" w:cs="Times New Roman"/>
        </w:rPr>
        <w:t xml:space="preserve">Unidirectional fiberglass composites were also prepared to 3 mm thickness and irradiated at the same UV doses as the neat resin.  Nanoindentation across the composite profile showed similar gradient trends to the neat resin with UV dose and post cure, but the maximum hardness values were 2.2 HV to 6.9 HV lower in the composite.  Interlaminar shear strength (ILSS) testing was conducted on 1 Layer and 2 Layer composites. In both cases, the thermal post cure had a more pronounced effect on improving ILSS than increasing UV dose, improving ILSS by up to 37% for the 1 Layer composites and by up to 18% in the 2 Layer composites.  The ILSS values were lower for the 2 Layer composites, and SEM imagery showed that at 1.4 </w:t>
      </w:r>
      <w:r w:rsidRPr="00EB1E9F">
        <w:rPr>
          <w:rFonts w:ascii="Times New Roman" w:hAnsi="Times New Roman" w:cs="Times New Roman"/>
        </w:rPr>
        <w:t>J/cm</w:t>
      </w:r>
      <w:r w:rsidRPr="00EB1E9F">
        <w:rPr>
          <w:rFonts w:ascii="Times New Roman" w:hAnsi="Times New Roman" w:cs="Times New Roman"/>
          <w:vertAlign w:val="superscript"/>
        </w:rPr>
        <w:t>2</w:t>
      </w:r>
      <w:r>
        <w:rPr>
          <w:rFonts w:ascii="Times New Roman" w:hAnsi="Times New Roman" w:cs="Times New Roman"/>
        </w:rPr>
        <w:t xml:space="preserve"> the fracture surface predominantly featured smooth polymer surfaces, indicative of a weak secondary bond.  However, the 2 Layer failure mode shifted with a higher dose of 5.5 </w:t>
      </w:r>
      <w:r w:rsidRPr="00EB1E9F">
        <w:rPr>
          <w:rFonts w:ascii="Times New Roman" w:hAnsi="Times New Roman" w:cs="Times New Roman"/>
        </w:rPr>
        <w:t>J/cm</w:t>
      </w:r>
      <w:r w:rsidRPr="00EB1E9F">
        <w:rPr>
          <w:rFonts w:ascii="Times New Roman" w:hAnsi="Times New Roman" w:cs="Times New Roman"/>
          <w:vertAlign w:val="superscript"/>
        </w:rPr>
        <w:t>2</w:t>
      </w:r>
      <w:r>
        <w:rPr>
          <w:rFonts w:ascii="Times New Roman" w:hAnsi="Times New Roman" w:cs="Times New Roman"/>
        </w:rPr>
        <w:t xml:space="preserve"> and a thermal post cure, which achieved ILSS values of 29.4 MPa and did not fracture at the layer interface.</w:t>
      </w:r>
    </w:p>
    <w:p w14:paraId="0429D725" w14:textId="77777777" w:rsidR="00322976" w:rsidRDefault="00322976" w:rsidP="00322976">
      <w:pPr>
        <w:spacing w:line="360" w:lineRule="auto"/>
        <w:rPr>
          <w:rFonts w:ascii="Times New Roman" w:hAnsi="Times New Roman" w:cs="Times New Roman"/>
        </w:rPr>
      </w:pPr>
    </w:p>
    <w:p w14:paraId="5E415706" w14:textId="77777777" w:rsidR="00C1521B" w:rsidRPr="00EB1E9F" w:rsidRDefault="00C1521B" w:rsidP="00322976">
      <w:pPr>
        <w:spacing w:line="360" w:lineRule="auto"/>
        <w:rPr>
          <w:rFonts w:ascii="Times New Roman" w:hAnsi="Times New Roman" w:cs="Times New Roman"/>
        </w:rPr>
      </w:pPr>
      <w:r>
        <w:rPr>
          <w:rFonts w:ascii="Times New Roman" w:hAnsi="Times New Roman" w:cs="Times New Roman"/>
        </w:rPr>
        <w:t xml:space="preserve">This study confirmed that, although cure gradients exist under LFAM processing conditions, these can be minimized by controlling UV dose and applying a thermal post cure.  It also demonstrated that, under the right processing conditions, photopolymer composites can achieve high bond strength between layers equal to or higher than the fiber-matrix bonds within a layer.   </w:t>
      </w:r>
    </w:p>
    <w:p w14:paraId="0BB46477" w14:textId="77777777" w:rsidR="00C1521B" w:rsidRPr="00464D0C" w:rsidRDefault="00C1521B" w:rsidP="00DB3040">
      <w:pPr>
        <w:pStyle w:val="Heading2"/>
      </w:pPr>
      <w:bookmarkStart w:id="272" w:name="_Toc101701807"/>
      <w:r>
        <w:lastRenderedPageBreak/>
        <w:t>A</w:t>
      </w:r>
      <w:r w:rsidRPr="00464D0C">
        <w:t>cknowledgements</w:t>
      </w:r>
      <w:bookmarkEnd w:id="272"/>
    </w:p>
    <w:p w14:paraId="227ED032" w14:textId="38845EFA" w:rsidR="00C1521B" w:rsidRPr="003D2272" w:rsidRDefault="00C1521B" w:rsidP="00322976">
      <w:pPr>
        <w:spacing w:line="360" w:lineRule="auto"/>
        <w:jc w:val="both"/>
        <w:rPr>
          <w:rFonts w:ascii="Times New Roman" w:hAnsi="Times New Roman" w:cs="Times New Roman"/>
          <w:b/>
        </w:rPr>
      </w:pPr>
      <w:r>
        <w:rPr>
          <w:rFonts w:ascii="Times New Roman" w:hAnsi="Times New Roman" w:cs="Times New Roman"/>
          <w:iCs/>
          <w:color w:val="000000"/>
        </w:rPr>
        <w:t xml:space="preserve">The authors would like to thank Alex Allen for </w:t>
      </w:r>
      <w:r w:rsidR="001C3978">
        <w:rPr>
          <w:rFonts w:ascii="Times New Roman" w:hAnsi="Times New Roman" w:cs="Times New Roman"/>
          <w:iCs/>
          <w:color w:val="000000"/>
        </w:rPr>
        <w:t>his</w:t>
      </w:r>
      <w:r>
        <w:rPr>
          <w:rFonts w:ascii="Times New Roman" w:hAnsi="Times New Roman" w:cs="Times New Roman"/>
          <w:iCs/>
          <w:color w:val="000000"/>
        </w:rPr>
        <w:t xml:space="preserve"> contributions to this work as </w:t>
      </w:r>
      <w:r w:rsidR="001C3978">
        <w:rPr>
          <w:rFonts w:ascii="Times New Roman" w:hAnsi="Times New Roman" w:cs="Times New Roman"/>
          <w:iCs/>
          <w:color w:val="000000"/>
        </w:rPr>
        <w:t xml:space="preserve">an </w:t>
      </w:r>
      <w:r>
        <w:rPr>
          <w:rFonts w:ascii="Times New Roman" w:hAnsi="Times New Roman" w:cs="Times New Roman"/>
          <w:iCs/>
          <w:color w:val="000000"/>
        </w:rPr>
        <w:t xml:space="preserve">undergraduate student intern at the Fibers and Composites Manufacturing Facility at the University of Tennessee, Knoxville.  </w:t>
      </w:r>
      <w:r w:rsidRPr="00464D0C">
        <w:rPr>
          <w:rFonts w:ascii="Times New Roman" w:hAnsi="Times New Roman" w:cs="Times New Roman"/>
          <w:iCs/>
          <w:color w:val="000000"/>
        </w:rPr>
        <w:t xml:space="preserve">The funding for this work was </w:t>
      </w:r>
      <w:r>
        <w:rPr>
          <w:rFonts w:ascii="Times New Roman" w:hAnsi="Times New Roman" w:cs="Times New Roman"/>
          <w:iCs/>
          <w:color w:val="000000"/>
        </w:rPr>
        <w:t xml:space="preserve">provided </w:t>
      </w:r>
      <w:r w:rsidRPr="00464D0C">
        <w:rPr>
          <w:rFonts w:ascii="Times New Roman" w:hAnsi="Times New Roman" w:cs="Times New Roman"/>
          <w:iCs/>
          <w:color w:val="000000"/>
        </w:rPr>
        <w:t xml:space="preserve">in part by the Office of Energy Efficiency and Renewable Energy (EERE), U.S. Department of Energy, under Award Number DE-EE0006926 and gratefully acknowledged. </w:t>
      </w:r>
      <w:r w:rsidRPr="00C62D5E">
        <w:rPr>
          <w:rFonts w:ascii="Times New Roman" w:hAnsi="Times New Roman" w:cs="Times New Roman"/>
        </w:rPr>
        <w:t xml:space="preserve">We </w:t>
      </w:r>
      <w:r>
        <w:rPr>
          <w:rFonts w:ascii="Times New Roman" w:hAnsi="Times New Roman" w:cs="Times New Roman"/>
        </w:rPr>
        <w:t>thank</w:t>
      </w:r>
      <w:r w:rsidRPr="00C62D5E">
        <w:rPr>
          <w:rFonts w:ascii="Times New Roman" w:hAnsi="Times New Roman" w:cs="Times New Roman"/>
        </w:rPr>
        <w:t xml:space="preserve"> the Institute of Advanced Composites Manufacturing Innovation (IACMI)</w:t>
      </w:r>
      <w:r w:rsidRPr="00C57763">
        <w:rPr>
          <w:rFonts w:ascii="Times New Roman" w:hAnsi="Times New Roman" w:cs="Times New Roman"/>
        </w:rPr>
        <w:t xml:space="preserve">, Knoxville, TN, USA for </w:t>
      </w:r>
      <w:r w:rsidRPr="00C62D5E">
        <w:rPr>
          <w:rFonts w:ascii="Times New Roman" w:hAnsi="Times New Roman" w:cs="Times New Roman"/>
        </w:rPr>
        <w:t>partial support of this work</w:t>
      </w:r>
      <w:r>
        <w:rPr>
          <w:rFonts w:ascii="Times New Roman" w:hAnsi="Times New Roman" w:cs="Times New Roman"/>
        </w:rPr>
        <w:t>, as well as Polynt Composites USA and Lambson for donating material</w:t>
      </w:r>
      <w:r w:rsidRPr="005A7537">
        <w:rPr>
          <w:rFonts w:ascii="Times New Roman" w:hAnsi="Times New Roman" w:cs="Times New Roman"/>
        </w:rPr>
        <w:t>s.</w:t>
      </w:r>
      <w:r>
        <w:rPr>
          <w:rFonts w:ascii="Times New Roman" w:hAnsi="Times New Roman" w:cs="Times New Roman"/>
        </w:rPr>
        <w:t xml:space="preserve">  </w:t>
      </w:r>
      <w:r w:rsidRPr="005A7537">
        <w:rPr>
          <w:rFonts w:ascii="Times New Roman" w:hAnsi="Times New Roman" w:cs="Times New Roman"/>
        </w:rPr>
        <w:t>A portion of</w:t>
      </w:r>
      <w:r>
        <w:rPr>
          <w:rFonts w:ascii="Times New Roman" w:hAnsi="Times New Roman" w:cs="Times New Roman"/>
        </w:rPr>
        <w:t xml:space="preserve"> t</w:t>
      </w:r>
      <w:r w:rsidRPr="005A7537">
        <w:rPr>
          <w:rFonts w:ascii="Times New Roman" w:hAnsi="Times New Roman" w:cs="Times New Roman"/>
        </w:rPr>
        <w:t>his research was conducted at the Center for Nanophase Materials Sciences, which is a DOE Office of Science User Facility.</w:t>
      </w:r>
    </w:p>
    <w:p w14:paraId="4BEE9D7B" w14:textId="1C1C5F3D" w:rsidR="000D7162" w:rsidRDefault="000D7162" w:rsidP="00322976">
      <w:pPr>
        <w:spacing w:line="360" w:lineRule="auto"/>
        <w:jc w:val="both"/>
        <w:rPr>
          <w:rFonts w:ascii="Times New Roman" w:hAnsi="Times New Roman" w:cs="Times New Roman"/>
        </w:rPr>
      </w:pPr>
    </w:p>
    <w:p w14:paraId="077E5BB0" w14:textId="15902F14" w:rsidR="000D7162" w:rsidRDefault="000D7162" w:rsidP="00322976">
      <w:pPr>
        <w:spacing w:line="360" w:lineRule="auto"/>
        <w:jc w:val="both"/>
        <w:rPr>
          <w:rFonts w:ascii="Times New Roman" w:hAnsi="Times New Roman" w:cs="Times New Roman"/>
        </w:rPr>
      </w:pPr>
    </w:p>
    <w:p w14:paraId="576AD853" w14:textId="542F568C" w:rsidR="000D7162" w:rsidRDefault="000D7162" w:rsidP="00322976">
      <w:pPr>
        <w:spacing w:line="360" w:lineRule="auto"/>
        <w:jc w:val="both"/>
        <w:rPr>
          <w:rFonts w:ascii="Times New Roman" w:hAnsi="Times New Roman" w:cs="Times New Roman"/>
        </w:rPr>
      </w:pPr>
    </w:p>
    <w:p w14:paraId="37180F5C" w14:textId="180DB4BB" w:rsidR="00322976" w:rsidRDefault="00322976" w:rsidP="00322976">
      <w:pPr>
        <w:spacing w:line="360" w:lineRule="auto"/>
        <w:jc w:val="both"/>
        <w:rPr>
          <w:rFonts w:ascii="Times New Roman" w:hAnsi="Times New Roman" w:cs="Times New Roman"/>
        </w:rPr>
      </w:pPr>
    </w:p>
    <w:p w14:paraId="60DB22E1" w14:textId="51D5ED60" w:rsidR="007E5B56" w:rsidRDefault="007E5B56" w:rsidP="00322976">
      <w:pPr>
        <w:spacing w:line="360" w:lineRule="auto"/>
        <w:jc w:val="both"/>
        <w:rPr>
          <w:rFonts w:ascii="Times New Roman" w:hAnsi="Times New Roman" w:cs="Times New Roman"/>
        </w:rPr>
      </w:pPr>
    </w:p>
    <w:p w14:paraId="17005B56" w14:textId="03BCB575" w:rsidR="007E5B56" w:rsidRDefault="007E5B56" w:rsidP="00322976">
      <w:pPr>
        <w:spacing w:line="360" w:lineRule="auto"/>
        <w:jc w:val="both"/>
        <w:rPr>
          <w:rFonts w:ascii="Times New Roman" w:hAnsi="Times New Roman" w:cs="Times New Roman"/>
        </w:rPr>
      </w:pPr>
    </w:p>
    <w:p w14:paraId="7989FA5B" w14:textId="279E8EA2" w:rsidR="007E5B56" w:rsidRDefault="007E5B56" w:rsidP="00322976">
      <w:pPr>
        <w:spacing w:line="360" w:lineRule="auto"/>
        <w:jc w:val="both"/>
        <w:rPr>
          <w:rFonts w:ascii="Times New Roman" w:hAnsi="Times New Roman" w:cs="Times New Roman"/>
        </w:rPr>
      </w:pPr>
    </w:p>
    <w:p w14:paraId="08D2968D" w14:textId="11E64D75" w:rsidR="00F54702" w:rsidRDefault="00F54702" w:rsidP="00322976">
      <w:pPr>
        <w:spacing w:line="360" w:lineRule="auto"/>
        <w:jc w:val="both"/>
        <w:rPr>
          <w:rFonts w:ascii="Times New Roman" w:hAnsi="Times New Roman" w:cs="Times New Roman"/>
        </w:rPr>
      </w:pPr>
    </w:p>
    <w:p w14:paraId="4B3637C0" w14:textId="7A05AE11" w:rsidR="00F54702" w:rsidRDefault="00F54702" w:rsidP="00322976">
      <w:pPr>
        <w:spacing w:line="360" w:lineRule="auto"/>
        <w:jc w:val="both"/>
        <w:rPr>
          <w:rFonts w:ascii="Times New Roman" w:hAnsi="Times New Roman" w:cs="Times New Roman"/>
        </w:rPr>
      </w:pPr>
    </w:p>
    <w:p w14:paraId="46F3C2E7" w14:textId="1088F428" w:rsidR="00F54702" w:rsidRDefault="00F54702" w:rsidP="00322976">
      <w:pPr>
        <w:spacing w:line="360" w:lineRule="auto"/>
        <w:jc w:val="both"/>
        <w:rPr>
          <w:rFonts w:ascii="Times New Roman" w:hAnsi="Times New Roman" w:cs="Times New Roman"/>
        </w:rPr>
      </w:pPr>
    </w:p>
    <w:p w14:paraId="710B6D02" w14:textId="5E61D4B2" w:rsidR="00F54702" w:rsidRDefault="00F54702" w:rsidP="00322976">
      <w:pPr>
        <w:spacing w:line="360" w:lineRule="auto"/>
        <w:jc w:val="both"/>
        <w:rPr>
          <w:rFonts w:ascii="Times New Roman" w:hAnsi="Times New Roman" w:cs="Times New Roman"/>
        </w:rPr>
      </w:pPr>
    </w:p>
    <w:p w14:paraId="6A298AF3" w14:textId="56C487C2" w:rsidR="00F54702" w:rsidRDefault="00F54702" w:rsidP="00322976">
      <w:pPr>
        <w:spacing w:line="360" w:lineRule="auto"/>
        <w:jc w:val="both"/>
        <w:rPr>
          <w:rFonts w:ascii="Times New Roman" w:hAnsi="Times New Roman" w:cs="Times New Roman"/>
        </w:rPr>
      </w:pPr>
    </w:p>
    <w:p w14:paraId="4C990481" w14:textId="254E9957" w:rsidR="00F54702" w:rsidRDefault="00F54702" w:rsidP="00322976">
      <w:pPr>
        <w:spacing w:line="360" w:lineRule="auto"/>
        <w:jc w:val="both"/>
        <w:rPr>
          <w:rFonts w:ascii="Times New Roman" w:hAnsi="Times New Roman" w:cs="Times New Roman"/>
        </w:rPr>
      </w:pPr>
    </w:p>
    <w:p w14:paraId="535D553A" w14:textId="3E9B7BDF" w:rsidR="00F54702" w:rsidRDefault="00F54702" w:rsidP="00322976">
      <w:pPr>
        <w:spacing w:line="360" w:lineRule="auto"/>
        <w:jc w:val="both"/>
        <w:rPr>
          <w:rFonts w:ascii="Times New Roman" w:hAnsi="Times New Roman" w:cs="Times New Roman"/>
        </w:rPr>
      </w:pPr>
    </w:p>
    <w:p w14:paraId="6DEBDFC4" w14:textId="0CF46688" w:rsidR="00F54702" w:rsidRDefault="00F54702" w:rsidP="00322976">
      <w:pPr>
        <w:spacing w:line="360" w:lineRule="auto"/>
        <w:jc w:val="both"/>
        <w:rPr>
          <w:rFonts w:ascii="Times New Roman" w:hAnsi="Times New Roman" w:cs="Times New Roman"/>
        </w:rPr>
      </w:pPr>
    </w:p>
    <w:p w14:paraId="170E1A7E" w14:textId="131B1843" w:rsidR="00F54702" w:rsidRDefault="00F54702" w:rsidP="00322976">
      <w:pPr>
        <w:spacing w:line="360" w:lineRule="auto"/>
        <w:jc w:val="both"/>
        <w:rPr>
          <w:rFonts w:ascii="Times New Roman" w:hAnsi="Times New Roman" w:cs="Times New Roman"/>
        </w:rPr>
      </w:pPr>
    </w:p>
    <w:p w14:paraId="117E7691" w14:textId="77777777" w:rsidR="00F54702" w:rsidRDefault="00F54702" w:rsidP="00322976">
      <w:pPr>
        <w:spacing w:line="360" w:lineRule="auto"/>
        <w:jc w:val="both"/>
        <w:rPr>
          <w:rFonts w:ascii="Times New Roman" w:hAnsi="Times New Roman" w:cs="Times New Roman"/>
        </w:rPr>
      </w:pPr>
    </w:p>
    <w:p w14:paraId="359602DA" w14:textId="7C5C2947" w:rsidR="007E5B56" w:rsidRDefault="007E5B56" w:rsidP="00322976">
      <w:pPr>
        <w:spacing w:line="360" w:lineRule="auto"/>
        <w:jc w:val="both"/>
        <w:rPr>
          <w:rFonts w:ascii="Times New Roman" w:hAnsi="Times New Roman" w:cs="Times New Roman"/>
        </w:rPr>
      </w:pPr>
    </w:p>
    <w:p w14:paraId="09EDCC98" w14:textId="02CEA7DB" w:rsidR="007E5B56" w:rsidRDefault="007E5B56" w:rsidP="00322976">
      <w:pPr>
        <w:spacing w:line="360" w:lineRule="auto"/>
        <w:jc w:val="both"/>
        <w:rPr>
          <w:rFonts w:ascii="Times New Roman" w:hAnsi="Times New Roman" w:cs="Times New Roman"/>
        </w:rPr>
      </w:pPr>
    </w:p>
    <w:p w14:paraId="4AEAC2EB" w14:textId="77777777" w:rsidR="00C429EC" w:rsidRPr="00913500" w:rsidRDefault="00C429EC" w:rsidP="00322976">
      <w:pPr>
        <w:spacing w:line="360" w:lineRule="auto"/>
        <w:jc w:val="both"/>
        <w:rPr>
          <w:rFonts w:ascii="Times New Roman" w:hAnsi="Times New Roman" w:cs="Times New Roman"/>
          <w:b/>
        </w:rPr>
      </w:pPr>
    </w:p>
    <w:p w14:paraId="14B85A00" w14:textId="3FFAB5A1" w:rsidR="00F52F6E" w:rsidRDefault="00F52F6E" w:rsidP="00BF3517">
      <w:pPr>
        <w:pStyle w:val="Heading1"/>
        <w:rPr>
          <w:noProof/>
        </w:rPr>
      </w:pPr>
      <w:bookmarkStart w:id="273" w:name="_Toc101701808"/>
      <w:r>
        <w:rPr>
          <w:noProof/>
        </w:rPr>
        <w:lastRenderedPageBreak/>
        <w:t>OVERALL CONCLUSIONS</w:t>
      </w:r>
      <w:bookmarkEnd w:id="273"/>
    </w:p>
    <w:p w14:paraId="1016BD34" w14:textId="536533F4" w:rsidR="00C6616A" w:rsidRDefault="00C6616A" w:rsidP="00C6616A"/>
    <w:p w14:paraId="6C86FD17" w14:textId="11A85950" w:rsidR="00C6616A" w:rsidRDefault="00C6616A" w:rsidP="00C6616A"/>
    <w:p w14:paraId="02771294" w14:textId="2D107A4E" w:rsidR="00C6616A" w:rsidRDefault="00C6616A" w:rsidP="00C6616A"/>
    <w:p w14:paraId="6C30C133" w14:textId="2570C195" w:rsidR="00C6616A" w:rsidRDefault="00C6616A" w:rsidP="00C6616A"/>
    <w:p w14:paraId="71BF34F0" w14:textId="4F5EC3C9" w:rsidR="00C6616A" w:rsidRDefault="00C6616A" w:rsidP="00C6616A"/>
    <w:p w14:paraId="0189E5BE" w14:textId="223F56D5" w:rsidR="00C6616A" w:rsidRDefault="00C6616A" w:rsidP="00C6616A"/>
    <w:p w14:paraId="72F2F4AE" w14:textId="6DA1B19B" w:rsidR="00C6616A" w:rsidRDefault="00C6616A" w:rsidP="00C6616A"/>
    <w:p w14:paraId="6F27693D" w14:textId="55FD3295" w:rsidR="00C6616A" w:rsidRDefault="00C6616A" w:rsidP="00C6616A"/>
    <w:p w14:paraId="6D8A6DD8" w14:textId="72A4F100" w:rsidR="00C6616A" w:rsidRDefault="00C6616A" w:rsidP="00C6616A"/>
    <w:p w14:paraId="3CBE7ED1" w14:textId="7313EE77" w:rsidR="00C6616A" w:rsidRDefault="00C6616A" w:rsidP="00C6616A"/>
    <w:p w14:paraId="5EB04390" w14:textId="2B1CE0BA" w:rsidR="00C6616A" w:rsidRDefault="00C6616A" w:rsidP="00C6616A"/>
    <w:p w14:paraId="0DE60B40" w14:textId="4D4A5B42" w:rsidR="00C6616A" w:rsidRDefault="00C6616A" w:rsidP="00C6616A"/>
    <w:p w14:paraId="389BD7FB" w14:textId="4DB98C54" w:rsidR="00C6616A" w:rsidRDefault="00C6616A" w:rsidP="00C6616A"/>
    <w:p w14:paraId="62494BAE" w14:textId="30E931E5" w:rsidR="00C6616A" w:rsidRDefault="00C6616A" w:rsidP="00C6616A"/>
    <w:p w14:paraId="7D2BF64E" w14:textId="1A94FF8E" w:rsidR="00C6616A" w:rsidRDefault="00C6616A" w:rsidP="00C6616A"/>
    <w:p w14:paraId="611CAFBE" w14:textId="248EFEF7" w:rsidR="00C6616A" w:rsidRDefault="00C6616A" w:rsidP="00C6616A"/>
    <w:p w14:paraId="1CD815A3" w14:textId="28C2C1C4" w:rsidR="00C6616A" w:rsidRDefault="00C6616A" w:rsidP="00C6616A"/>
    <w:p w14:paraId="529054D8" w14:textId="0613B7BE" w:rsidR="00C6616A" w:rsidRDefault="00C6616A" w:rsidP="00C6616A"/>
    <w:p w14:paraId="3D7C9C43" w14:textId="70837E91" w:rsidR="00C6616A" w:rsidRDefault="00C6616A" w:rsidP="00C6616A"/>
    <w:p w14:paraId="7F9B84C5" w14:textId="0C4182C3" w:rsidR="00C6616A" w:rsidRDefault="00C6616A" w:rsidP="00C6616A"/>
    <w:p w14:paraId="48423CCB" w14:textId="30231C4D" w:rsidR="00C6616A" w:rsidRDefault="00C6616A" w:rsidP="00C6616A"/>
    <w:p w14:paraId="4E0186AB" w14:textId="2B984003" w:rsidR="00C6616A" w:rsidRDefault="00C6616A" w:rsidP="00C6616A"/>
    <w:p w14:paraId="0ADC9087" w14:textId="4AA151ED" w:rsidR="00C6616A" w:rsidRDefault="00C6616A" w:rsidP="00C6616A"/>
    <w:p w14:paraId="29D0C47F" w14:textId="490EF5FB" w:rsidR="00C6616A" w:rsidRDefault="00C6616A" w:rsidP="00C6616A"/>
    <w:p w14:paraId="5DFF80B6" w14:textId="2DF9C0DA" w:rsidR="00C6616A" w:rsidRDefault="00C6616A" w:rsidP="00C6616A"/>
    <w:p w14:paraId="616832E6" w14:textId="75759B3C" w:rsidR="00C6616A" w:rsidRDefault="00C6616A" w:rsidP="00C6616A"/>
    <w:p w14:paraId="3BD14C66" w14:textId="676CCBC7" w:rsidR="00C6616A" w:rsidRDefault="00C6616A" w:rsidP="00C6616A"/>
    <w:p w14:paraId="53D2929E" w14:textId="504FA4DE" w:rsidR="00C6616A" w:rsidRDefault="00C6616A" w:rsidP="00C6616A"/>
    <w:p w14:paraId="1A74C0F4" w14:textId="0C1AFE20" w:rsidR="00C6616A" w:rsidRDefault="00C6616A" w:rsidP="00C6616A"/>
    <w:p w14:paraId="0293CEEC" w14:textId="7B75D72C" w:rsidR="00C6616A" w:rsidRDefault="00C6616A" w:rsidP="00C6616A"/>
    <w:p w14:paraId="72CCAFF7" w14:textId="318786C0" w:rsidR="00C6616A" w:rsidRDefault="00C6616A" w:rsidP="00C6616A"/>
    <w:p w14:paraId="37493C82" w14:textId="0FA30904" w:rsidR="00C6616A" w:rsidRDefault="00C6616A" w:rsidP="00C6616A"/>
    <w:p w14:paraId="7C9DA45C" w14:textId="46B74952" w:rsidR="00C6616A" w:rsidRDefault="00C6616A" w:rsidP="00C6616A"/>
    <w:p w14:paraId="008497D9" w14:textId="79C21720" w:rsidR="00C6616A" w:rsidRDefault="00C6616A" w:rsidP="00C6616A"/>
    <w:p w14:paraId="25FE28C7" w14:textId="226F2CF1" w:rsidR="00C6616A" w:rsidRDefault="00C6616A" w:rsidP="00C6616A"/>
    <w:p w14:paraId="1E1BDA71" w14:textId="2D97E011" w:rsidR="00C6616A" w:rsidRDefault="00C6616A" w:rsidP="00C6616A"/>
    <w:p w14:paraId="367BBCCD" w14:textId="4406C908" w:rsidR="00C6616A" w:rsidRDefault="00C6616A" w:rsidP="00C6616A"/>
    <w:p w14:paraId="535B1976" w14:textId="68ECB0BC" w:rsidR="00C6616A" w:rsidRDefault="00C6616A" w:rsidP="00C6616A"/>
    <w:p w14:paraId="5B451993" w14:textId="04F31138" w:rsidR="00C6616A" w:rsidRDefault="00C6616A" w:rsidP="00C6616A"/>
    <w:p w14:paraId="7BE84BA2" w14:textId="19AA9232" w:rsidR="00C6616A" w:rsidRDefault="00C6616A" w:rsidP="00C6616A"/>
    <w:p w14:paraId="3FB743E2" w14:textId="77777777" w:rsidR="00C6616A" w:rsidRPr="00C6616A" w:rsidRDefault="00C6616A" w:rsidP="00C6616A"/>
    <w:p w14:paraId="7C085C7F" w14:textId="77777777" w:rsidR="00E82681" w:rsidRDefault="00E82681" w:rsidP="00E82681">
      <w:pPr>
        <w:spacing w:line="360" w:lineRule="auto"/>
        <w:rPr>
          <w:rFonts w:ascii="Times New Roman" w:hAnsi="Times New Roman" w:cs="Times New Roman"/>
        </w:rPr>
      </w:pPr>
      <w:r>
        <w:rPr>
          <w:rFonts w:ascii="Times New Roman" w:hAnsi="Times New Roman" w:cs="Times New Roman"/>
        </w:rPr>
        <w:lastRenderedPageBreak/>
        <w:t xml:space="preserve">This dissertation investigated Bis-EMA photopolymers to establish benchmark formulations for oven and/or autoclave cure capable polymers for use in large format additive manufacturing (LFAM) techniques. This work tested all formulations at 3 mm, which was considered an optimal layer thickness for LFAM based on current thermoplastic polymer technologies. A key consideration for LFAM application was the through-thickness cure response, as measured using various hardness and FTIR techniques. A primary objective in the formulation work was reducing the irradiation time needed to achieve a full cure, thereby improving the hypothetical photopolymer deposition rate.  </w:t>
      </w:r>
    </w:p>
    <w:p w14:paraId="67D169D9" w14:textId="77777777" w:rsidR="00E82681" w:rsidRDefault="00E82681" w:rsidP="00E82681">
      <w:pPr>
        <w:spacing w:line="360" w:lineRule="auto"/>
        <w:rPr>
          <w:rFonts w:ascii="Times New Roman" w:hAnsi="Times New Roman" w:cs="Times New Roman"/>
        </w:rPr>
      </w:pPr>
    </w:p>
    <w:p w14:paraId="67D69175" w14:textId="77777777" w:rsidR="00E82681" w:rsidRDefault="00E82681" w:rsidP="00E82681">
      <w:pPr>
        <w:spacing w:line="360" w:lineRule="auto"/>
        <w:rPr>
          <w:rFonts w:ascii="Times New Roman" w:hAnsi="Times New Roman" w:cs="Times New Roman"/>
        </w:rPr>
      </w:pPr>
      <w:r>
        <w:rPr>
          <w:rFonts w:ascii="Times New Roman" w:hAnsi="Times New Roman" w:cs="Times New Roman"/>
        </w:rPr>
        <w:t>At the beginning of this work, several questions were posed to help focus the experiments and address issues of particular significance to photopolymers for LFAM applications. With the experiments conducted thus far, these can now be addressed.</w:t>
      </w:r>
    </w:p>
    <w:p w14:paraId="2D97175D" w14:textId="77777777" w:rsidR="00E82681" w:rsidRDefault="00E82681" w:rsidP="00E82681">
      <w:pPr>
        <w:spacing w:line="360" w:lineRule="auto"/>
        <w:rPr>
          <w:rFonts w:ascii="Times New Roman" w:hAnsi="Times New Roman" w:cs="Times New Roman"/>
        </w:rPr>
      </w:pPr>
    </w:p>
    <w:p w14:paraId="186806CE" w14:textId="77777777" w:rsidR="00E82681" w:rsidRPr="008C73E1" w:rsidRDefault="00E82681" w:rsidP="000F4D4E">
      <w:pPr>
        <w:pStyle w:val="ListParagraph"/>
      </w:pPr>
      <w:r w:rsidRPr="008C73E1">
        <w:t xml:space="preserve">What is considered “full cure” for a Bis-EMA photopolymer, and how rapidly can photopolymers achieve full cure throughout a 2-4 mm layer thickness?  </w:t>
      </w:r>
    </w:p>
    <w:p w14:paraId="69D9D344" w14:textId="77777777" w:rsidR="00E82681" w:rsidRPr="008C73E1" w:rsidRDefault="00E82681" w:rsidP="000F4D4E">
      <w:pPr>
        <w:pStyle w:val="ListParagraph"/>
      </w:pPr>
      <w:r w:rsidRPr="008C73E1">
        <w:t>At full cure, is a Bis-EMA photopolymer suitable for use in oven/autoclave tooling applications?</w:t>
      </w:r>
    </w:p>
    <w:p w14:paraId="648ACE03" w14:textId="77777777" w:rsidR="00E82681" w:rsidRDefault="00E82681" w:rsidP="00E82681">
      <w:pPr>
        <w:spacing w:line="360" w:lineRule="auto"/>
        <w:rPr>
          <w:rFonts w:ascii="Times New Roman" w:hAnsi="Times New Roman" w:cs="Times New Roman"/>
        </w:rPr>
      </w:pPr>
    </w:p>
    <w:p w14:paraId="206F14EF" w14:textId="51820804" w:rsidR="00C6616A" w:rsidRDefault="00C6616A" w:rsidP="00E82681">
      <w:pPr>
        <w:spacing w:line="360" w:lineRule="auto"/>
        <w:rPr>
          <w:rFonts w:ascii="Times New Roman" w:hAnsi="Times New Roman" w:cs="Times New Roman"/>
        </w:rPr>
      </w:pPr>
      <w:r>
        <w:rPr>
          <w:rFonts w:ascii="Times New Roman" w:hAnsi="Times New Roman" w:cs="Times New Roman"/>
        </w:rPr>
        <w:t xml:space="preserve">In the Introduction, </w:t>
      </w:r>
      <w:r w:rsidR="009B2396">
        <w:rPr>
          <w:rFonts w:ascii="Times New Roman" w:hAnsi="Times New Roman" w:cs="Times New Roman"/>
        </w:rPr>
        <w:t>thermally cured and post cured specimens of Bis-EMA were found to achieve 100% relative cure via DSC and 90.5% DC as measured by FTIR.  As a photopolymer with additional PETIA monomer content, it was unclear at the beginning of this work the level of cure that could be achieved in with the “commodity grade” Bis-EMA under UV irradiation.</w:t>
      </w:r>
    </w:p>
    <w:p w14:paraId="047A5587" w14:textId="77777777" w:rsidR="009B2396" w:rsidRDefault="009B2396" w:rsidP="00E82681">
      <w:pPr>
        <w:spacing w:line="360" w:lineRule="auto"/>
        <w:rPr>
          <w:rFonts w:ascii="Times New Roman" w:hAnsi="Times New Roman" w:cs="Times New Roman"/>
        </w:rPr>
      </w:pPr>
    </w:p>
    <w:p w14:paraId="3C0E4206" w14:textId="32659DCC" w:rsidR="00E82681" w:rsidRDefault="00E82681" w:rsidP="00E82681">
      <w:pPr>
        <w:spacing w:line="360" w:lineRule="auto"/>
        <w:rPr>
          <w:rFonts w:ascii="Times New Roman" w:hAnsi="Times New Roman" w:cs="Times New Roman"/>
        </w:rPr>
      </w:pPr>
      <w:r w:rsidRPr="00BE5E09">
        <w:rPr>
          <w:rFonts w:ascii="Times New Roman" w:hAnsi="Times New Roman" w:cs="Times New Roman"/>
        </w:rPr>
        <w:t xml:space="preserve">In Chapter 1, </w:t>
      </w:r>
      <w:r>
        <w:rPr>
          <w:rFonts w:ascii="Times New Roman" w:hAnsi="Times New Roman" w:cs="Times New Roman"/>
        </w:rPr>
        <w:t>photopolymers were considered fully cured when the top surface to bottom surface hardness ratio was ~80% or greater, per the standard proposed by Alrahlah et al.</w:t>
      </w:r>
      <w:r>
        <w:rPr>
          <w:rFonts w:ascii="Times New Roman" w:hAnsi="Times New Roman" w:cs="Times New Roman"/>
        </w:rPr>
        <w:fldChar w:fldCharType="begin" w:fldLock="1"/>
      </w:r>
      <w:r w:rsidR="00115FB0">
        <w:rPr>
          <w:rFonts w:ascii="Times New Roman" w:hAnsi="Times New Roman" w:cs="Times New Roman"/>
        </w:rPr>
        <w:instrText>ADDIN CSL_CITATION {"citationItems":[{"id":"ITEM-1","itemData":{"DOI":"10.1016/j.dental.2013.10.011","abstract":"d e n t a l m a t e r i a l s 3 0 (2 0 1 4) 149-154 Depth of cure Post-cure Microhardness a b s t r a c t Objectives. To determine the post-cure depth of cure of bulk fill resin composites through using Vickers hardness profiles (VHN). Methods. Five bulk fill composite materials were examined: Tetric EvoCeram ® Bulk Fill, X-tra base, Venus ® Bulk Fill, Filtek TM Bulk Fill, SonicFill TM. Three specimens of each material type were prepared in stainless steel molds which contained a slot of dimensions (15 mm × 4 mm × 2 mm), and a top plate. The molds were irradiated from one end. All specimens were stored at 37 • C for 24 h, before measurement. The Vickers hardness was measured as a function of depth of material, at 0.3 mm intervals. Data were analysed by one-way ANOVA using Tukey post hoc tests (˛ = 0.05). Results. The maximum VHN ranged from 37.8 to 77.4, whilst the VHN at 80% of max.VHN ranged from 30.4 to 61.9. The depth corresponding to 80% of max.VHN, ranged from 4.14 to 5.03 mm. One-way ANOVA showed statistically significant differences between materials for all parameters tested. SonicFill exhibited the highest VHN (p &lt; 0.001) while Venus Bulk Fill the lowest (p ≤ 0.001). SonicFill and Tetric EvoCeram Bulk Fill had the greatest depth of cure (5.03 and 4.47 mm, respectively) and was significant's different from X-tra base, Venus Bulk Fill and Filtek Bulk Fill (p ≤ 0.016). Linear regression confirmed a positive regression between max.VHN and filler loading (r 2 = 0.94). Significance. Bulk fill resin composites can be cured to an acceptable post-cure depth, according to the manufacturers' claims. SonicFill and Tetric EvoCeram Bulk Fill had the greatest depth of cure among the composites examined.","author":[{"dropping-particle":"","family":"Alrahlah","given":"A","non-dropping-particle":"","parse-names":false,"suffix":""},{"dropping-particle":"","family":"Silikas","given":"N","non-dropping-particle":"","parse-names":false,"suffix":""},{"dropping-particle":"","family":"Watts","given":"D C","non-dropping-particle":"","parse-names":false,"suffix":""}],"container-title":"Dental Materials","id":"ITEM-1","issued":{"date-parts":[["2014"]]},"page":"149-154","title":"ScienceDirect Post-cure depth of cure of bulk fill dental resin-composites","type":"article-journal","volume":"30"},"uris":["http://www.mendeley.com/documents/?uuid=278738b9-3e52-3005-b13a-01c7bec0ca56"]}],"mendeley":{"formattedCitation":"[48]","plainTextFormattedCitation":"[48]","previouslyFormattedCitation":"[48]"},"properties":{"noteIndex":0},"schema":"https://github.com/citation-style-language/schema/raw/master/csl-citation.json"}</w:instrText>
      </w:r>
      <w:r>
        <w:rPr>
          <w:rFonts w:ascii="Times New Roman" w:hAnsi="Times New Roman" w:cs="Times New Roman"/>
        </w:rPr>
        <w:fldChar w:fldCharType="separate"/>
      </w:r>
      <w:r w:rsidR="00115FB0" w:rsidRPr="00115FB0">
        <w:rPr>
          <w:rFonts w:ascii="Times New Roman" w:hAnsi="Times New Roman" w:cs="Times New Roman"/>
          <w:noProof/>
        </w:rPr>
        <w:t>[48]</w:t>
      </w:r>
      <w:r>
        <w:rPr>
          <w:rFonts w:ascii="Times New Roman" w:hAnsi="Times New Roman" w:cs="Times New Roman"/>
        </w:rPr>
        <w:fldChar w:fldCharType="end"/>
      </w:r>
      <w:r>
        <w:rPr>
          <w:rFonts w:ascii="Times New Roman" w:hAnsi="Times New Roman" w:cs="Times New Roman"/>
        </w:rPr>
        <w:t>.  By this standard, an 80:20 Bis-EMA: PETIA formula with 1 wt% BDMB achieved nearly full cure under an 8.0 J/cm</w:t>
      </w:r>
      <w:r w:rsidRPr="00BE5E09">
        <w:rPr>
          <w:rFonts w:ascii="Times New Roman" w:hAnsi="Times New Roman" w:cs="Times New Roman"/>
          <w:vertAlign w:val="superscript"/>
        </w:rPr>
        <w:t>2</w:t>
      </w:r>
      <w:r>
        <w:rPr>
          <w:rFonts w:ascii="Times New Roman" w:hAnsi="Times New Roman" w:cs="Times New Roman"/>
        </w:rPr>
        <w:t xml:space="preserve"> dose, with a top surface hardness of 23.7 and a bottom surface hardness of 18.6 VHN. This formula and UV dose were used to</w:t>
      </w:r>
      <w:r w:rsidRPr="008B3BCF">
        <w:rPr>
          <w:rFonts w:ascii="Times New Roman" w:hAnsi="Times New Roman" w:cs="Times New Roman"/>
        </w:rPr>
        <w:t xml:space="preserve"> produce</w:t>
      </w:r>
      <w:r>
        <w:rPr>
          <w:rFonts w:ascii="Times New Roman" w:hAnsi="Times New Roman" w:cs="Times New Roman"/>
        </w:rPr>
        <w:t xml:space="preserve"> </w:t>
      </w:r>
      <w:r>
        <w:rPr>
          <w:rFonts w:ascii="Times New Roman" w:hAnsi="Times New Roman" w:cs="Times New Roman"/>
        </w:rPr>
        <w:lastRenderedPageBreak/>
        <w:t>tooling</w:t>
      </w:r>
      <w:r w:rsidRPr="008B3BCF">
        <w:rPr>
          <w:rFonts w:ascii="Times New Roman" w:hAnsi="Times New Roman" w:cs="Times New Roman"/>
        </w:rPr>
        <w:t xml:space="preserve"> via </w:t>
      </w:r>
      <w:r w:rsidRPr="009D630D">
        <w:rPr>
          <w:rFonts w:ascii="Times New Roman" w:hAnsi="Times New Roman" w:cs="Times New Roman"/>
        </w:rPr>
        <w:t>an</w:t>
      </w:r>
      <w:r>
        <w:rPr>
          <w:rFonts w:ascii="Times New Roman" w:hAnsi="Times New Roman" w:cs="Times New Roman"/>
        </w:rPr>
        <w:t xml:space="preserve"> </w:t>
      </w:r>
      <w:r w:rsidRPr="009D630D">
        <w:rPr>
          <w:rFonts w:ascii="Times New Roman" w:hAnsi="Times New Roman" w:cs="Times New Roman"/>
        </w:rPr>
        <w:t>additive process.</w:t>
      </w:r>
      <w:r>
        <w:rPr>
          <w:rFonts w:ascii="Times New Roman" w:hAnsi="Times New Roman" w:cs="Times New Roman"/>
        </w:rPr>
        <w:t xml:space="preserve"> The tool was </w:t>
      </w:r>
      <w:r w:rsidRPr="008B3BCF">
        <w:rPr>
          <w:rFonts w:ascii="Times New Roman" w:hAnsi="Times New Roman" w:cs="Times New Roman"/>
        </w:rPr>
        <w:t xml:space="preserve">used to manufacture five composite parts </w:t>
      </w:r>
      <w:r>
        <w:rPr>
          <w:rFonts w:ascii="Times New Roman" w:hAnsi="Times New Roman" w:cs="Times New Roman"/>
        </w:rPr>
        <w:t>at</w:t>
      </w:r>
      <w:r w:rsidRPr="008B3BCF">
        <w:rPr>
          <w:rFonts w:ascii="Times New Roman" w:hAnsi="Times New Roman" w:cs="Times New Roman"/>
        </w:rPr>
        <w:t xml:space="preserve"> 135 °C. </w:t>
      </w:r>
      <w:r>
        <w:rPr>
          <w:rFonts w:ascii="Times New Roman" w:hAnsi="Times New Roman" w:cs="Times New Roman"/>
        </w:rPr>
        <w:t xml:space="preserve">After up to 20 hrs thermal aging at 135 ºC, TGA testing </w:t>
      </w:r>
      <w:r w:rsidRPr="008B3BCF">
        <w:rPr>
          <w:rFonts w:ascii="Times New Roman" w:hAnsi="Times New Roman" w:cs="Times New Roman"/>
        </w:rPr>
        <w:t xml:space="preserve">indicated </w:t>
      </w:r>
      <w:r>
        <w:rPr>
          <w:rFonts w:ascii="Times New Roman" w:hAnsi="Times New Roman" w:cs="Times New Roman"/>
        </w:rPr>
        <w:t xml:space="preserve">that the cured polymer was chemically stable, with </w:t>
      </w:r>
      <w:r w:rsidRPr="008B3BCF">
        <w:rPr>
          <w:rFonts w:ascii="Times New Roman" w:hAnsi="Times New Roman" w:cs="Times New Roman"/>
        </w:rPr>
        <w:t>no change</w:t>
      </w:r>
      <w:r>
        <w:rPr>
          <w:rFonts w:ascii="Times New Roman" w:hAnsi="Times New Roman" w:cs="Times New Roman"/>
        </w:rPr>
        <w:t xml:space="preserve"> in degradation behavior versus specimens cured without aging. </w:t>
      </w:r>
      <w:r w:rsidRPr="008B3BCF">
        <w:rPr>
          <w:rFonts w:ascii="Times New Roman" w:hAnsi="Times New Roman" w:cs="Times New Roman"/>
        </w:rPr>
        <w:t>T</w:t>
      </w:r>
      <w:r w:rsidRPr="008B3BCF">
        <w:rPr>
          <w:rFonts w:ascii="Times New Roman" w:hAnsi="Times New Roman" w:cs="Times New Roman"/>
          <w:vertAlign w:val="subscript"/>
        </w:rPr>
        <w:t>g</w:t>
      </w:r>
      <w:r w:rsidRPr="008B3BCF">
        <w:rPr>
          <w:rFonts w:ascii="Times New Roman" w:hAnsi="Times New Roman" w:cs="Times New Roman"/>
        </w:rPr>
        <w:t xml:space="preserve"> </w:t>
      </w:r>
      <w:r>
        <w:rPr>
          <w:rFonts w:ascii="Times New Roman" w:hAnsi="Times New Roman" w:cs="Times New Roman"/>
        </w:rPr>
        <w:t xml:space="preserve">increased </w:t>
      </w:r>
      <w:r w:rsidRPr="008B3BCF">
        <w:rPr>
          <w:rFonts w:ascii="Times New Roman" w:hAnsi="Times New Roman" w:cs="Times New Roman"/>
        </w:rPr>
        <w:t>from 154 °C to 172 °C</w:t>
      </w:r>
      <w:r>
        <w:rPr>
          <w:rFonts w:ascii="Times New Roman" w:hAnsi="Times New Roman" w:cs="Times New Roman"/>
        </w:rPr>
        <w:t xml:space="preserve"> with thermal aging but remained within the values reported by the resin manufacturer. </w:t>
      </w:r>
      <w:r w:rsidRPr="008B3BCF">
        <w:rPr>
          <w:rFonts w:ascii="Times New Roman" w:hAnsi="Times New Roman" w:cs="Times New Roman"/>
        </w:rPr>
        <w:t>3D scans of the photopolymer tooling showed</w:t>
      </w:r>
      <w:r>
        <w:rPr>
          <w:rFonts w:ascii="Times New Roman" w:hAnsi="Times New Roman" w:cs="Times New Roman"/>
        </w:rPr>
        <w:t xml:space="preserve"> </w:t>
      </w:r>
      <w:r w:rsidRPr="009D630D">
        <w:rPr>
          <w:rFonts w:ascii="Times New Roman" w:hAnsi="Times New Roman" w:cs="Times New Roman"/>
        </w:rPr>
        <w:t>minimal</w:t>
      </w:r>
      <w:r w:rsidRPr="008B3BCF">
        <w:rPr>
          <w:rFonts w:ascii="Times New Roman" w:hAnsi="Times New Roman" w:cs="Times New Roman"/>
        </w:rPr>
        <w:t xml:space="preserve"> average dimensional changes &lt; 0.1 mm</w:t>
      </w:r>
      <w:r w:rsidRPr="009D630D">
        <w:rPr>
          <w:rFonts w:ascii="Times New Roman" w:hAnsi="Times New Roman" w:cs="Times New Roman"/>
        </w:rPr>
        <w:t>. The</w:t>
      </w:r>
      <w:r>
        <w:rPr>
          <w:rFonts w:ascii="Times New Roman" w:hAnsi="Times New Roman" w:cs="Times New Roman"/>
        </w:rPr>
        <w:t xml:space="preserve"> 80:20 Bis-EMA: PETIA photopolymer formulation was considered suitable for low-volume oven and/or autoclave tooling applications at temperatures up to 135 ºC. </w:t>
      </w:r>
    </w:p>
    <w:p w14:paraId="0A07C077" w14:textId="77777777" w:rsidR="00E82681" w:rsidRDefault="00E82681" w:rsidP="00E82681">
      <w:pPr>
        <w:spacing w:line="360" w:lineRule="auto"/>
        <w:rPr>
          <w:rFonts w:ascii="Times New Roman" w:hAnsi="Times New Roman" w:cs="Times New Roman"/>
        </w:rPr>
      </w:pPr>
    </w:p>
    <w:p w14:paraId="6AEB4EB3" w14:textId="266F71E0" w:rsidR="00083858" w:rsidRPr="00CF4CC6" w:rsidRDefault="00CF4CC6" w:rsidP="00E82681">
      <w:pPr>
        <w:spacing w:line="360" w:lineRule="auto"/>
        <w:rPr>
          <w:rFonts w:ascii="Times New Roman" w:hAnsi="Times New Roman" w:cs="Times New Roman"/>
        </w:rPr>
      </w:pPr>
      <w:r>
        <w:rPr>
          <w:rFonts w:ascii="Times New Roman" w:hAnsi="Times New Roman" w:cs="Times New Roman"/>
        </w:rPr>
        <w:t>Chapter 1 demonstrated</w:t>
      </w:r>
      <w:r w:rsidR="00E82681">
        <w:rPr>
          <w:rFonts w:ascii="Times New Roman" w:hAnsi="Times New Roman" w:cs="Times New Roman"/>
        </w:rPr>
        <w:t xml:space="preserve"> that the 70-80% degree of conversion (DC) range measured in the fiberglass-photopolymer tool stock material is sufficient for the desired application. </w:t>
      </w:r>
      <w:r w:rsidR="00083858">
        <w:rPr>
          <w:rFonts w:ascii="Times New Roman" w:hAnsi="Times New Roman" w:cs="Times New Roman"/>
        </w:rPr>
        <w:t>Chapter 3 showed that a reduced irradiation of 5.5 J/cm</w:t>
      </w:r>
      <w:r w:rsidR="00083858" w:rsidRPr="00BD3C0F">
        <w:rPr>
          <w:rFonts w:ascii="Times New Roman" w:hAnsi="Times New Roman" w:cs="Times New Roman"/>
          <w:vertAlign w:val="superscript"/>
        </w:rPr>
        <w:t>2</w:t>
      </w:r>
      <w:r w:rsidR="00083858">
        <w:rPr>
          <w:rFonts w:ascii="Times New Roman" w:hAnsi="Times New Roman" w:cs="Times New Roman"/>
        </w:rPr>
        <w:t xml:space="preserve"> dose at a duration of 3.5 s could achieve ~80% DC with only a 2% variation in DC through 2 mm thickness and a 10% variation through 3 mm thickness.  Chapter 3 also showed that</w:t>
      </w:r>
      <w:r w:rsidR="004F58F9">
        <w:rPr>
          <w:rFonts w:ascii="Times New Roman" w:hAnsi="Times New Roman" w:cs="Times New Roman"/>
        </w:rPr>
        <w:t xml:space="preserve"> 98% DC could be achieved with a post cure of 2 hrs at 200 °C, </w:t>
      </w:r>
      <w:r w:rsidR="00083858">
        <w:rPr>
          <w:rFonts w:ascii="Times New Roman" w:hAnsi="Times New Roman" w:cs="Times New Roman"/>
        </w:rPr>
        <w:t>but these</w:t>
      </w:r>
      <w:r w:rsidR="004F58F9">
        <w:rPr>
          <w:rFonts w:ascii="Times New Roman" w:hAnsi="Times New Roman" w:cs="Times New Roman"/>
        </w:rPr>
        <w:t xml:space="preserve"> </w:t>
      </w:r>
      <w:r w:rsidR="00083858">
        <w:rPr>
          <w:rFonts w:ascii="Times New Roman" w:hAnsi="Times New Roman" w:cs="Times New Roman"/>
        </w:rPr>
        <w:t>parts</w:t>
      </w:r>
      <w:r w:rsidR="004F58F9">
        <w:rPr>
          <w:rFonts w:ascii="Times New Roman" w:hAnsi="Times New Roman" w:cs="Times New Roman"/>
        </w:rPr>
        <w:t xml:space="preserve"> </w:t>
      </w:r>
      <w:r w:rsidR="00083858">
        <w:rPr>
          <w:rFonts w:ascii="Times New Roman" w:hAnsi="Times New Roman" w:cs="Times New Roman"/>
        </w:rPr>
        <w:t>also had significant warping and cracking issues</w:t>
      </w:r>
      <w:r w:rsidR="004F58F9">
        <w:rPr>
          <w:rFonts w:ascii="Times New Roman" w:hAnsi="Times New Roman" w:cs="Times New Roman"/>
        </w:rPr>
        <w:t xml:space="preserve">. </w:t>
      </w:r>
      <w:r w:rsidR="00083858">
        <w:rPr>
          <w:rFonts w:ascii="Times New Roman" w:hAnsi="Times New Roman" w:cs="Times New Roman"/>
        </w:rPr>
        <w:t xml:space="preserve">In Chapter 2, flexural testing of 3 mm thick specimens </w:t>
      </w:r>
      <w:r>
        <w:rPr>
          <w:rFonts w:ascii="Times New Roman" w:hAnsi="Times New Roman" w:cs="Times New Roman"/>
        </w:rPr>
        <w:t xml:space="preserve">irradiated at the </w:t>
      </w:r>
      <w:r w:rsidR="00083858">
        <w:rPr>
          <w:rFonts w:ascii="Times New Roman" w:hAnsi="Times New Roman" w:cs="Times New Roman"/>
        </w:rPr>
        <w:t>5.5 J/cm</w:t>
      </w:r>
      <w:r w:rsidR="00083858" w:rsidRPr="00F349E5">
        <w:rPr>
          <w:rFonts w:ascii="Times New Roman" w:hAnsi="Times New Roman" w:cs="Times New Roman"/>
          <w:vertAlign w:val="superscript"/>
        </w:rPr>
        <w:t>2</w:t>
      </w:r>
      <w:r w:rsidR="00083858">
        <w:rPr>
          <w:rFonts w:ascii="Times New Roman" w:hAnsi="Times New Roman" w:cs="Times New Roman"/>
        </w:rPr>
        <w:t xml:space="preserve"> dose had an average flexural modulus of 3.1 GPa and flexural strength of 108 MPa. Compared with the reported ideal values for </w:t>
      </w:r>
      <w:r>
        <w:rPr>
          <w:rFonts w:ascii="Times New Roman" w:hAnsi="Times New Roman" w:cs="Times New Roman"/>
        </w:rPr>
        <w:t>thermoset</w:t>
      </w:r>
      <w:r w:rsidR="00083858">
        <w:rPr>
          <w:rFonts w:ascii="Times New Roman" w:hAnsi="Times New Roman" w:cs="Times New Roman"/>
        </w:rPr>
        <w:t xml:space="preserve"> Bis-EMA, the flexural modulus was 16% lower, and flexural strength was 12% higher (see </w:t>
      </w:r>
      <w:r w:rsidR="00083858" w:rsidRPr="00EC331B">
        <w:rPr>
          <w:rFonts w:ascii="Times New Roman" w:hAnsi="Times New Roman" w:cs="Times New Roman"/>
        </w:rPr>
        <w:fldChar w:fldCharType="begin"/>
      </w:r>
      <w:r w:rsidR="00083858" w:rsidRPr="00EC331B">
        <w:rPr>
          <w:rFonts w:ascii="Times New Roman" w:hAnsi="Times New Roman" w:cs="Times New Roman"/>
        </w:rPr>
        <w:instrText xml:space="preserve"> REF _Ref100920849 \h </w:instrText>
      </w:r>
      <w:r w:rsidR="00083858">
        <w:rPr>
          <w:rFonts w:ascii="Times New Roman" w:hAnsi="Times New Roman" w:cs="Times New Roman"/>
        </w:rPr>
        <w:instrText xml:space="preserve"> \* MERGEFORMAT </w:instrText>
      </w:r>
      <w:r w:rsidR="00083858" w:rsidRPr="00EC331B">
        <w:rPr>
          <w:rFonts w:ascii="Times New Roman" w:hAnsi="Times New Roman" w:cs="Times New Roman"/>
        </w:rPr>
      </w:r>
      <w:r w:rsidR="00083858" w:rsidRPr="00EC331B">
        <w:rPr>
          <w:rFonts w:ascii="Times New Roman" w:hAnsi="Times New Roman" w:cs="Times New Roman"/>
        </w:rPr>
        <w:fldChar w:fldCharType="separate"/>
      </w:r>
      <w:r w:rsidR="00083858" w:rsidRPr="00EC331B">
        <w:rPr>
          <w:rFonts w:ascii="Times New Roman" w:hAnsi="Times New Roman" w:cs="Times New Roman"/>
        </w:rPr>
        <w:t xml:space="preserve">Table </w:t>
      </w:r>
      <w:r w:rsidR="00083858" w:rsidRPr="00EC331B">
        <w:rPr>
          <w:rFonts w:ascii="Times New Roman" w:hAnsi="Times New Roman" w:cs="Times New Roman"/>
          <w:noProof/>
        </w:rPr>
        <w:t>1</w:t>
      </w:r>
      <w:r w:rsidR="00083858" w:rsidRPr="00EC331B">
        <w:rPr>
          <w:rFonts w:ascii="Times New Roman" w:hAnsi="Times New Roman" w:cs="Times New Roman"/>
        </w:rPr>
        <w:fldChar w:fldCharType="end"/>
      </w:r>
      <w:r w:rsidR="00083858">
        <w:rPr>
          <w:rFonts w:ascii="Times New Roman" w:hAnsi="Times New Roman" w:cs="Times New Roman"/>
        </w:rPr>
        <w:t xml:space="preserve">).  </w:t>
      </w:r>
      <w:r>
        <w:rPr>
          <w:rFonts w:ascii="Times New Roman" w:hAnsi="Times New Roman" w:cs="Times New Roman"/>
        </w:rPr>
        <w:t>In Chapter 3, a UV dose of 5.5 J/cm</w:t>
      </w:r>
      <w:r w:rsidRPr="00CF4CC6">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xml:space="preserve">followed by a more moderate post cure of 2 hrs at 66 °C + 2 hrs at 121 °C </w:t>
      </w:r>
      <w:r w:rsidR="00072B07">
        <w:rPr>
          <w:rFonts w:ascii="Times New Roman" w:hAnsi="Times New Roman" w:cs="Times New Roman"/>
        </w:rPr>
        <w:t xml:space="preserve">yielded a tensile strength of 55 MPa and a tensile modulus of 3.0 GPa, </w:t>
      </w:r>
      <w:r>
        <w:rPr>
          <w:rFonts w:ascii="Times New Roman" w:hAnsi="Times New Roman" w:cs="Times New Roman"/>
        </w:rPr>
        <w:t xml:space="preserve"> </w:t>
      </w:r>
      <w:r w:rsidR="00072B07">
        <w:rPr>
          <w:rFonts w:ascii="Times New Roman" w:hAnsi="Times New Roman" w:cs="Times New Roman"/>
        </w:rPr>
        <w:t xml:space="preserve">which was 17% higher tensile strength and 15% lower tensile modulus than the thermoset Bis-EMA reported value.  It is unclear why the modulus is consistently lower in the Bis-EMA:PETIA photopolymers, but this work demonstrates that high mechanical properties can be achieved with 70-80% DC.  Even at 98% DC, the tensile properties did not improve further (see </w:t>
      </w:r>
      <w:r w:rsidR="00072B07">
        <w:rPr>
          <w:rFonts w:ascii="Times New Roman" w:hAnsi="Times New Roman" w:cs="Times New Roman"/>
        </w:rPr>
        <w:fldChar w:fldCharType="begin"/>
      </w:r>
      <w:r w:rsidR="00072B07">
        <w:rPr>
          <w:rFonts w:ascii="Times New Roman" w:hAnsi="Times New Roman" w:cs="Times New Roman"/>
        </w:rPr>
        <w:instrText xml:space="preserve"> REF _Ref101216048 \h </w:instrText>
      </w:r>
      <w:r w:rsidR="00AC7944">
        <w:rPr>
          <w:rFonts w:ascii="Times New Roman" w:hAnsi="Times New Roman" w:cs="Times New Roman"/>
        </w:rPr>
        <w:instrText xml:space="preserve"> \* MERGEFORMAT </w:instrText>
      </w:r>
      <w:r w:rsidR="00072B07">
        <w:rPr>
          <w:rFonts w:ascii="Times New Roman" w:hAnsi="Times New Roman" w:cs="Times New Roman"/>
        </w:rPr>
      </w:r>
      <w:r w:rsidR="00072B07">
        <w:rPr>
          <w:rFonts w:ascii="Times New Roman" w:hAnsi="Times New Roman" w:cs="Times New Roman"/>
        </w:rPr>
        <w:fldChar w:fldCharType="separate"/>
      </w:r>
      <w:r w:rsidR="00072B07">
        <w:t>T</w:t>
      </w:r>
      <w:r w:rsidR="00072B07" w:rsidRPr="00AC7944">
        <w:rPr>
          <w:rFonts w:ascii="Times New Roman" w:hAnsi="Times New Roman" w:cs="Times New Roman"/>
        </w:rPr>
        <w:t xml:space="preserve">able </w:t>
      </w:r>
      <w:r w:rsidR="00072B07" w:rsidRPr="00AC7944">
        <w:rPr>
          <w:rFonts w:ascii="Times New Roman" w:hAnsi="Times New Roman" w:cs="Times New Roman"/>
          <w:noProof/>
        </w:rPr>
        <w:t>8</w:t>
      </w:r>
      <w:r w:rsidR="00072B07">
        <w:rPr>
          <w:rFonts w:ascii="Times New Roman" w:hAnsi="Times New Roman" w:cs="Times New Roman"/>
        </w:rPr>
        <w:fldChar w:fldCharType="end"/>
      </w:r>
      <w:r w:rsidR="00072B07">
        <w:rPr>
          <w:rFonts w:ascii="Times New Roman" w:hAnsi="Times New Roman" w:cs="Times New Roman"/>
        </w:rPr>
        <w:t xml:space="preserve">). </w:t>
      </w:r>
    </w:p>
    <w:p w14:paraId="589DDE65" w14:textId="77777777" w:rsidR="00E82681" w:rsidRDefault="00E82681" w:rsidP="00E82681">
      <w:pPr>
        <w:spacing w:line="360" w:lineRule="auto"/>
        <w:rPr>
          <w:rFonts w:ascii="Times New Roman" w:hAnsi="Times New Roman" w:cs="Times New Roman"/>
        </w:rPr>
      </w:pPr>
    </w:p>
    <w:p w14:paraId="50756DFC" w14:textId="0EE8ABBE" w:rsidR="00EC331B" w:rsidRDefault="00AC7944" w:rsidP="00E82681">
      <w:pPr>
        <w:spacing w:line="360" w:lineRule="auto"/>
        <w:rPr>
          <w:rFonts w:ascii="Times New Roman" w:hAnsi="Times New Roman" w:cs="Times New Roman"/>
        </w:rPr>
      </w:pPr>
      <w:r>
        <w:rPr>
          <w:rFonts w:ascii="Times New Roman" w:hAnsi="Times New Roman" w:cs="Times New Roman"/>
        </w:rPr>
        <w:t>With reduced cure time as the goal, Chapter 3 also demonstrated that an even lower dose of 2.8 J/cm</w:t>
      </w:r>
      <w:r w:rsidRPr="00707C5B">
        <w:rPr>
          <w:rFonts w:ascii="Times New Roman" w:hAnsi="Times New Roman" w:cs="Times New Roman"/>
          <w:vertAlign w:val="superscript"/>
        </w:rPr>
        <w:t>2</w:t>
      </w:r>
      <w:r>
        <w:rPr>
          <w:rFonts w:ascii="Times New Roman" w:hAnsi="Times New Roman" w:cs="Times New Roman"/>
        </w:rPr>
        <w:t xml:space="preserve"> and irradiation time of 1.7 s could achieve an </w:t>
      </w:r>
      <w:r w:rsidR="00E82681">
        <w:rPr>
          <w:rFonts w:ascii="Times New Roman" w:hAnsi="Times New Roman" w:cs="Times New Roman"/>
        </w:rPr>
        <w:t xml:space="preserve">average of 74.1% DC </w:t>
      </w:r>
      <w:r>
        <w:rPr>
          <w:rFonts w:ascii="Times New Roman" w:hAnsi="Times New Roman" w:cs="Times New Roman"/>
        </w:rPr>
        <w:t>in neat resin</w:t>
      </w:r>
      <w:r w:rsidR="00E82681">
        <w:rPr>
          <w:rFonts w:ascii="Times New Roman" w:hAnsi="Times New Roman" w:cs="Times New Roman"/>
        </w:rPr>
        <w:t xml:space="preserve">. While the bottom surface at this lower dose had DC below 70%, a dose of 2.8 </w:t>
      </w:r>
      <w:r w:rsidR="00E82681">
        <w:rPr>
          <w:rFonts w:ascii="Times New Roman" w:hAnsi="Times New Roman" w:cs="Times New Roman"/>
        </w:rPr>
        <w:lastRenderedPageBreak/>
        <w:t>J/cm</w:t>
      </w:r>
      <w:r w:rsidR="00E82681" w:rsidRPr="008C73E1">
        <w:rPr>
          <w:rFonts w:ascii="Times New Roman" w:hAnsi="Times New Roman" w:cs="Times New Roman"/>
          <w:vertAlign w:val="superscript"/>
        </w:rPr>
        <w:t>2</w:t>
      </w:r>
      <w:r w:rsidR="00E82681">
        <w:rPr>
          <w:rFonts w:ascii="Times New Roman" w:hAnsi="Times New Roman" w:cs="Times New Roman"/>
        </w:rPr>
        <w:t xml:space="preserve"> may prove effective in the target oven and/or autoclave tooling applications. When considering 2 mm depth instead of 3 mm layer thickness, the cure gradient at the 2.8 J/cm</w:t>
      </w:r>
      <w:r w:rsidR="00E82681" w:rsidRPr="00707C5B">
        <w:rPr>
          <w:rFonts w:ascii="Times New Roman" w:hAnsi="Times New Roman" w:cs="Times New Roman"/>
          <w:vertAlign w:val="superscript"/>
        </w:rPr>
        <w:t>2</w:t>
      </w:r>
      <w:r w:rsidR="00E82681">
        <w:rPr>
          <w:rFonts w:ascii="Times New Roman" w:hAnsi="Times New Roman" w:cs="Times New Roman"/>
        </w:rPr>
        <w:t xml:space="preserve"> dose fell entirely within the optimal 70-80% DC window.  </w:t>
      </w:r>
    </w:p>
    <w:p w14:paraId="3957588B" w14:textId="77777777" w:rsidR="006B1E6B" w:rsidRDefault="006B1E6B" w:rsidP="00E82681">
      <w:pPr>
        <w:spacing w:line="360" w:lineRule="auto"/>
        <w:rPr>
          <w:rFonts w:ascii="Times New Roman" w:hAnsi="Times New Roman" w:cs="Times New Roman"/>
        </w:rPr>
      </w:pPr>
    </w:p>
    <w:p w14:paraId="59DF5196" w14:textId="77777777" w:rsidR="00E82681" w:rsidRPr="0085444E" w:rsidRDefault="00E82681" w:rsidP="000F4D4E">
      <w:pPr>
        <w:pStyle w:val="ListParagraph"/>
      </w:pPr>
      <w:r w:rsidRPr="0085444E">
        <w:t>How does the presence of a monomer influence the cure speed at LFAM layer thickness?</w:t>
      </w:r>
    </w:p>
    <w:p w14:paraId="6749D004" w14:textId="77777777" w:rsidR="00E82681" w:rsidRDefault="00E82681" w:rsidP="00E82681"/>
    <w:p w14:paraId="15BE1235" w14:textId="77777777" w:rsidR="00E82681" w:rsidRPr="008C73E1" w:rsidRDefault="00E82681" w:rsidP="00E82681">
      <w:pPr>
        <w:spacing w:line="360" w:lineRule="auto"/>
        <w:rPr>
          <w:rFonts w:ascii="Times New Roman" w:hAnsi="Times New Roman" w:cs="Times New Roman"/>
        </w:rPr>
      </w:pPr>
      <w:r w:rsidRPr="008C73E1">
        <w:rPr>
          <w:rFonts w:ascii="Times New Roman" w:hAnsi="Times New Roman" w:cs="Times New Roman"/>
        </w:rPr>
        <w:t>Chapter 1 investigated the effect of adding PETIA, a highly reactive acrylate, to Bis-EMA in concentrations up to 50 wt%</w:t>
      </w:r>
      <w:r>
        <w:rPr>
          <w:rFonts w:ascii="Times New Roman" w:hAnsi="Times New Roman" w:cs="Times New Roman"/>
        </w:rPr>
        <w:t xml:space="preserve">. </w:t>
      </w:r>
      <w:r w:rsidRPr="008C73E1">
        <w:rPr>
          <w:rFonts w:ascii="Times New Roman" w:hAnsi="Times New Roman" w:cs="Times New Roman"/>
        </w:rPr>
        <w:t>3 mm thick specimens were irradiated for 5 seconds</w:t>
      </w:r>
      <w:r>
        <w:rPr>
          <w:rFonts w:ascii="Times New Roman" w:hAnsi="Times New Roman" w:cs="Times New Roman"/>
        </w:rPr>
        <w:t>. I</w:t>
      </w:r>
      <w:r w:rsidRPr="008C73E1">
        <w:rPr>
          <w:rFonts w:ascii="Times New Roman" w:hAnsi="Times New Roman" w:cs="Times New Roman"/>
        </w:rPr>
        <w:t>ncreased PETIA content consistently improved the through</w:t>
      </w:r>
      <w:r>
        <w:rPr>
          <w:rFonts w:ascii="Times New Roman" w:hAnsi="Times New Roman" w:cs="Times New Roman"/>
        </w:rPr>
        <w:t>-thickness</w:t>
      </w:r>
      <w:r w:rsidRPr="008C73E1">
        <w:rPr>
          <w:rFonts w:ascii="Times New Roman" w:hAnsi="Times New Roman" w:cs="Times New Roman"/>
        </w:rPr>
        <w:t xml:space="preserve"> cure response rate</w:t>
      </w:r>
      <w:r>
        <w:rPr>
          <w:rFonts w:ascii="Times New Roman" w:hAnsi="Times New Roman" w:cs="Times New Roman"/>
        </w:rPr>
        <w:t>,</w:t>
      </w:r>
      <w:r w:rsidRPr="008C73E1">
        <w:rPr>
          <w:rFonts w:ascii="Times New Roman" w:hAnsi="Times New Roman" w:cs="Times New Roman"/>
        </w:rPr>
        <w:t xml:space="preserve"> as indicated by bottom surface hardness. However, DMA testing indicated that PETIA content &gt;20 wt% reduced the T</w:t>
      </w:r>
      <w:r w:rsidRPr="008C73E1">
        <w:rPr>
          <w:rFonts w:ascii="Times New Roman" w:hAnsi="Times New Roman" w:cs="Times New Roman"/>
          <w:vertAlign w:val="subscript"/>
        </w:rPr>
        <w:t>g</w:t>
      </w:r>
      <w:r w:rsidRPr="008C73E1">
        <w:rPr>
          <w:rFonts w:ascii="Times New Roman" w:hAnsi="Times New Roman" w:cs="Times New Roman"/>
        </w:rPr>
        <w:t xml:space="preserve"> below the Bis-EMA baseline. </w:t>
      </w:r>
      <w:r w:rsidRPr="008B3BCF">
        <w:rPr>
          <w:rFonts w:ascii="Times New Roman" w:hAnsi="Times New Roman" w:cs="Times New Roman"/>
        </w:rPr>
        <w:t xml:space="preserve">The 80 wt% Bis-EMA, 20 wt% PETIA formula tested in this study was selected </w:t>
      </w:r>
      <w:r>
        <w:rPr>
          <w:rFonts w:ascii="Times New Roman" w:hAnsi="Times New Roman" w:cs="Times New Roman"/>
        </w:rPr>
        <w:t>because it improved through-thickness cure response</w:t>
      </w:r>
      <w:r w:rsidRPr="008B3BCF">
        <w:rPr>
          <w:rFonts w:ascii="Times New Roman" w:hAnsi="Times New Roman" w:cs="Times New Roman"/>
        </w:rPr>
        <w:t xml:space="preserve"> while maintaining</w:t>
      </w:r>
      <w:r>
        <w:rPr>
          <w:rFonts w:ascii="Times New Roman" w:hAnsi="Times New Roman" w:cs="Times New Roman"/>
        </w:rPr>
        <w:t xml:space="preserve"> the same ~150 ºC</w:t>
      </w:r>
      <w:r w:rsidRPr="008B3BCF">
        <w:rPr>
          <w:rFonts w:ascii="Times New Roman" w:hAnsi="Times New Roman" w:cs="Times New Roman"/>
        </w:rPr>
        <w:t xml:space="preserve"> T</w:t>
      </w:r>
      <w:r w:rsidRPr="008B3BCF">
        <w:rPr>
          <w:rFonts w:ascii="Times New Roman" w:hAnsi="Times New Roman" w:cs="Times New Roman"/>
          <w:vertAlign w:val="subscript"/>
        </w:rPr>
        <w:t>g</w:t>
      </w:r>
      <w:r w:rsidRPr="008B3BCF">
        <w:rPr>
          <w:rFonts w:ascii="Times New Roman" w:hAnsi="Times New Roman" w:cs="Times New Roman"/>
        </w:rPr>
        <w:t xml:space="preserve"> </w:t>
      </w:r>
      <w:r>
        <w:rPr>
          <w:rFonts w:ascii="Times New Roman" w:hAnsi="Times New Roman" w:cs="Times New Roman"/>
        </w:rPr>
        <w:t>as the baseline Bis-EMA photopolymer</w:t>
      </w:r>
      <w:r w:rsidRPr="008B3BCF">
        <w:rPr>
          <w:rFonts w:ascii="Times New Roman" w:hAnsi="Times New Roman" w:cs="Times New Roman"/>
        </w:rPr>
        <w:t xml:space="preserve">. </w:t>
      </w:r>
      <w:r>
        <w:rPr>
          <w:rFonts w:ascii="Times New Roman" w:hAnsi="Times New Roman" w:cs="Times New Roman"/>
        </w:rPr>
        <w:t xml:space="preserve">This formula achieved near full cure from hardness measurements </w:t>
      </w:r>
      <w:r w:rsidRPr="008B3BCF">
        <w:rPr>
          <w:rFonts w:ascii="Times New Roman" w:hAnsi="Times New Roman" w:cs="Times New Roman"/>
        </w:rPr>
        <w:t>at a 36% lower UV dose than the Bis-EMA control formulation</w:t>
      </w:r>
      <w:r>
        <w:rPr>
          <w:rFonts w:ascii="Times New Roman" w:hAnsi="Times New Roman" w:cs="Times New Roman"/>
        </w:rPr>
        <w:t xml:space="preserve">.  </w:t>
      </w:r>
    </w:p>
    <w:p w14:paraId="37CD2C2F" w14:textId="77777777" w:rsidR="00E82681" w:rsidRPr="008C73E1" w:rsidRDefault="00E82681" w:rsidP="00E82681"/>
    <w:p w14:paraId="5524D200" w14:textId="77777777" w:rsidR="00E82681" w:rsidRPr="00DA1B5A" w:rsidRDefault="00E82681" w:rsidP="000F4D4E">
      <w:pPr>
        <w:pStyle w:val="ListParagraph"/>
      </w:pPr>
      <w:r w:rsidRPr="00DA1B5A">
        <w:t>Can through-thickness cure speed be reduced with PI selection and concentration?</w:t>
      </w:r>
    </w:p>
    <w:p w14:paraId="00993C6B" w14:textId="77777777" w:rsidR="00E82681" w:rsidRPr="008C73E1" w:rsidRDefault="00E82681" w:rsidP="00E82681">
      <w:pPr>
        <w:ind w:left="360"/>
      </w:pPr>
    </w:p>
    <w:p w14:paraId="5949A68D" w14:textId="1E738DAD" w:rsidR="00C6616A" w:rsidRDefault="00E82681" w:rsidP="00EC331B">
      <w:pPr>
        <w:spacing w:line="360" w:lineRule="auto"/>
        <w:rPr>
          <w:rFonts w:ascii="Times New Roman" w:hAnsi="Times New Roman" w:cs="Times New Roman"/>
        </w:rPr>
      </w:pPr>
      <w:r>
        <w:rPr>
          <w:rFonts w:ascii="Times New Roman" w:hAnsi="Times New Roman" w:cs="Times New Roman"/>
        </w:rPr>
        <w:t xml:space="preserve">Yes. Chapter 2 further investigated the 80:20 baseline formula for the effect of </w:t>
      </w:r>
      <w:r w:rsidRPr="00913500">
        <w:rPr>
          <w:rFonts w:ascii="Times New Roman" w:hAnsi="Times New Roman" w:cs="Times New Roman"/>
        </w:rPr>
        <w:t>BAPO</w:t>
      </w:r>
      <w:r>
        <w:rPr>
          <w:rFonts w:ascii="Times New Roman" w:hAnsi="Times New Roman" w:cs="Times New Roman"/>
        </w:rPr>
        <w:t>, a photobleaching PI, on the through-thickness cure response. Formulations were prepared at 0.1 wt%, 0.5 wt%, and 1.0 wt% with BAPO or BDMB as PI and irradiated for 1.0 s and 3.7 s (1.4 J/cm</w:t>
      </w:r>
      <w:r w:rsidRPr="008C73E1">
        <w:rPr>
          <w:rFonts w:ascii="Times New Roman" w:hAnsi="Times New Roman" w:cs="Times New Roman"/>
          <w:vertAlign w:val="superscript"/>
        </w:rPr>
        <w:t>2</w:t>
      </w:r>
      <w:r>
        <w:rPr>
          <w:rFonts w:ascii="Times New Roman" w:hAnsi="Times New Roman" w:cs="Times New Roman"/>
        </w:rPr>
        <w:t xml:space="preserve"> and 5.5 J/cm</w:t>
      </w:r>
      <w:r w:rsidRPr="008C73E1">
        <w:rPr>
          <w:rFonts w:ascii="Times New Roman" w:hAnsi="Times New Roman" w:cs="Times New Roman"/>
          <w:vertAlign w:val="superscript"/>
        </w:rPr>
        <w:t>2</w:t>
      </w:r>
      <w:r>
        <w:rPr>
          <w:rFonts w:ascii="Times New Roman" w:hAnsi="Times New Roman" w:cs="Times New Roman"/>
        </w:rPr>
        <w:t xml:space="preserve">). </w:t>
      </w:r>
      <w:r w:rsidRPr="00913500">
        <w:rPr>
          <w:rFonts w:ascii="Times New Roman" w:hAnsi="Times New Roman" w:cs="Times New Roman"/>
        </w:rPr>
        <w:t>BAPO as PI at a concentration of 0.1 wt%</w:t>
      </w:r>
      <w:r>
        <w:rPr>
          <w:rFonts w:ascii="Times New Roman" w:hAnsi="Times New Roman" w:cs="Times New Roman"/>
        </w:rPr>
        <w:t xml:space="preserve"> </w:t>
      </w:r>
      <w:r w:rsidRPr="00913500">
        <w:rPr>
          <w:rFonts w:ascii="Times New Roman" w:hAnsi="Times New Roman" w:cs="Times New Roman"/>
        </w:rPr>
        <w:t>achieved the most rapid through-thickness cure response</w:t>
      </w:r>
      <w:r>
        <w:rPr>
          <w:rFonts w:ascii="Times New Roman" w:hAnsi="Times New Roman" w:cs="Times New Roman"/>
        </w:rPr>
        <w:t xml:space="preserve">, with &gt;45% DC on the bottom surface after only 1.0 s of irradiation (measured 10 minutes post-irradiation). Further testing in Chapter 3 showed that the </w:t>
      </w:r>
      <w:r w:rsidRPr="00913500">
        <w:rPr>
          <w:rFonts w:ascii="Times New Roman" w:hAnsi="Times New Roman" w:cs="Times New Roman"/>
        </w:rPr>
        <w:t>0.1 wt%</w:t>
      </w:r>
      <w:r>
        <w:rPr>
          <w:rFonts w:ascii="Times New Roman" w:hAnsi="Times New Roman" w:cs="Times New Roman"/>
        </w:rPr>
        <w:t xml:space="preserve"> BAPO formulation achieved an inconsistent bottom surface cure at this low dose, and multi-layer specimens proved too fragile for practical application. Still, at a higher dose of 5.5 J/cm</w:t>
      </w:r>
      <w:r w:rsidRPr="008C73E1">
        <w:rPr>
          <w:rFonts w:ascii="Times New Roman" w:hAnsi="Times New Roman" w:cs="Times New Roman"/>
          <w:vertAlign w:val="superscript"/>
        </w:rPr>
        <w:t>2</w:t>
      </w:r>
      <w:r>
        <w:rPr>
          <w:rFonts w:ascii="Times New Roman" w:hAnsi="Times New Roman" w:cs="Times New Roman"/>
        </w:rPr>
        <w:t xml:space="preserve">, both the 0.1 wt% BAPO formulation and 0.5 wt% BDMB formulation achieved a higher bottom surface DC than the 1.0 wt% BDMB formulation introduced in Chapter 1. Low concentrations showed improved through-thickness cure speed for BAPO due to lower light absorption and increased depth </w:t>
      </w:r>
      <w:r>
        <w:rPr>
          <w:rFonts w:ascii="Times New Roman" w:hAnsi="Times New Roman" w:cs="Times New Roman"/>
        </w:rPr>
        <w:lastRenderedPageBreak/>
        <w:t>of light penetration with lower PI concentration. However, for BDMB, at 0.1 wt%, the photopolymer did not cure at all at 3 mm depth under 1.4 J/cm</w:t>
      </w:r>
      <w:r w:rsidRPr="008C73E1">
        <w:rPr>
          <w:rFonts w:ascii="Times New Roman" w:hAnsi="Times New Roman" w:cs="Times New Roman"/>
          <w:vertAlign w:val="superscript"/>
        </w:rPr>
        <w:t xml:space="preserve">2 </w:t>
      </w:r>
      <w:r>
        <w:rPr>
          <w:rFonts w:ascii="Times New Roman" w:hAnsi="Times New Roman" w:cs="Times New Roman"/>
        </w:rPr>
        <w:t>dose, indicating that each PI will have a lower concentration limit for a desired depth of cure and irradiation condition.</w:t>
      </w:r>
    </w:p>
    <w:p w14:paraId="55D41EF1" w14:textId="77777777" w:rsidR="00C6616A" w:rsidRPr="0079210B" w:rsidRDefault="00C6616A" w:rsidP="00EC331B">
      <w:pPr>
        <w:spacing w:line="360" w:lineRule="auto"/>
      </w:pPr>
    </w:p>
    <w:p w14:paraId="5526B4CF" w14:textId="77777777" w:rsidR="00E82681" w:rsidRDefault="00E82681" w:rsidP="000F4D4E">
      <w:pPr>
        <w:pStyle w:val="ListParagraph"/>
      </w:pPr>
      <w:r w:rsidRPr="0079210B">
        <w:t>As irradiation time decreases and theoretical material deposition rate increases, how does the cure gradient within a layer change?</w:t>
      </w:r>
    </w:p>
    <w:p w14:paraId="48F33F67" w14:textId="77777777" w:rsidR="00E82681" w:rsidRDefault="00E82681" w:rsidP="000F4D4E">
      <w:pPr>
        <w:pStyle w:val="ListParagraph"/>
      </w:pPr>
      <w:r w:rsidRPr="0079210B">
        <w:t>To what extent can multiple irradiation cycles improve cure in a previous layer?</w:t>
      </w:r>
    </w:p>
    <w:p w14:paraId="36D43E9E" w14:textId="77777777" w:rsidR="00E82681" w:rsidRDefault="00E82681" w:rsidP="00E82681">
      <w:pPr>
        <w:ind w:left="360"/>
      </w:pPr>
    </w:p>
    <w:p w14:paraId="0772F1F8" w14:textId="77777777" w:rsidR="00E82681" w:rsidRPr="00EA73B7" w:rsidRDefault="00E82681" w:rsidP="00E82681">
      <w:pPr>
        <w:spacing w:line="360" w:lineRule="auto"/>
        <w:rPr>
          <w:rFonts w:ascii="Times New Roman" w:hAnsi="Times New Roman" w:cs="Times New Roman"/>
        </w:rPr>
      </w:pPr>
      <w:r>
        <w:rPr>
          <w:rFonts w:ascii="Times New Roman" w:hAnsi="Times New Roman" w:cs="Times New Roman"/>
        </w:rPr>
        <w:t>In Chapter 3, FTIR microscopy was used to assess the cure gradients within multi-layer specimens irradiated with three different dose levels: 1.4 J/cm</w:t>
      </w:r>
      <w:r w:rsidRPr="00EA73B7">
        <w:rPr>
          <w:rFonts w:ascii="Times New Roman" w:hAnsi="Times New Roman" w:cs="Times New Roman"/>
          <w:vertAlign w:val="superscript"/>
        </w:rPr>
        <w:t>2</w:t>
      </w:r>
      <w:r>
        <w:rPr>
          <w:rFonts w:ascii="Times New Roman" w:hAnsi="Times New Roman" w:cs="Times New Roman"/>
        </w:rPr>
        <w:t>, 2.8 J/cm</w:t>
      </w:r>
      <w:r w:rsidRPr="00EA73B7">
        <w:rPr>
          <w:rFonts w:ascii="Times New Roman" w:hAnsi="Times New Roman" w:cs="Times New Roman"/>
          <w:vertAlign w:val="superscript"/>
        </w:rPr>
        <w:t>2</w:t>
      </w:r>
      <w:r>
        <w:rPr>
          <w:rFonts w:ascii="Times New Roman" w:hAnsi="Times New Roman" w:cs="Times New Roman"/>
        </w:rPr>
        <w:t>, and 5.5 J/cm</w:t>
      </w:r>
      <w:r w:rsidRPr="00EA73B7">
        <w:rPr>
          <w:rFonts w:ascii="Times New Roman" w:hAnsi="Times New Roman" w:cs="Times New Roman"/>
          <w:vertAlign w:val="superscript"/>
        </w:rPr>
        <w:t>2</w:t>
      </w:r>
      <w:r>
        <w:rPr>
          <w:rFonts w:ascii="Times New Roman" w:hAnsi="Times New Roman" w:cs="Times New Roman"/>
        </w:rPr>
        <w:t xml:space="preserve">, which corresponds to irradiation times of 0.8 s, 1.7 s, and 3.5 s, respectively. The average DC across all five layers increased as irradiation time increased, with 53.8% at 0.8 s to 74.1% at 1.7 s and 78.3% at 3.5 s. At the 0.8 s irradiation time, the cure gradients within a layer varied widely from 18.7% to 51.0%. After excluding first layer effects, the cure gradient at the 1.7 s irradiation time varied from 6.9% to 11.6%, and at 3.5 s irradiation, the gradient dropped to 3.6% to 7.6%. Thus, as irradiation time decreased, the cure gradient and variation in gradient increased.    </w:t>
      </w:r>
    </w:p>
    <w:p w14:paraId="5FB95DE8" w14:textId="77777777" w:rsidR="00E82681" w:rsidRPr="0079210B" w:rsidRDefault="00E82681" w:rsidP="00E82681"/>
    <w:p w14:paraId="65546A91" w14:textId="77777777" w:rsidR="00E82681" w:rsidRDefault="00E82681" w:rsidP="00E82681">
      <w:pPr>
        <w:spacing w:line="360" w:lineRule="auto"/>
        <w:rPr>
          <w:rFonts w:ascii="Times New Roman" w:hAnsi="Times New Roman" w:cs="Times New Roman"/>
        </w:rPr>
      </w:pPr>
      <w:r>
        <w:rPr>
          <w:rFonts w:ascii="Times New Roman" w:hAnsi="Times New Roman" w:cs="Times New Roman"/>
        </w:rPr>
        <w:t xml:space="preserve">The potential benefit of multi-layer irradiation was analyzed using FTIR microscopy across the profile depth and RT-FTIR at the bottom surface of layer 1 in a five-layer specimen. Each layer in a specimen was irradiated at the same dose, with the hypothesis that some light from a new layer irradiation would penetrate the previous layer and induce a higher DC. This did occur at the lowest 0.8 s irradiation time, with the bottom surface DC improving from 25% DC up to 33% DC at 10 minutes after the first layer irradiation. The improvement to the bottom surface only occurred after the second layer irradiation, and there was no measurable change in bottom surface DC at the higher 3.5 s irradiation time. The FTIR microscopy results also provide evidence of this beneficial multi-irradiation effect at the same 0.8 s dose, with reduced cure gradients in the lower layers compared with higher layers. However, the photopolymer cure proved highly </w:t>
      </w:r>
      <w:r>
        <w:rPr>
          <w:rFonts w:ascii="Times New Roman" w:hAnsi="Times New Roman" w:cs="Times New Roman"/>
        </w:rPr>
        <w:lastRenderedPageBreak/>
        <w:t>sensitive to layer thickness at this low irradiation time. Ultimately, the beneficial effect of multi-layer irradiation did not overcome the high cure gradient at the lowest irradiation time. At higher irradiation times, there was no observed benefit to multiple irradiations.</w:t>
      </w:r>
    </w:p>
    <w:p w14:paraId="72891BFB" w14:textId="77777777" w:rsidR="00E82681" w:rsidRDefault="00E82681" w:rsidP="00E82681">
      <w:pPr>
        <w:spacing w:line="360" w:lineRule="auto"/>
        <w:rPr>
          <w:rFonts w:ascii="Times New Roman" w:hAnsi="Times New Roman" w:cs="Times New Roman"/>
        </w:rPr>
      </w:pPr>
    </w:p>
    <w:p w14:paraId="11036E30" w14:textId="74EC03B0" w:rsidR="00E82681" w:rsidRPr="00EA73B7" w:rsidRDefault="00E82681" w:rsidP="00E82681">
      <w:pPr>
        <w:spacing w:line="360" w:lineRule="auto"/>
        <w:rPr>
          <w:rFonts w:ascii="Times New Roman" w:hAnsi="Times New Roman" w:cs="Times New Roman"/>
        </w:rPr>
      </w:pPr>
      <w:r>
        <w:rPr>
          <w:rFonts w:ascii="Times New Roman" w:hAnsi="Times New Roman" w:cs="Times New Roman"/>
        </w:rPr>
        <w:t xml:space="preserve">The beneficial effect at the lowest irradiation time is most likely because, at 20% DC, a glassy polymer such as Bis-EMA is not yet fully vitrified. </w:t>
      </w:r>
      <w:bookmarkStart w:id="274" w:name="_Hlk101170866"/>
      <w:r>
        <w:rPr>
          <w:rFonts w:ascii="Times New Roman" w:hAnsi="Times New Roman" w:cs="Times New Roman"/>
        </w:rPr>
        <w:t>Vitrification reportedly occurs at DC levels as low as 36%, at which point t</w:t>
      </w:r>
      <w:r w:rsidRPr="00913500">
        <w:rPr>
          <w:rFonts w:ascii="Times New Roman" w:hAnsi="Times New Roman" w:cs="Times New Roman"/>
        </w:rPr>
        <w:t xml:space="preserve">rapped free radicals exceed active (e.g., mobile) free radicals </w:t>
      </w:r>
      <w:r w:rsidRPr="00913500">
        <w:rPr>
          <w:rFonts w:ascii="Times New Roman" w:hAnsi="Times New Roman" w:cs="Times New Roman"/>
        </w:rPr>
        <w:fldChar w:fldCharType="begin" w:fldLock="1"/>
      </w:r>
      <w:r w:rsidR="001769BF">
        <w:rPr>
          <w:rFonts w:ascii="Times New Roman" w:hAnsi="Times New Roman" w:cs="Times New Roman"/>
        </w:rPr>
        <w:instrText>ADDIN CSL_CITATION {"citationItems":[{"id":"ITEM-1","itemData":{"DOI":"10.1021/MA0003351","ISSN":"00249297","abstract":"An improved kinetic model is presented which accounts for radical trapping during the photopolymerization of multifunctional monomers such as diacrylates and dimethacrylates. Following earlier sugg...","author":[{"dropping-particle":"","family":"Wen","given":"Mei","non-dropping-particle":"","parse-names":false,"suffix":""},{"dropping-particle":"V.","family":"McCormick","given":"Alon","non-dropping-particle":"","parse-names":false,"suffix":""}],"container-title":"Macromolecules","id":"ITEM-1","issue":"25","issued":{"date-parts":[["2000","12","12"]]},"page":"9247-9254","publisher":" American Chemical Society ","title":"A Kinetic Model for Radical Trapping in Photopolymerization of Multifunctional Monomers","type":"article-journal","volume":"33"},"uris":["http://www.mendeley.com/documents/?uuid=1c45f241-4b8a-30ff-a590-9aae2f636072"]}],"mendeley":{"formattedCitation":"[37]","plainTextFormattedCitation":"[37]","previouslyFormattedCitation":"[37]"},"properties":{"noteIndex":0},"schema":"https://github.com/citation-style-language/schema/raw/master/csl-citation.json"}</w:instrText>
      </w:r>
      <w:r w:rsidRPr="00913500">
        <w:rPr>
          <w:rFonts w:ascii="Times New Roman" w:hAnsi="Times New Roman" w:cs="Times New Roman"/>
        </w:rPr>
        <w:fldChar w:fldCharType="separate"/>
      </w:r>
      <w:r w:rsidR="005933CA" w:rsidRPr="005933CA">
        <w:rPr>
          <w:rFonts w:ascii="Times New Roman" w:hAnsi="Times New Roman" w:cs="Times New Roman"/>
          <w:noProof/>
        </w:rPr>
        <w:t>[37]</w:t>
      </w:r>
      <w:r w:rsidRPr="00913500">
        <w:rPr>
          <w:rFonts w:ascii="Times New Roman" w:hAnsi="Times New Roman" w:cs="Times New Roman"/>
        </w:rPr>
        <w:fldChar w:fldCharType="end"/>
      </w:r>
      <w:r w:rsidRPr="00913500">
        <w:rPr>
          <w:rFonts w:ascii="Times New Roman" w:hAnsi="Times New Roman" w:cs="Times New Roman"/>
        </w:rPr>
        <w:t>.</w:t>
      </w:r>
      <w:r>
        <w:rPr>
          <w:rFonts w:ascii="Times New Roman" w:hAnsi="Times New Roman" w:cs="Times New Roman"/>
        </w:rPr>
        <w:t xml:space="preserve"> </w:t>
      </w:r>
      <w:bookmarkEnd w:id="274"/>
      <w:r>
        <w:rPr>
          <w:rFonts w:ascii="Times New Roman" w:hAnsi="Times New Roman" w:cs="Times New Roman"/>
        </w:rPr>
        <w:t xml:space="preserve">At 20% DC, limited light penetration through the 6 mm depth of a 2-layer system will have a higher likelihood of generating active free radicals that can form new polymer chains and increase DC. With the higher irradiation times of 1.7 s and 3.5 s, the lowest measured bottom surface DC was &gt;55% for a single layer. At this DC, new free radical generation is more likely to be restricted by the vitrified polymer network, reducing the effectiveness of multiple irradiations.     </w:t>
      </w:r>
    </w:p>
    <w:p w14:paraId="4BA6E09B" w14:textId="77777777" w:rsidR="00E82681" w:rsidRPr="0079210B" w:rsidRDefault="00E82681" w:rsidP="00E82681"/>
    <w:p w14:paraId="5C038AD9" w14:textId="77777777" w:rsidR="00E82681" w:rsidRPr="00DA1B5A" w:rsidRDefault="00E82681" w:rsidP="000F4D4E">
      <w:pPr>
        <w:pStyle w:val="ListParagraph"/>
      </w:pPr>
      <w:r w:rsidRPr="00DA1B5A">
        <w:t>What influence does a reinforcing filler such as fiberglass have on curing?</w:t>
      </w:r>
    </w:p>
    <w:p w14:paraId="0EF2A04B" w14:textId="77777777" w:rsidR="00E82681" w:rsidRDefault="00E82681" w:rsidP="00E82681"/>
    <w:p w14:paraId="0CFC2196" w14:textId="2FBE7755" w:rsidR="00E82681" w:rsidRDefault="00E82681" w:rsidP="00E82681">
      <w:pPr>
        <w:spacing w:line="360" w:lineRule="auto"/>
        <w:rPr>
          <w:rFonts w:ascii="Times New Roman" w:hAnsi="Times New Roman" w:cs="Times New Roman"/>
        </w:rPr>
      </w:pPr>
      <w:r>
        <w:rPr>
          <w:rFonts w:ascii="Times New Roman" w:hAnsi="Times New Roman" w:cs="Times New Roman"/>
        </w:rPr>
        <w:t>In Chapter 3, fiberglass composites were prepared at the same 3 mm layer thickness as the neat resins and irradiated with the same UV doses. Stitched unidirectional fabric was used, and overall V</w:t>
      </w:r>
      <w:r w:rsidRPr="00C706DA">
        <w:rPr>
          <w:rFonts w:ascii="Times New Roman" w:hAnsi="Times New Roman" w:cs="Times New Roman"/>
          <w:vertAlign w:val="subscript"/>
        </w:rPr>
        <w:t>f</w:t>
      </w:r>
      <w:r>
        <w:rPr>
          <w:rFonts w:ascii="Times New Roman" w:hAnsi="Times New Roman" w:cs="Times New Roman"/>
        </w:rPr>
        <w:t xml:space="preserve"> varied from 47.1% to 55.4%. Nanoindentation across the composite profile showed similar non-linear cure gradient trends as the neat resin, with no clear cure gradient at the higher 5.5 J/cm</w:t>
      </w:r>
      <w:r w:rsidRPr="00C706DA">
        <w:rPr>
          <w:rFonts w:ascii="Times New Roman" w:hAnsi="Times New Roman" w:cs="Times New Roman"/>
          <w:vertAlign w:val="superscript"/>
        </w:rPr>
        <w:t>2</w:t>
      </w:r>
      <w:r>
        <w:rPr>
          <w:rFonts w:ascii="Times New Roman" w:hAnsi="Times New Roman" w:cs="Times New Roman"/>
        </w:rPr>
        <w:t xml:space="preserve"> dose and a cure gradient of 12.0 to 18.9 HV at the lower 1.4 J/cm</w:t>
      </w:r>
      <w:r w:rsidRPr="00C706DA">
        <w:rPr>
          <w:rFonts w:ascii="Times New Roman" w:hAnsi="Times New Roman" w:cs="Times New Roman"/>
          <w:vertAlign w:val="superscript"/>
        </w:rPr>
        <w:t>2</w:t>
      </w:r>
      <w:r>
        <w:rPr>
          <w:rFonts w:ascii="Times New Roman" w:hAnsi="Times New Roman" w:cs="Times New Roman"/>
        </w:rPr>
        <w:t xml:space="preserve"> dose. Overall, the peak hardness values for the composite specimens were consistently lower than the peak values for the neat resin specimens by 1.1 to 5.2 HV. This confirms the findings of Endruweit et al., who reported that woven fiberglass reinforcement increased the time required for through-cure versus a neat resin system </w:t>
      </w:r>
      <w:r>
        <w:rPr>
          <w:rFonts w:ascii="Times New Roman" w:hAnsi="Times New Roman" w:cs="Times New Roman"/>
        </w:rPr>
        <w:fldChar w:fldCharType="begin" w:fldLock="1"/>
      </w:r>
      <w:r w:rsidR="001769BF">
        <w:rPr>
          <w:rFonts w:ascii="Times New Roman" w:hAnsi="Times New Roman" w:cs="Times New Roman"/>
        </w:rPr>
        <w:instrText>ADDIN CSL_CITATION {"citationItems":[{"id":"ITEM-1","itemData":{"DOI":"10.1002/pc.20483","ISSN":"02728397","abstract":"The ultraviolet transmission of various reinforcement textiles was quantified experimentally for the case of incidence of light normal on the fabric plane, and correlated with the curing behavior of laminates incorporating these fabrics. For glass fiber fabrics wetted with polyester resin, light is transmitted through the voids between the fiber bundles and through the fiber bundles. Multiscale modeling of the fabric geometry allows the local transmission to be estimated and the average total transmission to be quantified. The results of curing experiments suggest that the degree of throughcure achieved after a given cure time is correlated to the fabric transmission. Both are determined by the laminate thickness, the fabric architecture and the fiber volume fraction, i.e., the fiber packing density. While the transmission is reduced by the presence of the reinforcement fabrics, the total resin volume is reduced when compared with that of a resin only sample of the same thickness. A lower radiation dose is sufficient for curing, which partially compensates for the effect of reduced transmission. © 2008 Society of Plastics Engineers.","author":[{"dropping-particle":"","family":"Endruweit","given":"Andreas","non-dropping-particle":"","parse-names":false,"suffix":""},{"dropping-particle":"","family":"Ruijter","given":"Wout","non-dropping-particle":"","parse-names":false,"suffix":""},{"dropping-particle":"","family":"Johnson","given":"Michael S.","non-dropping-particle":"","parse-names":false,"suffix":""},{"dropping-particle":"","family":"Long","given":"Andrew C.","non-dropping-particle":"","parse-names":false,"suffix":""}],"container-title":"Polymer Composites","id":"ITEM-1","issue":"7","issued":{"date-parts":[["2008","7","1"]]},"page":"818-829","publisher":"John Wiley &amp; Sons, Ltd","title":"Transmission of ultraviolet light through reinforcement fabrics and its effect on ultraviolet curing of composite laminates","type":"article-journal","volume":"29"},"uris":["http://www.mendeley.com/documents/?uuid=4b9a8677-228f-3b02-a0dc-41df0200a92e"]}],"mendeley":{"formattedCitation":"[39]","plainTextFormattedCitation":"[39]","previouslyFormattedCitation":"[39]"},"properties":{"noteIndex":0},"schema":"https://github.com/citation-style-language/schema/raw/master/csl-citation.json"}</w:instrText>
      </w:r>
      <w:r>
        <w:rPr>
          <w:rFonts w:ascii="Times New Roman" w:hAnsi="Times New Roman" w:cs="Times New Roman"/>
        </w:rPr>
        <w:fldChar w:fldCharType="separate"/>
      </w:r>
      <w:r w:rsidR="005933CA" w:rsidRPr="005933CA">
        <w:rPr>
          <w:rFonts w:ascii="Times New Roman" w:hAnsi="Times New Roman" w:cs="Times New Roman"/>
          <w:noProof/>
        </w:rPr>
        <w:t>[39]</w:t>
      </w:r>
      <w:r>
        <w:rPr>
          <w:rFonts w:ascii="Times New Roman" w:hAnsi="Times New Roman" w:cs="Times New Roman"/>
        </w:rPr>
        <w:fldChar w:fldCharType="end"/>
      </w:r>
      <w:r>
        <w:rPr>
          <w:rFonts w:ascii="Times New Roman" w:hAnsi="Times New Roman" w:cs="Times New Roman"/>
        </w:rPr>
        <w:t>.</w:t>
      </w:r>
    </w:p>
    <w:p w14:paraId="3FA11DC8" w14:textId="520EEF34" w:rsidR="00E82681" w:rsidRDefault="00E82681" w:rsidP="00E82681">
      <w:pPr>
        <w:spacing w:line="360" w:lineRule="auto"/>
        <w:rPr>
          <w:rFonts w:ascii="Times New Roman" w:hAnsi="Times New Roman" w:cs="Times New Roman"/>
        </w:rPr>
      </w:pPr>
    </w:p>
    <w:p w14:paraId="21FB7110" w14:textId="462D3E1E" w:rsidR="00BE6843" w:rsidRDefault="00BE6843" w:rsidP="00E82681">
      <w:pPr>
        <w:spacing w:line="360" w:lineRule="auto"/>
        <w:rPr>
          <w:rFonts w:ascii="Times New Roman" w:hAnsi="Times New Roman" w:cs="Times New Roman"/>
        </w:rPr>
      </w:pPr>
    </w:p>
    <w:p w14:paraId="50B4CD6E" w14:textId="77777777" w:rsidR="00BE6843" w:rsidRPr="00EA73B7" w:rsidRDefault="00BE6843" w:rsidP="00E82681">
      <w:pPr>
        <w:spacing w:line="360" w:lineRule="auto"/>
        <w:rPr>
          <w:rFonts w:ascii="Times New Roman" w:hAnsi="Times New Roman" w:cs="Times New Roman"/>
        </w:rPr>
      </w:pPr>
    </w:p>
    <w:p w14:paraId="23005487" w14:textId="77777777" w:rsidR="00E82681" w:rsidRPr="009D630D" w:rsidRDefault="00E82681" w:rsidP="000F4D4E">
      <w:pPr>
        <w:pStyle w:val="ListParagraph"/>
      </w:pPr>
      <w:r w:rsidRPr="009D630D">
        <w:lastRenderedPageBreak/>
        <w:t xml:space="preserve">What influence does irradiation time have on the adhesion between printed layers of fiberglass reinforced photopolymer?  </w:t>
      </w:r>
    </w:p>
    <w:p w14:paraId="5EB794D6" w14:textId="77777777" w:rsidR="00E82681" w:rsidRPr="009D630D" w:rsidRDefault="00E82681" w:rsidP="000F4D4E">
      <w:pPr>
        <w:pStyle w:val="ListParagraph"/>
      </w:pPr>
      <w:r w:rsidRPr="009D630D">
        <w:t xml:space="preserve">Does thermal post curing improve layer adhesion? </w:t>
      </w:r>
    </w:p>
    <w:p w14:paraId="43D5AEC2" w14:textId="77777777" w:rsidR="00E82681" w:rsidRDefault="00E82681" w:rsidP="00E82681">
      <w:pPr>
        <w:spacing w:line="360" w:lineRule="auto"/>
        <w:rPr>
          <w:rFonts w:ascii="Times New Roman" w:hAnsi="Times New Roman" w:cs="Times New Roman"/>
        </w:rPr>
      </w:pPr>
    </w:p>
    <w:p w14:paraId="779E1A38" w14:textId="77777777" w:rsidR="00E82681" w:rsidRDefault="00E82681" w:rsidP="00E82681">
      <w:pPr>
        <w:spacing w:line="360" w:lineRule="auto"/>
        <w:rPr>
          <w:rFonts w:ascii="Times New Roman" w:hAnsi="Times New Roman" w:cs="Times New Roman"/>
        </w:rPr>
      </w:pPr>
      <w:r>
        <w:rPr>
          <w:rFonts w:ascii="Times New Roman" w:hAnsi="Times New Roman" w:cs="Times New Roman"/>
        </w:rPr>
        <w:t xml:space="preserve">In Chapter 3, fiberglass photopolymer composites were prepared at both </w:t>
      </w:r>
      <w:proofErr w:type="gramStart"/>
      <w:r>
        <w:rPr>
          <w:rFonts w:ascii="Times New Roman" w:hAnsi="Times New Roman" w:cs="Times New Roman"/>
        </w:rPr>
        <w:t>1 layer</w:t>
      </w:r>
      <w:proofErr w:type="gramEnd"/>
      <w:r>
        <w:rPr>
          <w:rFonts w:ascii="Times New Roman" w:hAnsi="Times New Roman" w:cs="Times New Roman"/>
        </w:rPr>
        <w:t xml:space="preserve"> (3 mm) and 2 layer (6 mm) thickness, with each layer using 4 plies of stitched unidirectional fiberglass. Interlaminar shear strength (ILSS) testing was used to indicate bond strength between layers for the </w:t>
      </w:r>
      <w:proofErr w:type="gramStart"/>
      <w:r>
        <w:rPr>
          <w:rFonts w:ascii="Times New Roman" w:hAnsi="Times New Roman" w:cs="Times New Roman"/>
        </w:rPr>
        <w:t>2 layer</w:t>
      </w:r>
      <w:proofErr w:type="gramEnd"/>
      <w:r>
        <w:rPr>
          <w:rFonts w:ascii="Times New Roman" w:hAnsi="Times New Roman" w:cs="Times New Roman"/>
        </w:rPr>
        <w:t xml:space="preserve"> specimens. ILSS results indicate that bond strength between 3 mm thick layers in a multi-layer AM process is generally lower than the interlaminar strength within each layer. This is somewhat intuitive, as the 2 Layer ILSS will have the highest shear stress at the interface between layers, a resin-rich area that relies on secondary bonding for adhesion. The original hypothesis was that specimens with a lower DC at the layer interface could achieve a higher bond strength because of their higher crosslinking potential. However, the composites with the 1.4 J/cm</w:t>
      </w:r>
      <w:r w:rsidRPr="001D10C7">
        <w:rPr>
          <w:rFonts w:ascii="Times New Roman" w:hAnsi="Times New Roman" w:cs="Times New Roman"/>
          <w:vertAlign w:val="superscript"/>
        </w:rPr>
        <w:t>2</w:t>
      </w:r>
      <w:r>
        <w:rPr>
          <w:rFonts w:ascii="Times New Roman" w:hAnsi="Times New Roman" w:cs="Times New Roman"/>
        </w:rPr>
        <w:t xml:space="preserve"> irradiation dose also had the lowest ILSS values of any UV dose tested. These specimens failed at the layer interface, and SEM imagery revealed poor bonding with largely smooth surfaces and small fracture regions.  </w:t>
      </w:r>
    </w:p>
    <w:p w14:paraId="0760DD12" w14:textId="77777777" w:rsidR="00E82681" w:rsidRDefault="00E82681" w:rsidP="00E82681">
      <w:pPr>
        <w:spacing w:line="360" w:lineRule="auto"/>
        <w:rPr>
          <w:rFonts w:ascii="Times New Roman" w:hAnsi="Times New Roman" w:cs="Times New Roman"/>
        </w:rPr>
      </w:pPr>
    </w:p>
    <w:p w14:paraId="2A0D9F6E" w14:textId="4339C835" w:rsidR="00E82681" w:rsidRDefault="00E82681" w:rsidP="00E82681">
      <w:pPr>
        <w:spacing w:line="360" w:lineRule="auto"/>
        <w:rPr>
          <w:rFonts w:ascii="Times New Roman" w:hAnsi="Times New Roman" w:cs="Times New Roman"/>
        </w:rPr>
      </w:pPr>
      <w:r>
        <w:rPr>
          <w:rFonts w:ascii="Times New Roman" w:hAnsi="Times New Roman" w:cs="Times New Roman"/>
        </w:rPr>
        <w:t xml:space="preserve">Thermal post cure and increased irradiation dose improved the ILSS values for the </w:t>
      </w:r>
      <w:proofErr w:type="gramStart"/>
      <w:r>
        <w:rPr>
          <w:rFonts w:ascii="Times New Roman" w:hAnsi="Times New Roman" w:cs="Times New Roman"/>
        </w:rPr>
        <w:t>2 layer</w:t>
      </w:r>
      <w:proofErr w:type="gramEnd"/>
      <w:r>
        <w:rPr>
          <w:rFonts w:ascii="Times New Roman" w:hAnsi="Times New Roman" w:cs="Times New Roman"/>
        </w:rPr>
        <w:t xml:space="preserve"> specimens. At a 5.5 J/cm</w:t>
      </w:r>
      <w:r w:rsidRPr="00A00C39">
        <w:rPr>
          <w:rFonts w:ascii="Times New Roman" w:hAnsi="Times New Roman" w:cs="Times New Roman"/>
          <w:vertAlign w:val="superscript"/>
        </w:rPr>
        <w:t>2</w:t>
      </w:r>
      <w:r>
        <w:rPr>
          <w:rFonts w:ascii="Times New Roman" w:hAnsi="Times New Roman" w:cs="Times New Roman"/>
        </w:rPr>
        <w:t xml:space="preserve"> dose with a thermal post cure, the 2 Layer composites achieved ILSS values of 29.4 MPa. They did not fracture at the layer interface, indicating bond strengths equal to or greater than the fiber-matrix adhesion within a layer. For this fracture, SEM imagery showed a fracture surface across the entire observed face, with hackling in the polymer indicating shear fracture.       </w:t>
      </w:r>
    </w:p>
    <w:p w14:paraId="1AC26B87" w14:textId="2FA3DE74" w:rsidR="00BE6843" w:rsidRDefault="00BE6843" w:rsidP="00E82681">
      <w:pPr>
        <w:spacing w:line="360" w:lineRule="auto"/>
        <w:rPr>
          <w:rFonts w:ascii="Times New Roman" w:hAnsi="Times New Roman" w:cs="Times New Roman"/>
        </w:rPr>
      </w:pPr>
    </w:p>
    <w:p w14:paraId="3C99DBC3" w14:textId="31DDBCD3" w:rsidR="00BE6843" w:rsidRDefault="00BE6843" w:rsidP="00E82681">
      <w:pPr>
        <w:spacing w:line="360" w:lineRule="auto"/>
        <w:rPr>
          <w:rFonts w:ascii="Times New Roman" w:hAnsi="Times New Roman" w:cs="Times New Roman"/>
        </w:rPr>
      </w:pPr>
    </w:p>
    <w:p w14:paraId="22A1B5BC" w14:textId="77777777" w:rsidR="00BE6843" w:rsidRDefault="00BE6843" w:rsidP="00E82681">
      <w:pPr>
        <w:spacing w:line="360" w:lineRule="auto"/>
        <w:rPr>
          <w:rFonts w:ascii="Times New Roman" w:hAnsi="Times New Roman" w:cs="Times New Roman"/>
        </w:rPr>
      </w:pPr>
    </w:p>
    <w:p w14:paraId="038EE1C3" w14:textId="28E01575" w:rsidR="00E82681" w:rsidRPr="006B1E6B" w:rsidRDefault="00E82681" w:rsidP="009D06D1">
      <w:pPr>
        <w:pStyle w:val="Heading3"/>
      </w:pPr>
      <w:bookmarkStart w:id="275" w:name="_Toc101701809"/>
      <w:r>
        <w:lastRenderedPageBreak/>
        <w:t>Closing Remarks</w:t>
      </w:r>
      <w:bookmarkEnd w:id="275"/>
    </w:p>
    <w:p w14:paraId="1B779C81" w14:textId="77777777" w:rsidR="00E82681" w:rsidRPr="00C71A06" w:rsidRDefault="00E82681" w:rsidP="00E82681">
      <w:pPr>
        <w:spacing w:line="360" w:lineRule="auto"/>
        <w:rPr>
          <w:rFonts w:ascii="Times New Roman" w:hAnsi="Times New Roman" w:cs="Times New Roman"/>
        </w:rPr>
      </w:pPr>
      <w:r>
        <w:rPr>
          <w:rFonts w:ascii="Times New Roman" w:hAnsi="Times New Roman" w:cs="Times New Roman"/>
        </w:rPr>
        <w:t xml:space="preserve">The work presented in this dissertation provides a framework from which future Bis-EMA photopolymer formulation work can develop. PETIA was confirmed to improve the cure response of Bis-EMA without reducing thermal stability at 20 wt%, and photopolymers were successfully used in low-volume oven/autoclave tooling. The formulation cure response was further improved by using BAPO as PI at 0.1 wt% concentration. However, the photobleaching effect of BAPO was found to provide minimal benefit at the short irradiation times needed for LFAM.   Under conditions </w:t>
      </w:r>
      <w:proofErr w:type="gramStart"/>
      <w:r>
        <w:rPr>
          <w:rFonts w:ascii="Times New Roman" w:hAnsi="Times New Roman" w:cs="Times New Roman"/>
        </w:rPr>
        <w:t>similar to</w:t>
      </w:r>
      <w:proofErr w:type="gramEnd"/>
      <w:r>
        <w:rPr>
          <w:rFonts w:ascii="Times New Roman" w:hAnsi="Times New Roman" w:cs="Times New Roman"/>
        </w:rPr>
        <w:t xml:space="preserve"> LFAM, photopolymer-fiberglass composites achieved strength between layers equal to or higher than the fiber-matrix bonds within a layer. Future work can investigate direct ink write formulations with short fiber reinforcement and fillers such as fumed silica. The presence of a plateau region across specimen depth also indicates that improved material deposition rates may be possible at reduced layer thicknesses. Future work can study the balance of layer thickness and material deposition rates in direct ink write formulations.   </w:t>
      </w:r>
    </w:p>
    <w:p w14:paraId="6740AAB0" w14:textId="77777777" w:rsidR="00F52F6E" w:rsidRDefault="00F52F6E" w:rsidP="00F52F6E">
      <w:pPr>
        <w:spacing w:line="360" w:lineRule="auto"/>
        <w:rPr>
          <w:rFonts w:ascii="Times New Roman" w:hAnsi="Times New Roman" w:cs="Times New Roman"/>
        </w:rPr>
      </w:pPr>
    </w:p>
    <w:p w14:paraId="36E0FF1D" w14:textId="77777777" w:rsidR="00F52F6E" w:rsidRDefault="00F52F6E" w:rsidP="00F52F6E">
      <w:pPr>
        <w:spacing w:line="360" w:lineRule="auto"/>
        <w:rPr>
          <w:rFonts w:ascii="Times New Roman" w:hAnsi="Times New Roman" w:cs="Times New Roman"/>
        </w:rPr>
      </w:pPr>
    </w:p>
    <w:p w14:paraId="70A7BD2B" w14:textId="77777777" w:rsidR="00F52F6E" w:rsidRDefault="00F52F6E" w:rsidP="00F52F6E">
      <w:pPr>
        <w:spacing w:line="360" w:lineRule="auto"/>
        <w:rPr>
          <w:rFonts w:ascii="Times New Roman" w:hAnsi="Times New Roman" w:cs="Times New Roman"/>
        </w:rPr>
      </w:pPr>
    </w:p>
    <w:p w14:paraId="6E111F51" w14:textId="77777777" w:rsidR="00F52F6E" w:rsidRDefault="00F52F6E" w:rsidP="00F52F6E">
      <w:pPr>
        <w:spacing w:line="360" w:lineRule="auto"/>
        <w:rPr>
          <w:rFonts w:ascii="Times New Roman" w:hAnsi="Times New Roman" w:cs="Times New Roman"/>
        </w:rPr>
      </w:pPr>
    </w:p>
    <w:p w14:paraId="21EB5AA4" w14:textId="77777777" w:rsidR="00F52F6E" w:rsidRDefault="00F52F6E" w:rsidP="00F52F6E">
      <w:pPr>
        <w:spacing w:line="360" w:lineRule="auto"/>
        <w:rPr>
          <w:rFonts w:ascii="Times New Roman" w:hAnsi="Times New Roman" w:cs="Times New Roman"/>
        </w:rPr>
      </w:pPr>
    </w:p>
    <w:p w14:paraId="5D0114ED" w14:textId="77777777" w:rsidR="00F52F6E" w:rsidRDefault="00F52F6E" w:rsidP="00F52F6E">
      <w:pPr>
        <w:spacing w:line="360" w:lineRule="auto"/>
        <w:rPr>
          <w:rFonts w:ascii="Times New Roman" w:hAnsi="Times New Roman" w:cs="Times New Roman"/>
        </w:rPr>
      </w:pPr>
    </w:p>
    <w:p w14:paraId="0D8CAFA7" w14:textId="77777777" w:rsidR="00F52F6E" w:rsidRDefault="00F52F6E" w:rsidP="00F52F6E">
      <w:pPr>
        <w:spacing w:line="360" w:lineRule="auto"/>
        <w:rPr>
          <w:rFonts w:ascii="Times New Roman" w:hAnsi="Times New Roman" w:cs="Times New Roman"/>
        </w:rPr>
      </w:pPr>
    </w:p>
    <w:p w14:paraId="693B4E31" w14:textId="77777777" w:rsidR="00F52F6E" w:rsidRDefault="00F52F6E" w:rsidP="00F52F6E">
      <w:pPr>
        <w:spacing w:line="360" w:lineRule="auto"/>
        <w:rPr>
          <w:rFonts w:ascii="Times New Roman" w:hAnsi="Times New Roman" w:cs="Times New Roman"/>
        </w:rPr>
      </w:pPr>
    </w:p>
    <w:p w14:paraId="2333944E" w14:textId="77777777" w:rsidR="00F52F6E" w:rsidRDefault="00F52F6E" w:rsidP="00F52F6E">
      <w:pPr>
        <w:spacing w:line="360" w:lineRule="auto"/>
        <w:rPr>
          <w:rFonts w:ascii="Times New Roman" w:hAnsi="Times New Roman" w:cs="Times New Roman"/>
        </w:rPr>
      </w:pPr>
    </w:p>
    <w:p w14:paraId="0CCD3A66" w14:textId="77777777" w:rsidR="00F52F6E" w:rsidRDefault="00F52F6E" w:rsidP="00F52F6E">
      <w:pPr>
        <w:spacing w:line="360" w:lineRule="auto"/>
        <w:rPr>
          <w:rFonts w:ascii="Times New Roman" w:hAnsi="Times New Roman" w:cs="Times New Roman"/>
        </w:rPr>
      </w:pPr>
    </w:p>
    <w:p w14:paraId="3846082A" w14:textId="77777777" w:rsidR="00F52F6E" w:rsidRDefault="00F52F6E" w:rsidP="00F52F6E">
      <w:pPr>
        <w:spacing w:line="360" w:lineRule="auto"/>
        <w:rPr>
          <w:rFonts w:ascii="Times New Roman" w:hAnsi="Times New Roman" w:cs="Times New Roman"/>
        </w:rPr>
      </w:pPr>
    </w:p>
    <w:p w14:paraId="71B3F411" w14:textId="77777777" w:rsidR="00F52F6E" w:rsidRDefault="00F52F6E" w:rsidP="00F52F6E">
      <w:pPr>
        <w:spacing w:line="360" w:lineRule="auto"/>
        <w:rPr>
          <w:rFonts w:ascii="Times New Roman" w:hAnsi="Times New Roman" w:cs="Times New Roman"/>
        </w:rPr>
      </w:pPr>
    </w:p>
    <w:p w14:paraId="1FA734F3" w14:textId="77777777" w:rsidR="00F52F6E" w:rsidRDefault="00F52F6E" w:rsidP="00F52F6E">
      <w:pPr>
        <w:spacing w:line="360" w:lineRule="auto"/>
        <w:rPr>
          <w:rFonts w:ascii="Times New Roman" w:hAnsi="Times New Roman" w:cs="Times New Roman"/>
        </w:rPr>
      </w:pPr>
    </w:p>
    <w:p w14:paraId="6CA72305" w14:textId="77777777" w:rsidR="00F52F6E" w:rsidRDefault="00F52F6E" w:rsidP="00F52F6E">
      <w:pPr>
        <w:spacing w:line="360" w:lineRule="auto"/>
        <w:rPr>
          <w:rFonts w:ascii="Times New Roman" w:hAnsi="Times New Roman" w:cs="Times New Roman"/>
        </w:rPr>
      </w:pPr>
    </w:p>
    <w:p w14:paraId="6B63BB65" w14:textId="77777777" w:rsidR="00F52F6E" w:rsidRPr="00C71A06" w:rsidRDefault="00F52F6E" w:rsidP="00F52F6E">
      <w:pPr>
        <w:spacing w:line="360" w:lineRule="auto"/>
        <w:rPr>
          <w:rFonts w:ascii="Times New Roman" w:hAnsi="Times New Roman" w:cs="Times New Roman"/>
        </w:rPr>
      </w:pPr>
    </w:p>
    <w:p w14:paraId="70260C97" w14:textId="75DE091E" w:rsidR="00913500" w:rsidRDefault="00DF312D" w:rsidP="00BF3517">
      <w:pPr>
        <w:pStyle w:val="Heading1"/>
      </w:pPr>
      <w:bookmarkStart w:id="276" w:name="_Toc101701810"/>
      <w:r>
        <w:lastRenderedPageBreak/>
        <w:t>REFERENCES</w:t>
      </w:r>
      <w:bookmarkEnd w:id="276"/>
    </w:p>
    <w:p w14:paraId="4D607C42" w14:textId="098BCC71" w:rsidR="000D7162" w:rsidRDefault="000D7162" w:rsidP="00322976">
      <w:pPr>
        <w:spacing w:line="360" w:lineRule="auto"/>
      </w:pPr>
    </w:p>
    <w:p w14:paraId="532EC412" w14:textId="4424C925" w:rsidR="000D7162" w:rsidRDefault="000D7162" w:rsidP="00322976">
      <w:pPr>
        <w:spacing w:line="360" w:lineRule="auto"/>
      </w:pPr>
    </w:p>
    <w:p w14:paraId="52456BC7" w14:textId="4C449B3E" w:rsidR="000D7162" w:rsidRDefault="000D7162" w:rsidP="00322976">
      <w:pPr>
        <w:spacing w:line="360" w:lineRule="auto"/>
      </w:pPr>
    </w:p>
    <w:p w14:paraId="7F046D37" w14:textId="67DED30F" w:rsidR="000D7162" w:rsidRDefault="000D7162" w:rsidP="00322976">
      <w:pPr>
        <w:spacing w:line="360" w:lineRule="auto"/>
      </w:pPr>
    </w:p>
    <w:p w14:paraId="6A53DEDB" w14:textId="2E9973CB" w:rsidR="000D7162" w:rsidRDefault="000D7162" w:rsidP="00322976">
      <w:pPr>
        <w:spacing w:line="360" w:lineRule="auto"/>
      </w:pPr>
    </w:p>
    <w:p w14:paraId="4FFBEC5E" w14:textId="0EA79FC7" w:rsidR="000D7162" w:rsidRDefault="000D7162" w:rsidP="00322976">
      <w:pPr>
        <w:spacing w:line="360" w:lineRule="auto"/>
      </w:pPr>
    </w:p>
    <w:p w14:paraId="4FA94FA9" w14:textId="2D61F357" w:rsidR="000D7162" w:rsidRDefault="000D7162" w:rsidP="00322976">
      <w:pPr>
        <w:spacing w:line="360" w:lineRule="auto"/>
      </w:pPr>
    </w:p>
    <w:p w14:paraId="21C12E7E" w14:textId="0B21621B" w:rsidR="000D7162" w:rsidRDefault="000D7162" w:rsidP="00322976">
      <w:pPr>
        <w:spacing w:line="360" w:lineRule="auto"/>
      </w:pPr>
    </w:p>
    <w:p w14:paraId="1ABD607B" w14:textId="6E2B0AC6" w:rsidR="000D7162" w:rsidRDefault="000D7162" w:rsidP="00322976">
      <w:pPr>
        <w:spacing w:line="360" w:lineRule="auto"/>
      </w:pPr>
    </w:p>
    <w:p w14:paraId="044941B3" w14:textId="096A1592" w:rsidR="000D7162" w:rsidRDefault="000D7162" w:rsidP="00322976">
      <w:pPr>
        <w:spacing w:line="360" w:lineRule="auto"/>
      </w:pPr>
    </w:p>
    <w:p w14:paraId="45CA3597" w14:textId="7976BA7E" w:rsidR="000D7162" w:rsidRDefault="000D7162" w:rsidP="00322976">
      <w:pPr>
        <w:spacing w:line="360" w:lineRule="auto"/>
      </w:pPr>
    </w:p>
    <w:p w14:paraId="5ADD6F67" w14:textId="7C07B787" w:rsidR="000D7162" w:rsidRDefault="000D7162" w:rsidP="00322976">
      <w:pPr>
        <w:spacing w:line="360" w:lineRule="auto"/>
      </w:pPr>
    </w:p>
    <w:p w14:paraId="4F18B293" w14:textId="0187870D" w:rsidR="000D7162" w:rsidRDefault="000D7162" w:rsidP="00322976">
      <w:pPr>
        <w:spacing w:line="360" w:lineRule="auto"/>
      </w:pPr>
    </w:p>
    <w:p w14:paraId="4754A270" w14:textId="14E87CAE" w:rsidR="000D7162" w:rsidRDefault="000D7162" w:rsidP="00322976">
      <w:pPr>
        <w:spacing w:line="360" w:lineRule="auto"/>
      </w:pPr>
    </w:p>
    <w:p w14:paraId="3603E3EC" w14:textId="4E4B9DDD" w:rsidR="000D7162" w:rsidRDefault="000D7162" w:rsidP="00322976">
      <w:pPr>
        <w:spacing w:line="360" w:lineRule="auto"/>
      </w:pPr>
    </w:p>
    <w:p w14:paraId="45F40BEA" w14:textId="3E79E7AD" w:rsidR="000D7162" w:rsidRDefault="000D7162" w:rsidP="00322976">
      <w:pPr>
        <w:spacing w:line="360" w:lineRule="auto"/>
      </w:pPr>
    </w:p>
    <w:p w14:paraId="65B99F41" w14:textId="1D1F5E6D" w:rsidR="000D7162" w:rsidRDefault="000D7162" w:rsidP="00322976">
      <w:pPr>
        <w:spacing w:line="360" w:lineRule="auto"/>
      </w:pPr>
    </w:p>
    <w:p w14:paraId="57763EF5" w14:textId="6E5A2228" w:rsidR="000D7162" w:rsidRDefault="000D7162" w:rsidP="00322976">
      <w:pPr>
        <w:spacing w:line="360" w:lineRule="auto"/>
      </w:pPr>
    </w:p>
    <w:p w14:paraId="12DD3A9E" w14:textId="4C1E6A08" w:rsidR="000D7162" w:rsidRDefault="000D7162" w:rsidP="00322976">
      <w:pPr>
        <w:spacing w:line="360" w:lineRule="auto"/>
      </w:pPr>
    </w:p>
    <w:p w14:paraId="45D69C4F" w14:textId="55374FA6" w:rsidR="000D7162" w:rsidRDefault="000D7162" w:rsidP="00322976">
      <w:pPr>
        <w:spacing w:line="360" w:lineRule="auto"/>
      </w:pPr>
    </w:p>
    <w:p w14:paraId="45F7820C" w14:textId="4344F208" w:rsidR="000D7162" w:rsidRDefault="000D7162" w:rsidP="00322976">
      <w:pPr>
        <w:spacing w:line="360" w:lineRule="auto"/>
      </w:pPr>
    </w:p>
    <w:p w14:paraId="4705F76B" w14:textId="4AF1ADE5" w:rsidR="000D7162" w:rsidRDefault="000D7162" w:rsidP="00322976">
      <w:pPr>
        <w:spacing w:line="360" w:lineRule="auto"/>
      </w:pPr>
    </w:p>
    <w:p w14:paraId="34A904DB" w14:textId="532C1728" w:rsidR="000D7162" w:rsidRDefault="000D7162" w:rsidP="00322976">
      <w:pPr>
        <w:spacing w:line="360" w:lineRule="auto"/>
      </w:pPr>
    </w:p>
    <w:p w14:paraId="5D812BF3" w14:textId="3F8001FD" w:rsidR="000D7162" w:rsidRDefault="000D7162" w:rsidP="00322976">
      <w:pPr>
        <w:spacing w:line="360" w:lineRule="auto"/>
      </w:pPr>
    </w:p>
    <w:p w14:paraId="2CD9124A" w14:textId="1E9F7062" w:rsidR="000D7162" w:rsidRDefault="000D7162" w:rsidP="00322976">
      <w:pPr>
        <w:spacing w:line="360" w:lineRule="auto"/>
      </w:pPr>
    </w:p>
    <w:p w14:paraId="65A72EB9" w14:textId="59B86837" w:rsidR="000D7162" w:rsidRDefault="000D7162" w:rsidP="00322976">
      <w:pPr>
        <w:spacing w:line="360" w:lineRule="auto"/>
      </w:pPr>
    </w:p>
    <w:p w14:paraId="1282ED3C" w14:textId="43D3D5D0" w:rsidR="000D7162" w:rsidRDefault="000D7162" w:rsidP="00322976">
      <w:pPr>
        <w:spacing w:line="360" w:lineRule="auto"/>
      </w:pPr>
    </w:p>
    <w:p w14:paraId="30BE5D30" w14:textId="1209BF00" w:rsidR="000D7162" w:rsidRDefault="000D7162" w:rsidP="00322976">
      <w:pPr>
        <w:spacing w:line="360" w:lineRule="auto"/>
      </w:pPr>
    </w:p>
    <w:p w14:paraId="57E82A22" w14:textId="77777777" w:rsidR="000D7162" w:rsidRPr="000D7162" w:rsidRDefault="000D7162" w:rsidP="00322976">
      <w:pPr>
        <w:spacing w:line="360" w:lineRule="auto"/>
      </w:pPr>
    </w:p>
    <w:p w14:paraId="6DEC85CB" w14:textId="43704910" w:rsidR="0006397D" w:rsidRPr="0006397D" w:rsidRDefault="00913500" w:rsidP="0006397D">
      <w:pPr>
        <w:widowControl w:val="0"/>
        <w:autoSpaceDE w:val="0"/>
        <w:autoSpaceDN w:val="0"/>
        <w:adjustRightInd w:val="0"/>
        <w:spacing w:after="160" w:line="360" w:lineRule="auto"/>
        <w:ind w:left="640" w:hanging="640"/>
        <w:rPr>
          <w:rFonts w:ascii="Times New Roman" w:hAnsi="Times New Roman" w:cs="Times New Roman"/>
          <w:noProof/>
        </w:rPr>
      </w:pPr>
      <w:r w:rsidRPr="00913500">
        <w:rPr>
          <w:rFonts w:ascii="Times New Roman" w:hAnsi="Times New Roman" w:cs="Times New Roman"/>
        </w:rPr>
        <w:lastRenderedPageBreak/>
        <w:fldChar w:fldCharType="begin" w:fldLock="1"/>
      </w:r>
      <w:r w:rsidRPr="00913500">
        <w:rPr>
          <w:rFonts w:ascii="Times New Roman" w:hAnsi="Times New Roman" w:cs="Times New Roman"/>
        </w:rPr>
        <w:instrText xml:space="preserve">ADDIN Mendeley Bibliography CSL_BIBLIOGRAPHY </w:instrText>
      </w:r>
      <w:r w:rsidRPr="00913500">
        <w:rPr>
          <w:rFonts w:ascii="Times New Roman" w:hAnsi="Times New Roman" w:cs="Times New Roman"/>
        </w:rPr>
        <w:fldChar w:fldCharType="separate"/>
      </w:r>
      <w:r w:rsidR="0006397D" w:rsidRPr="0006397D">
        <w:rPr>
          <w:rFonts w:ascii="Times New Roman" w:hAnsi="Times New Roman" w:cs="Times New Roman"/>
          <w:noProof/>
        </w:rPr>
        <w:t>[1]</w:t>
      </w:r>
      <w:r w:rsidR="0006397D" w:rsidRPr="0006397D">
        <w:rPr>
          <w:rFonts w:ascii="Times New Roman" w:hAnsi="Times New Roman" w:cs="Times New Roman"/>
          <w:noProof/>
        </w:rPr>
        <w:tab/>
        <w:t>“ISO/ASTM 52900:2015(en), Additive manufacturing — General principles — Terminology.” [Online]. Available: https://www.iso.org/obp/ui/#iso:std:iso-astm:52900:ed-1:v1:en. [Accessed: 13-Jul-2017].</w:t>
      </w:r>
    </w:p>
    <w:p w14:paraId="25D5BCC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w:t>
      </w:r>
      <w:r w:rsidRPr="0006397D">
        <w:rPr>
          <w:rFonts w:ascii="Times New Roman" w:hAnsi="Times New Roman" w:cs="Times New Roman"/>
          <w:noProof/>
        </w:rPr>
        <w:tab/>
        <w:t>T. Wohlers and T. Gornet, “History of additive manufacturing,” 2014.</w:t>
      </w:r>
    </w:p>
    <w:p w14:paraId="13B8C84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w:t>
      </w:r>
      <w:r w:rsidRPr="0006397D">
        <w:rPr>
          <w:rFonts w:ascii="Times New Roman" w:hAnsi="Times New Roman" w:cs="Times New Roman"/>
          <w:noProof/>
        </w:rPr>
        <w:tab/>
        <w:t>“The Evolution of 3D Printing: Past, Present and Future - 3D Printing Industry.” [Online]. Available: https://3dprintingindustry.com/news/evolution-3d-printing-past-present-future-90605/. [Accessed: 01-Mar-2022].</w:t>
      </w:r>
    </w:p>
    <w:p w14:paraId="32E85AC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w:t>
      </w:r>
      <w:r w:rsidRPr="0006397D">
        <w:rPr>
          <w:rFonts w:ascii="Times New Roman" w:hAnsi="Times New Roman" w:cs="Times New Roman"/>
          <w:noProof/>
        </w:rPr>
        <w:tab/>
        <w:t>“3D printing - Explore - Google Trends.” [Online]. Available: https://trends.google.com/trends/explore?date=all&amp;q=3D printing. [Accessed: 01-Mar-2022].</w:t>
      </w:r>
    </w:p>
    <w:p w14:paraId="16EE8DD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w:t>
      </w:r>
      <w:r w:rsidRPr="0006397D">
        <w:rPr>
          <w:rFonts w:ascii="Times New Roman" w:hAnsi="Times New Roman" w:cs="Times New Roman"/>
          <w:noProof/>
        </w:rPr>
        <w:tab/>
        <w:t>“The Complete History of 3D Printing: From 1980 to 2022 - 3DSourced.” [Online]. Available: https://www.3dsourced.com/guides/history-of-3d-printing/. [Accessed: 01-Mar-2022].</w:t>
      </w:r>
    </w:p>
    <w:p w14:paraId="58C3F78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w:t>
      </w:r>
      <w:r w:rsidRPr="0006397D">
        <w:rPr>
          <w:rFonts w:ascii="Times New Roman" w:hAnsi="Times New Roman" w:cs="Times New Roman"/>
          <w:noProof/>
        </w:rPr>
        <w:tab/>
        <w:t>“3D Hubs AM Trends Report reveals 3D printing grew 21% despite Covid-19 - 3D Printing Industry.” [Online]. Available: https://3dprintingindustry.com/news/3d-hubs-am-trends-report-reveals-3d-printing-grew-21-despite-covid-19-189087/. [Accessed: 19-Feb-2022].</w:t>
      </w:r>
    </w:p>
    <w:p w14:paraId="70FCA78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w:t>
      </w:r>
      <w:r w:rsidRPr="0006397D">
        <w:rPr>
          <w:rFonts w:ascii="Times New Roman" w:hAnsi="Times New Roman" w:cs="Times New Roman"/>
          <w:noProof/>
        </w:rPr>
        <w:tab/>
        <w:t>“From nano to macro: Nanoscale 3D printing that is fast, smooth, and scalable - Mechanical Engineering - Purdue University.” [Online]. Available: https://engineering.purdue.edu/ME/News/2021/no-more-jagged-edges-nanoscale-3d-printing-that-is-fast-smooth-and-repeatable. [Accessed: 19-Feb-2022].</w:t>
      </w:r>
    </w:p>
    <w:p w14:paraId="27B3AE9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w:t>
      </w:r>
      <w:r w:rsidRPr="0006397D">
        <w:rPr>
          <w:rFonts w:ascii="Times New Roman" w:hAnsi="Times New Roman" w:cs="Times New Roman"/>
          <w:noProof/>
        </w:rPr>
        <w:tab/>
        <w:t>“Interview: Mighty Buildings Co-founder Sam Ruben on gaining a $30m investment and 3D printing houses  - 3D Printing Industry.” [Online]. Available: https://3dprintingindustry.com/news/interview-mighty-buildings-co-founder-sam-ruben-on-gaining-a-30m-investment-and-3d-printing-houses-174712/. [Accessed: 19-Nov-2020].</w:t>
      </w:r>
    </w:p>
    <w:p w14:paraId="333D10A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w:t>
      </w:r>
      <w:r w:rsidRPr="0006397D">
        <w:rPr>
          <w:rFonts w:ascii="Times New Roman" w:hAnsi="Times New Roman" w:cs="Times New Roman"/>
          <w:noProof/>
        </w:rPr>
        <w:tab/>
        <w:t xml:space="preserve">“UT Labs Producing Face Shield Components to Protect Health Care Workers in </w:t>
      </w:r>
      <w:r w:rsidRPr="0006397D">
        <w:rPr>
          <w:rFonts w:ascii="Times New Roman" w:hAnsi="Times New Roman" w:cs="Times New Roman"/>
          <w:noProof/>
        </w:rPr>
        <w:lastRenderedPageBreak/>
        <w:t>Tennessee - Tickle College of Engineering.” [Online]. Available: https://tickle.utk.edu/ut-labs-producing-face-shield-components-to-protect-health-care-workers-in-tennessee/. [Accessed: 11-Sep-2021].</w:t>
      </w:r>
    </w:p>
    <w:p w14:paraId="48B4829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w:t>
      </w:r>
      <w:r w:rsidRPr="0006397D">
        <w:rPr>
          <w:rFonts w:ascii="Times New Roman" w:hAnsi="Times New Roman" w:cs="Times New Roman"/>
          <w:noProof/>
        </w:rPr>
        <w:tab/>
        <w:t xml:space="preserve">P. Chesser </w:t>
      </w:r>
      <w:r w:rsidRPr="0006397D">
        <w:rPr>
          <w:rFonts w:ascii="Times New Roman" w:hAnsi="Times New Roman" w:cs="Times New Roman"/>
          <w:i/>
          <w:iCs/>
          <w:noProof/>
        </w:rPr>
        <w:t>et al.</w:t>
      </w:r>
      <w:r w:rsidRPr="0006397D">
        <w:rPr>
          <w:rFonts w:ascii="Times New Roman" w:hAnsi="Times New Roman" w:cs="Times New Roman"/>
          <w:noProof/>
        </w:rPr>
        <w:t xml:space="preserve">, “Extrusion control for high quality printing on Big Area Additive Manufacturing (BAAM)systems,” </w:t>
      </w:r>
      <w:r w:rsidRPr="0006397D">
        <w:rPr>
          <w:rFonts w:ascii="Times New Roman" w:hAnsi="Times New Roman" w:cs="Times New Roman"/>
          <w:i/>
          <w:iCs/>
          <w:noProof/>
        </w:rPr>
        <w:t>Addit. Manuf.</w:t>
      </w:r>
      <w:r w:rsidRPr="0006397D">
        <w:rPr>
          <w:rFonts w:ascii="Times New Roman" w:hAnsi="Times New Roman" w:cs="Times New Roman"/>
          <w:noProof/>
        </w:rPr>
        <w:t>, vol. 28, pp. 445–455, Aug. 2019.</w:t>
      </w:r>
    </w:p>
    <w:p w14:paraId="50022C2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w:t>
      </w:r>
      <w:r w:rsidRPr="0006397D">
        <w:rPr>
          <w:rFonts w:ascii="Times New Roman" w:hAnsi="Times New Roman" w:cs="Times New Roman"/>
          <w:noProof/>
        </w:rPr>
        <w:tab/>
        <w:t>“BAAM: Fact Sheet,” 2016. [Online]. Available: http://wwwassets.e-ci.com/PDF/Products/baam-fact-sheet.pdf. [Accessed: 15-Jul-2017].</w:t>
      </w:r>
    </w:p>
    <w:p w14:paraId="7E658DF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w:t>
      </w:r>
      <w:r w:rsidRPr="0006397D">
        <w:rPr>
          <w:rFonts w:ascii="Times New Roman" w:hAnsi="Times New Roman" w:cs="Times New Roman"/>
          <w:noProof/>
        </w:rPr>
        <w:tab/>
        <w:t xml:space="preserve">L. J. Love </w:t>
      </w:r>
      <w:r w:rsidRPr="0006397D">
        <w:rPr>
          <w:rFonts w:ascii="Times New Roman" w:hAnsi="Times New Roman" w:cs="Times New Roman"/>
          <w:i/>
          <w:iCs/>
          <w:noProof/>
        </w:rPr>
        <w:t>et al.</w:t>
      </w:r>
      <w:r w:rsidRPr="0006397D">
        <w:rPr>
          <w:rFonts w:ascii="Times New Roman" w:hAnsi="Times New Roman" w:cs="Times New Roman"/>
          <w:noProof/>
        </w:rPr>
        <w:t xml:space="preserve">, “The importance of carbon fiber to polymer additive manufacturing,” </w:t>
      </w:r>
      <w:r w:rsidRPr="0006397D">
        <w:rPr>
          <w:rFonts w:ascii="Times New Roman" w:hAnsi="Times New Roman" w:cs="Times New Roman"/>
          <w:i/>
          <w:iCs/>
          <w:noProof/>
        </w:rPr>
        <w:t>J. Mater. Res.</w:t>
      </w:r>
      <w:r w:rsidRPr="0006397D">
        <w:rPr>
          <w:rFonts w:ascii="Times New Roman" w:hAnsi="Times New Roman" w:cs="Times New Roman"/>
          <w:noProof/>
        </w:rPr>
        <w:t>, vol. 29, no. 17, pp. 1893–1898, Jun. 2014.</w:t>
      </w:r>
    </w:p>
    <w:p w14:paraId="190431D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w:t>
      </w:r>
      <w:r w:rsidRPr="0006397D">
        <w:rPr>
          <w:rFonts w:ascii="Times New Roman" w:hAnsi="Times New Roman" w:cs="Times New Roman"/>
          <w:noProof/>
        </w:rPr>
        <w:tab/>
        <w:t xml:space="preserve">C. E. Duty </w:t>
      </w:r>
      <w:r w:rsidRPr="0006397D">
        <w:rPr>
          <w:rFonts w:ascii="Times New Roman" w:hAnsi="Times New Roman" w:cs="Times New Roman"/>
          <w:i/>
          <w:iCs/>
          <w:noProof/>
        </w:rPr>
        <w:t>et al.</w:t>
      </w:r>
      <w:r w:rsidRPr="0006397D">
        <w:rPr>
          <w:rFonts w:ascii="Times New Roman" w:hAnsi="Times New Roman" w:cs="Times New Roman"/>
          <w:noProof/>
        </w:rPr>
        <w:t xml:space="preserve">, “Structure and mechanical behavior of Big Area Additive Manufacturing (BAAM) materials,” </w:t>
      </w:r>
      <w:r w:rsidRPr="0006397D">
        <w:rPr>
          <w:rFonts w:ascii="Times New Roman" w:hAnsi="Times New Roman" w:cs="Times New Roman"/>
          <w:i/>
          <w:iCs/>
          <w:noProof/>
        </w:rPr>
        <w:t>Rapid Prototyp. J.</w:t>
      </w:r>
      <w:r w:rsidRPr="0006397D">
        <w:rPr>
          <w:rFonts w:ascii="Times New Roman" w:hAnsi="Times New Roman" w:cs="Times New Roman"/>
          <w:noProof/>
        </w:rPr>
        <w:t>, vol. 23, no. 1, pp. 181–189, Jan. 2017.</w:t>
      </w:r>
    </w:p>
    <w:p w14:paraId="50F901B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w:t>
      </w:r>
      <w:r w:rsidRPr="0006397D">
        <w:rPr>
          <w:rFonts w:ascii="Times New Roman" w:hAnsi="Times New Roman" w:cs="Times New Roman"/>
          <w:noProof/>
        </w:rPr>
        <w:tab/>
        <w:t xml:space="preserve">A. Hassen, R. Springfield, J. Lindahl, and B. Post, “The Durability of Large-Scale Additive Manufacturing Composite Molds,” in </w:t>
      </w:r>
      <w:r w:rsidRPr="0006397D">
        <w:rPr>
          <w:rFonts w:ascii="Times New Roman" w:hAnsi="Times New Roman" w:cs="Times New Roman"/>
          <w:i/>
          <w:iCs/>
          <w:noProof/>
        </w:rPr>
        <w:t>CAMX Anaheim</w:t>
      </w:r>
      <w:r w:rsidRPr="0006397D">
        <w:rPr>
          <w:rFonts w:ascii="Times New Roman" w:hAnsi="Times New Roman" w:cs="Times New Roman"/>
          <w:noProof/>
        </w:rPr>
        <w:t>, 2016.</w:t>
      </w:r>
    </w:p>
    <w:p w14:paraId="7BC37F9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w:t>
      </w:r>
      <w:r w:rsidRPr="0006397D">
        <w:rPr>
          <w:rFonts w:ascii="Times New Roman" w:hAnsi="Times New Roman" w:cs="Times New Roman"/>
          <w:noProof/>
        </w:rPr>
        <w:tab/>
        <w:t xml:space="preserve">J. M. Otton, N. S. Birbara, T. Hussain, G. Greil, T. A. Foley, and N. Pather, “3D printing from cardiovascular CT: A practical guide and review,” </w:t>
      </w:r>
      <w:r w:rsidRPr="0006397D">
        <w:rPr>
          <w:rFonts w:ascii="Times New Roman" w:hAnsi="Times New Roman" w:cs="Times New Roman"/>
          <w:i/>
          <w:iCs/>
          <w:noProof/>
        </w:rPr>
        <w:t>Cardiovasc. Diagn. Ther.</w:t>
      </w:r>
      <w:r w:rsidRPr="0006397D">
        <w:rPr>
          <w:rFonts w:ascii="Times New Roman" w:hAnsi="Times New Roman" w:cs="Times New Roman"/>
          <w:noProof/>
        </w:rPr>
        <w:t>, vol. 7, no. 5, pp. 507–526, Oct. 2017.</w:t>
      </w:r>
    </w:p>
    <w:p w14:paraId="1602302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[16]</w:t>
      </w:r>
      <w:r w:rsidRPr="0006397D">
        <w:rPr>
          <w:rFonts w:ascii="Times New Roman" w:hAnsi="Times New Roman" w:cs="Times New Roman"/>
          <w:noProof/>
        </w:rPr>
        <w:tab/>
        <w:t>“TAHOE Boats’ T16 uses 3D printed tooling from Thermwood | CompositesWorld.” [Online]. Available: https://www.compositesworld.com/articles/tahoe-boats-t16-uses-3d-printed-tooling-from-thermwood. [Accessed: 01-Mar-2022].</w:t>
      </w:r>
    </w:p>
    <w:p w14:paraId="6CFE047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[17]</w:t>
      </w:r>
      <w:r w:rsidRPr="0006397D">
        <w:rPr>
          <w:rFonts w:ascii="Times New Roman" w:hAnsi="Times New Roman" w:cs="Times New Roman"/>
          <w:noProof/>
        </w:rPr>
        <w:tab/>
        <w:t>B. K. Post, R. F. Lind, P. D. Lloyd, V. Kunc, J. M. Linhal, and L. J. Love, “THE ECONOMICS OF BIG AREA ADDITIVE MANUFACTURING.”</w:t>
      </w:r>
    </w:p>
    <w:p w14:paraId="67FEEB5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[18]</w:t>
      </w:r>
      <w:r w:rsidRPr="0006397D">
        <w:rPr>
          <w:rFonts w:ascii="Times New Roman" w:hAnsi="Times New Roman" w:cs="Times New Roman"/>
          <w:noProof/>
        </w:rPr>
        <w:tab/>
        <w:t>D. D. Greenwood, “Fleet Readiness Center – East: Large format additive manufacturing research projects,” Marine Corps Air Station Cherry Point, 2017.</w:t>
      </w:r>
    </w:p>
    <w:p w14:paraId="3997C18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[19]</w:t>
      </w:r>
      <w:r w:rsidRPr="0006397D">
        <w:rPr>
          <w:rFonts w:ascii="Times New Roman" w:hAnsi="Times New Roman" w:cs="Times New Roman"/>
          <w:noProof/>
        </w:rPr>
        <w:tab/>
        <w:t xml:space="preserve">“Tecla house 3D-printed from locally sourced clay.” [Online]. Available: </w:t>
      </w:r>
      <w:r w:rsidRPr="0006397D">
        <w:rPr>
          <w:rFonts w:ascii="Times New Roman" w:hAnsi="Times New Roman" w:cs="Times New Roman"/>
          <w:noProof/>
        </w:rPr>
        <w:lastRenderedPageBreak/>
        <w:t>https://www.dezeen.com/2021/04/23/mario-cucinella-architects-wasp-3d-printed-housing/. [Accessed: 19-Feb-2022].</w:t>
      </w:r>
    </w:p>
    <w:p w14:paraId="0DE805C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[20]</w:t>
      </w:r>
      <w:r w:rsidRPr="0006397D">
        <w:rPr>
          <w:rFonts w:ascii="Times New Roman" w:hAnsi="Times New Roman" w:cs="Times New Roman"/>
          <w:noProof/>
        </w:rPr>
        <w:tab/>
        <w:t>“Styrene Reasonably Anticipated to Be a Human Carcinogen, New Report Confirms | National Academies.” [Online]. Available: https://www.nationalacademies.org/news/2014/07/styrene-reasonably-anticipated-to-be-a-human-carcinogen-new-report-confirms. [Accessed: 01-Oct-2020].</w:t>
      </w:r>
    </w:p>
    <w:p w14:paraId="193168F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[21]</w:t>
      </w:r>
      <w:r w:rsidRPr="0006397D">
        <w:rPr>
          <w:rFonts w:ascii="Times New Roman" w:hAnsi="Times New Roman" w:cs="Times New Roman"/>
          <w:noProof/>
        </w:rPr>
        <w:tab/>
        <w:t xml:space="preserve">J. Sloan, “Styrene &amp; cobalt: Headed for the exit?,” </w:t>
      </w:r>
      <w:r w:rsidRPr="0006397D">
        <w:rPr>
          <w:rFonts w:ascii="Times New Roman" w:hAnsi="Times New Roman" w:cs="Times New Roman"/>
          <w:i/>
          <w:iCs/>
          <w:noProof/>
        </w:rPr>
        <w:t>CompositesWorld</w:t>
      </w:r>
      <w:r w:rsidRPr="0006397D">
        <w:rPr>
          <w:rFonts w:ascii="Times New Roman" w:hAnsi="Times New Roman" w:cs="Times New Roman"/>
          <w:noProof/>
        </w:rPr>
        <w:t>, 01-Apr-2014.</w:t>
      </w:r>
    </w:p>
    <w:p w14:paraId="1793EFB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[22]</w:t>
      </w:r>
      <w:r w:rsidRPr="0006397D">
        <w:rPr>
          <w:rFonts w:ascii="Times New Roman" w:hAnsi="Times New Roman" w:cs="Times New Roman"/>
          <w:noProof/>
        </w:rPr>
        <w:tab/>
        <w:t xml:space="preserve">A. Endruweit, M. S. Johnson, and A. C. Long, “Curing of composite components by ultraviolet radiation: A review,” </w:t>
      </w:r>
      <w:r w:rsidRPr="0006397D">
        <w:rPr>
          <w:rFonts w:ascii="Times New Roman" w:hAnsi="Times New Roman" w:cs="Times New Roman"/>
          <w:i/>
          <w:iCs/>
          <w:noProof/>
        </w:rPr>
        <w:t>Polym. Compos.</w:t>
      </w:r>
      <w:r w:rsidRPr="0006397D">
        <w:rPr>
          <w:rFonts w:ascii="Times New Roman" w:hAnsi="Times New Roman" w:cs="Times New Roman"/>
          <w:noProof/>
        </w:rPr>
        <w:t>, vol. 27, no. 2, pp. 119–128, Apr. 2006.</w:t>
      </w:r>
    </w:p>
    <w:p w14:paraId="21603D9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[23]</w:t>
      </w:r>
      <w:r w:rsidRPr="0006397D">
        <w:rPr>
          <w:rFonts w:ascii="Times New Roman" w:hAnsi="Times New Roman" w:cs="Times New Roman"/>
          <w:noProof/>
        </w:rPr>
        <w:tab/>
        <w:t xml:space="preserve">W. A. Greene, </w:t>
      </w:r>
      <w:r w:rsidRPr="0006397D">
        <w:rPr>
          <w:rFonts w:ascii="Times New Roman" w:hAnsi="Times New Roman" w:cs="Times New Roman"/>
          <w:i/>
          <w:iCs/>
          <w:noProof/>
        </w:rPr>
        <w:t>Industrial Photoinitiators</w:t>
      </w:r>
      <w:r w:rsidRPr="0006397D">
        <w:rPr>
          <w:rFonts w:ascii="Times New Roman" w:hAnsi="Times New Roman" w:cs="Times New Roman"/>
          <w:noProof/>
        </w:rPr>
        <w:t>, 1st ed. Boca Raton: Taylor &amp; Francis, 2010.</w:t>
      </w:r>
    </w:p>
    <w:p w14:paraId="042771D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[24]</w:t>
      </w:r>
      <w:r w:rsidRPr="0006397D">
        <w:rPr>
          <w:rFonts w:ascii="Times New Roman" w:hAnsi="Times New Roman" w:cs="Times New Roman"/>
          <w:noProof/>
        </w:rPr>
        <w:tab/>
        <w:t xml:space="preserve">S. H. Goodman and D. Hanna, </w:t>
      </w:r>
      <w:r w:rsidRPr="0006397D">
        <w:rPr>
          <w:rFonts w:ascii="Times New Roman" w:hAnsi="Times New Roman" w:cs="Times New Roman"/>
          <w:i/>
          <w:iCs/>
          <w:noProof/>
        </w:rPr>
        <w:t>Handbook of thermoset plastics</w:t>
      </w:r>
      <w:r w:rsidRPr="0006397D">
        <w:rPr>
          <w:rFonts w:ascii="Times New Roman" w:hAnsi="Times New Roman" w:cs="Times New Roman"/>
          <w:noProof/>
        </w:rPr>
        <w:t>. William Andrew, 2014.</w:t>
      </w:r>
    </w:p>
    <w:p w14:paraId="78482B5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[25]</w:t>
      </w:r>
      <w:r w:rsidRPr="0006397D">
        <w:rPr>
          <w:rFonts w:ascii="Times New Roman" w:hAnsi="Times New Roman" w:cs="Times New Roman"/>
          <w:noProof/>
        </w:rPr>
        <w:tab/>
        <w:t xml:space="preserve">A. B. Strong, </w:t>
      </w:r>
      <w:r w:rsidRPr="0006397D">
        <w:rPr>
          <w:rFonts w:ascii="Times New Roman" w:hAnsi="Times New Roman" w:cs="Times New Roman"/>
          <w:i/>
          <w:iCs/>
          <w:noProof/>
        </w:rPr>
        <w:t>Fundamentals of composites manufacturing : materials, methods and applications</w:t>
      </w:r>
      <w:r w:rsidRPr="0006397D">
        <w:rPr>
          <w:rFonts w:ascii="Times New Roman" w:hAnsi="Times New Roman" w:cs="Times New Roman"/>
          <w:noProof/>
        </w:rPr>
        <w:t>. Society of Manufacturing Engineers, 2008.</w:t>
      </w:r>
    </w:p>
    <w:p w14:paraId="03B36C5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[26]</w:t>
      </w:r>
      <w:r w:rsidRPr="0006397D">
        <w:rPr>
          <w:rFonts w:ascii="Times New Roman" w:hAnsi="Times New Roman" w:cs="Times New Roman"/>
          <w:noProof/>
        </w:rPr>
        <w:tab/>
        <w:t xml:space="preserve">P. Compston, J. Schiemer, and A. Cvetanovska, “Mechanical properties and styrene emission levels of a UV-cured glass-fibre/vinylester composite,” </w:t>
      </w:r>
      <w:r w:rsidRPr="0006397D">
        <w:rPr>
          <w:rFonts w:ascii="Times New Roman" w:hAnsi="Times New Roman" w:cs="Times New Roman"/>
          <w:i/>
          <w:iCs/>
          <w:noProof/>
        </w:rPr>
        <w:t>Compos. Struct.</w:t>
      </w:r>
      <w:r w:rsidRPr="0006397D">
        <w:rPr>
          <w:rFonts w:ascii="Times New Roman" w:hAnsi="Times New Roman" w:cs="Times New Roman"/>
          <w:noProof/>
        </w:rPr>
        <w:t>, vol. 86, no. 1–3, pp. 22–26, Nov. 2008.</w:t>
      </w:r>
    </w:p>
    <w:p w14:paraId="1550273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[27]</w:t>
      </w:r>
      <w:r w:rsidRPr="0006397D">
        <w:rPr>
          <w:rFonts w:ascii="Times New Roman" w:hAnsi="Times New Roman" w:cs="Times New Roman"/>
          <w:noProof/>
        </w:rPr>
        <w:tab/>
        <w:t xml:space="preserve">D. Spurr, </w:t>
      </w:r>
      <w:r w:rsidRPr="0006397D">
        <w:rPr>
          <w:rFonts w:ascii="Times New Roman" w:hAnsi="Times New Roman" w:cs="Times New Roman"/>
          <w:i/>
          <w:iCs/>
          <w:noProof/>
        </w:rPr>
        <w:t>Heart of Glass: Fiberglass Boats and the Men Who Built Them</w:t>
      </w:r>
      <w:r w:rsidRPr="0006397D">
        <w:rPr>
          <w:rFonts w:ascii="Times New Roman" w:hAnsi="Times New Roman" w:cs="Times New Roman"/>
          <w:noProof/>
        </w:rPr>
        <w:t>, 1st ed. International Marine/Ragged Mountain Press, 1999.</w:t>
      </w:r>
    </w:p>
    <w:p w14:paraId="3EFE1CA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[28]</w:t>
      </w:r>
      <w:r w:rsidRPr="0006397D">
        <w:rPr>
          <w:rFonts w:ascii="Times New Roman" w:hAnsi="Times New Roman" w:cs="Times New Roman"/>
          <w:noProof/>
        </w:rPr>
        <w:tab/>
        <w:t xml:space="preserve">J. C. Silva, M. M. Moreira, C. F. de A. Nobre, V. G. Araújo Neto, D. Lomonaco, and V. P. Feitosa, “Influence of hydrophobic layer of Bis-EMA with different ethoxilations on adhesive’s bonding efficacy and mechanical properties,” </w:t>
      </w:r>
      <w:r w:rsidRPr="0006397D">
        <w:rPr>
          <w:rFonts w:ascii="Times New Roman" w:hAnsi="Times New Roman" w:cs="Times New Roman"/>
          <w:i/>
          <w:iCs/>
          <w:noProof/>
        </w:rPr>
        <w:t>Int. J. Adhes. Adhes.</w:t>
      </w:r>
      <w:r w:rsidRPr="0006397D">
        <w:rPr>
          <w:rFonts w:ascii="Times New Roman" w:hAnsi="Times New Roman" w:cs="Times New Roman"/>
          <w:noProof/>
        </w:rPr>
        <w:t>, vol. 105, p. 102796, Mar. 2021.</w:t>
      </w:r>
    </w:p>
    <w:p w14:paraId="359D6C0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[29]</w:t>
      </w:r>
      <w:r w:rsidRPr="0006397D">
        <w:rPr>
          <w:rFonts w:ascii="Times New Roman" w:hAnsi="Times New Roman" w:cs="Times New Roman"/>
          <w:noProof/>
        </w:rPr>
        <w:tab/>
        <w:t xml:space="preserve">M. Par, N. Spanovic, T. T. Tauböck, T. Attin, and Z. Tarle, “Degree of conversion of experimental resin composites containing bioactive glass 45S5: the effect of post-cure heating,” </w:t>
      </w:r>
      <w:r w:rsidRPr="0006397D">
        <w:rPr>
          <w:rFonts w:ascii="Times New Roman" w:hAnsi="Times New Roman" w:cs="Times New Roman"/>
          <w:i/>
          <w:iCs/>
          <w:noProof/>
        </w:rPr>
        <w:t>Sci. Rep.</w:t>
      </w:r>
      <w:r w:rsidRPr="0006397D">
        <w:rPr>
          <w:rFonts w:ascii="Times New Roman" w:hAnsi="Times New Roman" w:cs="Times New Roman"/>
          <w:noProof/>
        </w:rPr>
        <w:t>, vol. 9, no. 1, pp. 1–9, Dec. 2019.</w:t>
      </w:r>
    </w:p>
    <w:p w14:paraId="73457DE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[30]</w:t>
      </w:r>
      <w:r w:rsidRPr="0006397D">
        <w:rPr>
          <w:rFonts w:ascii="Times New Roman" w:hAnsi="Times New Roman" w:cs="Times New Roman"/>
          <w:noProof/>
        </w:rPr>
        <w:tab/>
        <w:t xml:space="preserve">I. Sideridou, V. Tserki, and G. Papanastasiou, “Effect of chemical structure on degree of conversion in light-cured dimethacrylate-based dental resins,” </w:t>
      </w:r>
      <w:r w:rsidRPr="0006397D">
        <w:rPr>
          <w:rFonts w:ascii="Times New Roman" w:hAnsi="Times New Roman" w:cs="Times New Roman"/>
          <w:i/>
          <w:iCs/>
          <w:noProof/>
        </w:rPr>
        <w:t>Biomaterials</w:t>
      </w:r>
      <w:r w:rsidRPr="0006397D">
        <w:rPr>
          <w:rFonts w:ascii="Times New Roman" w:hAnsi="Times New Roman" w:cs="Times New Roman"/>
          <w:noProof/>
        </w:rPr>
        <w:t>, vol. 23, no. 8, pp. 1819–1829, Apr. 2002.</w:t>
      </w:r>
    </w:p>
    <w:p w14:paraId="4BFC572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[31]</w:t>
      </w:r>
      <w:r w:rsidRPr="0006397D">
        <w:rPr>
          <w:rFonts w:ascii="Times New Roman" w:hAnsi="Times New Roman" w:cs="Times New Roman"/>
          <w:noProof/>
        </w:rPr>
        <w:tab/>
        <w:t xml:space="preserve">F. M. Collares, F. F. Portella, V. C. B. Leitune, and S. M. W. Samuel, “Discrepancies in degree of conversion measurements by FTIR,” </w:t>
      </w:r>
      <w:r w:rsidRPr="0006397D">
        <w:rPr>
          <w:rFonts w:ascii="Times New Roman" w:hAnsi="Times New Roman" w:cs="Times New Roman"/>
          <w:i/>
          <w:iCs/>
          <w:noProof/>
        </w:rPr>
        <w:t>Braz. Oral Res.</w:t>
      </w:r>
      <w:r w:rsidRPr="0006397D">
        <w:rPr>
          <w:rFonts w:ascii="Times New Roman" w:hAnsi="Times New Roman" w:cs="Times New Roman"/>
          <w:noProof/>
        </w:rPr>
        <w:t>, vol. 28, no. 1, pp. 9–15, Jan. 2014.</w:t>
      </w:r>
    </w:p>
    <w:p w14:paraId="2AA7F7E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[32]</w:t>
      </w:r>
      <w:r w:rsidRPr="0006397D">
        <w:rPr>
          <w:rFonts w:ascii="Times New Roman" w:hAnsi="Times New Roman" w:cs="Times New Roman"/>
          <w:noProof/>
        </w:rPr>
        <w:tab/>
        <w:t xml:space="preserve">C. Decker, “The use of UV irradiation in polymerization,” </w:t>
      </w:r>
      <w:r w:rsidRPr="0006397D">
        <w:rPr>
          <w:rFonts w:ascii="Times New Roman" w:hAnsi="Times New Roman" w:cs="Times New Roman"/>
          <w:i/>
          <w:iCs/>
          <w:noProof/>
        </w:rPr>
        <w:t>Polym. Int.</w:t>
      </w:r>
      <w:r w:rsidRPr="0006397D">
        <w:rPr>
          <w:rFonts w:ascii="Times New Roman" w:hAnsi="Times New Roman" w:cs="Times New Roman"/>
          <w:noProof/>
        </w:rPr>
        <w:t>, vol. 45, no. 2, pp. 133–141, Feb. 1998.</w:t>
      </w:r>
    </w:p>
    <w:p w14:paraId="08DDAA5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[33]</w:t>
      </w:r>
      <w:r w:rsidRPr="0006397D">
        <w:rPr>
          <w:rFonts w:ascii="Times New Roman" w:hAnsi="Times New Roman" w:cs="Times New Roman"/>
          <w:noProof/>
        </w:rPr>
        <w:tab/>
        <w:t xml:space="preserve">J. Christmann, C. Ley, X. Allonas, A. Ibrahim, and C. Croutxé-Barghorn, “Experimental and theoretical investigations of free radical photopolymerization: Inhibition and termination reactions,” </w:t>
      </w:r>
      <w:r w:rsidRPr="0006397D">
        <w:rPr>
          <w:rFonts w:ascii="Times New Roman" w:hAnsi="Times New Roman" w:cs="Times New Roman"/>
          <w:i/>
          <w:iCs/>
          <w:noProof/>
        </w:rPr>
        <w:t>Polymer (Guildf).</w:t>
      </w:r>
      <w:r w:rsidRPr="0006397D">
        <w:rPr>
          <w:rFonts w:ascii="Times New Roman" w:hAnsi="Times New Roman" w:cs="Times New Roman"/>
          <w:noProof/>
        </w:rPr>
        <w:t>, vol. 160, pp. 254–264, Jan. 2019.</w:t>
      </w:r>
    </w:p>
    <w:p w14:paraId="3ADB99A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[34]</w:t>
      </w:r>
      <w:r w:rsidRPr="0006397D">
        <w:rPr>
          <w:rFonts w:ascii="Times New Roman" w:hAnsi="Times New Roman" w:cs="Times New Roman"/>
          <w:noProof/>
        </w:rPr>
        <w:tab/>
        <w:t xml:space="preserve">C. G. Roffey, </w:t>
      </w:r>
      <w:r w:rsidRPr="0006397D">
        <w:rPr>
          <w:rFonts w:ascii="Times New Roman" w:hAnsi="Times New Roman" w:cs="Times New Roman"/>
          <w:i/>
          <w:iCs/>
          <w:noProof/>
        </w:rPr>
        <w:t>Photogeneration of Reactive Species for UV Curing</w:t>
      </w:r>
      <w:r w:rsidRPr="0006397D">
        <w:rPr>
          <w:rFonts w:ascii="Times New Roman" w:hAnsi="Times New Roman" w:cs="Times New Roman"/>
          <w:noProof/>
        </w:rPr>
        <w:t>, 1st ed. Chichester: John Wiley &amp; Sons, Ltd, 1997.</w:t>
      </w:r>
    </w:p>
    <w:p w14:paraId="15A2664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[35]</w:t>
      </w:r>
      <w:r w:rsidRPr="0006397D">
        <w:rPr>
          <w:rFonts w:ascii="Times New Roman" w:hAnsi="Times New Roman" w:cs="Times New Roman"/>
          <w:noProof/>
        </w:rPr>
        <w:tab/>
        <w:t xml:space="preserve">J. T. Barry, D. J. Berg, and D. R. Tyler, “Radical Cage Effects: The Prediction of Radical Cage Pair Recombination Efficiencies Using Microviscosity Across a Range of Solvent Types,” </w:t>
      </w:r>
      <w:r w:rsidRPr="0006397D">
        <w:rPr>
          <w:rFonts w:ascii="Times New Roman" w:hAnsi="Times New Roman" w:cs="Times New Roman"/>
          <w:i/>
          <w:iCs/>
          <w:noProof/>
        </w:rPr>
        <w:t>J. Am. Chem. Soc.</w:t>
      </w:r>
      <w:r w:rsidRPr="0006397D">
        <w:rPr>
          <w:rFonts w:ascii="Times New Roman" w:hAnsi="Times New Roman" w:cs="Times New Roman"/>
          <w:noProof/>
        </w:rPr>
        <w:t>, vol. 139, no. 41, pp. 14399–14405, Oct. 2017.</w:t>
      </w:r>
    </w:p>
    <w:p w14:paraId="123B482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[36]</w:t>
      </w:r>
      <w:r w:rsidRPr="0006397D">
        <w:rPr>
          <w:rFonts w:ascii="Times New Roman" w:hAnsi="Times New Roman" w:cs="Times New Roman"/>
          <w:noProof/>
        </w:rPr>
        <w:tab/>
        <w:t xml:space="preserve">G. A. Miller, L. Gou, V. Narayanan, and A. B. Scranton, “Modeling of Photobleaching for the Photoinitiation of Thick Polymerization Systems,” </w:t>
      </w:r>
      <w:r w:rsidRPr="0006397D">
        <w:rPr>
          <w:rFonts w:ascii="Times New Roman" w:hAnsi="Times New Roman" w:cs="Times New Roman"/>
          <w:i/>
          <w:iCs/>
          <w:noProof/>
        </w:rPr>
        <w:t>J Polym Sci Part A Polym Chem</w:t>
      </w:r>
      <w:r w:rsidRPr="0006397D">
        <w:rPr>
          <w:rFonts w:ascii="Times New Roman" w:hAnsi="Times New Roman" w:cs="Times New Roman"/>
          <w:noProof/>
        </w:rPr>
        <w:t>, vol. 40, pp. 793–808, 2002.</w:t>
      </w:r>
    </w:p>
    <w:p w14:paraId="074BD22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[37]</w:t>
      </w:r>
      <w:r w:rsidRPr="0006397D">
        <w:rPr>
          <w:rFonts w:ascii="Times New Roman" w:hAnsi="Times New Roman" w:cs="Times New Roman"/>
          <w:noProof/>
        </w:rPr>
        <w:tab/>
        <w:t xml:space="preserve">M. Wen and A. V. McCormick, “A Kinetic Model for Radical Trapping in Photopolymerization of Multifunctional Monomers,” </w:t>
      </w:r>
      <w:r w:rsidRPr="0006397D">
        <w:rPr>
          <w:rFonts w:ascii="Times New Roman" w:hAnsi="Times New Roman" w:cs="Times New Roman"/>
          <w:i/>
          <w:iCs/>
          <w:noProof/>
        </w:rPr>
        <w:t>Macromolecules</w:t>
      </w:r>
      <w:r w:rsidRPr="0006397D">
        <w:rPr>
          <w:rFonts w:ascii="Times New Roman" w:hAnsi="Times New Roman" w:cs="Times New Roman"/>
          <w:noProof/>
        </w:rPr>
        <w:t>, vol. 33, no. 25, pp. 9247–9254, Dec. 2000.</w:t>
      </w:r>
    </w:p>
    <w:p w14:paraId="02C97DF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[38]</w:t>
      </w:r>
      <w:r w:rsidRPr="0006397D">
        <w:rPr>
          <w:rFonts w:ascii="Times New Roman" w:hAnsi="Times New Roman" w:cs="Times New Roman"/>
          <w:noProof/>
        </w:rPr>
        <w:tab/>
        <w:t xml:space="preserve">I. Saenz-Dominguez, I. Tena, M. Sarrionandia, J. Torre, and J. Aurrekoetxea, “An analytical model of through-thickness photopolymerisation of composites: Ultraviolet light transmission and curing kinetics,” </w:t>
      </w:r>
      <w:r w:rsidRPr="0006397D">
        <w:rPr>
          <w:rFonts w:ascii="Times New Roman" w:hAnsi="Times New Roman" w:cs="Times New Roman"/>
          <w:i/>
          <w:iCs/>
          <w:noProof/>
        </w:rPr>
        <w:t>Compos. Part B Eng.</w:t>
      </w:r>
      <w:r w:rsidRPr="0006397D">
        <w:rPr>
          <w:rFonts w:ascii="Times New Roman" w:hAnsi="Times New Roman" w:cs="Times New Roman"/>
          <w:noProof/>
        </w:rPr>
        <w:t>, vol. 191, Jun. 2020.</w:t>
      </w:r>
    </w:p>
    <w:p w14:paraId="06F2C3E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[39]</w:t>
      </w:r>
      <w:r w:rsidRPr="0006397D">
        <w:rPr>
          <w:rFonts w:ascii="Times New Roman" w:hAnsi="Times New Roman" w:cs="Times New Roman"/>
          <w:noProof/>
        </w:rPr>
        <w:tab/>
        <w:t xml:space="preserve">A. Endruweit, W. Ruijter, M. S. Johnson, and A. C. Long, “Transmission of ultraviolet light through reinforcement fabrics and its effect on ultraviolet curing of composite laminates,” </w:t>
      </w:r>
      <w:r w:rsidRPr="0006397D">
        <w:rPr>
          <w:rFonts w:ascii="Times New Roman" w:hAnsi="Times New Roman" w:cs="Times New Roman"/>
          <w:i/>
          <w:iCs/>
          <w:noProof/>
        </w:rPr>
        <w:t>Polym. Compos.</w:t>
      </w:r>
      <w:r w:rsidRPr="0006397D">
        <w:rPr>
          <w:rFonts w:ascii="Times New Roman" w:hAnsi="Times New Roman" w:cs="Times New Roman"/>
          <w:noProof/>
        </w:rPr>
        <w:t>, vol. 29, no. 7, pp. 818–829, Jul. 2008.</w:t>
      </w:r>
    </w:p>
    <w:p w14:paraId="2A53285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[40]</w:t>
      </w:r>
      <w:r w:rsidRPr="0006397D">
        <w:rPr>
          <w:rFonts w:ascii="Times New Roman" w:hAnsi="Times New Roman" w:cs="Times New Roman"/>
          <w:noProof/>
        </w:rPr>
        <w:tab/>
        <w:t xml:space="preserve">C. Decker, “Kinetic study and new applications of UV radiation curing,” </w:t>
      </w:r>
      <w:r w:rsidRPr="0006397D">
        <w:rPr>
          <w:rFonts w:ascii="Times New Roman" w:hAnsi="Times New Roman" w:cs="Times New Roman"/>
          <w:i/>
          <w:iCs/>
          <w:noProof/>
        </w:rPr>
        <w:t>Macromol. Rapid Commun.</w:t>
      </w:r>
      <w:r w:rsidRPr="0006397D">
        <w:rPr>
          <w:rFonts w:ascii="Times New Roman" w:hAnsi="Times New Roman" w:cs="Times New Roman"/>
          <w:noProof/>
        </w:rPr>
        <w:t>, vol. 23, no. 18, pp. 1067–1093, Dec. 2002.</w:t>
      </w:r>
    </w:p>
    <w:p w14:paraId="533FD99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[41]</w:t>
      </w:r>
      <w:r w:rsidRPr="0006397D">
        <w:rPr>
          <w:rFonts w:ascii="Times New Roman" w:hAnsi="Times New Roman" w:cs="Times New Roman"/>
          <w:noProof/>
        </w:rPr>
        <w:tab/>
        <w:t xml:space="preserve">N. Stephenson Kenning, D. Kriks, M. El-Maazawi, and A. Scranton, “Spatial and temporal evolution of the photoinitiation rate for thick polymer systems illuminated with polychromatic light,” </w:t>
      </w:r>
      <w:r w:rsidRPr="0006397D">
        <w:rPr>
          <w:rFonts w:ascii="Times New Roman" w:hAnsi="Times New Roman" w:cs="Times New Roman"/>
          <w:i/>
          <w:iCs/>
          <w:noProof/>
        </w:rPr>
        <w:t>Polym. Int. Polym Int</w:t>
      </w:r>
      <w:r w:rsidRPr="0006397D">
        <w:rPr>
          <w:rFonts w:ascii="Times New Roman" w:hAnsi="Times New Roman" w:cs="Times New Roman"/>
          <w:noProof/>
        </w:rPr>
        <w:t>, vol. 55, pp. 994–1006, 2006.</w:t>
      </w:r>
    </w:p>
    <w:p w14:paraId="538AEC0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[42]</w:t>
      </w:r>
      <w:r w:rsidRPr="0006397D">
        <w:rPr>
          <w:rFonts w:ascii="Times New Roman" w:hAnsi="Times New Roman" w:cs="Times New Roman"/>
          <w:noProof/>
        </w:rPr>
        <w:tab/>
        <w:t xml:space="preserve">C. Alía, J. A. Jofre-Reche, J. C. Suárez, J. M. Arenas, and J. M. Martín-Martínez, “Influence of post-curing temperature on the structure, properties, and adhesion of vinyl ester adhesive,” </w:t>
      </w:r>
      <w:r w:rsidRPr="0006397D">
        <w:rPr>
          <w:rFonts w:ascii="Times New Roman" w:hAnsi="Times New Roman" w:cs="Times New Roman"/>
          <w:i/>
          <w:iCs/>
          <w:noProof/>
        </w:rPr>
        <w:t>J. Adhes. Sci. Technol.</w:t>
      </w:r>
      <w:r w:rsidRPr="0006397D">
        <w:rPr>
          <w:rFonts w:ascii="Times New Roman" w:hAnsi="Times New Roman" w:cs="Times New Roman"/>
          <w:noProof/>
        </w:rPr>
        <w:t>, vol. 29, no. 6, pp. 518–531, Mar. 2015.</w:t>
      </w:r>
    </w:p>
    <w:p w14:paraId="138CAD7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[43]</w:t>
      </w:r>
      <w:r w:rsidRPr="0006397D">
        <w:rPr>
          <w:rFonts w:ascii="Times New Roman" w:hAnsi="Times New Roman" w:cs="Times New Roman"/>
          <w:noProof/>
        </w:rPr>
        <w:tab/>
        <w:t xml:space="preserve">L. G. Lovell, K. A. Berchtold, J. E. Elliott, H. Lu, and C. N. Bowman, “Understanding the kinetics and network formation of dimethacrylate dental resins,” </w:t>
      </w:r>
      <w:r w:rsidRPr="0006397D">
        <w:rPr>
          <w:rFonts w:ascii="Times New Roman" w:hAnsi="Times New Roman" w:cs="Times New Roman"/>
          <w:i/>
          <w:iCs/>
          <w:noProof/>
        </w:rPr>
        <w:t>Polym. Adv. Technol.</w:t>
      </w:r>
      <w:r w:rsidRPr="0006397D">
        <w:rPr>
          <w:rFonts w:ascii="Times New Roman" w:hAnsi="Times New Roman" w:cs="Times New Roman"/>
          <w:noProof/>
        </w:rPr>
        <w:t>, vol. 12, no. 6, pp. 335–345, Jun. 2001.</w:t>
      </w:r>
    </w:p>
    <w:p w14:paraId="16E6A20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[44]</w:t>
      </w:r>
      <w:r w:rsidRPr="0006397D">
        <w:rPr>
          <w:rFonts w:ascii="Times New Roman" w:hAnsi="Times New Roman" w:cs="Times New Roman"/>
          <w:noProof/>
        </w:rPr>
        <w:tab/>
        <w:t xml:space="preserve">L. G. Lovell, H. Lu, J. E. Elliott, J. W. Stansbury, and C. N. Bowman, “The effect of cure rate on the mechanical properties of dental resins,” </w:t>
      </w:r>
      <w:r w:rsidRPr="0006397D">
        <w:rPr>
          <w:rFonts w:ascii="Times New Roman" w:hAnsi="Times New Roman" w:cs="Times New Roman"/>
          <w:i/>
          <w:iCs/>
          <w:noProof/>
        </w:rPr>
        <w:t>Dent. Mater.</w:t>
      </w:r>
      <w:r w:rsidRPr="0006397D">
        <w:rPr>
          <w:rFonts w:ascii="Times New Roman" w:hAnsi="Times New Roman" w:cs="Times New Roman"/>
          <w:noProof/>
        </w:rPr>
        <w:t>, vol. 17, no. 6, pp. 504–511, Nov. 2001.</w:t>
      </w:r>
    </w:p>
    <w:p w14:paraId="28E3393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[45]</w:t>
      </w:r>
      <w:r w:rsidRPr="0006397D">
        <w:rPr>
          <w:rFonts w:ascii="Times New Roman" w:hAnsi="Times New Roman" w:cs="Times New Roman"/>
          <w:noProof/>
        </w:rPr>
        <w:tab/>
        <w:t xml:space="preserve">N. Hayki, L. Lecamp, N. Désilles, and P. Lebaudy, “Kinetic Study of Photoinitiated Frontal Polymerization. Influence of UV Light Intensity Variations on the Conversion Profiles,” </w:t>
      </w:r>
      <w:r w:rsidRPr="0006397D">
        <w:rPr>
          <w:rFonts w:ascii="Times New Roman" w:hAnsi="Times New Roman" w:cs="Times New Roman"/>
          <w:i/>
          <w:iCs/>
          <w:noProof/>
        </w:rPr>
        <w:t>Macromolecules</w:t>
      </w:r>
      <w:r w:rsidRPr="0006397D">
        <w:rPr>
          <w:rFonts w:ascii="Times New Roman" w:hAnsi="Times New Roman" w:cs="Times New Roman"/>
          <w:noProof/>
        </w:rPr>
        <w:t>, vol. 43, no. 1, pp. 177–184, Jan. 2009.</w:t>
      </w:r>
    </w:p>
    <w:p w14:paraId="3017D0A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[46]</w:t>
      </w:r>
      <w:r w:rsidRPr="0006397D">
        <w:rPr>
          <w:rFonts w:ascii="Times New Roman" w:hAnsi="Times New Roman" w:cs="Times New Roman"/>
          <w:noProof/>
        </w:rPr>
        <w:tab/>
        <w:t xml:space="preserve">L. Lecamp, B. Youssef, C. Bunel, and P. Lebaudy, “Photoinitiated polymerization of a dimethacrylate oligomer: 2. Kinetic studies,” </w:t>
      </w:r>
      <w:r w:rsidRPr="0006397D">
        <w:rPr>
          <w:rFonts w:ascii="Times New Roman" w:hAnsi="Times New Roman" w:cs="Times New Roman"/>
          <w:i/>
          <w:iCs/>
          <w:noProof/>
        </w:rPr>
        <w:t>Polymer (Guildf).</w:t>
      </w:r>
      <w:r w:rsidRPr="0006397D">
        <w:rPr>
          <w:rFonts w:ascii="Times New Roman" w:hAnsi="Times New Roman" w:cs="Times New Roman"/>
          <w:noProof/>
        </w:rPr>
        <w:t>, vol. 40, no. 6, pp. 1403–1409, Mar. 1999.</w:t>
      </w:r>
    </w:p>
    <w:p w14:paraId="1CAD257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[47]</w:t>
      </w:r>
      <w:r w:rsidRPr="0006397D">
        <w:rPr>
          <w:rFonts w:ascii="Times New Roman" w:hAnsi="Times New Roman" w:cs="Times New Roman"/>
          <w:noProof/>
        </w:rPr>
        <w:tab/>
        <w:t xml:space="preserve">K. S. Anseth, C. M. Wang, and C. N. Bowman, “Reaction behaviour and kinetic constants for photopolymerizations of multi(meth)acrylate monomers,” </w:t>
      </w:r>
      <w:r w:rsidRPr="0006397D">
        <w:rPr>
          <w:rFonts w:ascii="Times New Roman" w:hAnsi="Times New Roman" w:cs="Times New Roman"/>
          <w:i/>
          <w:iCs/>
          <w:noProof/>
        </w:rPr>
        <w:t>Polymer (Guildf).</w:t>
      </w:r>
      <w:r w:rsidRPr="0006397D">
        <w:rPr>
          <w:rFonts w:ascii="Times New Roman" w:hAnsi="Times New Roman" w:cs="Times New Roman"/>
          <w:noProof/>
        </w:rPr>
        <w:t>, vol. 35, no. 15, pp. 3243–3250, Jul. 1994.</w:t>
      </w:r>
    </w:p>
    <w:p w14:paraId="3982E49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[48]</w:t>
      </w:r>
      <w:r w:rsidRPr="0006397D">
        <w:rPr>
          <w:rFonts w:ascii="Times New Roman" w:hAnsi="Times New Roman" w:cs="Times New Roman"/>
          <w:noProof/>
        </w:rPr>
        <w:tab/>
        <w:t xml:space="preserve">A. Alrahlah, N. Silikas, and D. C. Watts, “ScienceDirect Post-cure depth of cure of bulk fill dental resin-composites,” </w:t>
      </w:r>
      <w:r w:rsidRPr="0006397D">
        <w:rPr>
          <w:rFonts w:ascii="Times New Roman" w:hAnsi="Times New Roman" w:cs="Times New Roman"/>
          <w:i/>
          <w:iCs/>
          <w:noProof/>
        </w:rPr>
        <w:t>Dent. Mater.</w:t>
      </w:r>
      <w:r w:rsidRPr="0006397D">
        <w:rPr>
          <w:rFonts w:ascii="Times New Roman" w:hAnsi="Times New Roman" w:cs="Times New Roman"/>
          <w:noProof/>
        </w:rPr>
        <w:t>, vol. 30, pp. 149–154, 2014.</w:t>
      </w:r>
    </w:p>
    <w:p w14:paraId="6D87CAE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[49]</w:t>
      </w:r>
      <w:r w:rsidRPr="0006397D">
        <w:rPr>
          <w:rFonts w:ascii="Times New Roman" w:hAnsi="Times New Roman" w:cs="Times New Roman"/>
          <w:noProof/>
        </w:rPr>
        <w:tab/>
        <w:t xml:space="preserve">L. Lecamp, B. Youssef, C. Bunel, and P. Lebaudy, “Photoinitiated polymerization of a dimethacrylate oligomer: 1. Influence of photoinitiator concentration, temperature and light intensity,” </w:t>
      </w:r>
      <w:r w:rsidRPr="0006397D">
        <w:rPr>
          <w:rFonts w:ascii="Times New Roman" w:hAnsi="Times New Roman" w:cs="Times New Roman"/>
          <w:i/>
          <w:iCs/>
          <w:noProof/>
        </w:rPr>
        <w:t>Polymer (Guildf).</w:t>
      </w:r>
      <w:r w:rsidRPr="0006397D">
        <w:rPr>
          <w:rFonts w:ascii="Times New Roman" w:hAnsi="Times New Roman" w:cs="Times New Roman"/>
          <w:noProof/>
        </w:rPr>
        <w:t>, vol. 38, no. 25, pp. 6089–6096, Jan. 1997.</w:t>
      </w:r>
    </w:p>
    <w:p w14:paraId="0D7F97D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[50]</w:t>
      </w:r>
      <w:r w:rsidRPr="0006397D">
        <w:rPr>
          <w:rFonts w:ascii="Times New Roman" w:hAnsi="Times New Roman" w:cs="Times New Roman"/>
          <w:noProof/>
        </w:rPr>
        <w:tab/>
        <w:t xml:space="preserve">K. C. Wu and J. W. Halloran, “Photopolymerization monitoring of ceramic stereolithography resins by FTIR methods,” </w:t>
      </w:r>
      <w:r w:rsidRPr="0006397D">
        <w:rPr>
          <w:rFonts w:ascii="Times New Roman" w:hAnsi="Times New Roman" w:cs="Times New Roman"/>
          <w:i/>
          <w:iCs/>
          <w:noProof/>
        </w:rPr>
        <w:t>J. Mater. Sci.</w:t>
      </w:r>
      <w:r w:rsidRPr="0006397D">
        <w:rPr>
          <w:rFonts w:ascii="Times New Roman" w:hAnsi="Times New Roman" w:cs="Times New Roman"/>
          <w:noProof/>
        </w:rPr>
        <w:t>, vol. 40, no. 1, pp. 71–76, Jan. 2005.</w:t>
      </w:r>
    </w:p>
    <w:p w14:paraId="72F02B0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[51]</w:t>
      </w:r>
      <w:r w:rsidRPr="0006397D">
        <w:rPr>
          <w:rFonts w:ascii="Times New Roman" w:hAnsi="Times New Roman" w:cs="Times New Roman"/>
          <w:noProof/>
        </w:rPr>
        <w:tab/>
        <w:t xml:space="preserve">R. . Oréfice, J. A. . Discacciati, A. . Neves, H. . Mansur, and W. . Jansen, “In situ evaluation of the polymerization kinetics and corresponding evolution of the mechanical properties of dental composites,” </w:t>
      </w:r>
      <w:r w:rsidRPr="0006397D">
        <w:rPr>
          <w:rFonts w:ascii="Times New Roman" w:hAnsi="Times New Roman" w:cs="Times New Roman"/>
          <w:i/>
          <w:iCs/>
          <w:noProof/>
        </w:rPr>
        <w:t>Polym. Test.</w:t>
      </w:r>
      <w:r w:rsidRPr="0006397D">
        <w:rPr>
          <w:rFonts w:ascii="Times New Roman" w:hAnsi="Times New Roman" w:cs="Times New Roman"/>
          <w:noProof/>
        </w:rPr>
        <w:t>, vol. 22, no. 1, pp. 77–81, Feb. 2003.</w:t>
      </w:r>
    </w:p>
    <w:p w14:paraId="02AFA04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[52]</w:t>
      </w:r>
      <w:r w:rsidRPr="0006397D">
        <w:rPr>
          <w:rFonts w:ascii="Times New Roman" w:hAnsi="Times New Roman" w:cs="Times New Roman"/>
          <w:noProof/>
        </w:rPr>
        <w:tab/>
        <w:t xml:space="preserve">N. Silikas, G. Eliades, and D. . Watts, “Light intensity effects on resin-composite degree of conversion and shrinkage strain,” </w:t>
      </w:r>
      <w:r w:rsidRPr="0006397D">
        <w:rPr>
          <w:rFonts w:ascii="Times New Roman" w:hAnsi="Times New Roman" w:cs="Times New Roman"/>
          <w:i/>
          <w:iCs/>
          <w:noProof/>
        </w:rPr>
        <w:t>Dent. Mater.</w:t>
      </w:r>
      <w:r w:rsidRPr="0006397D">
        <w:rPr>
          <w:rFonts w:ascii="Times New Roman" w:hAnsi="Times New Roman" w:cs="Times New Roman"/>
          <w:noProof/>
        </w:rPr>
        <w:t>, vol. 16, no. 4, pp. 292–296, Jul. 2000.</w:t>
      </w:r>
    </w:p>
    <w:p w14:paraId="26A4C3F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[53]</w:t>
      </w:r>
      <w:r w:rsidRPr="0006397D">
        <w:rPr>
          <w:rFonts w:ascii="Times New Roman" w:hAnsi="Times New Roman" w:cs="Times New Roman"/>
          <w:noProof/>
        </w:rPr>
        <w:tab/>
        <w:t xml:space="preserve">T. Y. Lee </w:t>
      </w:r>
      <w:r w:rsidRPr="0006397D">
        <w:rPr>
          <w:rFonts w:ascii="Times New Roman" w:hAnsi="Times New Roman" w:cs="Times New Roman"/>
          <w:i/>
          <w:iCs/>
          <w:noProof/>
        </w:rPr>
        <w:t>et al.</w:t>
      </w:r>
      <w:r w:rsidRPr="0006397D">
        <w:rPr>
          <w:rFonts w:ascii="Times New Roman" w:hAnsi="Times New Roman" w:cs="Times New Roman"/>
          <w:noProof/>
        </w:rPr>
        <w:t xml:space="preserve">, “The kinetics of vinyl acrylate photopolymerization,” </w:t>
      </w:r>
      <w:r w:rsidRPr="0006397D">
        <w:rPr>
          <w:rFonts w:ascii="Times New Roman" w:hAnsi="Times New Roman" w:cs="Times New Roman"/>
          <w:i/>
          <w:iCs/>
          <w:noProof/>
        </w:rPr>
        <w:t>Polymer (Guildf).</w:t>
      </w:r>
      <w:r w:rsidRPr="0006397D">
        <w:rPr>
          <w:rFonts w:ascii="Times New Roman" w:hAnsi="Times New Roman" w:cs="Times New Roman"/>
          <w:noProof/>
        </w:rPr>
        <w:t>, vol. 44, no. 10, pp. 2859–2865, Apr. 2003.</w:t>
      </w:r>
    </w:p>
    <w:p w14:paraId="19FFDF5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[54]</w:t>
      </w:r>
      <w:r w:rsidRPr="0006397D">
        <w:rPr>
          <w:rFonts w:ascii="Times New Roman" w:hAnsi="Times New Roman" w:cs="Times New Roman"/>
          <w:noProof/>
        </w:rPr>
        <w:tab/>
        <w:t xml:space="preserve">T. Scherzer and U. Decker, “Real-time FTIR–ATR spectroscopy to study the kinetics of ultrafast photopolymerization reactions induced by monochromatic UV light,” </w:t>
      </w:r>
      <w:r w:rsidRPr="0006397D">
        <w:rPr>
          <w:rFonts w:ascii="Times New Roman" w:hAnsi="Times New Roman" w:cs="Times New Roman"/>
          <w:i/>
          <w:iCs/>
          <w:noProof/>
        </w:rPr>
        <w:t>Vib. Spectrosc.</w:t>
      </w:r>
      <w:r w:rsidRPr="0006397D">
        <w:rPr>
          <w:rFonts w:ascii="Times New Roman" w:hAnsi="Times New Roman" w:cs="Times New Roman"/>
          <w:noProof/>
        </w:rPr>
        <w:t>, vol. 19, no. 2, pp. 385–398, Apr. 1999.</w:t>
      </w:r>
    </w:p>
    <w:p w14:paraId="0826CA1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[55]</w:t>
      </w:r>
      <w:r w:rsidRPr="0006397D">
        <w:rPr>
          <w:rFonts w:ascii="Times New Roman" w:hAnsi="Times New Roman" w:cs="Times New Roman"/>
          <w:noProof/>
        </w:rPr>
        <w:tab/>
        <w:t xml:space="preserve">T. Y. Lee, C. A. Guymon, E. S. Jönsson, and C. E. Hoyle, “The effect of monomer structure on oxygen inhibition of (meth)acrylates photopolymerization,” </w:t>
      </w:r>
      <w:r w:rsidRPr="0006397D">
        <w:rPr>
          <w:rFonts w:ascii="Times New Roman" w:hAnsi="Times New Roman" w:cs="Times New Roman"/>
          <w:i/>
          <w:iCs/>
          <w:noProof/>
        </w:rPr>
        <w:t>Polymer (Guildf).</w:t>
      </w:r>
      <w:r w:rsidRPr="0006397D">
        <w:rPr>
          <w:rFonts w:ascii="Times New Roman" w:hAnsi="Times New Roman" w:cs="Times New Roman"/>
          <w:noProof/>
        </w:rPr>
        <w:t>, vol. 45, no. 18, pp. 6155–6162, Aug. 2004.</w:t>
      </w:r>
    </w:p>
    <w:p w14:paraId="5323BFE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[56]</w:t>
      </w:r>
      <w:r w:rsidRPr="0006397D">
        <w:rPr>
          <w:rFonts w:ascii="Times New Roman" w:hAnsi="Times New Roman" w:cs="Times New Roman"/>
          <w:noProof/>
        </w:rPr>
        <w:tab/>
        <w:t xml:space="preserve">C. Decker and K. Moussa, “A new method for monitoring ultra‐fast photopolymerizations by real‐time infra‐red (RTIR) spectroscopy,” </w:t>
      </w:r>
      <w:r w:rsidRPr="0006397D">
        <w:rPr>
          <w:rFonts w:ascii="Times New Roman" w:hAnsi="Times New Roman" w:cs="Times New Roman"/>
          <w:i/>
          <w:iCs/>
          <w:noProof/>
        </w:rPr>
        <w:t>Die Makromol. Chemie</w:t>
      </w:r>
      <w:r w:rsidRPr="0006397D">
        <w:rPr>
          <w:rFonts w:ascii="Times New Roman" w:hAnsi="Times New Roman" w:cs="Times New Roman"/>
          <w:noProof/>
        </w:rPr>
        <w:t>, vol. 189, no. 10, pp. 2381–2394, Oct. 1988.</w:t>
      </w:r>
    </w:p>
    <w:p w14:paraId="1D84E75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[57]</w:t>
      </w:r>
      <w:r w:rsidRPr="0006397D">
        <w:rPr>
          <w:rFonts w:ascii="Times New Roman" w:hAnsi="Times New Roman" w:cs="Times New Roman"/>
          <w:noProof/>
        </w:rPr>
        <w:tab/>
        <w:t xml:space="preserve">C. A. Anand Yokesh, P. Hemalatha, M. Muthalagu, and M. Robert Justin, “Comparative evaluation of the depth of cure and degree of conversion of two bulk fill flowable composites,” </w:t>
      </w:r>
      <w:r w:rsidRPr="0006397D">
        <w:rPr>
          <w:rFonts w:ascii="Times New Roman" w:hAnsi="Times New Roman" w:cs="Times New Roman"/>
          <w:i/>
          <w:iCs/>
          <w:noProof/>
        </w:rPr>
        <w:t>J. Clin. Diagnostic Res.</w:t>
      </w:r>
      <w:r w:rsidRPr="0006397D">
        <w:rPr>
          <w:rFonts w:ascii="Times New Roman" w:hAnsi="Times New Roman" w:cs="Times New Roman"/>
          <w:noProof/>
        </w:rPr>
        <w:t>, vol. 11, no. 8, pp. ZC86–ZC89, Aug. 2017.</w:t>
      </w:r>
    </w:p>
    <w:p w14:paraId="0EAADA5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[58]</w:t>
      </w:r>
      <w:r w:rsidRPr="0006397D">
        <w:rPr>
          <w:rFonts w:ascii="Times New Roman" w:hAnsi="Times New Roman" w:cs="Times New Roman"/>
          <w:noProof/>
        </w:rPr>
        <w:tab/>
        <w:t xml:space="preserve">A. Santini, V. Miletic, M. D. Swift, and M. Bradley, “Degree of conversion and microhardness of TPO-containing resin-based composites cured by polywave and monowave LED units,” </w:t>
      </w:r>
      <w:r w:rsidRPr="0006397D">
        <w:rPr>
          <w:rFonts w:ascii="Times New Roman" w:hAnsi="Times New Roman" w:cs="Times New Roman"/>
          <w:i/>
          <w:iCs/>
          <w:noProof/>
        </w:rPr>
        <w:t>J. Dent.</w:t>
      </w:r>
      <w:r w:rsidRPr="0006397D">
        <w:rPr>
          <w:rFonts w:ascii="Times New Roman" w:hAnsi="Times New Roman" w:cs="Times New Roman"/>
          <w:noProof/>
        </w:rPr>
        <w:t>, vol. 40, no. 7, pp. 577–584, Jul. 2012.</w:t>
      </w:r>
    </w:p>
    <w:p w14:paraId="4B86A26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[59]</w:t>
      </w:r>
      <w:r w:rsidRPr="0006397D">
        <w:rPr>
          <w:rFonts w:ascii="Times New Roman" w:hAnsi="Times New Roman" w:cs="Times New Roman"/>
          <w:noProof/>
        </w:rPr>
        <w:tab/>
        <w:t xml:space="preserve">S. El-Safty, R. Akhtar, N. Silikas, and D. C. Watts, “Nanomechanical properties of dental resin-composites,” </w:t>
      </w:r>
      <w:r w:rsidRPr="0006397D">
        <w:rPr>
          <w:rFonts w:ascii="Times New Roman" w:hAnsi="Times New Roman" w:cs="Times New Roman"/>
          <w:i/>
          <w:iCs/>
          <w:noProof/>
        </w:rPr>
        <w:t>Dent. Mater.</w:t>
      </w:r>
      <w:r w:rsidRPr="0006397D">
        <w:rPr>
          <w:rFonts w:ascii="Times New Roman" w:hAnsi="Times New Roman" w:cs="Times New Roman"/>
          <w:noProof/>
        </w:rPr>
        <w:t>, vol. 28, no. 12, pp. 1292–1300, Dec. 2012.</w:t>
      </w:r>
    </w:p>
    <w:p w14:paraId="07122E9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[60]</w:t>
      </w:r>
      <w:r w:rsidRPr="0006397D">
        <w:rPr>
          <w:rFonts w:ascii="Times New Roman" w:hAnsi="Times New Roman" w:cs="Times New Roman"/>
          <w:noProof/>
        </w:rPr>
        <w:tab/>
        <w:t xml:space="preserve">A. Visvanathan, N. Ilie, R. Hickel, and K.-H. Kunzelmann, “The influence of curing times and light curing methods on the polymerization shrinkage stress of a shrinkage-optimized composite with hybrid-type prepolymer fillers,” </w:t>
      </w:r>
      <w:r w:rsidRPr="0006397D">
        <w:rPr>
          <w:rFonts w:ascii="Times New Roman" w:hAnsi="Times New Roman" w:cs="Times New Roman"/>
          <w:i/>
          <w:iCs/>
          <w:noProof/>
        </w:rPr>
        <w:t>Dent. Mater.</w:t>
      </w:r>
      <w:r w:rsidRPr="0006397D">
        <w:rPr>
          <w:rFonts w:ascii="Times New Roman" w:hAnsi="Times New Roman" w:cs="Times New Roman"/>
          <w:noProof/>
        </w:rPr>
        <w:t>, vol. 23, no. 7, pp. 777–784, Jul. 2007.</w:t>
      </w:r>
    </w:p>
    <w:p w14:paraId="5F929F3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[61]</w:t>
      </w:r>
      <w:r w:rsidRPr="0006397D">
        <w:rPr>
          <w:rFonts w:ascii="Times New Roman" w:hAnsi="Times New Roman" w:cs="Times New Roman"/>
          <w:noProof/>
        </w:rPr>
        <w:tab/>
        <w:t xml:space="preserve">J. Zorzin </w:t>
      </w:r>
      <w:r w:rsidRPr="0006397D">
        <w:rPr>
          <w:rFonts w:ascii="Times New Roman" w:hAnsi="Times New Roman" w:cs="Times New Roman"/>
          <w:i/>
          <w:iCs/>
          <w:noProof/>
        </w:rPr>
        <w:t>et al.</w:t>
      </w:r>
      <w:r w:rsidRPr="0006397D">
        <w:rPr>
          <w:rFonts w:ascii="Times New Roman" w:hAnsi="Times New Roman" w:cs="Times New Roman"/>
          <w:noProof/>
        </w:rPr>
        <w:t xml:space="preserve">, “Bulk-fill resin composites: Polymerization properties and extended light curing,” </w:t>
      </w:r>
      <w:r w:rsidRPr="0006397D">
        <w:rPr>
          <w:rFonts w:ascii="Times New Roman" w:hAnsi="Times New Roman" w:cs="Times New Roman"/>
          <w:i/>
          <w:iCs/>
          <w:noProof/>
        </w:rPr>
        <w:t>Dent. Mater.</w:t>
      </w:r>
      <w:r w:rsidRPr="0006397D">
        <w:rPr>
          <w:rFonts w:ascii="Times New Roman" w:hAnsi="Times New Roman" w:cs="Times New Roman"/>
          <w:noProof/>
        </w:rPr>
        <w:t>, vol. 31, no. 3, pp. 293–301, Mar. 2015.</w:t>
      </w:r>
    </w:p>
    <w:p w14:paraId="16F2CF9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[62]</w:t>
      </w:r>
      <w:r w:rsidRPr="0006397D">
        <w:rPr>
          <w:rFonts w:ascii="Times New Roman" w:hAnsi="Times New Roman" w:cs="Times New Roman"/>
          <w:noProof/>
        </w:rPr>
        <w:tab/>
        <w:t xml:space="preserve">C. Decker and K. Moussa, “Radical trapping in photopolymerized acrylic networks,” </w:t>
      </w:r>
      <w:r w:rsidRPr="0006397D">
        <w:rPr>
          <w:rFonts w:ascii="Times New Roman" w:hAnsi="Times New Roman" w:cs="Times New Roman"/>
          <w:i/>
          <w:iCs/>
          <w:noProof/>
        </w:rPr>
        <w:t>J. Polym. Sci. Part A Polym. Chem.</w:t>
      </w:r>
      <w:r w:rsidRPr="0006397D">
        <w:rPr>
          <w:rFonts w:ascii="Times New Roman" w:hAnsi="Times New Roman" w:cs="Times New Roman"/>
          <w:noProof/>
        </w:rPr>
        <w:t>, vol. 25, no. 2, pp. 739–742, Feb. 1987.</w:t>
      </w:r>
    </w:p>
    <w:p w14:paraId="7C124F5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[63]</w:t>
      </w:r>
      <w:r w:rsidRPr="0006397D">
        <w:rPr>
          <w:rFonts w:ascii="Times New Roman" w:hAnsi="Times New Roman" w:cs="Times New Roman"/>
          <w:noProof/>
        </w:rPr>
        <w:tab/>
        <w:t xml:space="preserve">C. Decker, “Light-induced crosslinking polymerization,” </w:t>
      </w:r>
      <w:r w:rsidRPr="0006397D">
        <w:rPr>
          <w:rFonts w:ascii="Times New Roman" w:hAnsi="Times New Roman" w:cs="Times New Roman"/>
          <w:i/>
          <w:iCs/>
          <w:noProof/>
        </w:rPr>
        <w:t>Polym. Int.</w:t>
      </w:r>
      <w:r w:rsidRPr="0006397D">
        <w:rPr>
          <w:rFonts w:ascii="Times New Roman" w:hAnsi="Times New Roman" w:cs="Times New Roman"/>
          <w:noProof/>
        </w:rPr>
        <w:t>, vol. 51, no. 11, pp. 1141–1150, Nov. 2002.</w:t>
      </w:r>
    </w:p>
    <w:p w14:paraId="657B5A2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[64]</w:t>
      </w:r>
      <w:r w:rsidRPr="0006397D">
        <w:rPr>
          <w:rFonts w:ascii="Times New Roman" w:hAnsi="Times New Roman" w:cs="Times New Roman"/>
          <w:noProof/>
        </w:rPr>
        <w:tab/>
        <w:t xml:space="preserve">R. Anastasio, W. Peerbooms, R. Cardinaels, and L. C. A. Van Breemen, “Characterization of Ultraviolet-Cured Methacrylate Networks: From Photopolymerization to Ultimate Mechanical Properties,” </w:t>
      </w:r>
      <w:r w:rsidRPr="0006397D">
        <w:rPr>
          <w:rFonts w:ascii="Times New Roman" w:hAnsi="Times New Roman" w:cs="Times New Roman"/>
          <w:i/>
          <w:iCs/>
          <w:noProof/>
        </w:rPr>
        <w:t>Macromolecules</w:t>
      </w:r>
      <w:r w:rsidRPr="0006397D">
        <w:rPr>
          <w:rFonts w:ascii="Times New Roman" w:hAnsi="Times New Roman" w:cs="Times New Roman"/>
          <w:noProof/>
        </w:rPr>
        <w:t>, vol. 52, no. 23, pp. 9220–9231, Dec. 2019.</w:t>
      </w:r>
    </w:p>
    <w:p w14:paraId="483E935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[65]</w:t>
      </w:r>
      <w:r w:rsidRPr="0006397D">
        <w:rPr>
          <w:rFonts w:ascii="Times New Roman" w:hAnsi="Times New Roman" w:cs="Times New Roman"/>
          <w:noProof/>
        </w:rPr>
        <w:tab/>
        <w:t xml:space="preserve">S. Black, “A growing trend: 3D printing of aerospace tooling : CompositesWorld,” </w:t>
      </w:r>
      <w:r w:rsidRPr="0006397D">
        <w:rPr>
          <w:rFonts w:ascii="Times New Roman" w:hAnsi="Times New Roman" w:cs="Times New Roman"/>
          <w:i/>
          <w:iCs/>
          <w:noProof/>
        </w:rPr>
        <w:t>CompositesWorld</w:t>
      </w:r>
      <w:r w:rsidRPr="0006397D">
        <w:rPr>
          <w:rFonts w:ascii="Times New Roman" w:hAnsi="Times New Roman" w:cs="Times New Roman"/>
          <w:noProof/>
        </w:rPr>
        <w:t>, 2015. [Online]. Available: http://www.compositesworld.com/articles/a-growing-trend-3d-printing-of-aerospace-tooling. [Accessed: 15-Jul-2017].</w:t>
      </w:r>
    </w:p>
    <w:p w14:paraId="23A820A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[66]</w:t>
      </w:r>
      <w:r w:rsidRPr="0006397D">
        <w:rPr>
          <w:rFonts w:ascii="Times New Roman" w:hAnsi="Times New Roman" w:cs="Times New Roman"/>
          <w:noProof/>
        </w:rPr>
        <w:tab/>
        <w:t xml:space="preserve">D. Brosius, “Tooling: 3D printing’s ‘killer app’ | CompositesWorld,” </w:t>
      </w:r>
      <w:r w:rsidRPr="0006397D">
        <w:rPr>
          <w:rFonts w:ascii="Times New Roman" w:hAnsi="Times New Roman" w:cs="Times New Roman"/>
          <w:i/>
          <w:iCs/>
          <w:noProof/>
        </w:rPr>
        <w:t>Composites World</w:t>
      </w:r>
      <w:r w:rsidRPr="0006397D">
        <w:rPr>
          <w:rFonts w:ascii="Times New Roman" w:hAnsi="Times New Roman" w:cs="Times New Roman"/>
          <w:noProof/>
        </w:rPr>
        <w:t>, Nov-2017.</w:t>
      </w:r>
    </w:p>
    <w:p w14:paraId="03F9F75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[67]</w:t>
      </w:r>
      <w:r w:rsidRPr="0006397D">
        <w:rPr>
          <w:rFonts w:ascii="Times New Roman" w:hAnsi="Times New Roman" w:cs="Times New Roman"/>
          <w:noProof/>
        </w:rPr>
        <w:tab/>
        <w:t xml:space="preserve">V. Kunc, J. Lindahl, R. Dinwiddie, and B. Post, “Investigation of In-Autoclave Additive Manufacturing Composite Tooling,” in </w:t>
      </w:r>
      <w:r w:rsidRPr="0006397D">
        <w:rPr>
          <w:rFonts w:ascii="Times New Roman" w:hAnsi="Times New Roman" w:cs="Times New Roman"/>
          <w:i/>
          <w:iCs/>
          <w:noProof/>
        </w:rPr>
        <w:t>CAMX Anaheim</w:t>
      </w:r>
      <w:r w:rsidRPr="0006397D">
        <w:rPr>
          <w:rFonts w:ascii="Times New Roman" w:hAnsi="Times New Roman" w:cs="Times New Roman"/>
          <w:noProof/>
        </w:rPr>
        <w:t>, 2016.</w:t>
      </w:r>
    </w:p>
    <w:p w14:paraId="2792BFC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[68]</w:t>
      </w:r>
      <w:r w:rsidRPr="0006397D">
        <w:rPr>
          <w:rFonts w:ascii="Times New Roman" w:hAnsi="Times New Roman" w:cs="Times New Roman"/>
          <w:noProof/>
        </w:rPr>
        <w:tab/>
        <w:t xml:space="preserve">V. Kishore </w:t>
      </w:r>
      <w:r w:rsidRPr="0006397D">
        <w:rPr>
          <w:rFonts w:ascii="Times New Roman" w:hAnsi="Times New Roman" w:cs="Times New Roman"/>
          <w:i/>
          <w:iCs/>
          <w:noProof/>
        </w:rPr>
        <w:t>et al.</w:t>
      </w:r>
      <w:r w:rsidRPr="0006397D">
        <w:rPr>
          <w:rFonts w:ascii="Times New Roman" w:hAnsi="Times New Roman" w:cs="Times New Roman"/>
          <w:noProof/>
        </w:rPr>
        <w:t>, “Additive manufacturing of high performance semicrystalline thermoplastics and their composites.”</w:t>
      </w:r>
    </w:p>
    <w:p w14:paraId="43D4738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[69]</w:t>
      </w:r>
      <w:r w:rsidRPr="0006397D">
        <w:rPr>
          <w:rFonts w:ascii="Times New Roman" w:hAnsi="Times New Roman" w:cs="Times New Roman"/>
          <w:noProof/>
        </w:rPr>
        <w:tab/>
        <w:t>V. Kunc, J. R. Ilkka, S. L. Voeks, and J. M. Lindahl, “Vinylester and Polyester 3D Printing,” Oak Ridge, 2018.</w:t>
      </w:r>
    </w:p>
    <w:p w14:paraId="48612FB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[70]</w:t>
      </w:r>
      <w:r w:rsidRPr="0006397D">
        <w:rPr>
          <w:rFonts w:ascii="Times New Roman" w:hAnsi="Times New Roman" w:cs="Times New Roman"/>
          <w:noProof/>
        </w:rPr>
        <w:tab/>
        <w:t xml:space="preserve">M. Invernizzi, G. Natale, M. Levi, S. Turri, and G. Griffini, “UV-Assisted 3D Printing of Glass and Carbon Fiber-Reinforced Dual-Cure Polymer Composites,” </w:t>
      </w:r>
      <w:r w:rsidRPr="0006397D">
        <w:rPr>
          <w:rFonts w:ascii="Times New Roman" w:hAnsi="Times New Roman" w:cs="Times New Roman"/>
          <w:i/>
          <w:iCs/>
          <w:noProof/>
        </w:rPr>
        <w:t>Materials (Basel).</w:t>
      </w:r>
      <w:r w:rsidRPr="0006397D">
        <w:rPr>
          <w:rFonts w:ascii="Times New Roman" w:hAnsi="Times New Roman" w:cs="Times New Roman"/>
          <w:noProof/>
        </w:rPr>
        <w:t>, vol. 9, no. 7, p. 583, Jul. 2016.</w:t>
      </w:r>
    </w:p>
    <w:p w14:paraId="5370CE0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[71]</w:t>
      </w:r>
      <w:r w:rsidRPr="0006397D">
        <w:rPr>
          <w:rFonts w:ascii="Times New Roman" w:hAnsi="Times New Roman" w:cs="Times New Roman"/>
          <w:noProof/>
        </w:rPr>
        <w:tab/>
        <w:t>“Moi Composites debuts 3D-printed glass fiber boat | CompositesWorld.” [Online]. Available: https://www.compositesworld.com/news/moi-composites-debuts-3d-printed-glass-fiber-boat. [Accessed: 19-Nov-2020].</w:t>
      </w:r>
    </w:p>
    <w:p w14:paraId="299DE6F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[72]</w:t>
      </w:r>
      <w:r w:rsidRPr="0006397D">
        <w:rPr>
          <w:rFonts w:ascii="Times New Roman" w:hAnsi="Times New Roman" w:cs="Times New Roman"/>
          <w:noProof/>
        </w:rPr>
        <w:tab/>
        <w:t xml:space="preserve">M. Dewaele </w:t>
      </w:r>
      <w:r w:rsidRPr="0006397D">
        <w:rPr>
          <w:rFonts w:ascii="Times New Roman" w:hAnsi="Times New Roman" w:cs="Times New Roman"/>
          <w:i/>
          <w:iCs/>
          <w:noProof/>
        </w:rPr>
        <w:t>et al.</w:t>
      </w:r>
      <w:r w:rsidRPr="0006397D">
        <w:rPr>
          <w:rFonts w:ascii="Times New Roman" w:hAnsi="Times New Roman" w:cs="Times New Roman"/>
          <w:noProof/>
        </w:rPr>
        <w:t xml:space="preserve">, “Influence of curing protocol on selected properties of light-curing polymers: Degree of conversion, volume contraction, elastic modulus, and glass transition temperature,” </w:t>
      </w:r>
      <w:r w:rsidRPr="0006397D">
        <w:rPr>
          <w:rFonts w:ascii="Times New Roman" w:hAnsi="Times New Roman" w:cs="Times New Roman"/>
          <w:i/>
          <w:iCs/>
          <w:noProof/>
        </w:rPr>
        <w:t>Dent. Mater.</w:t>
      </w:r>
      <w:r w:rsidRPr="0006397D">
        <w:rPr>
          <w:rFonts w:ascii="Times New Roman" w:hAnsi="Times New Roman" w:cs="Times New Roman"/>
          <w:noProof/>
        </w:rPr>
        <w:t>, vol. 25, no. 12, pp. 1576–1584, Dec. 2009.</w:t>
      </w:r>
    </w:p>
    <w:p w14:paraId="29B2A9E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[73]</w:t>
      </w:r>
      <w:r w:rsidRPr="0006397D">
        <w:rPr>
          <w:rFonts w:ascii="Times New Roman" w:hAnsi="Times New Roman" w:cs="Times New Roman"/>
          <w:noProof/>
        </w:rPr>
        <w:tab/>
        <w:t xml:space="preserve">S. C. Ligon, R. Liska, J. Stampfl, M. Gurr, and R. Mülhaupt, “Polymers for 3D Printing and Customized Additive Manufacturing,” </w:t>
      </w:r>
      <w:r w:rsidRPr="0006397D">
        <w:rPr>
          <w:rFonts w:ascii="Times New Roman" w:hAnsi="Times New Roman" w:cs="Times New Roman"/>
          <w:i/>
          <w:iCs/>
          <w:noProof/>
        </w:rPr>
        <w:t>Chem. Rev.</w:t>
      </w:r>
      <w:r w:rsidRPr="0006397D">
        <w:rPr>
          <w:rFonts w:ascii="Times New Roman" w:hAnsi="Times New Roman" w:cs="Times New Roman"/>
          <w:noProof/>
        </w:rPr>
        <w:t>, vol. 117, no. 15, pp. 10212–10290, Aug. 2017.</w:t>
      </w:r>
    </w:p>
    <w:p w14:paraId="462D261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[74]</w:t>
      </w:r>
      <w:r w:rsidRPr="0006397D">
        <w:rPr>
          <w:rFonts w:ascii="Times New Roman" w:hAnsi="Times New Roman" w:cs="Times New Roman"/>
          <w:noProof/>
        </w:rPr>
        <w:tab/>
        <w:t xml:space="preserve">T. Chartier, A. Badev, Y. Abouliatim, P. Lebaudy, and L. Lecamp, “Stereolithography process: Influence of the rheology of silica suspensions and of the medium on polymerization kinetics – Cured depth and width,” </w:t>
      </w:r>
      <w:r w:rsidRPr="0006397D">
        <w:rPr>
          <w:rFonts w:ascii="Times New Roman" w:hAnsi="Times New Roman" w:cs="Times New Roman"/>
          <w:i/>
          <w:iCs/>
          <w:noProof/>
        </w:rPr>
        <w:t>J. Eur. Ceram. Soc.</w:t>
      </w:r>
      <w:r w:rsidRPr="0006397D">
        <w:rPr>
          <w:rFonts w:ascii="Times New Roman" w:hAnsi="Times New Roman" w:cs="Times New Roman"/>
          <w:noProof/>
        </w:rPr>
        <w:t>, vol. 32, no. 8, pp. 1625–1634, Jul. 2012.</w:t>
      </w:r>
    </w:p>
    <w:p w14:paraId="4D1BF18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[75]</w:t>
      </w:r>
      <w:r w:rsidRPr="0006397D">
        <w:rPr>
          <w:rFonts w:ascii="Times New Roman" w:hAnsi="Times New Roman" w:cs="Times New Roman"/>
          <w:noProof/>
        </w:rPr>
        <w:tab/>
        <w:t xml:space="preserve">Y. Luo, G. Le Fer, D. Dean, and M. L. Becker, “3D Printing of Poly(propylene fumarate) Oligomers: Evaluation of Resin Viscosity, Printing Characteristics and Mechanical Properties,” </w:t>
      </w:r>
      <w:r w:rsidRPr="0006397D">
        <w:rPr>
          <w:rFonts w:ascii="Times New Roman" w:hAnsi="Times New Roman" w:cs="Times New Roman"/>
          <w:i/>
          <w:iCs/>
          <w:noProof/>
        </w:rPr>
        <w:t>Biomacromolecules</w:t>
      </w:r>
      <w:r w:rsidRPr="0006397D">
        <w:rPr>
          <w:rFonts w:ascii="Times New Roman" w:hAnsi="Times New Roman" w:cs="Times New Roman"/>
          <w:noProof/>
        </w:rPr>
        <w:t>, vol. 20, no. 4, pp. 1699–1708, Apr. 2019.</w:t>
      </w:r>
    </w:p>
    <w:p w14:paraId="440E0E2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[76]</w:t>
      </w:r>
      <w:r w:rsidRPr="0006397D">
        <w:rPr>
          <w:rFonts w:ascii="Times New Roman" w:hAnsi="Times New Roman" w:cs="Times New Roman"/>
          <w:noProof/>
        </w:rPr>
        <w:tab/>
        <w:t xml:space="preserve">D. Dean </w:t>
      </w:r>
      <w:r w:rsidRPr="0006397D">
        <w:rPr>
          <w:rFonts w:ascii="Times New Roman" w:hAnsi="Times New Roman" w:cs="Times New Roman"/>
          <w:i/>
          <w:iCs/>
          <w:noProof/>
        </w:rPr>
        <w:t>et al.</w:t>
      </w:r>
      <w:r w:rsidRPr="0006397D">
        <w:rPr>
          <w:rFonts w:ascii="Times New Roman" w:hAnsi="Times New Roman" w:cs="Times New Roman"/>
          <w:noProof/>
        </w:rPr>
        <w:t xml:space="preserve">, “Continuous digital light processing (cDLP): Highly accurate additive manufacturing of tissue engineered bone scaffolds,” </w:t>
      </w:r>
      <w:r w:rsidRPr="0006397D">
        <w:rPr>
          <w:rFonts w:ascii="Times New Roman" w:hAnsi="Times New Roman" w:cs="Times New Roman"/>
          <w:i/>
          <w:iCs/>
          <w:noProof/>
        </w:rPr>
        <w:t>http://dx.doi.org.utk.idm.oclc.org/10.1080/17452759.2012.673152</w:t>
      </w:r>
      <w:r w:rsidRPr="0006397D">
        <w:rPr>
          <w:rFonts w:ascii="Times New Roman" w:hAnsi="Times New Roman" w:cs="Times New Roman"/>
          <w:noProof/>
        </w:rPr>
        <w:t>, vol. 7, no. 1, pp. 13–24, Mar. 2012.</w:t>
      </w:r>
    </w:p>
    <w:p w14:paraId="6A41D1E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[77]</w:t>
      </w:r>
      <w:r w:rsidRPr="0006397D">
        <w:rPr>
          <w:rFonts w:ascii="Times New Roman" w:hAnsi="Times New Roman" w:cs="Times New Roman"/>
          <w:noProof/>
        </w:rPr>
        <w:tab/>
        <w:t xml:space="preserve">Q. Mu </w:t>
      </w:r>
      <w:r w:rsidRPr="0006397D">
        <w:rPr>
          <w:rFonts w:ascii="Times New Roman" w:hAnsi="Times New Roman" w:cs="Times New Roman"/>
          <w:i/>
          <w:iCs/>
          <w:noProof/>
        </w:rPr>
        <w:t>et al.</w:t>
      </w:r>
      <w:r w:rsidRPr="0006397D">
        <w:rPr>
          <w:rFonts w:ascii="Times New Roman" w:hAnsi="Times New Roman" w:cs="Times New Roman"/>
          <w:noProof/>
        </w:rPr>
        <w:t xml:space="preserve">, “Digital light processing 3D printing of conductive complex structures,” </w:t>
      </w:r>
      <w:r w:rsidRPr="0006397D">
        <w:rPr>
          <w:rFonts w:ascii="Times New Roman" w:hAnsi="Times New Roman" w:cs="Times New Roman"/>
          <w:i/>
          <w:iCs/>
          <w:noProof/>
        </w:rPr>
        <w:t>Addit. Manuf.</w:t>
      </w:r>
      <w:r w:rsidRPr="0006397D">
        <w:rPr>
          <w:rFonts w:ascii="Times New Roman" w:hAnsi="Times New Roman" w:cs="Times New Roman"/>
          <w:noProof/>
        </w:rPr>
        <w:t>, vol. 18, pp. 74–83, Dec. 2017.</w:t>
      </w:r>
    </w:p>
    <w:p w14:paraId="7A1E355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[78]</w:t>
      </w:r>
      <w:r w:rsidRPr="0006397D">
        <w:rPr>
          <w:rFonts w:ascii="Times New Roman" w:hAnsi="Times New Roman" w:cs="Times New Roman"/>
          <w:noProof/>
        </w:rPr>
        <w:tab/>
        <w:t xml:space="preserve">J. W. Choi, R. Wicker, S. H. Lee, K. H. Choi, C. S. Ha, and I. Chung, “Fabrication of 3D biocompatible/biodegradable micro-scaffolds using dynamic mask projection microstereolithography,” </w:t>
      </w:r>
      <w:r w:rsidRPr="0006397D">
        <w:rPr>
          <w:rFonts w:ascii="Times New Roman" w:hAnsi="Times New Roman" w:cs="Times New Roman"/>
          <w:i/>
          <w:iCs/>
          <w:noProof/>
        </w:rPr>
        <w:t>J. Mater. Process. Technol.</w:t>
      </w:r>
      <w:r w:rsidRPr="0006397D">
        <w:rPr>
          <w:rFonts w:ascii="Times New Roman" w:hAnsi="Times New Roman" w:cs="Times New Roman"/>
          <w:noProof/>
        </w:rPr>
        <w:t>, vol. 209, no. 15–16, pp. 5494–5503, Aug. 2009.</w:t>
      </w:r>
    </w:p>
    <w:p w14:paraId="73F0AA0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[79]</w:t>
      </w:r>
      <w:r w:rsidRPr="0006397D">
        <w:rPr>
          <w:rFonts w:ascii="Times New Roman" w:hAnsi="Times New Roman" w:cs="Times New Roman"/>
          <w:noProof/>
        </w:rPr>
        <w:tab/>
        <w:t xml:space="preserve">I. Gibson, D. W. Rosen, and B. Stucker, </w:t>
      </w:r>
      <w:r w:rsidRPr="0006397D">
        <w:rPr>
          <w:rFonts w:ascii="Times New Roman" w:hAnsi="Times New Roman" w:cs="Times New Roman"/>
          <w:i/>
          <w:iCs/>
          <w:noProof/>
        </w:rPr>
        <w:t>Additive Manufacturing Technologies Rapid Prototyping to Direct Digital Manufacturing</w:t>
      </w:r>
      <w:r w:rsidRPr="0006397D">
        <w:rPr>
          <w:rFonts w:ascii="Times New Roman" w:hAnsi="Times New Roman" w:cs="Times New Roman"/>
          <w:noProof/>
        </w:rPr>
        <w:t>. Springer, 2010.</w:t>
      </w:r>
    </w:p>
    <w:p w14:paraId="72B70E7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[80]</w:t>
      </w:r>
      <w:r w:rsidRPr="0006397D">
        <w:rPr>
          <w:rFonts w:ascii="Times New Roman" w:hAnsi="Times New Roman" w:cs="Times New Roman"/>
          <w:noProof/>
        </w:rPr>
        <w:tab/>
        <w:t xml:space="preserve">B. Derby and N. Reis, “Inkjet Printing of Highly Loaded Particulate Suspensions,” </w:t>
      </w:r>
      <w:r w:rsidRPr="0006397D">
        <w:rPr>
          <w:rFonts w:ascii="Times New Roman" w:hAnsi="Times New Roman" w:cs="Times New Roman"/>
          <w:i/>
          <w:iCs/>
          <w:noProof/>
        </w:rPr>
        <w:t>MRS Bull.</w:t>
      </w:r>
      <w:r w:rsidRPr="0006397D">
        <w:rPr>
          <w:rFonts w:ascii="Times New Roman" w:hAnsi="Times New Roman" w:cs="Times New Roman"/>
          <w:noProof/>
        </w:rPr>
        <w:t>, vol. 28, no. 11, pp. 815–818, 2003.</w:t>
      </w:r>
    </w:p>
    <w:p w14:paraId="73B352F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[81]</w:t>
      </w:r>
      <w:r w:rsidRPr="0006397D">
        <w:rPr>
          <w:rFonts w:ascii="Times New Roman" w:hAnsi="Times New Roman" w:cs="Times New Roman"/>
          <w:noProof/>
        </w:rPr>
        <w:tab/>
        <w:t xml:space="preserve">B. J. De Gans, P. C. Duineveld, and U. S. Schubert, “Inkjet Printing of Polymers: State of the Art and Future Developments,” </w:t>
      </w:r>
      <w:r w:rsidRPr="0006397D">
        <w:rPr>
          <w:rFonts w:ascii="Times New Roman" w:hAnsi="Times New Roman" w:cs="Times New Roman"/>
          <w:i/>
          <w:iCs/>
          <w:noProof/>
        </w:rPr>
        <w:t>Adv. Mater.</w:t>
      </w:r>
      <w:r w:rsidRPr="0006397D">
        <w:rPr>
          <w:rFonts w:ascii="Times New Roman" w:hAnsi="Times New Roman" w:cs="Times New Roman"/>
          <w:noProof/>
        </w:rPr>
        <w:t>, vol. 16, no. 3, pp. 203–</w:t>
      </w:r>
      <w:r w:rsidRPr="0006397D">
        <w:rPr>
          <w:rFonts w:ascii="Times New Roman" w:hAnsi="Times New Roman" w:cs="Times New Roman"/>
          <w:noProof/>
        </w:rPr>
        <w:lastRenderedPageBreak/>
        <w:t>213, Feb. 2004.</w:t>
      </w:r>
    </w:p>
    <w:p w14:paraId="4183605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[82]</w:t>
      </w:r>
      <w:r w:rsidRPr="0006397D">
        <w:rPr>
          <w:rFonts w:ascii="Times New Roman" w:hAnsi="Times New Roman" w:cs="Times New Roman"/>
          <w:noProof/>
        </w:rPr>
        <w:tab/>
        <w:t xml:space="preserve">N. S. Hmeidat, D. S. Elkins, H. R. Peter, V. Kumar, and B. G. Compton, “Processing and mechanical characterization of short carbon fiber-reinforced epoxy composites for material extrusion additive manufacturing ,” </w:t>
      </w:r>
      <w:r w:rsidRPr="0006397D">
        <w:rPr>
          <w:rFonts w:ascii="Times New Roman" w:hAnsi="Times New Roman" w:cs="Times New Roman"/>
          <w:i/>
          <w:iCs/>
          <w:noProof/>
        </w:rPr>
        <w:t>Compos. Part B</w:t>
      </w:r>
      <w:r w:rsidRPr="0006397D">
        <w:rPr>
          <w:rFonts w:ascii="Times New Roman" w:hAnsi="Times New Roman" w:cs="Times New Roman"/>
          <w:noProof/>
        </w:rPr>
        <w:t>, vol. 223, pp. 1359–8368, 2021.</w:t>
      </w:r>
    </w:p>
    <w:p w14:paraId="6813DED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[83]</w:t>
      </w:r>
      <w:r w:rsidRPr="0006397D">
        <w:rPr>
          <w:rFonts w:ascii="Times New Roman" w:hAnsi="Times New Roman" w:cs="Times New Roman"/>
          <w:noProof/>
        </w:rPr>
        <w:tab/>
        <w:t xml:space="preserve">B. G. Compton and J. A. Lewis, “3D-Printing of Lightweight Cellular Composites,” </w:t>
      </w:r>
      <w:r w:rsidRPr="0006397D">
        <w:rPr>
          <w:rFonts w:ascii="Times New Roman" w:hAnsi="Times New Roman" w:cs="Times New Roman"/>
          <w:i/>
          <w:iCs/>
          <w:noProof/>
        </w:rPr>
        <w:t>Adv. Mater.</w:t>
      </w:r>
      <w:r w:rsidRPr="0006397D">
        <w:rPr>
          <w:rFonts w:ascii="Times New Roman" w:hAnsi="Times New Roman" w:cs="Times New Roman"/>
          <w:noProof/>
        </w:rPr>
        <w:t>, vol. 26, no. 34, pp. 5930–5935, Sep. 2014.</w:t>
      </w:r>
    </w:p>
    <w:p w14:paraId="5D59CEC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[84]</w:t>
      </w:r>
      <w:r w:rsidRPr="0006397D">
        <w:rPr>
          <w:rFonts w:ascii="Times New Roman" w:hAnsi="Times New Roman" w:cs="Times New Roman"/>
          <w:noProof/>
        </w:rPr>
        <w:tab/>
        <w:t xml:space="preserve">R. D. Farahani, L. L. Lebel, and D. Therriault, “Processing parameters investigation for the fabrication of self-supported and freeform polymeric microstructures using ultraviolet-assisted three-dimensional printing,” </w:t>
      </w:r>
      <w:r w:rsidRPr="0006397D">
        <w:rPr>
          <w:rFonts w:ascii="Times New Roman" w:hAnsi="Times New Roman" w:cs="Times New Roman"/>
          <w:i/>
          <w:iCs/>
          <w:noProof/>
        </w:rPr>
        <w:t>J. Micromechanics Microengineering</w:t>
      </w:r>
      <w:r w:rsidRPr="0006397D">
        <w:rPr>
          <w:rFonts w:ascii="Times New Roman" w:hAnsi="Times New Roman" w:cs="Times New Roman"/>
          <w:noProof/>
        </w:rPr>
        <w:t>, vol. 24, no. 5, p. 055020, May 2014.</w:t>
      </w:r>
    </w:p>
    <w:p w14:paraId="595D8F5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[85]</w:t>
      </w:r>
      <w:r w:rsidRPr="0006397D">
        <w:rPr>
          <w:rFonts w:ascii="Times New Roman" w:hAnsi="Times New Roman" w:cs="Times New Roman"/>
          <w:noProof/>
        </w:rPr>
        <w:tab/>
        <w:t>G. Griffini, M. Invernizzi, M. Levi, G. Natale, G. Postiglione, and S. Turri, “3D-printable CFR polymer composites with dual-cure sequential IPNs,” 2016.</w:t>
      </w:r>
    </w:p>
    <w:p w14:paraId="7551C70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[86]</w:t>
      </w:r>
      <w:r w:rsidRPr="0006397D">
        <w:rPr>
          <w:rFonts w:ascii="Times New Roman" w:hAnsi="Times New Roman" w:cs="Times New Roman"/>
          <w:noProof/>
        </w:rPr>
        <w:tab/>
        <w:t xml:space="preserve">S. K. Romberg </w:t>
      </w:r>
      <w:r w:rsidRPr="0006397D">
        <w:rPr>
          <w:rFonts w:ascii="Times New Roman" w:hAnsi="Times New Roman" w:cs="Times New Roman"/>
          <w:i/>
          <w:iCs/>
          <w:noProof/>
        </w:rPr>
        <w:t>et al.</w:t>
      </w:r>
      <w:r w:rsidRPr="0006397D">
        <w:rPr>
          <w:rFonts w:ascii="Times New Roman" w:hAnsi="Times New Roman" w:cs="Times New Roman"/>
          <w:noProof/>
        </w:rPr>
        <w:t xml:space="preserve">, “Linking thermoset ink rheology to the stability of 3D-printed structures,” </w:t>
      </w:r>
      <w:r w:rsidRPr="0006397D">
        <w:rPr>
          <w:rFonts w:ascii="Times New Roman" w:hAnsi="Times New Roman" w:cs="Times New Roman"/>
          <w:i/>
          <w:iCs/>
          <w:noProof/>
        </w:rPr>
        <w:t>Addit. Manuf.</w:t>
      </w:r>
      <w:r w:rsidRPr="0006397D">
        <w:rPr>
          <w:rFonts w:ascii="Times New Roman" w:hAnsi="Times New Roman" w:cs="Times New Roman"/>
          <w:noProof/>
        </w:rPr>
        <w:t>, p. 101621, Oct. 2020.</w:t>
      </w:r>
    </w:p>
    <w:p w14:paraId="5D4DA5D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[87]</w:t>
      </w:r>
      <w:r w:rsidRPr="0006397D">
        <w:rPr>
          <w:rFonts w:ascii="Times New Roman" w:hAnsi="Times New Roman" w:cs="Times New Roman"/>
          <w:noProof/>
        </w:rPr>
        <w:tab/>
        <w:t xml:space="preserve">N. S. Hmeidat, J. W. Kemp, and B. G. Compton, “High-strength epoxy nanocomposites for 3D printing,” </w:t>
      </w:r>
      <w:r w:rsidRPr="0006397D">
        <w:rPr>
          <w:rFonts w:ascii="Times New Roman" w:hAnsi="Times New Roman" w:cs="Times New Roman"/>
          <w:i/>
          <w:iCs/>
          <w:noProof/>
        </w:rPr>
        <w:t>Compos. Sci. Technol.</w:t>
      </w:r>
      <w:r w:rsidRPr="0006397D">
        <w:rPr>
          <w:rFonts w:ascii="Times New Roman" w:hAnsi="Times New Roman" w:cs="Times New Roman"/>
          <w:noProof/>
        </w:rPr>
        <w:t>, vol. 160, pp. 9–20, May 2018.</w:t>
      </w:r>
    </w:p>
    <w:p w14:paraId="06DF456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[88]</w:t>
      </w:r>
      <w:r w:rsidRPr="0006397D">
        <w:rPr>
          <w:rFonts w:ascii="Times New Roman" w:hAnsi="Times New Roman" w:cs="Times New Roman"/>
          <w:noProof/>
        </w:rPr>
        <w:tab/>
        <w:t xml:space="preserve">R. D. Farahani </w:t>
      </w:r>
      <w:r w:rsidRPr="0006397D">
        <w:rPr>
          <w:rFonts w:ascii="Times New Roman" w:hAnsi="Times New Roman" w:cs="Times New Roman"/>
          <w:i/>
          <w:iCs/>
          <w:noProof/>
        </w:rPr>
        <w:t>et al.</w:t>
      </w:r>
      <w:r w:rsidRPr="0006397D">
        <w:rPr>
          <w:rFonts w:ascii="Times New Roman" w:hAnsi="Times New Roman" w:cs="Times New Roman"/>
          <w:noProof/>
        </w:rPr>
        <w:t xml:space="preserve">, “Direct-write fabrication of freestanding nanocomposite strain sensors,” </w:t>
      </w:r>
      <w:r w:rsidRPr="0006397D">
        <w:rPr>
          <w:rFonts w:ascii="Times New Roman" w:hAnsi="Times New Roman" w:cs="Times New Roman"/>
          <w:i/>
          <w:iCs/>
          <w:noProof/>
        </w:rPr>
        <w:t>Nanotechnology</w:t>
      </w:r>
      <w:r w:rsidRPr="0006397D">
        <w:rPr>
          <w:rFonts w:ascii="Times New Roman" w:hAnsi="Times New Roman" w:cs="Times New Roman"/>
          <w:noProof/>
        </w:rPr>
        <w:t>, vol. 23, 2012.</w:t>
      </w:r>
    </w:p>
    <w:p w14:paraId="3E7556C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[89]</w:t>
      </w:r>
      <w:r w:rsidRPr="0006397D">
        <w:rPr>
          <w:rFonts w:ascii="Times New Roman" w:hAnsi="Times New Roman" w:cs="Times New Roman"/>
          <w:noProof/>
        </w:rPr>
        <w:tab/>
        <w:t xml:space="preserve">B. Abedian, F. Garcia-Godoy, and F. Garcia-Godoy, “A study of localized curing of glass-filled composites using microhardness measurements,” </w:t>
      </w:r>
      <w:r w:rsidRPr="0006397D">
        <w:rPr>
          <w:rFonts w:ascii="Times New Roman" w:hAnsi="Times New Roman" w:cs="Times New Roman"/>
          <w:i/>
          <w:iCs/>
          <w:noProof/>
        </w:rPr>
        <w:t>J. Appl. Polym. Sci.</w:t>
      </w:r>
      <w:r w:rsidRPr="0006397D">
        <w:rPr>
          <w:rFonts w:ascii="Times New Roman" w:hAnsi="Times New Roman" w:cs="Times New Roman"/>
          <w:noProof/>
        </w:rPr>
        <w:t>, vol. 97, no. 1, pp. 426–431, Jul. 2005.</w:t>
      </w:r>
    </w:p>
    <w:p w14:paraId="368F078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[90]</w:t>
      </w:r>
      <w:r w:rsidRPr="0006397D">
        <w:rPr>
          <w:rFonts w:ascii="Times New Roman" w:hAnsi="Times New Roman" w:cs="Times New Roman"/>
          <w:noProof/>
        </w:rPr>
        <w:tab/>
        <w:t xml:space="preserve">J. A. Arceneaux, “Mitigation of Oxygen Inhibition in UV LED, UVA, and Low Intensity UV Cure,” in </w:t>
      </w:r>
      <w:r w:rsidRPr="0006397D">
        <w:rPr>
          <w:rFonts w:ascii="Times New Roman" w:hAnsi="Times New Roman" w:cs="Times New Roman"/>
          <w:i/>
          <w:iCs/>
          <w:noProof/>
        </w:rPr>
        <w:t>RadTech UV&amp;EB 2014</w:t>
      </w:r>
      <w:r w:rsidRPr="0006397D">
        <w:rPr>
          <w:rFonts w:ascii="Times New Roman" w:hAnsi="Times New Roman" w:cs="Times New Roman"/>
          <w:noProof/>
        </w:rPr>
        <w:t>, 2014.</w:t>
      </w:r>
    </w:p>
    <w:p w14:paraId="281FB95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[91]</w:t>
      </w:r>
      <w:r w:rsidRPr="0006397D">
        <w:rPr>
          <w:rFonts w:ascii="Times New Roman" w:hAnsi="Times New Roman" w:cs="Times New Roman"/>
          <w:noProof/>
        </w:rPr>
        <w:tab/>
        <w:t xml:space="preserve">“Lab Report: Raw Material Selection for UV LED,” 2017. [Online]. Available: </w:t>
      </w:r>
      <w:r w:rsidRPr="0006397D">
        <w:rPr>
          <w:rFonts w:ascii="Times New Roman" w:hAnsi="Times New Roman" w:cs="Times New Roman"/>
          <w:noProof/>
        </w:rPr>
        <w:lastRenderedPageBreak/>
        <w:t>https://www.rahn-group.com/en/energycuring/led-feature-copy/.</w:t>
      </w:r>
    </w:p>
    <w:p w14:paraId="6415A0B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[92]</w:t>
      </w:r>
      <w:r w:rsidRPr="0006397D">
        <w:rPr>
          <w:rFonts w:ascii="Times New Roman" w:hAnsi="Times New Roman" w:cs="Times New Roman"/>
          <w:noProof/>
        </w:rPr>
        <w:tab/>
        <w:t xml:space="preserve">K. S. Anseth, C. N. Bowman, and N. A. Peppas, “Dynamic mechanical studies of the glass transition temperature of photopolymerized multifunctional acrylates,” </w:t>
      </w:r>
      <w:r w:rsidRPr="0006397D">
        <w:rPr>
          <w:rFonts w:ascii="Times New Roman" w:hAnsi="Times New Roman" w:cs="Times New Roman"/>
          <w:i/>
          <w:iCs/>
          <w:noProof/>
        </w:rPr>
        <w:t>Polym. Bull.</w:t>
      </w:r>
      <w:r w:rsidRPr="0006397D">
        <w:rPr>
          <w:rFonts w:ascii="Times New Roman" w:hAnsi="Times New Roman" w:cs="Times New Roman"/>
          <w:noProof/>
        </w:rPr>
        <w:t>, vol. 31, no. 2, pp. 229–233, Aug. 1993.</w:t>
      </w:r>
    </w:p>
    <w:p w14:paraId="2CC32DC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[93]</w:t>
      </w:r>
      <w:r w:rsidRPr="0006397D">
        <w:rPr>
          <w:rFonts w:ascii="Times New Roman" w:hAnsi="Times New Roman" w:cs="Times New Roman"/>
          <w:noProof/>
        </w:rPr>
        <w:tab/>
        <w:t xml:space="preserve">C. N. Bowman, A. L. Carver, S. N. Kennett, M. M. Williams, and N. A. Peppas, “Polymers for information storage systems III. Crosslinked structure of polydimethacrylates,” </w:t>
      </w:r>
      <w:r w:rsidRPr="0006397D">
        <w:rPr>
          <w:rFonts w:ascii="Times New Roman" w:hAnsi="Times New Roman" w:cs="Times New Roman"/>
          <w:i/>
          <w:iCs/>
          <w:noProof/>
        </w:rPr>
        <w:t>Polymer (Guildf).</w:t>
      </w:r>
      <w:r w:rsidRPr="0006397D">
        <w:rPr>
          <w:rFonts w:ascii="Times New Roman" w:hAnsi="Times New Roman" w:cs="Times New Roman"/>
          <w:noProof/>
        </w:rPr>
        <w:t>, vol. 31, no. 1, pp. 135–139, Jan. 1990.</w:t>
      </w:r>
    </w:p>
    <w:p w14:paraId="56BEEB1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[94]</w:t>
      </w:r>
      <w:r w:rsidRPr="0006397D">
        <w:rPr>
          <w:rFonts w:ascii="Times New Roman" w:hAnsi="Times New Roman" w:cs="Times New Roman"/>
          <w:noProof/>
        </w:rPr>
        <w:tab/>
        <w:t xml:space="preserve">R. B. Prime and J. Gotro, “Experimental Aspects of Dynamic Mechanical Analysis (DMA),” in </w:t>
      </w:r>
      <w:r w:rsidRPr="0006397D">
        <w:rPr>
          <w:rFonts w:ascii="Times New Roman" w:hAnsi="Times New Roman" w:cs="Times New Roman"/>
          <w:i/>
          <w:iCs/>
          <w:noProof/>
        </w:rPr>
        <w:t>Thermoset Characterization Handbook</w:t>
      </w:r>
      <w:r w:rsidRPr="0006397D">
        <w:rPr>
          <w:rFonts w:ascii="Times New Roman" w:hAnsi="Times New Roman" w:cs="Times New Roman"/>
          <w:noProof/>
        </w:rPr>
        <w:t>, 1st ed., Rancho Santa Margarita: InnoCentrix, LLC, 2021, pp. 58–61.</w:t>
      </w:r>
    </w:p>
    <w:p w14:paraId="754E21C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[95]</w:t>
      </w:r>
      <w:r w:rsidRPr="0006397D">
        <w:rPr>
          <w:rFonts w:ascii="Times New Roman" w:hAnsi="Times New Roman" w:cs="Times New Roman"/>
          <w:noProof/>
        </w:rPr>
        <w:tab/>
        <w:t xml:space="preserve">A. Rudin and P. Choi, “Mechanical Properties of Polymer Solids and Liquids,” in </w:t>
      </w:r>
      <w:r w:rsidRPr="0006397D">
        <w:rPr>
          <w:rFonts w:ascii="Times New Roman" w:hAnsi="Times New Roman" w:cs="Times New Roman"/>
          <w:i/>
          <w:iCs/>
          <w:noProof/>
        </w:rPr>
        <w:t>The Elements of Polymer Science &amp; Engineering</w:t>
      </w:r>
      <w:r w:rsidRPr="0006397D">
        <w:rPr>
          <w:rFonts w:ascii="Times New Roman" w:hAnsi="Times New Roman" w:cs="Times New Roman"/>
          <w:noProof/>
        </w:rPr>
        <w:t>, 3rd ed., Cambridge: Academic Press, 2013, pp. 149–229.</w:t>
      </w:r>
    </w:p>
    <w:p w14:paraId="5173C21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[96]</w:t>
      </w:r>
      <w:r w:rsidRPr="0006397D">
        <w:rPr>
          <w:rFonts w:ascii="Times New Roman" w:hAnsi="Times New Roman" w:cs="Times New Roman"/>
          <w:noProof/>
        </w:rPr>
        <w:tab/>
        <w:t>A. A. Hassen, J. Lindahl, and S. Kim, “LARGE SCALE ADDITIVELY MANUFACTURED TOOLING FOR COMPOSITES 15 TH JAPAN INTERNATIONAL SAMPE SYMPOSIUM AND EXHIBITION,” 2017.</w:t>
      </w:r>
    </w:p>
    <w:p w14:paraId="60EAAA2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[97]</w:t>
      </w:r>
      <w:r w:rsidRPr="0006397D">
        <w:rPr>
          <w:rFonts w:ascii="Times New Roman" w:hAnsi="Times New Roman" w:cs="Times New Roman"/>
          <w:noProof/>
        </w:rPr>
        <w:tab/>
        <w:t>“Materialise’s Mammoth Stereolithography – 3D Printing on a Grand Scale! | Materialise - Innovators you can count on.” [Online]. Available: https://www.materialise.com/en/blog/materialises-mammoth-stereolithography-3d-printing-on-a-grand-scale. [Accessed: 16-Nov-2021].</w:t>
      </w:r>
    </w:p>
    <w:p w14:paraId="258D746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[98]</w:t>
      </w:r>
      <w:r w:rsidRPr="0006397D">
        <w:rPr>
          <w:rFonts w:ascii="Times New Roman" w:hAnsi="Times New Roman" w:cs="Times New Roman"/>
          <w:noProof/>
        </w:rPr>
        <w:tab/>
        <w:t xml:space="preserve">Y. Heischkel </w:t>
      </w:r>
      <w:r w:rsidRPr="0006397D">
        <w:rPr>
          <w:rFonts w:ascii="Times New Roman" w:hAnsi="Times New Roman" w:cs="Times New Roman"/>
          <w:i/>
          <w:iCs/>
          <w:noProof/>
        </w:rPr>
        <w:t>et al.</w:t>
      </w:r>
      <w:r w:rsidRPr="0006397D">
        <w:rPr>
          <w:rFonts w:ascii="Times New Roman" w:hAnsi="Times New Roman" w:cs="Times New Roman"/>
          <w:noProof/>
        </w:rPr>
        <w:t>, “Influence of Crosslinking Density of Radiation Curable Coatings on Scratch Resistance, Hardness and Flexibility.”</w:t>
      </w:r>
    </w:p>
    <w:p w14:paraId="3EB85B8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[99]</w:t>
      </w:r>
      <w:r w:rsidRPr="0006397D">
        <w:rPr>
          <w:rFonts w:ascii="Times New Roman" w:hAnsi="Times New Roman" w:cs="Times New Roman"/>
          <w:noProof/>
        </w:rPr>
        <w:tab/>
        <w:t>J. P. Scholte, “Effects of prepolymer structure on photopolymer network Effects of prepolymer structure on photopolymer network formation and thermomechanical properties formation and thermomechanical properties,” 2017.</w:t>
      </w:r>
    </w:p>
    <w:p w14:paraId="419C336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[100]</w:t>
      </w:r>
      <w:r w:rsidRPr="0006397D">
        <w:rPr>
          <w:rFonts w:ascii="Times New Roman" w:hAnsi="Times New Roman" w:cs="Times New Roman"/>
          <w:noProof/>
        </w:rPr>
        <w:tab/>
        <w:t>E. Desnoes, L. Toubal, D. Thibeault, A. H. Bouazza, and D. Montplaisir, “Bio-</w:t>
      </w:r>
      <w:r w:rsidRPr="0006397D">
        <w:rPr>
          <w:rFonts w:ascii="Times New Roman" w:hAnsi="Times New Roman" w:cs="Times New Roman"/>
          <w:noProof/>
        </w:rPr>
        <w:lastRenderedPageBreak/>
        <w:t>sourced vinyl ester resin reinforced with microfibrillar cellulose: Mechanical and thermal properties.”</w:t>
      </w:r>
    </w:p>
    <w:p w14:paraId="206C6C0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[101]</w:t>
      </w:r>
      <w:r w:rsidRPr="0006397D">
        <w:rPr>
          <w:rFonts w:ascii="Times New Roman" w:hAnsi="Times New Roman" w:cs="Times New Roman"/>
          <w:noProof/>
        </w:rPr>
        <w:tab/>
        <w:t>A. Moeck, S. Roberto Bianchi, and D. Helsby, “Shrinkage of UV Oligomers and Monomers.”</w:t>
      </w:r>
    </w:p>
    <w:p w14:paraId="7A7832A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[102]</w:t>
      </w:r>
      <w:r w:rsidRPr="0006397D">
        <w:rPr>
          <w:rFonts w:ascii="Times New Roman" w:hAnsi="Times New Roman" w:cs="Times New Roman"/>
          <w:noProof/>
        </w:rPr>
        <w:tab/>
        <w:t xml:space="preserve">J. Fouassier and J. Rabek, “An introduction to the basic principles in UV curing,” in </w:t>
      </w:r>
      <w:r w:rsidRPr="0006397D">
        <w:rPr>
          <w:rFonts w:ascii="Times New Roman" w:hAnsi="Times New Roman" w:cs="Times New Roman"/>
          <w:i/>
          <w:iCs/>
          <w:noProof/>
        </w:rPr>
        <w:t>Radiation curing in polymer science and technology</w:t>
      </w:r>
      <w:r w:rsidRPr="0006397D">
        <w:rPr>
          <w:rFonts w:ascii="Times New Roman" w:hAnsi="Times New Roman" w:cs="Times New Roman"/>
          <w:noProof/>
        </w:rPr>
        <w:t>, 1st ed., London: Elsevier Applied Science, 1993.</w:t>
      </w:r>
    </w:p>
    <w:p w14:paraId="703D58F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[103]</w:t>
      </w:r>
      <w:r w:rsidRPr="0006397D">
        <w:rPr>
          <w:rFonts w:ascii="Times New Roman" w:hAnsi="Times New Roman" w:cs="Times New Roman"/>
          <w:noProof/>
        </w:rPr>
        <w:tab/>
        <w:t xml:space="preserve">Y. Duan </w:t>
      </w:r>
      <w:r w:rsidRPr="0006397D">
        <w:rPr>
          <w:rFonts w:ascii="Times New Roman" w:hAnsi="Times New Roman" w:cs="Times New Roman"/>
          <w:i/>
          <w:iCs/>
          <w:noProof/>
        </w:rPr>
        <w:t>et al.</w:t>
      </w:r>
      <w:r w:rsidRPr="0006397D">
        <w:rPr>
          <w:rFonts w:ascii="Times New Roman" w:hAnsi="Times New Roman" w:cs="Times New Roman"/>
          <w:noProof/>
        </w:rPr>
        <w:t xml:space="preserve">, “Effects of compaction and UV exposure on performance of acrylate/glass-fiber composites cured layer by layer,” </w:t>
      </w:r>
      <w:r w:rsidRPr="0006397D">
        <w:rPr>
          <w:rFonts w:ascii="Times New Roman" w:hAnsi="Times New Roman" w:cs="Times New Roman"/>
          <w:i/>
          <w:iCs/>
          <w:noProof/>
        </w:rPr>
        <w:t>J. Appl. Polym. Sci.</w:t>
      </w:r>
      <w:r w:rsidRPr="0006397D">
        <w:rPr>
          <w:rFonts w:ascii="Times New Roman" w:hAnsi="Times New Roman" w:cs="Times New Roman"/>
          <w:noProof/>
        </w:rPr>
        <w:t>, vol. 123, no. 6, pp. 3799–3805, Mar. 2012.</w:t>
      </w:r>
    </w:p>
    <w:p w14:paraId="7C8BADA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[104]</w:t>
      </w:r>
      <w:r w:rsidRPr="0006397D">
        <w:rPr>
          <w:rFonts w:ascii="Times New Roman" w:hAnsi="Times New Roman" w:cs="Times New Roman"/>
          <w:noProof/>
        </w:rPr>
        <w:tab/>
        <w:t xml:space="preserve">X. Zhang, Y. Duan, X. Zhao, and D. Li, “UV stepwise cured fabrication of glass fiber/acrylate composites: Effects of exposure dose on curing uniformity and interlaminar shear strength,” </w:t>
      </w:r>
      <w:r w:rsidRPr="0006397D">
        <w:rPr>
          <w:rFonts w:ascii="Times New Roman" w:hAnsi="Times New Roman" w:cs="Times New Roman"/>
          <w:i/>
          <w:iCs/>
          <w:noProof/>
        </w:rPr>
        <w:t>J. Compos. Mater.</w:t>
      </w:r>
      <w:r w:rsidRPr="0006397D">
        <w:rPr>
          <w:rFonts w:ascii="Times New Roman" w:hAnsi="Times New Roman" w:cs="Times New Roman"/>
          <w:noProof/>
        </w:rPr>
        <w:t>, vol. 50, no. 10, pp. 1395–1401, May 2016.</w:t>
      </w:r>
    </w:p>
    <w:p w14:paraId="15921ED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[105]</w:t>
      </w:r>
      <w:r w:rsidRPr="0006397D">
        <w:rPr>
          <w:rFonts w:ascii="Times New Roman" w:hAnsi="Times New Roman" w:cs="Times New Roman"/>
          <w:noProof/>
        </w:rPr>
        <w:tab/>
        <w:t xml:space="preserve">B. Golaz, V. Michaud, Y. Leterrier, and J. A. E. Mnson, “UV intensity, temperature and dark-curing effects in cationic photo-polymerization of a cycloaliphatic epoxy resin,” </w:t>
      </w:r>
      <w:r w:rsidRPr="0006397D">
        <w:rPr>
          <w:rFonts w:ascii="Times New Roman" w:hAnsi="Times New Roman" w:cs="Times New Roman"/>
          <w:i/>
          <w:iCs/>
          <w:noProof/>
        </w:rPr>
        <w:t>Polymer (Guildf).</w:t>
      </w:r>
      <w:r w:rsidRPr="0006397D">
        <w:rPr>
          <w:rFonts w:ascii="Times New Roman" w:hAnsi="Times New Roman" w:cs="Times New Roman"/>
          <w:noProof/>
        </w:rPr>
        <w:t>, vol. 53, no. 10, pp. 2038–2048, Apr. 2012.</w:t>
      </w:r>
    </w:p>
    <w:p w14:paraId="21B4D32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[106]</w:t>
      </w:r>
      <w:r w:rsidRPr="0006397D">
        <w:rPr>
          <w:rFonts w:ascii="Times New Roman" w:hAnsi="Times New Roman" w:cs="Times New Roman"/>
          <w:noProof/>
        </w:rPr>
        <w:tab/>
        <w:t xml:space="preserve">J. G. Kloosterboer and G. F. C. M. Lijten, “Photopolymers exhibiting a large difference between glass transition and curing temperatures,” </w:t>
      </w:r>
      <w:r w:rsidRPr="0006397D">
        <w:rPr>
          <w:rFonts w:ascii="Times New Roman" w:hAnsi="Times New Roman" w:cs="Times New Roman"/>
          <w:i/>
          <w:iCs/>
          <w:noProof/>
        </w:rPr>
        <w:t>Polymer (Guildf).</w:t>
      </w:r>
      <w:r w:rsidRPr="0006397D">
        <w:rPr>
          <w:rFonts w:ascii="Times New Roman" w:hAnsi="Times New Roman" w:cs="Times New Roman"/>
          <w:noProof/>
        </w:rPr>
        <w:t>, vol. 31, no. 1, pp. 95–101, Jan. 1990.</w:t>
      </w:r>
    </w:p>
    <w:p w14:paraId="311449F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[107]</w:t>
      </w:r>
      <w:r w:rsidRPr="0006397D">
        <w:rPr>
          <w:rFonts w:ascii="Times New Roman" w:hAnsi="Times New Roman" w:cs="Times New Roman"/>
          <w:noProof/>
        </w:rPr>
        <w:tab/>
        <w:t xml:space="preserve">N. Stephenson Kenning, B. A. Ficek, C. C. Hoppe, and A. B. Scranton, “Spatial and temporal evolution of the photoinitiation rate for thick polymer systems illuminated by polychromatic light: selection of efficient photoinitiators for LED or mercury lamps,” </w:t>
      </w:r>
      <w:r w:rsidRPr="0006397D">
        <w:rPr>
          <w:rFonts w:ascii="Times New Roman" w:hAnsi="Times New Roman" w:cs="Times New Roman"/>
          <w:i/>
          <w:iCs/>
          <w:noProof/>
        </w:rPr>
        <w:t>Polym. Int. Polym Int</w:t>
      </w:r>
      <w:r w:rsidRPr="0006397D">
        <w:rPr>
          <w:rFonts w:ascii="Times New Roman" w:hAnsi="Times New Roman" w:cs="Times New Roman"/>
          <w:noProof/>
        </w:rPr>
        <w:t>, vol. 57, pp. 1134–1140, 2008.</w:t>
      </w:r>
    </w:p>
    <w:p w14:paraId="7267672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[108]</w:t>
      </w:r>
      <w:r w:rsidRPr="0006397D">
        <w:rPr>
          <w:rFonts w:ascii="Times New Roman" w:hAnsi="Times New Roman" w:cs="Times New Roman"/>
          <w:noProof/>
        </w:rPr>
        <w:tab/>
        <w:t xml:space="preserve">J. V Crivello, R. Narayan, and S. S. Sternstein, “Fabrication and Mechanical Characterization of Glass Fiber Reinforced UV-Cured Composites from </w:t>
      </w:r>
      <w:r w:rsidRPr="0006397D">
        <w:rPr>
          <w:rFonts w:ascii="Times New Roman" w:hAnsi="Times New Roman" w:cs="Times New Roman"/>
          <w:noProof/>
        </w:rPr>
        <w:lastRenderedPageBreak/>
        <w:t xml:space="preserve">Epoxidized Vegetable Oils,” </w:t>
      </w:r>
      <w:r w:rsidRPr="0006397D">
        <w:rPr>
          <w:rFonts w:ascii="Times New Roman" w:hAnsi="Times New Roman" w:cs="Times New Roman"/>
          <w:i/>
          <w:iCs/>
          <w:noProof/>
        </w:rPr>
        <w:t>John Wi-ley Sons, Inc. J Appl Polym Sci</w:t>
      </w:r>
      <w:r w:rsidRPr="0006397D">
        <w:rPr>
          <w:rFonts w:ascii="Times New Roman" w:hAnsi="Times New Roman" w:cs="Times New Roman"/>
          <w:noProof/>
        </w:rPr>
        <w:t>, vol. 64, pp. 2073–2087, 1997.</w:t>
      </w:r>
    </w:p>
    <w:p w14:paraId="03EDCAE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[109]</w:t>
      </w:r>
      <w:r w:rsidRPr="0006397D">
        <w:rPr>
          <w:rFonts w:ascii="Times New Roman" w:hAnsi="Times New Roman" w:cs="Times New Roman"/>
          <w:noProof/>
        </w:rPr>
        <w:tab/>
        <w:t xml:space="preserve">A. Stiles, W. Kobler, P. Yeole, and U. Vaidya, “Photopolymer formulation towards large scale additive manufacturing of autoclave capable tooling,” </w:t>
      </w:r>
      <w:r w:rsidRPr="0006397D">
        <w:rPr>
          <w:rFonts w:ascii="Times New Roman" w:hAnsi="Times New Roman" w:cs="Times New Roman"/>
          <w:i/>
          <w:iCs/>
          <w:noProof/>
        </w:rPr>
        <w:t>Addit. Manuf.</w:t>
      </w:r>
      <w:r w:rsidRPr="0006397D">
        <w:rPr>
          <w:rFonts w:ascii="Times New Roman" w:hAnsi="Times New Roman" w:cs="Times New Roman"/>
          <w:noProof/>
        </w:rPr>
        <w:t>, vol. 50, Feb. 2022.</w:t>
      </w:r>
    </w:p>
    <w:p w14:paraId="548E5B3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[110]</w:t>
      </w:r>
      <w:r w:rsidRPr="0006397D">
        <w:rPr>
          <w:rFonts w:ascii="Times New Roman" w:hAnsi="Times New Roman" w:cs="Times New Roman"/>
          <w:noProof/>
        </w:rPr>
        <w:tab/>
        <w:t xml:space="preserve">J. Leprince </w:t>
      </w:r>
      <w:r w:rsidRPr="0006397D">
        <w:rPr>
          <w:rFonts w:ascii="Times New Roman" w:hAnsi="Times New Roman" w:cs="Times New Roman"/>
          <w:i/>
          <w:iCs/>
          <w:noProof/>
        </w:rPr>
        <w:t>et al.</w:t>
      </w:r>
      <w:r w:rsidRPr="0006397D">
        <w:rPr>
          <w:rFonts w:ascii="Times New Roman" w:hAnsi="Times New Roman" w:cs="Times New Roman"/>
          <w:noProof/>
        </w:rPr>
        <w:t xml:space="preserve">, “Kinetic study of free radicals trapped in dental resins stored in different environments,” </w:t>
      </w:r>
      <w:r w:rsidRPr="0006397D">
        <w:rPr>
          <w:rFonts w:ascii="Times New Roman" w:hAnsi="Times New Roman" w:cs="Times New Roman"/>
          <w:i/>
          <w:iCs/>
          <w:noProof/>
        </w:rPr>
        <w:t>Acta Biomater.</w:t>
      </w:r>
      <w:r w:rsidRPr="0006397D">
        <w:rPr>
          <w:rFonts w:ascii="Times New Roman" w:hAnsi="Times New Roman" w:cs="Times New Roman"/>
          <w:noProof/>
        </w:rPr>
        <w:t>, vol. 5, no. 7, pp. 2518–2524, Sep. 2009.</w:t>
      </w:r>
    </w:p>
    <w:p w14:paraId="744ED9A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[111]</w:t>
      </w:r>
      <w:r w:rsidRPr="0006397D">
        <w:rPr>
          <w:rFonts w:ascii="Times New Roman" w:hAnsi="Times New Roman" w:cs="Times New Roman"/>
          <w:noProof/>
        </w:rPr>
        <w:tab/>
        <w:t xml:space="preserve">C. Oliva, E. Selli, A. Ponti, I. R. Bellobono, and R. Morelli, “EPR/ENDOR study of the decay of trapped radicals in photopolymerized butane-1,4-diol diacrylate,” </w:t>
      </w:r>
      <w:r w:rsidRPr="0006397D">
        <w:rPr>
          <w:rFonts w:ascii="Times New Roman" w:hAnsi="Times New Roman" w:cs="Times New Roman"/>
          <w:i/>
          <w:iCs/>
          <w:noProof/>
        </w:rPr>
        <w:t>J. Phys. Org. Chem.</w:t>
      </w:r>
      <w:r w:rsidRPr="0006397D">
        <w:rPr>
          <w:rFonts w:ascii="Times New Roman" w:hAnsi="Times New Roman" w:cs="Times New Roman"/>
          <w:noProof/>
        </w:rPr>
        <w:t>, vol. 5, no. 1, pp. 55–61, Jan. 1992.</w:t>
      </w:r>
    </w:p>
    <w:p w14:paraId="1001834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[112]</w:t>
      </w:r>
      <w:r w:rsidRPr="0006397D">
        <w:rPr>
          <w:rFonts w:ascii="Times New Roman" w:hAnsi="Times New Roman" w:cs="Times New Roman"/>
          <w:noProof/>
        </w:rPr>
        <w:tab/>
        <w:t xml:space="preserve">M. Schmitt, “Introduction to analyzing the solidification of multifunctional acrylic esters by ESR,” </w:t>
      </w:r>
      <w:r w:rsidRPr="0006397D">
        <w:rPr>
          <w:rFonts w:ascii="Times New Roman" w:hAnsi="Times New Roman" w:cs="Times New Roman"/>
          <w:i/>
          <w:iCs/>
          <w:noProof/>
        </w:rPr>
        <w:t>Analyst</w:t>
      </w:r>
      <w:r w:rsidRPr="0006397D">
        <w:rPr>
          <w:rFonts w:ascii="Times New Roman" w:hAnsi="Times New Roman" w:cs="Times New Roman"/>
          <w:noProof/>
        </w:rPr>
        <w:t>, vol. 138, no. 13, pp. 3758–3770, Jul. 2013.</w:t>
      </w:r>
    </w:p>
    <w:p w14:paraId="25156AD9"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[113]</w:t>
      </w:r>
      <w:r w:rsidRPr="0006397D">
        <w:rPr>
          <w:rFonts w:ascii="Times New Roman" w:hAnsi="Times New Roman" w:cs="Times New Roman"/>
          <w:noProof/>
        </w:rPr>
        <w:tab/>
        <w:t xml:space="preserve">C. Decker and K. Moussa, “Photopolymerization of multifunctional monomers in condensed phase,” </w:t>
      </w:r>
      <w:r w:rsidRPr="0006397D">
        <w:rPr>
          <w:rFonts w:ascii="Times New Roman" w:hAnsi="Times New Roman" w:cs="Times New Roman"/>
          <w:i/>
          <w:iCs/>
          <w:noProof/>
        </w:rPr>
        <w:t>J. Appl. Polym. Sci.</w:t>
      </w:r>
      <w:r w:rsidRPr="0006397D">
        <w:rPr>
          <w:rFonts w:ascii="Times New Roman" w:hAnsi="Times New Roman" w:cs="Times New Roman"/>
          <w:noProof/>
        </w:rPr>
        <w:t>, vol. 34, no. 4, pp. 1603–1618, Sep. 1987.</w:t>
      </w:r>
    </w:p>
    <w:p w14:paraId="41B0C19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[114]</w:t>
      </w:r>
      <w:r w:rsidRPr="0006397D">
        <w:rPr>
          <w:rFonts w:ascii="Times New Roman" w:hAnsi="Times New Roman" w:cs="Times New Roman"/>
          <w:noProof/>
        </w:rPr>
        <w:tab/>
        <w:t xml:space="preserve">E. Lackey and J. G. Vaughan, “Enhanced Pultrusion Using Photocure to Supplement Standard Thermal Cure,” in </w:t>
      </w:r>
      <w:r w:rsidRPr="0006397D">
        <w:rPr>
          <w:rFonts w:ascii="Times New Roman" w:hAnsi="Times New Roman" w:cs="Times New Roman"/>
          <w:i/>
          <w:iCs/>
          <w:noProof/>
        </w:rPr>
        <w:t>Convention and Trade Show Composites Fabricators Association</w:t>
      </w:r>
      <w:r w:rsidRPr="0006397D">
        <w:rPr>
          <w:rFonts w:ascii="Times New Roman" w:hAnsi="Times New Roman" w:cs="Times New Roman"/>
          <w:noProof/>
        </w:rPr>
        <w:t>, 2003.</w:t>
      </w:r>
    </w:p>
    <w:p w14:paraId="34FF0DD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[115]</w:t>
      </w:r>
      <w:r w:rsidRPr="0006397D">
        <w:rPr>
          <w:rFonts w:ascii="Times New Roman" w:hAnsi="Times New Roman" w:cs="Times New Roman"/>
          <w:noProof/>
        </w:rPr>
        <w:tab/>
        <w:t xml:space="preserve">D. Bomze, P. Knaack, T. Koch, H. Jin, and R. Liska, “Radical Induced Cationic Frontal Polymerization as a Versatile Tool for Epoxy Curing and Composite Production,” </w:t>
      </w:r>
      <w:r w:rsidRPr="0006397D">
        <w:rPr>
          <w:rFonts w:ascii="Times New Roman" w:hAnsi="Times New Roman" w:cs="Times New Roman"/>
          <w:i/>
          <w:iCs/>
          <w:noProof/>
        </w:rPr>
        <w:t>J. Polym. Sci., Part A Polym. Chem</w:t>
      </w:r>
      <w:r w:rsidRPr="0006397D">
        <w:rPr>
          <w:rFonts w:ascii="Times New Roman" w:hAnsi="Times New Roman" w:cs="Times New Roman"/>
          <w:noProof/>
        </w:rPr>
        <w:t>, vol. 54, pp. 3751–3759, 2016.</w:t>
      </w:r>
    </w:p>
    <w:p w14:paraId="37C2474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[116]</w:t>
      </w:r>
      <w:r w:rsidRPr="0006397D">
        <w:rPr>
          <w:rFonts w:ascii="Times New Roman" w:hAnsi="Times New Roman" w:cs="Times New Roman"/>
          <w:noProof/>
        </w:rPr>
        <w:tab/>
        <w:t>R. Plenderleith, D. Anderson, T. Norton, H. Mokbel, and J. Lalevée, “The benefits of cationic and cationic / free radical hybrid curing for 3D applications.”</w:t>
      </w:r>
    </w:p>
    <w:p w14:paraId="3335FAD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[117]</w:t>
      </w:r>
      <w:r w:rsidRPr="0006397D">
        <w:rPr>
          <w:rFonts w:ascii="Times New Roman" w:hAnsi="Times New Roman" w:cs="Times New Roman"/>
          <w:noProof/>
        </w:rPr>
        <w:tab/>
        <w:t xml:space="preserve">R. Liu, H. Chen, Z. Li, F. Shi, and X. Liu, “Extremely deep photopolymerization using upconversion particles as internal lamps,” </w:t>
      </w:r>
      <w:r w:rsidRPr="0006397D">
        <w:rPr>
          <w:rFonts w:ascii="Times New Roman" w:hAnsi="Times New Roman" w:cs="Times New Roman"/>
          <w:i/>
          <w:iCs/>
          <w:noProof/>
        </w:rPr>
        <w:t>Polym. Chem.</w:t>
      </w:r>
      <w:r w:rsidRPr="0006397D">
        <w:rPr>
          <w:rFonts w:ascii="Times New Roman" w:hAnsi="Times New Roman" w:cs="Times New Roman"/>
          <w:noProof/>
        </w:rPr>
        <w:t>, vol. 7, no. 14, pp. 2457–2463, Mar. 2016.</w:t>
      </w:r>
    </w:p>
    <w:p w14:paraId="38E3CCF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[118]</w:t>
      </w:r>
      <w:r w:rsidRPr="0006397D">
        <w:rPr>
          <w:rFonts w:ascii="Times New Roman" w:hAnsi="Times New Roman" w:cs="Times New Roman"/>
          <w:noProof/>
        </w:rPr>
        <w:tab/>
        <w:t>S. Dalle Vacche, V. Rie Geiser, Y. Leterrier, and J.-A. E. A. E. Månson, “Time-</w:t>
      </w:r>
      <w:r w:rsidRPr="0006397D">
        <w:rPr>
          <w:rFonts w:ascii="Times New Roman" w:hAnsi="Times New Roman" w:cs="Times New Roman"/>
          <w:noProof/>
        </w:rPr>
        <w:lastRenderedPageBreak/>
        <w:t xml:space="preserve">intensity superposition for photoinitiated polymerization of fluorinated and hyperbranched acrylate nanocomposites,” </w:t>
      </w:r>
      <w:r w:rsidRPr="0006397D">
        <w:rPr>
          <w:rFonts w:ascii="Times New Roman" w:hAnsi="Times New Roman" w:cs="Times New Roman"/>
          <w:i/>
          <w:iCs/>
          <w:noProof/>
        </w:rPr>
        <w:t>Polymer (Guildf).</w:t>
      </w:r>
      <w:r w:rsidRPr="0006397D">
        <w:rPr>
          <w:rFonts w:ascii="Times New Roman" w:hAnsi="Times New Roman" w:cs="Times New Roman"/>
          <w:noProof/>
        </w:rPr>
        <w:t>, vol. 51, no. 2, pp. 334–341, Jan. .</w:t>
      </w:r>
    </w:p>
    <w:p w14:paraId="163BCE1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[119]</w:t>
      </w:r>
      <w:r w:rsidRPr="0006397D">
        <w:rPr>
          <w:rFonts w:ascii="Times New Roman" w:hAnsi="Times New Roman" w:cs="Times New Roman"/>
          <w:noProof/>
        </w:rPr>
        <w:tab/>
        <w:t xml:space="preserve">C. Ebner, J. Mitterer, P. Eigruber, S. Stieger, G. Riess, and W. Kern, “Ultra-High Through-Cure of (Meth)Acrylate Copolymers via Photofrontal Polymerization,” </w:t>
      </w:r>
      <w:r w:rsidRPr="0006397D">
        <w:rPr>
          <w:rFonts w:ascii="Times New Roman" w:hAnsi="Times New Roman" w:cs="Times New Roman"/>
          <w:i/>
          <w:iCs/>
          <w:noProof/>
        </w:rPr>
        <w:t>Polym. 2020, Vol. 12, Page 1291</w:t>
      </w:r>
      <w:r w:rsidRPr="0006397D">
        <w:rPr>
          <w:rFonts w:ascii="Times New Roman" w:hAnsi="Times New Roman" w:cs="Times New Roman"/>
          <w:noProof/>
        </w:rPr>
        <w:t>, vol. 12, no. 6, p. 1291, Jun. 2020.</w:t>
      </w:r>
    </w:p>
    <w:p w14:paraId="0F5D38F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[120]</w:t>
      </w:r>
      <w:r w:rsidRPr="0006397D">
        <w:rPr>
          <w:rFonts w:ascii="Times New Roman" w:hAnsi="Times New Roman" w:cs="Times New Roman"/>
          <w:noProof/>
        </w:rPr>
        <w:tab/>
        <w:t xml:space="preserve">F. Jiang and D. Drummer, “Curing kinetic analysis of acrylate photopolymer for additive manufacturing by photo-DSC,” </w:t>
      </w:r>
      <w:r w:rsidRPr="0006397D">
        <w:rPr>
          <w:rFonts w:ascii="Times New Roman" w:hAnsi="Times New Roman" w:cs="Times New Roman"/>
          <w:i/>
          <w:iCs/>
          <w:noProof/>
        </w:rPr>
        <w:t>Polymers (Basel).</w:t>
      </w:r>
      <w:r w:rsidRPr="0006397D">
        <w:rPr>
          <w:rFonts w:ascii="Times New Roman" w:hAnsi="Times New Roman" w:cs="Times New Roman"/>
          <w:noProof/>
        </w:rPr>
        <w:t>, vol. 12, no. 5, p. 1080, May 2020.</w:t>
      </w:r>
    </w:p>
    <w:p w14:paraId="065E5C6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[121]</w:t>
      </w:r>
      <w:r w:rsidRPr="0006397D">
        <w:rPr>
          <w:rFonts w:ascii="Times New Roman" w:hAnsi="Times New Roman" w:cs="Times New Roman"/>
          <w:noProof/>
        </w:rPr>
        <w:tab/>
        <w:t xml:space="preserve">M. C. Rusu, C. Block, G. Van Assche, and B. Van Mele, “Influence of temperature and UV intensity on photo-polymerization reaction studied by photo-DSC,” in </w:t>
      </w:r>
      <w:r w:rsidRPr="0006397D">
        <w:rPr>
          <w:rFonts w:ascii="Times New Roman" w:hAnsi="Times New Roman" w:cs="Times New Roman"/>
          <w:i/>
          <w:iCs/>
          <w:noProof/>
        </w:rPr>
        <w:t>Journal of Thermal Analysis and Calorimetry</w:t>
      </w:r>
      <w:r w:rsidRPr="0006397D">
        <w:rPr>
          <w:rFonts w:ascii="Times New Roman" w:hAnsi="Times New Roman" w:cs="Times New Roman"/>
          <w:noProof/>
        </w:rPr>
        <w:t>, 2012, vol. 110, no. 1, pp. 287–294.</w:t>
      </w:r>
    </w:p>
    <w:p w14:paraId="6D0CAA7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[122]</w:t>
      </w:r>
      <w:r w:rsidRPr="0006397D">
        <w:rPr>
          <w:rFonts w:ascii="Times New Roman" w:hAnsi="Times New Roman" w:cs="Times New Roman"/>
          <w:noProof/>
        </w:rPr>
        <w:tab/>
        <w:t xml:space="preserve">D. Truffier-Boutry </w:t>
      </w:r>
      <w:r w:rsidRPr="0006397D">
        <w:rPr>
          <w:rFonts w:ascii="Times New Roman" w:hAnsi="Times New Roman" w:cs="Times New Roman"/>
          <w:i/>
          <w:iCs/>
          <w:noProof/>
        </w:rPr>
        <w:t>et al.</w:t>
      </w:r>
      <w:r w:rsidRPr="0006397D">
        <w:rPr>
          <w:rFonts w:ascii="Times New Roman" w:hAnsi="Times New Roman" w:cs="Times New Roman"/>
          <w:noProof/>
        </w:rPr>
        <w:t xml:space="preserve">, “A physico-chemical explanation of the post-polymerization shrinkage in dental resins,” </w:t>
      </w:r>
      <w:r w:rsidRPr="0006397D">
        <w:rPr>
          <w:rFonts w:ascii="Times New Roman" w:hAnsi="Times New Roman" w:cs="Times New Roman"/>
          <w:i/>
          <w:iCs/>
          <w:noProof/>
        </w:rPr>
        <w:t>Dent. Mater.</w:t>
      </w:r>
      <w:r w:rsidRPr="0006397D">
        <w:rPr>
          <w:rFonts w:ascii="Times New Roman" w:hAnsi="Times New Roman" w:cs="Times New Roman"/>
          <w:noProof/>
        </w:rPr>
        <w:t>, vol. 22, no. 5, pp. 405–412, May 2006.</w:t>
      </w:r>
    </w:p>
    <w:p w14:paraId="19F5AF5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[123]</w:t>
      </w:r>
      <w:r w:rsidRPr="0006397D">
        <w:rPr>
          <w:rFonts w:ascii="Times New Roman" w:hAnsi="Times New Roman" w:cs="Times New Roman"/>
          <w:noProof/>
        </w:rPr>
        <w:tab/>
        <w:t xml:space="preserve">A. Di Pietro and P. Compston, “Resin hardness and interlaminar shear strength of a glass-fibre/vinylester composite cured with high intensity ultraviolet (UV) light,” </w:t>
      </w:r>
      <w:r w:rsidRPr="0006397D">
        <w:rPr>
          <w:rFonts w:ascii="Times New Roman" w:hAnsi="Times New Roman" w:cs="Times New Roman"/>
          <w:i/>
          <w:iCs/>
          <w:noProof/>
        </w:rPr>
        <w:t>J. Mater. Sci.</w:t>
      </w:r>
      <w:r w:rsidRPr="0006397D">
        <w:rPr>
          <w:rFonts w:ascii="Times New Roman" w:hAnsi="Times New Roman" w:cs="Times New Roman"/>
          <w:noProof/>
        </w:rPr>
        <w:t>, vol. 44, no. 15, pp. 4188–4190, Aug. 2009.</w:t>
      </w:r>
    </w:p>
    <w:p w14:paraId="01556BE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[124]</w:t>
      </w:r>
      <w:r w:rsidRPr="0006397D">
        <w:rPr>
          <w:rFonts w:ascii="Times New Roman" w:hAnsi="Times New Roman" w:cs="Times New Roman"/>
          <w:noProof/>
        </w:rPr>
        <w:tab/>
        <w:t xml:space="preserve">M. S. Soh and A. U. J. Yap, “Influence of curing modes on crosslink density in polymer structures,” </w:t>
      </w:r>
      <w:r w:rsidRPr="0006397D">
        <w:rPr>
          <w:rFonts w:ascii="Times New Roman" w:hAnsi="Times New Roman" w:cs="Times New Roman"/>
          <w:i/>
          <w:iCs/>
          <w:noProof/>
        </w:rPr>
        <w:t>J. Dent.</w:t>
      </w:r>
      <w:r w:rsidRPr="0006397D">
        <w:rPr>
          <w:rFonts w:ascii="Times New Roman" w:hAnsi="Times New Roman" w:cs="Times New Roman"/>
          <w:noProof/>
        </w:rPr>
        <w:t>, vol. 32, no. 4, pp. 321–326, May 2004.</w:t>
      </w:r>
    </w:p>
    <w:p w14:paraId="45199D6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[125]</w:t>
      </w:r>
      <w:r w:rsidRPr="0006397D">
        <w:rPr>
          <w:rFonts w:ascii="Times New Roman" w:hAnsi="Times New Roman" w:cs="Times New Roman"/>
          <w:noProof/>
        </w:rPr>
        <w:tab/>
        <w:t xml:space="preserve">I. Tena, M. Sarrionandia, J. Torre, and J. Aurrekoetxea, “The effect of process parameters on ultraviolet cured out of die bent pultrusion process,” </w:t>
      </w:r>
      <w:r w:rsidRPr="0006397D">
        <w:rPr>
          <w:rFonts w:ascii="Times New Roman" w:hAnsi="Times New Roman" w:cs="Times New Roman"/>
          <w:i/>
          <w:iCs/>
          <w:noProof/>
        </w:rPr>
        <w:t>Compos. Part B Eng.</w:t>
      </w:r>
      <w:r w:rsidRPr="0006397D">
        <w:rPr>
          <w:rFonts w:ascii="Times New Roman" w:hAnsi="Times New Roman" w:cs="Times New Roman"/>
          <w:noProof/>
        </w:rPr>
        <w:t>, vol. 89, pp. 9–17, Mar. 2016.</w:t>
      </w:r>
    </w:p>
    <w:p w14:paraId="02B8C83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[126]</w:t>
      </w:r>
      <w:r w:rsidRPr="0006397D">
        <w:rPr>
          <w:rFonts w:ascii="Times New Roman" w:hAnsi="Times New Roman" w:cs="Times New Roman"/>
          <w:noProof/>
        </w:rPr>
        <w:tab/>
        <w:t xml:space="preserve">I. Tena, A. Esnaola, M. Sarrionandia, I. Ulacia, J. Torre, and J. Aurrekoetxea, “Out of die ultraviolet cured pultrusion for automotive crash structures,” </w:t>
      </w:r>
      <w:r w:rsidRPr="0006397D">
        <w:rPr>
          <w:rFonts w:ascii="Times New Roman" w:hAnsi="Times New Roman" w:cs="Times New Roman"/>
          <w:i/>
          <w:iCs/>
          <w:noProof/>
        </w:rPr>
        <w:t>Compos. Part B Eng.</w:t>
      </w:r>
      <w:r w:rsidRPr="0006397D">
        <w:rPr>
          <w:rFonts w:ascii="Times New Roman" w:hAnsi="Times New Roman" w:cs="Times New Roman"/>
          <w:noProof/>
        </w:rPr>
        <w:t>, vol. 79, pp. 209–216, May 2015.</w:t>
      </w:r>
    </w:p>
    <w:p w14:paraId="05E4FF8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[127]</w:t>
      </w:r>
      <w:r w:rsidRPr="0006397D">
        <w:rPr>
          <w:rFonts w:ascii="Times New Roman" w:hAnsi="Times New Roman" w:cs="Times New Roman"/>
          <w:noProof/>
        </w:rPr>
        <w:tab/>
        <w:t>J. H. Lee, R. K. Prud’homme, and I. A. Aksay, “Cure depth in photopolymerization: Experiments and theory,” 2001.</w:t>
      </w:r>
    </w:p>
    <w:p w14:paraId="3D2CB8D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[128]</w:t>
      </w:r>
      <w:r w:rsidRPr="0006397D">
        <w:rPr>
          <w:rFonts w:ascii="Times New Roman" w:hAnsi="Times New Roman" w:cs="Times New Roman"/>
          <w:noProof/>
        </w:rPr>
        <w:tab/>
        <w:t>V. V Ivanov and C. Decker, “Kinetic study of photoinitiated frontal polymerization.”</w:t>
      </w:r>
    </w:p>
    <w:p w14:paraId="77BAE64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[129]</w:t>
      </w:r>
      <w:r w:rsidRPr="0006397D">
        <w:rPr>
          <w:rFonts w:ascii="Times New Roman" w:hAnsi="Times New Roman" w:cs="Times New Roman"/>
          <w:noProof/>
        </w:rPr>
        <w:tab/>
        <w:t xml:space="preserve">E. Andrzejewska, “Photopolymerization kinetics of multifunctional monomers,” </w:t>
      </w:r>
      <w:r w:rsidRPr="0006397D">
        <w:rPr>
          <w:rFonts w:ascii="Times New Roman" w:hAnsi="Times New Roman" w:cs="Times New Roman"/>
          <w:i/>
          <w:iCs/>
          <w:noProof/>
        </w:rPr>
        <w:t>Progress in Polymer Science (Oxford)</w:t>
      </w:r>
      <w:r w:rsidRPr="0006397D">
        <w:rPr>
          <w:rFonts w:ascii="Times New Roman" w:hAnsi="Times New Roman" w:cs="Times New Roman"/>
          <w:noProof/>
        </w:rPr>
        <w:t>, vol. 26, no. 4. Pergamon, pp. 605–665, 01-May-2001.</w:t>
      </w:r>
    </w:p>
    <w:p w14:paraId="58223EB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[130]</w:t>
      </w:r>
      <w:r w:rsidRPr="0006397D">
        <w:rPr>
          <w:rFonts w:ascii="Times New Roman" w:hAnsi="Times New Roman" w:cs="Times New Roman"/>
          <w:noProof/>
        </w:rPr>
        <w:tab/>
        <w:t xml:space="preserve">T. F. Scott, W. D. Cook, and J. S. Forsythe, “Photo-DSC cure kinetics of vinyl ester resins. I. Influence of temperature,” </w:t>
      </w:r>
      <w:r w:rsidRPr="0006397D">
        <w:rPr>
          <w:rFonts w:ascii="Times New Roman" w:hAnsi="Times New Roman" w:cs="Times New Roman"/>
          <w:i/>
          <w:iCs/>
          <w:noProof/>
        </w:rPr>
        <w:t>Polymer (Guildf).</w:t>
      </w:r>
      <w:r w:rsidRPr="0006397D">
        <w:rPr>
          <w:rFonts w:ascii="Times New Roman" w:hAnsi="Times New Roman" w:cs="Times New Roman"/>
          <w:noProof/>
        </w:rPr>
        <w:t>, vol. 43, no. 22, pp. 5839–5845, Sep. 2002.</w:t>
      </w:r>
    </w:p>
    <w:p w14:paraId="34CBC59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[131]</w:t>
      </w:r>
      <w:r w:rsidRPr="0006397D">
        <w:rPr>
          <w:rFonts w:ascii="Times New Roman" w:hAnsi="Times New Roman" w:cs="Times New Roman"/>
          <w:noProof/>
        </w:rPr>
        <w:tab/>
        <w:t xml:space="preserve">N. Salkind, “Tukey’s Honestly Significant Difference (HSD),” </w:t>
      </w:r>
      <w:r w:rsidRPr="0006397D">
        <w:rPr>
          <w:rFonts w:ascii="Times New Roman" w:hAnsi="Times New Roman" w:cs="Times New Roman"/>
          <w:i/>
          <w:iCs/>
          <w:noProof/>
        </w:rPr>
        <w:t>Encycl. Res. Des.</w:t>
      </w:r>
      <w:r w:rsidRPr="0006397D">
        <w:rPr>
          <w:rFonts w:ascii="Times New Roman" w:hAnsi="Times New Roman" w:cs="Times New Roman"/>
          <w:noProof/>
        </w:rPr>
        <w:t>, Oct. 2012.</w:t>
      </w:r>
    </w:p>
    <w:p w14:paraId="08693CE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[132]</w:t>
      </w:r>
      <w:r w:rsidRPr="0006397D">
        <w:rPr>
          <w:rFonts w:ascii="Times New Roman" w:hAnsi="Times New Roman" w:cs="Times New Roman"/>
          <w:noProof/>
        </w:rPr>
        <w:tab/>
        <w:t xml:space="preserve">V. Kumar </w:t>
      </w:r>
      <w:r w:rsidRPr="0006397D">
        <w:rPr>
          <w:rFonts w:ascii="Times New Roman" w:hAnsi="Times New Roman" w:cs="Times New Roman"/>
          <w:i/>
          <w:iCs/>
          <w:noProof/>
        </w:rPr>
        <w:t>et al.</w:t>
      </w:r>
      <w:r w:rsidRPr="0006397D">
        <w:rPr>
          <w:rFonts w:ascii="Times New Roman" w:hAnsi="Times New Roman" w:cs="Times New Roman"/>
          <w:noProof/>
        </w:rPr>
        <w:t xml:space="preserve">, “High-performance molded composites using additively manufactured preforms with controlled fiber and pore morphology,” </w:t>
      </w:r>
      <w:r w:rsidRPr="0006397D">
        <w:rPr>
          <w:rFonts w:ascii="Times New Roman" w:hAnsi="Times New Roman" w:cs="Times New Roman"/>
          <w:i/>
          <w:iCs/>
          <w:noProof/>
        </w:rPr>
        <w:t>Addit. Manuf.</w:t>
      </w:r>
      <w:r w:rsidRPr="0006397D">
        <w:rPr>
          <w:rFonts w:ascii="Times New Roman" w:hAnsi="Times New Roman" w:cs="Times New Roman"/>
          <w:noProof/>
        </w:rPr>
        <w:t>, vol. 37, p. 101733, Jan. 2021.</w:t>
      </w:r>
    </w:p>
    <w:p w14:paraId="48514E97"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[133]</w:t>
      </w:r>
      <w:r w:rsidRPr="0006397D">
        <w:rPr>
          <w:rFonts w:ascii="Times New Roman" w:hAnsi="Times New Roman" w:cs="Times New Roman"/>
          <w:noProof/>
        </w:rPr>
        <w:tab/>
        <w:t xml:space="preserve">A. Eibel, D. E. Fast, and G. Gescheidt, “Choosing the ideal photoinitiator for free radical photopolymerizations: predictions based on simulations using established data,” </w:t>
      </w:r>
      <w:r w:rsidRPr="0006397D">
        <w:rPr>
          <w:rFonts w:ascii="Times New Roman" w:hAnsi="Times New Roman" w:cs="Times New Roman"/>
          <w:i/>
          <w:iCs/>
          <w:noProof/>
        </w:rPr>
        <w:t>Polym. Chem.</w:t>
      </w:r>
      <w:r w:rsidRPr="0006397D">
        <w:rPr>
          <w:rFonts w:ascii="Times New Roman" w:hAnsi="Times New Roman" w:cs="Times New Roman"/>
          <w:noProof/>
        </w:rPr>
        <w:t>, vol. 9, no. 41, pp. 5107–5115, Oct. 2018.</w:t>
      </w:r>
    </w:p>
    <w:p w14:paraId="7240E24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[134]</w:t>
      </w:r>
      <w:r w:rsidRPr="0006397D">
        <w:rPr>
          <w:rFonts w:ascii="Times New Roman" w:hAnsi="Times New Roman" w:cs="Times New Roman"/>
          <w:noProof/>
        </w:rPr>
        <w:tab/>
        <w:t xml:space="preserve">P. Nissenson, C. J. H. Knox, B. J. Finlayson-Pitts, L. F. Phillips, and D. Dabdub, “Enhanced photolysis in aerosols: evidence for important surface effects,” </w:t>
      </w:r>
      <w:r w:rsidRPr="0006397D">
        <w:rPr>
          <w:rFonts w:ascii="Times New Roman" w:hAnsi="Times New Roman" w:cs="Times New Roman"/>
          <w:i/>
          <w:iCs/>
          <w:noProof/>
        </w:rPr>
        <w:t>Phys. Chem. Chem. Phys.</w:t>
      </w:r>
      <w:r w:rsidRPr="0006397D">
        <w:rPr>
          <w:rFonts w:ascii="Times New Roman" w:hAnsi="Times New Roman" w:cs="Times New Roman"/>
          <w:noProof/>
        </w:rPr>
        <w:t>, vol. 8, no. 40, pp. 4700–4710, Oct. 2006.</w:t>
      </w:r>
    </w:p>
    <w:p w14:paraId="3E368FF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[135]</w:t>
      </w:r>
      <w:r w:rsidRPr="0006397D">
        <w:rPr>
          <w:rFonts w:ascii="Times New Roman" w:hAnsi="Times New Roman" w:cs="Times New Roman"/>
          <w:noProof/>
        </w:rPr>
        <w:tab/>
        <w:t xml:space="preserve">J. T. Barry, D. J. Berg, and D. R. Tyler, “Radical Cage Effects: The Prediction of Radical Cage Pair Recombination Efficiencies Using Microviscosity Across a Range of Solvent Types,” </w:t>
      </w:r>
      <w:r w:rsidRPr="0006397D">
        <w:rPr>
          <w:rFonts w:ascii="Times New Roman" w:hAnsi="Times New Roman" w:cs="Times New Roman"/>
          <w:i/>
          <w:iCs/>
          <w:noProof/>
        </w:rPr>
        <w:t>J. Am. Chem. Soc.</w:t>
      </w:r>
      <w:r w:rsidRPr="0006397D">
        <w:rPr>
          <w:rFonts w:ascii="Times New Roman" w:hAnsi="Times New Roman" w:cs="Times New Roman"/>
          <w:noProof/>
        </w:rPr>
        <w:t>, vol. 139, no. 41, pp. 14399–14405, Oct. 2017.</w:t>
      </w:r>
    </w:p>
    <w:p w14:paraId="4E3D070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[136]</w:t>
      </w:r>
      <w:r w:rsidRPr="0006397D">
        <w:rPr>
          <w:rFonts w:ascii="Times New Roman" w:hAnsi="Times New Roman" w:cs="Times New Roman"/>
          <w:noProof/>
        </w:rPr>
        <w:tab/>
        <w:t xml:space="preserve">S. K. Romberg, C. J. Hershey, J. M. Lindahl, W. Carter, B. G. Compton, and V. </w:t>
      </w:r>
      <w:r w:rsidRPr="0006397D">
        <w:rPr>
          <w:rFonts w:ascii="Times New Roman" w:hAnsi="Times New Roman" w:cs="Times New Roman"/>
          <w:noProof/>
        </w:rPr>
        <w:lastRenderedPageBreak/>
        <w:t xml:space="preserve">Kunc, “Large-scale additive manufacturing of highly exothermic reactive polymer systems,” </w:t>
      </w:r>
      <w:r w:rsidRPr="0006397D">
        <w:rPr>
          <w:rFonts w:ascii="Times New Roman" w:hAnsi="Times New Roman" w:cs="Times New Roman"/>
          <w:i/>
          <w:iCs/>
          <w:noProof/>
        </w:rPr>
        <w:t>Int. SAMPE Tech. Conf.</w:t>
      </w:r>
      <w:r w:rsidRPr="0006397D">
        <w:rPr>
          <w:rFonts w:ascii="Times New Roman" w:hAnsi="Times New Roman" w:cs="Times New Roman"/>
          <w:noProof/>
        </w:rPr>
        <w:t>, vol. 2019-May, 2019.</w:t>
      </w:r>
    </w:p>
    <w:p w14:paraId="1642DE9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[137]</w:t>
      </w:r>
      <w:r w:rsidRPr="0006397D">
        <w:rPr>
          <w:rFonts w:ascii="Times New Roman" w:hAnsi="Times New Roman" w:cs="Times New Roman"/>
          <w:noProof/>
        </w:rPr>
        <w:tab/>
        <w:t xml:space="preserve">S. K. Romberg, A. I. Abir, C. J. Hershey, V. Kunc, and B. G. Compton, “Structural stability of thin overhanging walls during material extrusion additive manufacturing of thermoset-based ink,” </w:t>
      </w:r>
      <w:r w:rsidRPr="0006397D">
        <w:rPr>
          <w:rFonts w:ascii="Times New Roman" w:hAnsi="Times New Roman" w:cs="Times New Roman"/>
          <w:i/>
          <w:iCs/>
          <w:noProof/>
        </w:rPr>
        <w:t>Addit. Manuf.</w:t>
      </w:r>
      <w:r w:rsidRPr="0006397D">
        <w:rPr>
          <w:rFonts w:ascii="Times New Roman" w:hAnsi="Times New Roman" w:cs="Times New Roman"/>
          <w:noProof/>
        </w:rPr>
        <w:t>, vol. 53, p. 102677, May 2022.</w:t>
      </w:r>
    </w:p>
    <w:p w14:paraId="1E626BA0"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[138]</w:t>
      </w:r>
      <w:r w:rsidRPr="0006397D">
        <w:rPr>
          <w:rFonts w:ascii="Times New Roman" w:hAnsi="Times New Roman" w:cs="Times New Roman"/>
          <w:noProof/>
        </w:rPr>
        <w:tab/>
        <w:t xml:space="preserve">C. Duty </w:t>
      </w:r>
      <w:r w:rsidRPr="0006397D">
        <w:rPr>
          <w:rFonts w:ascii="Times New Roman" w:hAnsi="Times New Roman" w:cs="Times New Roman"/>
          <w:i/>
          <w:iCs/>
          <w:noProof/>
        </w:rPr>
        <w:t>et al.</w:t>
      </w:r>
      <w:r w:rsidRPr="0006397D">
        <w:rPr>
          <w:rFonts w:ascii="Times New Roman" w:hAnsi="Times New Roman" w:cs="Times New Roman"/>
          <w:noProof/>
        </w:rPr>
        <w:t xml:space="preserve">, “What makes a material printable? A viscoelastic model for extrusion-based 3D printing of polymers,” </w:t>
      </w:r>
      <w:r w:rsidRPr="0006397D">
        <w:rPr>
          <w:rFonts w:ascii="Times New Roman" w:hAnsi="Times New Roman" w:cs="Times New Roman"/>
          <w:i/>
          <w:iCs/>
          <w:noProof/>
        </w:rPr>
        <w:t>J. Manuf. Process.</w:t>
      </w:r>
      <w:r w:rsidRPr="0006397D">
        <w:rPr>
          <w:rFonts w:ascii="Times New Roman" w:hAnsi="Times New Roman" w:cs="Times New Roman"/>
          <w:noProof/>
        </w:rPr>
        <w:t>, vol. 35, pp. 526–537, Oct. 2018.</w:t>
      </w:r>
    </w:p>
    <w:p w14:paraId="40C79D0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[139]</w:t>
      </w:r>
      <w:r w:rsidRPr="0006397D">
        <w:rPr>
          <w:rFonts w:ascii="Times New Roman" w:hAnsi="Times New Roman" w:cs="Times New Roman"/>
          <w:noProof/>
        </w:rPr>
        <w:tab/>
        <w:t xml:space="preserve">H. L. Tekinalp </w:t>
      </w:r>
      <w:r w:rsidRPr="0006397D">
        <w:rPr>
          <w:rFonts w:ascii="Times New Roman" w:hAnsi="Times New Roman" w:cs="Times New Roman"/>
          <w:i/>
          <w:iCs/>
          <w:noProof/>
        </w:rPr>
        <w:t>et al.</w:t>
      </w:r>
      <w:r w:rsidRPr="0006397D">
        <w:rPr>
          <w:rFonts w:ascii="Times New Roman" w:hAnsi="Times New Roman" w:cs="Times New Roman"/>
          <w:noProof/>
        </w:rPr>
        <w:t xml:space="preserve">, “Highly oriented carbon fiber–polymer composites via additive manufacturing,” </w:t>
      </w:r>
      <w:r w:rsidRPr="0006397D">
        <w:rPr>
          <w:rFonts w:ascii="Times New Roman" w:hAnsi="Times New Roman" w:cs="Times New Roman"/>
          <w:i/>
          <w:iCs/>
          <w:noProof/>
        </w:rPr>
        <w:t>Compos. Sci. Technol.</w:t>
      </w:r>
      <w:r w:rsidRPr="0006397D">
        <w:rPr>
          <w:rFonts w:ascii="Times New Roman" w:hAnsi="Times New Roman" w:cs="Times New Roman"/>
          <w:noProof/>
        </w:rPr>
        <w:t>, vol. 105, pp. 144–150, 2014.</w:t>
      </w:r>
    </w:p>
    <w:p w14:paraId="44DF454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[140]</w:t>
      </w:r>
      <w:r w:rsidRPr="0006397D">
        <w:rPr>
          <w:rFonts w:ascii="Times New Roman" w:hAnsi="Times New Roman" w:cs="Times New Roman"/>
          <w:noProof/>
        </w:rPr>
        <w:tab/>
        <w:t xml:space="preserve">L. J. Love </w:t>
      </w:r>
      <w:r w:rsidRPr="0006397D">
        <w:rPr>
          <w:rFonts w:ascii="Times New Roman" w:hAnsi="Times New Roman" w:cs="Times New Roman"/>
          <w:i/>
          <w:iCs/>
          <w:noProof/>
        </w:rPr>
        <w:t>et al.</w:t>
      </w:r>
      <w:r w:rsidRPr="0006397D">
        <w:rPr>
          <w:rFonts w:ascii="Times New Roman" w:hAnsi="Times New Roman" w:cs="Times New Roman"/>
          <w:noProof/>
        </w:rPr>
        <w:t xml:space="preserve">, “Breaking Barriers in Polymer Additive Manufacturing (Conference) | OSTI.GOV,” in </w:t>
      </w:r>
      <w:r w:rsidRPr="0006397D">
        <w:rPr>
          <w:rFonts w:ascii="Times New Roman" w:hAnsi="Times New Roman" w:cs="Times New Roman"/>
          <w:i/>
          <w:iCs/>
          <w:noProof/>
        </w:rPr>
        <w:t>SAMPE</w:t>
      </w:r>
      <w:r w:rsidRPr="0006397D">
        <w:rPr>
          <w:rFonts w:ascii="Times New Roman" w:hAnsi="Times New Roman" w:cs="Times New Roman"/>
          <w:noProof/>
        </w:rPr>
        <w:t>, 2015.</w:t>
      </w:r>
    </w:p>
    <w:p w14:paraId="447239D8"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[141]</w:t>
      </w:r>
      <w:r w:rsidRPr="0006397D">
        <w:rPr>
          <w:rFonts w:ascii="Times New Roman" w:hAnsi="Times New Roman" w:cs="Times New Roman"/>
          <w:noProof/>
        </w:rPr>
        <w:tab/>
        <w:t xml:space="preserve">I. M. Daniel and O. Ishai, </w:t>
      </w:r>
      <w:r w:rsidRPr="0006397D">
        <w:rPr>
          <w:rFonts w:ascii="Times New Roman" w:hAnsi="Times New Roman" w:cs="Times New Roman"/>
          <w:i/>
          <w:iCs/>
          <w:noProof/>
        </w:rPr>
        <w:t>Engineering mechanics of composite materials</w:t>
      </w:r>
      <w:r w:rsidRPr="0006397D">
        <w:rPr>
          <w:rFonts w:ascii="Times New Roman" w:hAnsi="Times New Roman" w:cs="Times New Roman"/>
          <w:noProof/>
        </w:rPr>
        <w:t>. Oxford University Press, 2006.</w:t>
      </w:r>
    </w:p>
    <w:p w14:paraId="6D21E703"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[142]</w:t>
      </w:r>
      <w:r w:rsidRPr="0006397D">
        <w:rPr>
          <w:rFonts w:ascii="Times New Roman" w:hAnsi="Times New Roman" w:cs="Times New Roman"/>
          <w:noProof/>
        </w:rPr>
        <w:tab/>
        <w:t xml:space="preserve">A. Tezvergil, L. V. J. Lassila, and P. K. Vallittu, “The effect of fiber orientation on the polymerization shrinkage strain of fiber-reinforced composites,” </w:t>
      </w:r>
      <w:r w:rsidRPr="0006397D">
        <w:rPr>
          <w:rFonts w:ascii="Times New Roman" w:hAnsi="Times New Roman" w:cs="Times New Roman"/>
          <w:i/>
          <w:iCs/>
          <w:noProof/>
        </w:rPr>
        <w:t>Dent. Mater.</w:t>
      </w:r>
      <w:r w:rsidRPr="0006397D">
        <w:rPr>
          <w:rFonts w:ascii="Times New Roman" w:hAnsi="Times New Roman" w:cs="Times New Roman"/>
          <w:noProof/>
        </w:rPr>
        <w:t>, vol. 22, no. 7, pp. 610–616, Jul. 2006.</w:t>
      </w:r>
    </w:p>
    <w:p w14:paraId="48A84C3C"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[143]</w:t>
      </w:r>
      <w:r w:rsidRPr="0006397D">
        <w:rPr>
          <w:rFonts w:ascii="Times New Roman" w:hAnsi="Times New Roman" w:cs="Times New Roman"/>
          <w:noProof/>
        </w:rPr>
        <w:tab/>
        <w:t>“3D printing with continuous fiber: A landscape | CompositesWorld.” [Online]. Available: https://www.compositesworld.com/articles/3d-printing-with-continuous-fiber-a-landscape. [Accessed: 13-Nov-2020].</w:t>
      </w:r>
    </w:p>
    <w:p w14:paraId="7B81743B"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[144]</w:t>
      </w:r>
      <w:r w:rsidRPr="0006397D">
        <w:rPr>
          <w:rFonts w:ascii="Times New Roman" w:hAnsi="Times New Roman" w:cs="Times New Roman"/>
          <w:noProof/>
        </w:rPr>
        <w:tab/>
        <w:t xml:space="preserve">A. Brasington, C. Sacco, J. Halbritter, R. Wehbe, and R. Harik, “Automated fiber placement: A review of history, current technologies, and future paths forward,” </w:t>
      </w:r>
      <w:r w:rsidRPr="0006397D">
        <w:rPr>
          <w:rFonts w:ascii="Times New Roman" w:hAnsi="Times New Roman" w:cs="Times New Roman"/>
          <w:i/>
          <w:iCs/>
          <w:noProof/>
        </w:rPr>
        <w:t>Compos. Part C Open Access</w:t>
      </w:r>
      <w:r w:rsidRPr="0006397D">
        <w:rPr>
          <w:rFonts w:ascii="Times New Roman" w:hAnsi="Times New Roman" w:cs="Times New Roman"/>
          <w:noProof/>
        </w:rPr>
        <w:t>, vol. 6, p. 100182, Oct. 2021.</w:t>
      </w:r>
    </w:p>
    <w:p w14:paraId="305504D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[145]</w:t>
      </w:r>
      <w:r w:rsidRPr="0006397D">
        <w:rPr>
          <w:rFonts w:ascii="Times New Roman" w:hAnsi="Times New Roman" w:cs="Times New Roman"/>
          <w:noProof/>
        </w:rPr>
        <w:tab/>
        <w:t>Z. Zguris, “How Mechanical Properties of Stereolithography 3D Prints are Affected by UV Curing.”</w:t>
      </w:r>
    </w:p>
    <w:p w14:paraId="48A7FE21"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[146]</w:t>
      </w:r>
      <w:r w:rsidRPr="0006397D">
        <w:rPr>
          <w:rFonts w:ascii="Times New Roman" w:hAnsi="Times New Roman" w:cs="Times New Roman"/>
          <w:noProof/>
        </w:rPr>
        <w:tab/>
        <w:t xml:space="preserve">C. M. Cheah, J. Y. H. Fuh, A. Y. C. Nee, L. Lu, Y. S. Choo, and T. Miyazawa, “Characteristics of photopolymeric material used in rapid prototypes: Part II. Mechanical properties at post-cured state,” </w:t>
      </w:r>
      <w:r w:rsidRPr="0006397D">
        <w:rPr>
          <w:rFonts w:ascii="Times New Roman" w:hAnsi="Times New Roman" w:cs="Times New Roman"/>
          <w:i/>
          <w:iCs/>
          <w:noProof/>
        </w:rPr>
        <w:t>J. Mater. Process. Technol.</w:t>
      </w:r>
      <w:r w:rsidRPr="0006397D">
        <w:rPr>
          <w:rFonts w:ascii="Times New Roman" w:hAnsi="Times New Roman" w:cs="Times New Roman"/>
          <w:noProof/>
        </w:rPr>
        <w:t>, vol. 67, no. 1–3, pp. 46–49, May 1997.</w:t>
      </w:r>
    </w:p>
    <w:p w14:paraId="6FCD1725"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[147]</w:t>
      </w:r>
      <w:r w:rsidRPr="0006397D">
        <w:rPr>
          <w:rFonts w:ascii="Times New Roman" w:hAnsi="Times New Roman" w:cs="Times New Roman"/>
          <w:noProof/>
        </w:rPr>
        <w:tab/>
        <w:t xml:space="preserve">N. P. Levenhagen and M. D. Dadmun, “Reactive Processing in Extrusion-Based 3D Printing to Improve Isotropy and Mechanical Properties,” </w:t>
      </w:r>
      <w:r w:rsidRPr="0006397D">
        <w:rPr>
          <w:rFonts w:ascii="Times New Roman" w:hAnsi="Times New Roman" w:cs="Times New Roman"/>
          <w:i/>
          <w:iCs/>
          <w:noProof/>
        </w:rPr>
        <w:t>Macromolecules</w:t>
      </w:r>
      <w:r w:rsidRPr="0006397D">
        <w:rPr>
          <w:rFonts w:ascii="Times New Roman" w:hAnsi="Times New Roman" w:cs="Times New Roman"/>
          <w:noProof/>
        </w:rPr>
        <w:t>, 2019.</w:t>
      </w:r>
    </w:p>
    <w:p w14:paraId="29FDDA8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[148]</w:t>
      </w:r>
      <w:r w:rsidRPr="0006397D">
        <w:rPr>
          <w:rFonts w:ascii="Times New Roman" w:hAnsi="Times New Roman" w:cs="Times New Roman"/>
          <w:noProof/>
        </w:rPr>
        <w:tab/>
        <w:t xml:space="preserve">A. Cvetanovska and P. Compston, “Degree of cure and tensile properties of vinylester resin cured with ultraviolet light,” </w:t>
      </w:r>
      <w:r w:rsidRPr="0006397D">
        <w:rPr>
          <w:rFonts w:ascii="Times New Roman" w:hAnsi="Times New Roman" w:cs="Times New Roman"/>
          <w:i/>
          <w:iCs/>
          <w:noProof/>
        </w:rPr>
        <w:t>J. Mater. Sci.</w:t>
      </w:r>
      <w:r w:rsidRPr="0006397D">
        <w:rPr>
          <w:rFonts w:ascii="Times New Roman" w:hAnsi="Times New Roman" w:cs="Times New Roman"/>
          <w:noProof/>
        </w:rPr>
        <w:t>, vol. 39, no. 5, pp. 1791–1793, Mar. 2004.</w:t>
      </w:r>
    </w:p>
    <w:p w14:paraId="0AB46EA4"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[149]</w:t>
      </w:r>
      <w:r w:rsidRPr="0006397D">
        <w:rPr>
          <w:rFonts w:ascii="Times New Roman" w:hAnsi="Times New Roman" w:cs="Times New Roman"/>
          <w:noProof/>
        </w:rPr>
        <w:tab/>
        <w:t xml:space="preserve">P. Compston and D. Dexter, “The effect of ultraviolet (UV) light postcuring on resin hardness and interlaminar shear strength of a glass-fibre/vinylester composite,” </w:t>
      </w:r>
      <w:r w:rsidRPr="0006397D">
        <w:rPr>
          <w:rFonts w:ascii="Times New Roman" w:hAnsi="Times New Roman" w:cs="Times New Roman"/>
          <w:i/>
          <w:iCs/>
          <w:noProof/>
        </w:rPr>
        <w:t>J. Mater. Sci.</w:t>
      </w:r>
      <w:r w:rsidRPr="0006397D">
        <w:rPr>
          <w:rFonts w:ascii="Times New Roman" w:hAnsi="Times New Roman" w:cs="Times New Roman"/>
          <w:noProof/>
        </w:rPr>
        <w:t>, vol. 43, no. 14, pp. 5017–5019, Jul. 2008.</w:t>
      </w:r>
    </w:p>
    <w:p w14:paraId="47055302"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[150]</w:t>
      </w:r>
      <w:r w:rsidRPr="0006397D">
        <w:rPr>
          <w:rFonts w:ascii="Times New Roman" w:hAnsi="Times New Roman" w:cs="Times New Roman"/>
          <w:noProof/>
        </w:rPr>
        <w:tab/>
        <w:t>W. C. Oliver and G. M. Pharr, “An improved technique for determining hardness and elastic modulus using load and displacement sensing indentation experiments,” 1992.</w:t>
      </w:r>
    </w:p>
    <w:p w14:paraId="324E4DDE"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[151]</w:t>
      </w:r>
      <w:r w:rsidRPr="0006397D">
        <w:rPr>
          <w:rFonts w:ascii="Times New Roman" w:hAnsi="Times New Roman" w:cs="Times New Roman"/>
          <w:noProof/>
        </w:rPr>
        <w:tab/>
        <w:t xml:space="preserve">D. Gilmer </w:t>
      </w:r>
      <w:r w:rsidRPr="0006397D">
        <w:rPr>
          <w:rFonts w:ascii="Times New Roman" w:hAnsi="Times New Roman" w:cs="Times New Roman"/>
          <w:i/>
          <w:iCs/>
          <w:noProof/>
        </w:rPr>
        <w:t>et al.</w:t>
      </w:r>
      <w:r w:rsidRPr="0006397D">
        <w:rPr>
          <w:rFonts w:ascii="Times New Roman" w:hAnsi="Times New Roman" w:cs="Times New Roman"/>
          <w:noProof/>
        </w:rPr>
        <w:t xml:space="preserve">, “An in-situ crosslinking binder for binder jet additive manufacturing,” </w:t>
      </w:r>
      <w:r w:rsidRPr="0006397D">
        <w:rPr>
          <w:rFonts w:ascii="Times New Roman" w:hAnsi="Times New Roman" w:cs="Times New Roman"/>
          <w:i/>
          <w:iCs/>
          <w:noProof/>
        </w:rPr>
        <w:t>Addit. Manuf.</w:t>
      </w:r>
      <w:r w:rsidRPr="0006397D">
        <w:rPr>
          <w:rFonts w:ascii="Times New Roman" w:hAnsi="Times New Roman" w:cs="Times New Roman"/>
          <w:noProof/>
        </w:rPr>
        <w:t>, vol. 35, p. 101341, Oct. 2020.</w:t>
      </w:r>
    </w:p>
    <w:p w14:paraId="010E04D6"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[152]</w:t>
      </w:r>
      <w:r w:rsidRPr="0006397D">
        <w:rPr>
          <w:rFonts w:ascii="Times New Roman" w:hAnsi="Times New Roman" w:cs="Times New Roman"/>
          <w:noProof/>
        </w:rPr>
        <w:tab/>
        <w:t xml:space="preserve">J. Pavlinec and N. Moszner, “Dark reactions of free radicals trapped in densely crosslinked polymer networks after photopolymerization,” </w:t>
      </w:r>
      <w:r w:rsidRPr="0006397D">
        <w:rPr>
          <w:rFonts w:ascii="Times New Roman" w:hAnsi="Times New Roman" w:cs="Times New Roman"/>
          <w:i/>
          <w:iCs/>
          <w:noProof/>
        </w:rPr>
        <w:t>J. Appl. Polym. Sci.</w:t>
      </w:r>
      <w:r w:rsidRPr="0006397D">
        <w:rPr>
          <w:rFonts w:ascii="Times New Roman" w:hAnsi="Times New Roman" w:cs="Times New Roman"/>
          <w:noProof/>
        </w:rPr>
        <w:t>, vol. 89, no. 3, pp. 579–588, Jul. 2003.</w:t>
      </w:r>
    </w:p>
    <w:p w14:paraId="11DC284A"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[153]</w:t>
      </w:r>
      <w:r w:rsidRPr="0006397D">
        <w:rPr>
          <w:rFonts w:ascii="Times New Roman" w:hAnsi="Times New Roman" w:cs="Times New Roman"/>
          <w:noProof/>
        </w:rPr>
        <w:tab/>
        <w:t xml:space="preserve">D. A. Abu-Elenain, S. H. Lewis, and J. W. Stansbury, “Property evolution during vitrification of dimethacrylate photopolymer networks,” </w:t>
      </w:r>
      <w:r w:rsidRPr="0006397D">
        <w:rPr>
          <w:rFonts w:ascii="Times New Roman" w:hAnsi="Times New Roman" w:cs="Times New Roman"/>
          <w:i/>
          <w:iCs/>
          <w:noProof/>
        </w:rPr>
        <w:t>Dent. Mater.</w:t>
      </w:r>
      <w:r w:rsidRPr="0006397D">
        <w:rPr>
          <w:rFonts w:ascii="Times New Roman" w:hAnsi="Times New Roman" w:cs="Times New Roman"/>
          <w:noProof/>
        </w:rPr>
        <w:t>, vol. 29, no. 11, pp. 1173–1181, Nov. 2013.</w:t>
      </w:r>
    </w:p>
    <w:p w14:paraId="4602483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[154]</w:t>
      </w:r>
      <w:r w:rsidRPr="0006397D">
        <w:rPr>
          <w:rFonts w:ascii="Times New Roman" w:hAnsi="Times New Roman" w:cs="Times New Roman"/>
          <w:noProof/>
        </w:rPr>
        <w:tab/>
        <w:t xml:space="preserve">G. Postiglione, G. Natale, G. Griffini, M. Levi, and S. Turri, “UV-assisted three-dimensional printing of polymer nanocomposites based on inorganic fillers,” </w:t>
      </w:r>
      <w:r w:rsidRPr="0006397D">
        <w:rPr>
          <w:rFonts w:ascii="Times New Roman" w:hAnsi="Times New Roman" w:cs="Times New Roman"/>
          <w:i/>
          <w:iCs/>
          <w:noProof/>
        </w:rPr>
        <w:t>Polym. Compos.</w:t>
      </w:r>
      <w:r w:rsidRPr="0006397D">
        <w:rPr>
          <w:rFonts w:ascii="Times New Roman" w:hAnsi="Times New Roman" w:cs="Times New Roman"/>
          <w:noProof/>
        </w:rPr>
        <w:t>, vol. 38, no. 8, pp. 1662–1670, Aug. 2017.</w:t>
      </w:r>
    </w:p>
    <w:p w14:paraId="609A620D"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lastRenderedPageBreak/>
        <w:t>[155]</w:t>
      </w:r>
      <w:r w:rsidRPr="0006397D">
        <w:rPr>
          <w:rFonts w:ascii="Times New Roman" w:hAnsi="Times New Roman" w:cs="Times New Roman"/>
          <w:noProof/>
        </w:rPr>
        <w:tab/>
        <w:t>J. D. Menczel and R. B. Prime, “Thermal analysis of polymers,” p. 688, 2009.</w:t>
      </w:r>
    </w:p>
    <w:p w14:paraId="1DB0880F" w14:textId="77777777" w:rsidR="0006397D" w:rsidRPr="0006397D" w:rsidRDefault="0006397D" w:rsidP="0006397D">
      <w:pPr>
        <w:widowControl w:val="0"/>
        <w:autoSpaceDE w:val="0"/>
        <w:autoSpaceDN w:val="0"/>
        <w:adjustRightInd w:val="0"/>
        <w:spacing w:after="160" w:line="360" w:lineRule="auto"/>
        <w:ind w:left="640" w:hanging="640"/>
        <w:rPr>
          <w:rFonts w:ascii="Times New Roman" w:hAnsi="Times New Roman" w:cs="Times New Roman"/>
          <w:noProof/>
        </w:rPr>
      </w:pPr>
      <w:r w:rsidRPr="0006397D">
        <w:rPr>
          <w:rFonts w:ascii="Times New Roman" w:hAnsi="Times New Roman" w:cs="Times New Roman"/>
          <w:noProof/>
        </w:rPr>
        <w:t>[156]</w:t>
      </w:r>
      <w:r w:rsidRPr="0006397D">
        <w:rPr>
          <w:rFonts w:ascii="Times New Roman" w:hAnsi="Times New Roman" w:cs="Times New Roman"/>
          <w:noProof/>
        </w:rPr>
        <w:tab/>
        <w:t xml:space="preserve">M. J. Idacavage and N. Cramer, “UV-EB Professional Short Course,” in </w:t>
      </w:r>
      <w:r w:rsidRPr="0006397D">
        <w:rPr>
          <w:rFonts w:ascii="Times New Roman" w:hAnsi="Times New Roman" w:cs="Times New Roman"/>
          <w:i/>
          <w:iCs/>
          <w:noProof/>
        </w:rPr>
        <w:t>RadTech UV &amp; EB 2018</w:t>
      </w:r>
      <w:r w:rsidRPr="0006397D">
        <w:rPr>
          <w:rFonts w:ascii="Times New Roman" w:hAnsi="Times New Roman" w:cs="Times New Roman"/>
          <w:noProof/>
        </w:rPr>
        <w:t>, 2018.</w:t>
      </w:r>
    </w:p>
    <w:p w14:paraId="541BDD4C" w14:textId="6025C816" w:rsidR="00236E6D" w:rsidRPr="008B3BCF" w:rsidRDefault="00913500" w:rsidP="003229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r w:rsidRPr="00913500">
        <w:rPr>
          <w:rFonts w:ascii="Times New Roman" w:hAnsi="Times New Roman" w:cs="Times New Roman"/>
        </w:rPr>
        <w:fldChar w:fldCharType="end"/>
      </w:r>
    </w:p>
    <w:p w14:paraId="4C059BBA" w14:textId="77777777" w:rsidR="00236E6D" w:rsidRPr="008B3BCF" w:rsidRDefault="00236E6D" w:rsidP="003229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0E3416B9" w14:textId="77777777" w:rsidR="00236E6D" w:rsidRPr="008B3BCF" w:rsidRDefault="00236E6D" w:rsidP="003229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7F587D1D" w14:textId="77777777" w:rsidR="00236E6D" w:rsidRPr="008B3BCF" w:rsidRDefault="00236E6D" w:rsidP="003229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00C4AD70" w14:textId="77777777" w:rsidR="00236E6D" w:rsidRPr="008B3BCF" w:rsidRDefault="00236E6D" w:rsidP="003229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b/>
          <w:bCs/>
        </w:rPr>
      </w:pPr>
    </w:p>
    <w:p w14:paraId="3837C78D" w14:textId="43939784" w:rsidR="00236E6D" w:rsidRPr="008B3BCF" w:rsidRDefault="00236E6D" w:rsidP="00322976">
      <w:pPr>
        <w:numPr>
          <w:ilvl w:val="12"/>
          <w:numId w:val="0"/>
        </w:numPr>
        <w:spacing w:line="360" w:lineRule="auto"/>
        <w:rPr>
          <w:rFonts w:ascii="Times New Roman" w:hAnsi="Times New Roman" w:cs="Times New Roman"/>
        </w:rPr>
      </w:pPr>
    </w:p>
    <w:p w14:paraId="0112242A" w14:textId="482FC031" w:rsidR="008F2A6C" w:rsidRPr="008B3BCF" w:rsidRDefault="00236E6D" w:rsidP="00322976">
      <w:pPr>
        <w:numPr>
          <w:ilvl w:val="12"/>
          <w:numId w:val="0"/>
        </w:numPr>
        <w:spacing w:line="360" w:lineRule="auto"/>
        <w:jc w:val="center"/>
        <w:rPr>
          <w:rFonts w:ascii="Times New Roman" w:hAnsi="Times New Roman" w:cs="Times New Roman"/>
        </w:rPr>
      </w:pPr>
      <w:r w:rsidRPr="008B3BCF">
        <w:rPr>
          <w:rFonts w:ascii="Times New Roman" w:hAnsi="Times New Roman" w:cs="Times New Roman"/>
        </w:rPr>
        <w:br w:type="page"/>
      </w:r>
      <w:bookmarkStart w:id="277" w:name="_Toc420995912"/>
      <w:bookmarkStart w:id="278" w:name="_Toc422997499"/>
    </w:p>
    <w:p w14:paraId="300210F0" w14:textId="0924F507" w:rsidR="00236E6D" w:rsidRPr="008B3BCF" w:rsidRDefault="00DF312D" w:rsidP="00BF3517">
      <w:pPr>
        <w:pStyle w:val="AltHeading1"/>
      </w:pPr>
      <w:bookmarkStart w:id="279" w:name="_Toc101701811"/>
      <w:bookmarkEnd w:id="277"/>
      <w:bookmarkEnd w:id="278"/>
      <w:r>
        <w:lastRenderedPageBreak/>
        <w:t>APPENDICES</w:t>
      </w:r>
      <w:bookmarkEnd w:id="279"/>
    </w:p>
    <w:p w14:paraId="38398834" w14:textId="77777777" w:rsidR="009D46F6" w:rsidRDefault="009D46F6" w:rsidP="00322976">
      <w:pPr>
        <w:spacing w:line="360" w:lineRule="auto"/>
        <w:rPr>
          <w:rFonts w:ascii="Times New Roman" w:hAnsi="Times New Roman" w:cs="Times New Roman"/>
        </w:rPr>
      </w:pPr>
    </w:p>
    <w:p w14:paraId="184976F8" w14:textId="77777777" w:rsidR="009D46F6" w:rsidRDefault="009D46F6" w:rsidP="00322976">
      <w:pPr>
        <w:spacing w:line="360" w:lineRule="auto"/>
        <w:rPr>
          <w:rFonts w:ascii="Times New Roman" w:hAnsi="Times New Roman" w:cs="Times New Roman"/>
        </w:rPr>
      </w:pPr>
    </w:p>
    <w:p w14:paraId="13386400" w14:textId="77777777" w:rsidR="009D46F6" w:rsidRDefault="000B0A40" w:rsidP="00322976">
      <w:pPr>
        <w:spacing w:line="360" w:lineRule="auto"/>
        <w:rPr>
          <w:rFonts w:ascii="Times New Roman" w:hAnsi="Times New Roman" w:cs="Times New Roman"/>
        </w:rPr>
      </w:pPr>
      <w:r w:rsidRPr="008B3BCF">
        <w:rPr>
          <w:rFonts w:ascii="Times New Roman" w:hAnsi="Times New Roman" w:cs="Times New Roman"/>
        </w:rPr>
        <w:br w:type="page"/>
      </w:r>
    </w:p>
    <w:p w14:paraId="7322C0F0" w14:textId="77777777" w:rsidR="001165FF" w:rsidRPr="007635FD" w:rsidRDefault="001165FF" w:rsidP="00DB3040">
      <w:pPr>
        <w:pStyle w:val="Heading2"/>
      </w:pPr>
      <w:bookmarkStart w:id="280" w:name="_Toc101701812"/>
      <w:r w:rsidRPr="007635FD">
        <w:lastRenderedPageBreak/>
        <w:t>Oligomer Characterization</w:t>
      </w:r>
      <w:bookmarkEnd w:id="280"/>
    </w:p>
    <w:p w14:paraId="20477BAB" w14:textId="76DF63A9" w:rsidR="00130AC7" w:rsidRDefault="001165FF" w:rsidP="001165FF">
      <w:pPr>
        <w:spacing w:line="360" w:lineRule="auto"/>
        <w:rPr>
          <w:rFonts w:ascii="Times New Roman" w:hAnsi="Times New Roman" w:cs="Times New Roman"/>
        </w:rPr>
      </w:pPr>
      <w:r>
        <w:rPr>
          <w:rFonts w:ascii="Times New Roman" w:hAnsi="Times New Roman" w:cs="Times New Roman"/>
        </w:rPr>
        <w:t>The primary oligomer in this dissertation is</w:t>
      </w:r>
      <w:r w:rsidR="00BE4B6F">
        <w:rPr>
          <w:rFonts w:ascii="Times New Roman" w:hAnsi="Times New Roman" w:cs="Times New Roman"/>
        </w:rPr>
        <w:t xml:space="preserve"> </w:t>
      </w:r>
      <w:r>
        <w:rPr>
          <w:rFonts w:ascii="Times New Roman" w:hAnsi="Times New Roman" w:cs="Times New Roman"/>
        </w:rPr>
        <w:t xml:space="preserve">Bisphenol A ethoxylate dimethacrylate (Bis-EMA) supplied by Polynt Composites USA, which has the general structure shown in </w:t>
      </w:r>
      <w:r w:rsidR="0089389B" w:rsidRPr="0089389B">
        <w:rPr>
          <w:rFonts w:ascii="Times New Roman" w:hAnsi="Times New Roman" w:cs="Times New Roman"/>
        </w:rPr>
        <w:fldChar w:fldCharType="begin"/>
      </w:r>
      <w:r w:rsidR="0089389B" w:rsidRPr="0089389B">
        <w:rPr>
          <w:rFonts w:ascii="Times New Roman" w:hAnsi="Times New Roman" w:cs="Times New Roman"/>
        </w:rPr>
        <w:instrText xml:space="preserve"> REF _Ref100939719 \h </w:instrText>
      </w:r>
      <w:r w:rsidR="0089389B">
        <w:rPr>
          <w:rFonts w:ascii="Times New Roman" w:hAnsi="Times New Roman" w:cs="Times New Roman"/>
        </w:rPr>
        <w:instrText xml:space="preserve"> \* MERGEFORMAT </w:instrText>
      </w:r>
      <w:r w:rsidR="0089389B" w:rsidRPr="0089389B">
        <w:rPr>
          <w:rFonts w:ascii="Times New Roman" w:hAnsi="Times New Roman" w:cs="Times New Roman"/>
        </w:rPr>
      </w:r>
      <w:r w:rsidR="0089389B" w:rsidRPr="0089389B">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69</w:t>
      </w:r>
      <w:r w:rsidR="0089389B" w:rsidRPr="0089389B">
        <w:rPr>
          <w:rFonts w:ascii="Times New Roman" w:hAnsi="Times New Roman" w:cs="Times New Roman"/>
        </w:rPr>
        <w:fldChar w:fldCharType="end"/>
      </w:r>
      <w:r w:rsidRPr="000E5B90">
        <w:rPr>
          <w:rFonts w:ascii="Times New Roman" w:hAnsi="Times New Roman" w:cs="Times New Roman"/>
        </w:rPr>
        <w:t xml:space="preserve">.  </w:t>
      </w:r>
      <w:r w:rsidR="00130AC7">
        <w:rPr>
          <w:rFonts w:ascii="Times New Roman" w:hAnsi="Times New Roman" w:cs="Times New Roman"/>
        </w:rPr>
        <w:t xml:space="preserve">While Bis-EMA is most often reported in dental applications, </w:t>
      </w:r>
      <w:r>
        <w:rPr>
          <w:rFonts w:ascii="Times New Roman" w:hAnsi="Times New Roman" w:cs="Times New Roman"/>
        </w:rPr>
        <w:t>Polynt’s Bis-EMA was developed to serve the composites industry for tooling applications</w:t>
      </w:r>
      <w:r w:rsidR="00BE4B6F">
        <w:rPr>
          <w:rFonts w:ascii="Times New Roman" w:hAnsi="Times New Roman" w:cs="Times New Roman"/>
        </w:rPr>
        <w:t xml:space="preserve"> and may be considered as “commodity grade”</w:t>
      </w:r>
      <w:r w:rsidR="00130AC7">
        <w:rPr>
          <w:rFonts w:ascii="Times New Roman" w:hAnsi="Times New Roman" w:cs="Times New Roman"/>
        </w:rPr>
        <w:t>.  It</w:t>
      </w:r>
      <w:r w:rsidR="006D4A2C">
        <w:rPr>
          <w:rFonts w:ascii="Times New Roman" w:hAnsi="Times New Roman" w:cs="Times New Roman"/>
        </w:rPr>
        <w:t xml:space="preserve"> ha</w:t>
      </w:r>
      <w:r w:rsidR="00130AC7">
        <w:rPr>
          <w:rFonts w:ascii="Times New Roman" w:hAnsi="Times New Roman" w:cs="Times New Roman"/>
        </w:rPr>
        <w:t>s</w:t>
      </w:r>
      <w:r w:rsidR="006D4A2C">
        <w:rPr>
          <w:rFonts w:ascii="Times New Roman" w:hAnsi="Times New Roman" w:cs="Times New Roman"/>
        </w:rPr>
        <w:t xml:space="preserve"> a reported T</w:t>
      </w:r>
      <w:r w:rsidR="006D4A2C" w:rsidRPr="00130AC7">
        <w:rPr>
          <w:rFonts w:ascii="Times New Roman" w:hAnsi="Times New Roman" w:cs="Times New Roman"/>
          <w:vertAlign w:val="subscript"/>
        </w:rPr>
        <w:t>g</w:t>
      </w:r>
      <w:r w:rsidR="006D4A2C">
        <w:rPr>
          <w:rFonts w:ascii="Times New Roman" w:hAnsi="Times New Roman" w:cs="Times New Roman"/>
        </w:rPr>
        <w:t xml:space="preserve"> of 172 ºC</w:t>
      </w:r>
      <w:r w:rsidR="008F358F">
        <w:rPr>
          <w:rFonts w:ascii="Times New Roman" w:hAnsi="Times New Roman" w:cs="Times New Roman"/>
        </w:rPr>
        <w:t xml:space="preserve">, and a lower cost than the </w:t>
      </w:r>
      <w:r w:rsidR="00BE4B6F">
        <w:rPr>
          <w:rFonts w:ascii="Times New Roman" w:hAnsi="Times New Roman" w:cs="Times New Roman"/>
        </w:rPr>
        <w:t>“</w:t>
      </w:r>
      <w:r w:rsidR="008F358F">
        <w:rPr>
          <w:rFonts w:ascii="Times New Roman" w:hAnsi="Times New Roman" w:cs="Times New Roman"/>
        </w:rPr>
        <w:t>dental grade</w:t>
      </w:r>
      <w:r w:rsidR="00BE4B6F">
        <w:rPr>
          <w:rFonts w:ascii="Times New Roman" w:hAnsi="Times New Roman" w:cs="Times New Roman"/>
        </w:rPr>
        <w:t>”</w:t>
      </w:r>
      <w:r w:rsidR="008F358F">
        <w:rPr>
          <w:rFonts w:ascii="Times New Roman" w:hAnsi="Times New Roman" w:cs="Times New Roman"/>
        </w:rPr>
        <w:t xml:space="preserve"> Bis-EMA commonly used in literature.</w:t>
      </w:r>
      <w:r w:rsidR="006D4A2C">
        <w:rPr>
          <w:rFonts w:ascii="Times New Roman" w:hAnsi="Times New Roman" w:cs="Times New Roman"/>
        </w:rPr>
        <w:t xml:space="preserve"> </w:t>
      </w:r>
      <w:r w:rsidR="008F358F">
        <w:rPr>
          <w:rFonts w:ascii="Times New Roman" w:hAnsi="Times New Roman" w:cs="Times New Roman"/>
        </w:rPr>
        <w:t xml:space="preserve"> The lower cost and high temperature resistance make it attractive as material for LFAM tooling applications</w:t>
      </w:r>
      <w:r w:rsidR="00AE4B13">
        <w:rPr>
          <w:rFonts w:ascii="Times New Roman" w:hAnsi="Times New Roman" w:cs="Times New Roman"/>
        </w:rPr>
        <w:t>.</w:t>
      </w:r>
      <w:r w:rsidR="008F358F">
        <w:rPr>
          <w:rFonts w:ascii="Times New Roman" w:hAnsi="Times New Roman" w:cs="Times New Roman"/>
        </w:rPr>
        <w:t xml:space="preserve"> </w:t>
      </w:r>
      <w:r w:rsidR="00AE4B13">
        <w:rPr>
          <w:rFonts w:ascii="Times New Roman" w:hAnsi="Times New Roman" w:cs="Times New Roman"/>
        </w:rPr>
        <w:t xml:space="preserve"> However, th</w:t>
      </w:r>
      <w:r w:rsidR="00BE4B6F">
        <w:rPr>
          <w:rFonts w:ascii="Times New Roman" w:hAnsi="Times New Roman" w:cs="Times New Roman"/>
        </w:rPr>
        <w:t>is</w:t>
      </w:r>
      <w:r w:rsidR="00AE4B13">
        <w:rPr>
          <w:rFonts w:ascii="Times New Roman" w:hAnsi="Times New Roman" w:cs="Times New Roman"/>
        </w:rPr>
        <w:t xml:space="preserve"> lower cost</w:t>
      </w:r>
      <w:r w:rsidR="008F358F">
        <w:rPr>
          <w:rFonts w:ascii="Times New Roman" w:hAnsi="Times New Roman" w:cs="Times New Roman"/>
        </w:rPr>
        <w:t xml:space="preserve"> </w:t>
      </w:r>
      <w:r w:rsidR="00AE4B13">
        <w:rPr>
          <w:rFonts w:ascii="Times New Roman" w:hAnsi="Times New Roman" w:cs="Times New Roman"/>
        </w:rPr>
        <w:t xml:space="preserve">commodity-grade (CG) </w:t>
      </w:r>
      <w:r w:rsidR="008F358F">
        <w:rPr>
          <w:rFonts w:ascii="Times New Roman" w:hAnsi="Times New Roman" w:cs="Times New Roman"/>
        </w:rPr>
        <w:t xml:space="preserve">Bis-EMA has impurities </w:t>
      </w:r>
      <w:r w:rsidR="00AE4B13">
        <w:rPr>
          <w:rFonts w:ascii="Times New Roman" w:hAnsi="Times New Roman" w:cs="Times New Roman"/>
        </w:rPr>
        <w:t xml:space="preserve">not found in dental grade (DG) Bis-EMA. For example, the MSDS indicates a </w:t>
      </w:r>
      <w:r w:rsidR="00AE4B13" w:rsidRPr="000E5B90">
        <w:rPr>
          <w:rFonts w:ascii="Times New Roman" w:hAnsi="Times New Roman" w:cs="Times New Roman"/>
        </w:rPr>
        <w:t>1-3% wt. of residual methacrylic acid and &lt;0.5 wt% toluene</w:t>
      </w:r>
      <w:r w:rsidR="00AE4B13">
        <w:rPr>
          <w:rFonts w:ascii="Times New Roman" w:hAnsi="Times New Roman" w:cs="Times New Roman"/>
        </w:rPr>
        <w:t xml:space="preserve"> content.</w:t>
      </w:r>
      <w:r w:rsidR="00BE4B6F" w:rsidRPr="00BE4B6F">
        <w:rPr>
          <w:rFonts w:ascii="Times New Roman" w:hAnsi="Times New Roman" w:cs="Times New Roman"/>
        </w:rPr>
        <w:t xml:space="preserve"> </w:t>
      </w:r>
      <w:r w:rsidR="00BE4B6F">
        <w:rPr>
          <w:rFonts w:ascii="Times New Roman" w:hAnsi="Times New Roman" w:cs="Times New Roman"/>
        </w:rPr>
        <w:t xml:space="preserve"> Also, while DG Bis-EMA is water clear, CG Bis-EMA has an amber color, which may affect light transmission.</w:t>
      </w:r>
    </w:p>
    <w:p w14:paraId="0EEADB85" w14:textId="77777777" w:rsidR="00AE4B13" w:rsidRDefault="00AE4B13" w:rsidP="001165FF">
      <w:pPr>
        <w:spacing w:line="360" w:lineRule="auto"/>
        <w:rPr>
          <w:rFonts w:ascii="Times New Roman" w:hAnsi="Times New Roman" w:cs="Times New Roman"/>
        </w:rPr>
      </w:pPr>
    </w:p>
    <w:p w14:paraId="6E551545" w14:textId="4B527D99" w:rsidR="001165FF" w:rsidRDefault="00AE4B13" w:rsidP="001165FF">
      <w:pPr>
        <w:spacing w:line="360" w:lineRule="auto"/>
        <w:rPr>
          <w:rFonts w:ascii="Times New Roman" w:hAnsi="Times New Roman" w:cs="Times New Roman"/>
        </w:rPr>
      </w:pPr>
      <w:r>
        <w:rPr>
          <w:rFonts w:ascii="Times New Roman" w:hAnsi="Times New Roman" w:cs="Times New Roman"/>
        </w:rPr>
        <w:t>To assess differences between grades of Bis-EMA, several tests were performed on the CG Bis-EMA in comparison with</w:t>
      </w:r>
      <w:r w:rsidR="001165FF">
        <w:rPr>
          <w:rFonts w:ascii="Times New Roman" w:hAnsi="Times New Roman" w:cs="Times New Roman"/>
        </w:rPr>
        <w:t xml:space="preserve"> X-970-000</w:t>
      </w:r>
      <w:r>
        <w:rPr>
          <w:rFonts w:ascii="Times New Roman" w:hAnsi="Times New Roman" w:cs="Times New Roman"/>
        </w:rPr>
        <w:t>0</w:t>
      </w:r>
      <w:r w:rsidR="001165FF">
        <w:rPr>
          <w:rFonts w:ascii="Times New Roman" w:hAnsi="Times New Roman" w:cs="Times New Roman"/>
        </w:rPr>
        <w:t>, a</w:t>
      </w:r>
      <w:r>
        <w:rPr>
          <w:rFonts w:ascii="Times New Roman" w:hAnsi="Times New Roman" w:cs="Times New Roman"/>
        </w:rPr>
        <w:t xml:space="preserve"> common</w:t>
      </w:r>
      <w:r w:rsidR="006C4070">
        <w:rPr>
          <w:rFonts w:ascii="Times New Roman" w:hAnsi="Times New Roman" w:cs="Times New Roman"/>
        </w:rPr>
        <w:t xml:space="preserve"> DG</w:t>
      </w:r>
      <w:r w:rsidR="001165FF">
        <w:rPr>
          <w:rFonts w:ascii="Times New Roman" w:hAnsi="Times New Roman" w:cs="Times New Roman"/>
        </w:rPr>
        <w:t xml:space="preserve"> Bis-EMA from Esstech, Inc.  </w:t>
      </w:r>
      <w:r>
        <w:rPr>
          <w:rFonts w:ascii="Times New Roman" w:hAnsi="Times New Roman" w:cs="Times New Roman"/>
        </w:rPr>
        <w:t xml:space="preserve">This </w:t>
      </w:r>
      <w:r w:rsidR="006C4070">
        <w:rPr>
          <w:rFonts w:ascii="Times New Roman" w:hAnsi="Times New Roman" w:cs="Times New Roman"/>
        </w:rPr>
        <w:t>DG Bis-EMA</w:t>
      </w:r>
      <w:r w:rsidR="001165FF">
        <w:rPr>
          <w:rFonts w:ascii="Times New Roman" w:hAnsi="Times New Roman" w:cs="Times New Roman"/>
        </w:rPr>
        <w:t xml:space="preserve"> </w:t>
      </w:r>
      <w:r w:rsidR="006D4A2C">
        <w:rPr>
          <w:rFonts w:ascii="Times New Roman" w:hAnsi="Times New Roman" w:cs="Times New Roman"/>
        </w:rPr>
        <w:t>ha</w:t>
      </w:r>
      <w:r w:rsidR="00BE4B6F">
        <w:rPr>
          <w:rFonts w:ascii="Times New Roman" w:hAnsi="Times New Roman" w:cs="Times New Roman"/>
        </w:rPr>
        <w:t>s</w:t>
      </w:r>
      <w:r w:rsidR="006D4A2C">
        <w:rPr>
          <w:rFonts w:ascii="Times New Roman" w:hAnsi="Times New Roman" w:cs="Times New Roman"/>
        </w:rPr>
        <w:t xml:space="preserve"> a reported</w:t>
      </w:r>
      <w:r w:rsidR="001165FF" w:rsidRPr="000E5B90">
        <w:rPr>
          <w:rFonts w:ascii="Times New Roman" w:hAnsi="Times New Roman" w:cs="Times New Roman"/>
        </w:rPr>
        <w:t xml:space="preserve"> molecular weight of 496.58 an</w:t>
      </w:r>
      <w:r w:rsidR="006C4070">
        <w:rPr>
          <w:rFonts w:ascii="Times New Roman" w:hAnsi="Times New Roman" w:cs="Times New Roman"/>
        </w:rPr>
        <w:t>d an</w:t>
      </w:r>
      <w:r w:rsidR="001165FF" w:rsidRPr="000E5B90">
        <w:rPr>
          <w:rFonts w:ascii="Times New Roman" w:hAnsi="Times New Roman" w:cs="Times New Roman"/>
        </w:rPr>
        <w:t xml:space="preserve"> average of 2 to 4 ethoxylation units (m + n = 3).  </w:t>
      </w:r>
      <w:r w:rsidR="006C4070">
        <w:rPr>
          <w:rFonts w:ascii="Times New Roman" w:hAnsi="Times New Roman" w:cs="Times New Roman"/>
        </w:rPr>
        <w:t>It</w:t>
      </w:r>
      <w:r w:rsidR="001165FF" w:rsidRPr="000E5B90">
        <w:rPr>
          <w:rFonts w:ascii="Times New Roman" w:hAnsi="Times New Roman" w:cs="Times New Roman"/>
        </w:rPr>
        <w:t xml:space="preserve"> is supplied with a purity </w:t>
      </w:r>
      <w:r w:rsidR="006C4070">
        <w:rPr>
          <w:rFonts w:ascii="Times New Roman" w:hAnsi="Times New Roman" w:cs="Times New Roman"/>
        </w:rPr>
        <w:t>&gt;</w:t>
      </w:r>
      <w:r w:rsidR="001165FF" w:rsidRPr="000E5B90">
        <w:rPr>
          <w:rFonts w:ascii="Times New Roman" w:hAnsi="Times New Roman" w:cs="Times New Roman"/>
        </w:rPr>
        <w:t xml:space="preserve"> 87%, a room temperature viscosity of 775 cps and </w:t>
      </w:r>
      <w:r w:rsidR="006C4070">
        <w:rPr>
          <w:rFonts w:ascii="Times New Roman" w:hAnsi="Times New Roman" w:cs="Times New Roman"/>
        </w:rPr>
        <w:t xml:space="preserve">is inhibited with </w:t>
      </w:r>
      <w:r w:rsidR="001165FF" w:rsidRPr="000E5B90">
        <w:rPr>
          <w:rFonts w:ascii="Times New Roman" w:hAnsi="Times New Roman" w:cs="Times New Roman"/>
        </w:rPr>
        <w:t xml:space="preserve">4-methoxyphenol (MeHQ).  </w:t>
      </w:r>
      <w:r>
        <w:rPr>
          <w:rFonts w:ascii="Times New Roman" w:hAnsi="Times New Roman" w:cs="Times New Roman"/>
        </w:rPr>
        <w:t xml:space="preserve">By comparison, </w:t>
      </w:r>
      <w:r w:rsidR="006C4070">
        <w:rPr>
          <w:rFonts w:ascii="Times New Roman" w:hAnsi="Times New Roman" w:cs="Times New Roman"/>
        </w:rPr>
        <w:t>CG Bis-EMA</w:t>
      </w:r>
      <w:r w:rsidR="001165FF" w:rsidRPr="000E5B90">
        <w:rPr>
          <w:rFonts w:ascii="Times New Roman" w:hAnsi="Times New Roman" w:cs="Times New Roman"/>
        </w:rPr>
        <w:t xml:space="preserve"> has a room temperature viscosity of 1400-2200 cps </w:t>
      </w:r>
      <w:r w:rsidR="001165FF">
        <w:rPr>
          <w:rFonts w:ascii="Times New Roman" w:hAnsi="Times New Roman" w:cs="Times New Roman"/>
        </w:rPr>
        <w:t>at</w:t>
      </w:r>
      <w:r w:rsidR="001165FF" w:rsidRPr="000E5B90">
        <w:rPr>
          <w:rFonts w:ascii="Times New Roman" w:hAnsi="Times New Roman" w:cs="Times New Roman"/>
        </w:rPr>
        <w:t xml:space="preserve"> 25 °C</w:t>
      </w:r>
      <w:r>
        <w:rPr>
          <w:rFonts w:ascii="Times New Roman" w:hAnsi="Times New Roman" w:cs="Times New Roman"/>
        </w:rPr>
        <w:t xml:space="preserve">.  </w:t>
      </w:r>
      <w:r w:rsidR="001165FF" w:rsidRPr="000E5B90">
        <w:rPr>
          <w:rFonts w:ascii="Times New Roman" w:hAnsi="Times New Roman" w:cs="Times New Roman"/>
        </w:rPr>
        <w:t xml:space="preserve">The number of ethoxylation units and average molecular weight are not listed, and the inhibitor </w:t>
      </w:r>
      <w:r w:rsidR="006C4070">
        <w:rPr>
          <w:rFonts w:ascii="Times New Roman" w:hAnsi="Times New Roman" w:cs="Times New Roman"/>
        </w:rPr>
        <w:t>was</w:t>
      </w:r>
      <w:r w:rsidR="001165FF" w:rsidRPr="000E5B90">
        <w:rPr>
          <w:rFonts w:ascii="Times New Roman" w:hAnsi="Times New Roman" w:cs="Times New Roman"/>
        </w:rPr>
        <w:t xml:space="preserve"> considered proprietary.</w:t>
      </w:r>
      <w:r w:rsidR="006C4070">
        <w:rPr>
          <w:rFonts w:ascii="Times New Roman" w:hAnsi="Times New Roman" w:cs="Times New Roman"/>
        </w:rPr>
        <w:t xml:space="preserve">  </w:t>
      </w:r>
    </w:p>
    <w:p w14:paraId="511DFBB7" w14:textId="77777777" w:rsidR="001165FF" w:rsidRDefault="001165FF" w:rsidP="001165FF">
      <w:pPr>
        <w:spacing w:line="360" w:lineRule="auto"/>
        <w:rPr>
          <w:rFonts w:ascii="Times New Roman" w:hAnsi="Times New Roman" w:cs="Times New Roman"/>
        </w:rPr>
      </w:pPr>
    </w:p>
    <w:p w14:paraId="064E7ADE" w14:textId="77777777" w:rsidR="001165FF" w:rsidRDefault="001165FF" w:rsidP="001165FF">
      <w:pPr>
        <w:spacing w:line="360" w:lineRule="auto"/>
        <w:rPr>
          <w:rFonts w:ascii="Times New Roman" w:hAnsi="Times New Roman" w:cs="Times New Roman"/>
        </w:rPr>
      </w:pPr>
      <w:r>
        <w:rPr>
          <w:rFonts w:ascii="Times New Roman" w:hAnsi="Times New Roman" w:cs="Times New Roman"/>
        </w:rPr>
        <w:t>To compare the two resin systems, the following tests were performed:</w:t>
      </w:r>
    </w:p>
    <w:p w14:paraId="7C62F6CE" w14:textId="77777777" w:rsidR="00BE4B6F" w:rsidRDefault="00BE4B6F" w:rsidP="00BE4B6F">
      <w:pPr>
        <w:pStyle w:val="ListParagraph"/>
        <w:numPr>
          <w:ilvl w:val="0"/>
          <w:numId w:val="36"/>
        </w:numPr>
      </w:pPr>
      <w:r>
        <w:t>ESI-MS spectroscopy</w:t>
      </w:r>
    </w:p>
    <w:p w14:paraId="2229B5B8" w14:textId="77777777" w:rsidR="00BE4B6F" w:rsidRDefault="00BE4B6F" w:rsidP="00BE4B6F">
      <w:pPr>
        <w:pStyle w:val="ListParagraph"/>
        <w:numPr>
          <w:ilvl w:val="0"/>
          <w:numId w:val="36"/>
        </w:numPr>
      </w:pPr>
      <w:r>
        <w:t>NMR spectroscopy</w:t>
      </w:r>
    </w:p>
    <w:p w14:paraId="0BCC52E5" w14:textId="77777777" w:rsidR="001165FF" w:rsidRDefault="001165FF" w:rsidP="000F4D4E">
      <w:pPr>
        <w:pStyle w:val="ListParagraph"/>
        <w:numPr>
          <w:ilvl w:val="0"/>
          <w:numId w:val="36"/>
        </w:numPr>
      </w:pPr>
      <w:r>
        <w:t>Thermogravimetric analysis (TGA)</w:t>
      </w:r>
    </w:p>
    <w:p w14:paraId="22FB0860" w14:textId="5E7D8D35" w:rsidR="00DF60A2" w:rsidRDefault="00DF60A2" w:rsidP="000F4D4E">
      <w:pPr>
        <w:pStyle w:val="ListParagraph"/>
        <w:numPr>
          <w:ilvl w:val="0"/>
          <w:numId w:val="36"/>
        </w:numPr>
      </w:pPr>
      <w:r>
        <w:t>Radiometry</w:t>
      </w:r>
    </w:p>
    <w:p w14:paraId="119F0871" w14:textId="098FB881" w:rsidR="00926B51" w:rsidRDefault="00926B51" w:rsidP="000F4D4E">
      <w:pPr>
        <w:pStyle w:val="ListParagraph"/>
        <w:numPr>
          <w:ilvl w:val="0"/>
          <w:numId w:val="36"/>
        </w:numPr>
      </w:pPr>
      <w:r>
        <w:t>UV-Vis Spectroscopy</w:t>
      </w:r>
    </w:p>
    <w:p w14:paraId="4F4F8CB4" w14:textId="7560BFD3" w:rsidR="008F358F" w:rsidRDefault="008F358F" w:rsidP="008F358F"/>
    <w:p w14:paraId="2FB36D09" w14:textId="77777777" w:rsidR="008F358F" w:rsidRPr="007A692F" w:rsidRDefault="008F358F" w:rsidP="009D06D1">
      <w:pPr>
        <w:pStyle w:val="Heading3"/>
      </w:pPr>
      <w:bookmarkStart w:id="281" w:name="_Toc101701813"/>
      <w:r>
        <w:lastRenderedPageBreak/>
        <w:t>Electrospray Ionization Mass Spectroscopy (ESI-MS)</w:t>
      </w:r>
      <w:bookmarkEnd w:id="281"/>
    </w:p>
    <w:p w14:paraId="116ABDA7" w14:textId="062AC0CE" w:rsidR="008F358F" w:rsidRDefault="008F358F" w:rsidP="008F358F">
      <w:pPr>
        <w:spacing w:line="360" w:lineRule="auto"/>
        <w:rPr>
          <w:rFonts w:ascii="Times New Roman" w:hAnsi="Times New Roman" w:cs="Times New Roman"/>
        </w:rPr>
      </w:pPr>
      <w:r>
        <w:rPr>
          <w:rFonts w:ascii="Times New Roman" w:hAnsi="Times New Roman" w:cs="Times New Roman"/>
        </w:rPr>
        <w:t xml:space="preserve">Uncured resin samples of both resins were tested to determine molecular weight.  From the ESI-MS results shown in </w:t>
      </w:r>
      <w:r w:rsidR="0017036F" w:rsidRPr="0017036F">
        <w:rPr>
          <w:rFonts w:ascii="Times New Roman" w:hAnsi="Times New Roman" w:cs="Times New Roman"/>
        </w:rPr>
        <w:fldChar w:fldCharType="begin"/>
      </w:r>
      <w:r w:rsidR="0017036F" w:rsidRPr="0017036F">
        <w:rPr>
          <w:rFonts w:ascii="Times New Roman" w:hAnsi="Times New Roman" w:cs="Times New Roman"/>
        </w:rPr>
        <w:instrText xml:space="preserve"> REF _Ref100939845 \h </w:instrText>
      </w:r>
      <w:r w:rsidR="0017036F">
        <w:rPr>
          <w:rFonts w:ascii="Times New Roman" w:hAnsi="Times New Roman" w:cs="Times New Roman"/>
        </w:rPr>
        <w:instrText xml:space="preserve"> \* MERGEFORMAT </w:instrText>
      </w:r>
      <w:r w:rsidR="0017036F" w:rsidRPr="0017036F">
        <w:rPr>
          <w:rFonts w:ascii="Times New Roman" w:hAnsi="Times New Roman" w:cs="Times New Roman"/>
        </w:rPr>
      </w:r>
      <w:r w:rsidR="0017036F" w:rsidRPr="0017036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70</w:t>
      </w:r>
      <w:r w:rsidR="0017036F" w:rsidRPr="0017036F">
        <w:rPr>
          <w:rFonts w:ascii="Times New Roman" w:hAnsi="Times New Roman" w:cs="Times New Roman"/>
        </w:rPr>
        <w:fldChar w:fldCharType="end"/>
      </w:r>
      <w:r w:rsidR="0017036F">
        <w:rPr>
          <w:rFonts w:ascii="Times New Roman" w:hAnsi="Times New Roman" w:cs="Times New Roman"/>
        </w:rPr>
        <w:t xml:space="preserve"> and </w:t>
      </w:r>
      <w:r w:rsidR="0017036F" w:rsidRPr="0017036F">
        <w:rPr>
          <w:rFonts w:ascii="Times New Roman" w:hAnsi="Times New Roman" w:cs="Times New Roman"/>
        </w:rPr>
        <w:fldChar w:fldCharType="begin"/>
      </w:r>
      <w:r w:rsidR="0017036F" w:rsidRPr="0017036F">
        <w:rPr>
          <w:rFonts w:ascii="Times New Roman" w:hAnsi="Times New Roman" w:cs="Times New Roman"/>
        </w:rPr>
        <w:instrText xml:space="preserve"> REF _Ref100939851 \h </w:instrText>
      </w:r>
      <w:r w:rsidR="0017036F">
        <w:rPr>
          <w:rFonts w:ascii="Times New Roman" w:hAnsi="Times New Roman" w:cs="Times New Roman"/>
        </w:rPr>
        <w:instrText xml:space="preserve"> \* MERGEFORMAT </w:instrText>
      </w:r>
      <w:r w:rsidR="0017036F" w:rsidRPr="0017036F">
        <w:rPr>
          <w:rFonts w:ascii="Times New Roman" w:hAnsi="Times New Roman" w:cs="Times New Roman"/>
        </w:rPr>
      </w:r>
      <w:r w:rsidR="0017036F" w:rsidRPr="0017036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71</w:t>
      </w:r>
      <w:r w:rsidR="0017036F" w:rsidRPr="0017036F">
        <w:rPr>
          <w:rFonts w:ascii="Times New Roman" w:hAnsi="Times New Roman" w:cs="Times New Roman"/>
        </w:rPr>
        <w:fldChar w:fldCharType="end"/>
      </w:r>
      <w:r>
        <w:rPr>
          <w:rFonts w:ascii="Times New Roman" w:hAnsi="Times New Roman" w:cs="Times New Roman"/>
        </w:rPr>
        <w:t>, peaks appear as [M+Na]</w:t>
      </w:r>
      <w:r w:rsidRPr="00CA52E7">
        <w:rPr>
          <w:rFonts w:ascii="Times New Roman" w:hAnsi="Times New Roman" w:cs="Times New Roman"/>
          <w:vertAlign w:val="superscript"/>
        </w:rPr>
        <w:t>+</w:t>
      </w:r>
      <w:r>
        <w:rPr>
          <w:rFonts w:ascii="Times New Roman" w:hAnsi="Times New Roman" w:cs="Times New Roman"/>
        </w:rPr>
        <w:t xml:space="preserve"> adducts and are shifted 22.9898 mass units higher.  The two resins differ in terms of the average number of ethoxylation groups, with </w:t>
      </w:r>
      <w:r w:rsidR="00BE4B6F">
        <w:rPr>
          <w:rFonts w:ascii="Times New Roman" w:hAnsi="Times New Roman" w:cs="Times New Roman"/>
        </w:rPr>
        <w:t>CG</w:t>
      </w:r>
      <w:r>
        <w:rPr>
          <w:rFonts w:ascii="Times New Roman" w:hAnsi="Times New Roman" w:cs="Times New Roman"/>
        </w:rPr>
        <w:t xml:space="preserve"> Bis-EMA</w:t>
      </w:r>
      <w:r w:rsidRPr="000E5B90">
        <w:rPr>
          <w:rFonts w:ascii="Times New Roman" w:hAnsi="Times New Roman" w:cs="Times New Roman"/>
        </w:rPr>
        <w:t xml:space="preserve"> primarily m</w:t>
      </w:r>
      <w:r>
        <w:rPr>
          <w:rFonts w:ascii="Times New Roman" w:hAnsi="Times New Roman" w:cs="Times New Roman"/>
        </w:rPr>
        <w:t xml:space="preserve"> </w:t>
      </w:r>
      <w:r w:rsidRPr="000E5B90">
        <w:rPr>
          <w:rFonts w:ascii="Times New Roman" w:hAnsi="Times New Roman" w:cs="Times New Roman"/>
        </w:rPr>
        <w:t>+</w:t>
      </w:r>
      <w:r>
        <w:rPr>
          <w:rFonts w:ascii="Times New Roman" w:hAnsi="Times New Roman" w:cs="Times New Roman"/>
        </w:rPr>
        <w:t xml:space="preserve"> </w:t>
      </w:r>
      <w:r w:rsidRPr="000E5B90">
        <w:rPr>
          <w:rFonts w:ascii="Times New Roman" w:hAnsi="Times New Roman" w:cs="Times New Roman"/>
        </w:rPr>
        <w:t>n</w:t>
      </w:r>
      <w:r>
        <w:rPr>
          <w:rFonts w:ascii="Times New Roman" w:hAnsi="Times New Roman" w:cs="Times New Roman"/>
        </w:rPr>
        <w:t xml:space="preserve"> </w:t>
      </w:r>
      <w:r w:rsidRPr="000E5B90">
        <w:rPr>
          <w:rFonts w:ascii="Times New Roman" w:hAnsi="Times New Roman" w:cs="Times New Roman"/>
        </w:rPr>
        <w:t>=</w:t>
      </w:r>
      <w:r>
        <w:rPr>
          <w:rFonts w:ascii="Times New Roman" w:hAnsi="Times New Roman" w:cs="Times New Roman"/>
        </w:rPr>
        <w:t xml:space="preserve"> </w:t>
      </w:r>
      <w:r w:rsidRPr="000E5B90">
        <w:rPr>
          <w:rFonts w:ascii="Times New Roman" w:hAnsi="Times New Roman" w:cs="Times New Roman"/>
        </w:rPr>
        <w:t xml:space="preserve">2 </w:t>
      </w:r>
      <w:r>
        <w:rPr>
          <w:rFonts w:ascii="Times New Roman" w:hAnsi="Times New Roman" w:cs="Times New Roman"/>
        </w:rPr>
        <w:t xml:space="preserve">(indicated as a shifted peak at 475.21 </w:t>
      </w:r>
      <w:r w:rsidRPr="000E5B90">
        <w:rPr>
          <w:rFonts w:ascii="Times New Roman" w:hAnsi="Times New Roman" w:cs="Times New Roman"/>
        </w:rPr>
        <w:t>g/mol</w:t>
      </w:r>
      <w:r>
        <w:rPr>
          <w:rFonts w:ascii="Times New Roman" w:hAnsi="Times New Roman" w:cs="Times New Roman"/>
        </w:rPr>
        <w:t>)</w:t>
      </w:r>
      <w:r w:rsidRPr="000E5B90">
        <w:rPr>
          <w:rFonts w:ascii="Times New Roman" w:hAnsi="Times New Roman" w:cs="Times New Roman"/>
        </w:rPr>
        <w:t xml:space="preserve"> with a peak </w:t>
      </w:r>
      <w:r>
        <w:rPr>
          <w:rFonts w:ascii="Times New Roman" w:hAnsi="Times New Roman" w:cs="Times New Roman"/>
        </w:rPr>
        <w:t>for</w:t>
      </w:r>
      <w:r w:rsidRPr="000E5B90">
        <w:rPr>
          <w:rFonts w:ascii="Times New Roman" w:hAnsi="Times New Roman" w:cs="Times New Roman"/>
        </w:rPr>
        <w:t xml:space="preserve"> m</w:t>
      </w:r>
      <w:r>
        <w:rPr>
          <w:rFonts w:ascii="Times New Roman" w:hAnsi="Times New Roman" w:cs="Times New Roman"/>
        </w:rPr>
        <w:t xml:space="preserve"> </w:t>
      </w:r>
      <w:r w:rsidRPr="000E5B90">
        <w:rPr>
          <w:rFonts w:ascii="Times New Roman" w:hAnsi="Times New Roman" w:cs="Times New Roman"/>
        </w:rPr>
        <w:t>+</w:t>
      </w:r>
      <w:r>
        <w:rPr>
          <w:rFonts w:ascii="Times New Roman" w:hAnsi="Times New Roman" w:cs="Times New Roman"/>
        </w:rPr>
        <w:t xml:space="preserve"> </w:t>
      </w:r>
      <w:r w:rsidRPr="000E5B90">
        <w:rPr>
          <w:rFonts w:ascii="Times New Roman" w:hAnsi="Times New Roman" w:cs="Times New Roman"/>
        </w:rPr>
        <w:t>n</w:t>
      </w:r>
      <w:r>
        <w:rPr>
          <w:rFonts w:ascii="Times New Roman" w:hAnsi="Times New Roman" w:cs="Times New Roman"/>
        </w:rPr>
        <w:t xml:space="preserve"> </w:t>
      </w:r>
      <w:r w:rsidRPr="000E5B90">
        <w:rPr>
          <w:rFonts w:ascii="Times New Roman" w:hAnsi="Times New Roman" w:cs="Times New Roman"/>
        </w:rPr>
        <w:t>=</w:t>
      </w:r>
      <w:r>
        <w:rPr>
          <w:rFonts w:ascii="Times New Roman" w:hAnsi="Times New Roman" w:cs="Times New Roman"/>
        </w:rPr>
        <w:t xml:space="preserve"> </w:t>
      </w:r>
      <w:r w:rsidRPr="000E5B90">
        <w:rPr>
          <w:rFonts w:ascii="Times New Roman" w:hAnsi="Times New Roman" w:cs="Times New Roman"/>
        </w:rPr>
        <w:t>3 at half of the strength</w:t>
      </w:r>
      <w:r>
        <w:rPr>
          <w:rFonts w:ascii="Times New Roman" w:hAnsi="Times New Roman" w:cs="Times New Roman"/>
        </w:rPr>
        <w:t xml:space="preserve"> (shifted peak at 519.26 g/mol)</w:t>
      </w:r>
      <w:r w:rsidRPr="000E5B90">
        <w:rPr>
          <w:rFonts w:ascii="Times New Roman" w:hAnsi="Times New Roman" w:cs="Times New Roman"/>
        </w:rPr>
        <w:t xml:space="preserve">.  </w:t>
      </w:r>
      <w:r>
        <w:rPr>
          <w:rFonts w:ascii="Times New Roman" w:hAnsi="Times New Roman" w:cs="Times New Roman"/>
        </w:rPr>
        <w:t xml:space="preserve">The </w:t>
      </w:r>
      <w:r w:rsidR="00124622">
        <w:rPr>
          <w:rFonts w:ascii="Times New Roman" w:hAnsi="Times New Roman" w:cs="Times New Roman"/>
        </w:rPr>
        <w:t xml:space="preserve">DG Bis-EMA </w:t>
      </w:r>
      <w:r>
        <w:rPr>
          <w:rFonts w:ascii="Times New Roman" w:hAnsi="Times New Roman" w:cs="Times New Roman"/>
        </w:rPr>
        <w:t xml:space="preserve">had a dominant peak for m + n = 4 (563.26 g/mol).  After adjusting these values to account for the adduct, the dominant peaks for the </w:t>
      </w:r>
      <w:r w:rsidR="00124622">
        <w:rPr>
          <w:rFonts w:ascii="Times New Roman" w:hAnsi="Times New Roman" w:cs="Times New Roman"/>
        </w:rPr>
        <w:t>CG</w:t>
      </w:r>
      <w:r>
        <w:rPr>
          <w:rFonts w:ascii="Times New Roman" w:hAnsi="Times New Roman" w:cs="Times New Roman"/>
        </w:rPr>
        <w:t xml:space="preserve"> Bis-EMA</w:t>
      </w:r>
      <w:r w:rsidRPr="000E5B90">
        <w:rPr>
          <w:rFonts w:ascii="Times New Roman" w:hAnsi="Times New Roman" w:cs="Times New Roman"/>
        </w:rPr>
        <w:t xml:space="preserve"> </w:t>
      </w:r>
      <w:r>
        <w:rPr>
          <w:rFonts w:ascii="Times New Roman" w:hAnsi="Times New Roman" w:cs="Times New Roman"/>
        </w:rPr>
        <w:t>indicate</w:t>
      </w:r>
      <w:r w:rsidRPr="000E5B90">
        <w:rPr>
          <w:rFonts w:ascii="Times New Roman" w:hAnsi="Times New Roman" w:cs="Times New Roman"/>
        </w:rPr>
        <w:t xml:space="preserve"> a molecular weight of 452.55 g/mol</w:t>
      </w:r>
      <w:r w:rsidR="00124622">
        <w:rPr>
          <w:rFonts w:ascii="Times New Roman" w:hAnsi="Times New Roman" w:cs="Times New Roman"/>
        </w:rPr>
        <w:t>.</w:t>
      </w:r>
      <w:r w:rsidRPr="00CA52E7">
        <w:rPr>
          <w:rFonts w:ascii="Times New Roman" w:hAnsi="Times New Roman" w:cs="Times New Roman"/>
        </w:rPr>
        <w:t xml:space="preserve"> </w:t>
      </w:r>
      <w:r w:rsidR="00124622">
        <w:rPr>
          <w:rFonts w:ascii="Times New Roman" w:hAnsi="Times New Roman" w:cs="Times New Roman"/>
        </w:rPr>
        <w:t>The</w:t>
      </w:r>
      <w:r>
        <w:rPr>
          <w:rFonts w:ascii="Times New Roman" w:hAnsi="Times New Roman" w:cs="Times New Roman"/>
        </w:rPr>
        <w:t xml:space="preserve"> dominant peaks for the</w:t>
      </w:r>
      <w:r w:rsidRPr="000E5B90">
        <w:rPr>
          <w:rFonts w:ascii="Times New Roman" w:hAnsi="Times New Roman" w:cs="Times New Roman"/>
        </w:rPr>
        <w:t xml:space="preserve"> </w:t>
      </w:r>
      <w:r w:rsidR="00124622">
        <w:rPr>
          <w:rFonts w:ascii="Times New Roman" w:hAnsi="Times New Roman" w:cs="Times New Roman"/>
        </w:rPr>
        <w:t>DG Bis-EMA</w:t>
      </w:r>
      <w:r w:rsidRPr="000E5B90">
        <w:rPr>
          <w:rFonts w:ascii="Times New Roman" w:hAnsi="Times New Roman" w:cs="Times New Roman"/>
        </w:rPr>
        <w:t xml:space="preserve"> </w:t>
      </w:r>
      <w:r>
        <w:rPr>
          <w:rFonts w:ascii="Times New Roman" w:hAnsi="Times New Roman" w:cs="Times New Roman"/>
        </w:rPr>
        <w:t>indicate</w:t>
      </w:r>
      <w:r w:rsidRPr="000E5B90">
        <w:rPr>
          <w:rFonts w:ascii="Times New Roman" w:hAnsi="Times New Roman" w:cs="Times New Roman"/>
        </w:rPr>
        <w:t xml:space="preserve"> an average molecular weight of 540.27 g/mol</w:t>
      </w:r>
      <w:r w:rsidR="00124622">
        <w:rPr>
          <w:rFonts w:ascii="Times New Roman" w:hAnsi="Times New Roman" w:cs="Times New Roman"/>
        </w:rPr>
        <w:t>, which is higher than the reported value.</w:t>
      </w:r>
      <w:r>
        <w:rPr>
          <w:rFonts w:ascii="Times New Roman" w:hAnsi="Times New Roman" w:cs="Times New Roman"/>
        </w:rPr>
        <w:t xml:space="preserve">  </w:t>
      </w:r>
    </w:p>
    <w:p w14:paraId="46FA58CE" w14:textId="77777777" w:rsidR="008F358F" w:rsidRPr="00D14B0F" w:rsidRDefault="008F358F" w:rsidP="009D06D1">
      <w:pPr>
        <w:pStyle w:val="Heading3"/>
      </w:pPr>
      <w:bookmarkStart w:id="282" w:name="_Toc101701814"/>
      <w:r>
        <w:t>Nuclear magnetic resonance spectroscopy (NMR)</w:t>
      </w:r>
      <w:bookmarkEnd w:id="282"/>
    </w:p>
    <w:p w14:paraId="0D2DA5F7" w14:textId="07E998EF" w:rsidR="008F358F" w:rsidRDefault="008F358F" w:rsidP="008F358F">
      <w:pPr>
        <w:spacing w:line="360" w:lineRule="auto"/>
        <w:rPr>
          <w:rFonts w:ascii="Times New Roman" w:hAnsi="Times New Roman" w:cs="Times New Roman"/>
        </w:rPr>
      </w:pPr>
      <w:r>
        <w:rPr>
          <w:rFonts w:ascii="Times New Roman" w:hAnsi="Times New Roman" w:cs="Times New Roman"/>
        </w:rPr>
        <w:t xml:space="preserve">NMR testing confirmed that both resins are primarily Bisphenol A ethoxylate dimethacrylate.  It also confirmed the presence of residual methacrylic acid in the </w:t>
      </w:r>
      <w:r w:rsidR="00124622">
        <w:rPr>
          <w:rFonts w:ascii="Times New Roman" w:hAnsi="Times New Roman" w:cs="Times New Roman"/>
        </w:rPr>
        <w:t xml:space="preserve">CG </w:t>
      </w:r>
      <w:r>
        <w:rPr>
          <w:rFonts w:ascii="Times New Roman" w:hAnsi="Times New Roman" w:cs="Times New Roman"/>
        </w:rPr>
        <w:t xml:space="preserve">Bis-EMA, but not in the </w:t>
      </w:r>
      <w:r w:rsidR="00124622">
        <w:rPr>
          <w:rFonts w:ascii="Times New Roman" w:hAnsi="Times New Roman" w:cs="Times New Roman"/>
        </w:rPr>
        <w:t xml:space="preserve">DG Bis-EMA </w:t>
      </w:r>
      <w:r>
        <w:rPr>
          <w:rFonts w:ascii="Times New Roman" w:hAnsi="Times New Roman" w:cs="Times New Roman"/>
        </w:rPr>
        <w:t>specimens.</w:t>
      </w:r>
    </w:p>
    <w:p w14:paraId="79D2B187" w14:textId="77777777" w:rsidR="002C4963" w:rsidRPr="000E5B90" w:rsidRDefault="002C4963" w:rsidP="009D06D1">
      <w:pPr>
        <w:pStyle w:val="Heading3"/>
      </w:pPr>
      <w:bookmarkStart w:id="283" w:name="_Toc101701815"/>
      <w:r w:rsidRPr="000E5B90">
        <w:t>Thermogravimetric Analysis (TGA)</w:t>
      </w:r>
      <w:bookmarkEnd w:id="283"/>
    </w:p>
    <w:p w14:paraId="22F18806" w14:textId="6A254CCC" w:rsidR="002C4963" w:rsidRDefault="002C4963" w:rsidP="002C4963">
      <w:pPr>
        <w:spacing w:line="360" w:lineRule="auto"/>
        <w:rPr>
          <w:rFonts w:ascii="Times New Roman" w:hAnsi="Times New Roman" w:cs="Times New Roman"/>
        </w:rPr>
      </w:pPr>
      <w:r w:rsidRPr="000E5B90">
        <w:rPr>
          <w:rFonts w:ascii="Times New Roman" w:hAnsi="Times New Roman" w:cs="Times New Roman"/>
        </w:rPr>
        <w:t xml:space="preserve">The first test comparing the two resins was thermogravimetric analysis, or TGA.  Uncured specimens were tested in a nitrogen environment with a ramp rate of 10 °C/min and a range of room temperature to 500 °C.  Both polymers exhibited similar TGA curves, with the </w:t>
      </w:r>
      <w:r w:rsidR="00124622">
        <w:rPr>
          <w:rFonts w:ascii="Times New Roman" w:hAnsi="Times New Roman" w:cs="Times New Roman"/>
        </w:rPr>
        <w:t>CG</w:t>
      </w:r>
      <w:r>
        <w:rPr>
          <w:rFonts w:ascii="Times New Roman" w:hAnsi="Times New Roman" w:cs="Times New Roman"/>
        </w:rPr>
        <w:t xml:space="preserve"> Bis-EMA </w:t>
      </w:r>
      <w:r w:rsidRPr="000E5B90">
        <w:rPr>
          <w:rFonts w:ascii="Times New Roman" w:hAnsi="Times New Roman" w:cs="Times New Roman"/>
        </w:rPr>
        <w:t xml:space="preserve">exhibiting significantly more loss of mass at temperatures below 200 °C (see </w:t>
      </w:r>
      <w:r w:rsidR="0017036F" w:rsidRPr="0017036F">
        <w:rPr>
          <w:rFonts w:ascii="Times New Roman" w:hAnsi="Times New Roman" w:cs="Times New Roman"/>
        </w:rPr>
        <w:fldChar w:fldCharType="begin"/>
      </w:r>
      <w:r w:rsidR="0017036F" w:rsidRPr="0017036F">
        <w:rPr>
          <w:rFonts w:ascii="Times New Roman" w:hAnsi="Times New Roman" w:cs="Times New Roman"/>
        </w:rPr>
        <w:instrText xml:space="preserve"> REF _Ref100939935 \h </w:instrText>
      </w:r>
      <w:r w:rsidR="0017036F">
        <w:rPr>
          <w:rFonts w:ascii="Times New Roman" w:hAnsi="Times New Roman" w:cs="Times New Roman"/>
        </w:rPr>
        <w:instrText xml:space="preserve"> \* MERGEFORMAT </w:instrText>
      </w:r>
      <w:r w:rsidR="0017036F" w:rsidRPr="0017036F">
        <w:rPr>
          <w:rFonts w:ascii="Times New Roman" w:hAnsi="Times New Roman" w:cs="Times New Roman"/>
        </w:rPr>
      </w:r>
      <w:r w:rsidR="0017036F" w:rsidRPr="0017036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72</w:t>
      </w:r>
      <w:r w:rsidR="0017036F" w:rsidRPr="0017036F">
        <w:rPr>
          <w:rFonts w:ascii="Times New Roman" w:hAnsi="Times New Roman" w:cs="Times New Roman"/>
        </w:rPr>
        <w:fldChar w:fldCharType="end"/>
      </w:r>
      <w:r w:rsidRPr="000E5B90">
        <w:rPr>
          <w:rFonts w:ascii="Times New Roman" w:hAnsi="Times New Roman" w:cs="Times New Roman"/>
        </w:rPr>
        <w:t xml:space="preserve">).  At 200 °C, the </w:t>
      </w:r>
      <w:r w:rsidR="00124622">
        <w:rPr>
          <w:rFonts w:ascii="Times New Roman" w:hAnsi="Times New Roman" w:cs="Times New Roman"/>
        </w:rPr>
        <w:t xml:space="preserve">DG Bis-EMA </w:t>
      </w:r>
      <w:r w:rsidRPr="000E5B90">
        <w:rPr>
          <w:rFonts w:ascii="Times New Roman" w:hAnsi="Times New Roman" w:cs="Times New Roman"/>
        </w:rPr>
        <w:t xml:space="preserve">had only lost 0.3% of its mass while the </w:t>
      </w:r>
      <w:r w:rsidR="00124622">
        <w:rPr>
          <w:rFonts w:ascii="Times New Roman" w:hAnsi="Times New Roman" w:cs="Times New Roman"/>
        </w:rPr>
        <w:t>CG</w:t>
      </w:r>
      <w:r>
        <w:rPr>
          <w:rFonts w:ascii="Times New Roman" w:hAnsi="Times New Roman" w:cs="Times New Roman"/>
        </w:rPr>
        <w:t xml:space="preserve"> Bis-EMA</w:t>
      </w:r>
      <w:r w:rsidRPr="000E5B90">
        <w:rPr>
          <w:rFonts w:ascii="Times New Roman" w:hAnsi="Times New Roman" w:cs="Times New Roman"/>
        </w:rPr>
        <w:t xml:space="preserve"> had lost 3.5%.  These could be attributed to the listed toluene and methacrylic acid content, both of which are low molecular weight components with boiling points below 200 °C.</w:t>
      </w:r>
      <w:r>
        <w:rPr>
          <w:rFonts w:ascii="Times New Roman" w:hAnsi="Times New Roman" w:cs="Times New Roman"/>
        </w:rPr>
        <w:t xml:space="preserve"> </w:t>
      </w:r>
      <w:r w:rsidRPr="002F4A20">
        <w:rPr>
          <w:rFonts w:ascii="Times New Roman" w:hAnsi="Times New Roman" w:cs="Times New Roman"/>
        </w:rPr>
        <w:t xml:space="preserve"> </w:t>
      </w:r>
      <w:r>
        <w:rPr>
          <w:rFonts w:ascii="Times New Roman" w:hAnsi="Times New Roman" w:cs="Times New Roman"/>
        </w:rPr>
        <w:t>With</w:t>
      </w:r>
      <w:r w:rsidRPr="000E5B90">
        <w:rPr>
          <w:rFonts w:ascii="Times New Roman" w:hAnsi="Times New Roman" w:cs="Times New Roman"/>
        </w:rPr>
        <w:t xml:space="preserve"> the TGA results adjusted to consider the mass as 100% at 200 °C for both polymers, the adjusted results for </w:t>
      </w:r>
      <w:r w:rsidR="00124622">
        <w:rPr>
          <w:rFonts w:ascii="Times New Roman" w:hAnsi="Times New Roman" w:cs="Times New Roman"/>
        </w:rPr>
        <w:t>CG</w:t>
      </w:r>
      <w:r>
        <w:rPr>
          <w:rFonts w:ascii="Times New Roman" w:hAnsi="Times New Roman" w:cs="Times New Roman"/>
        </w:rPr>
        <w:t xml:space="preserve"> Bis-EMA</w:t>
      </w:r>
      <w:r w:rsidRPr="000E5B90">
        <w:rPr>
          <w:rFonts w:ascii="Times New Roman" w:hAnsi="Times New Roman" w:cs="Times New Roman"/>
        </w:rPr>
        <w:t xml:space="preserve"> closely resemble those of the </w:t>
      </w:r>
      <w:r w:rsidR="00124622">
        <w:rPr>
          <w:rFonts w:ascii="Times New Roman" w:hAnsi="Times New Roman" w:cs="Times New Roman"/>
        </w:rPr>
        <w:t>DG Bis-EMA</w:t>
      </w:r>
      <w:r w:rsidRPr="000E5B90">
        <w:rPr>
          <w:rFonts w:ascii="Times New Roman" w:hAnsi="Times New Roman" w:cs="Times New Roman"/>
        </w:rPr>
        <w:t xml:space="preserve"> (see </w:t>
      </w:r>
      <w:r w:rsidR="0017036F" w:rsidRPr="0017036F">
        <w:rPr>
          <w:rFonts w:ascii="Times New Roman" w:hAnsi="Times New Roman" w:cs="Times New Roman"/>
        </w:rPr>
        <w:fldChar w:fldCharType="begin"/>
      </w:r>
      <w:r w:rsidR="0017036F" w:rsidRPr="0017036F">
        <w:rPr>
          <w:rFonts w:ascii="Times New Roman" w:hAnsi="Times New Roman" w:cs="Times New Roman"/>
        </w:rPr>
        <w:instrText xml:space="preserve"> REF _Ref100939986 \h </w:instrText>
      </w:r>
      <w:r w:rsidR="0017036F">
        <w:rPr>
          <w:rFonts w:ascii="Times New Roman" w:hAnsi="Times New Roman" w:cs="Times New Roman"/>
        </w:rPr>
        <w:instrText xml:space="preserve"> \* MERGEFORMAT </w:instrText>
      </w:r>
      <w:r w:rsidR="0017036F" w:rsidRPr="0017036F">
        <w:rPr>
          <w:rFonts w:ascii="Times New Roman" w:hAnsi="Times New Roman" w:cs="Times New Roman"/>
        </w:rPr>
      </w:r>
      <w:r w:rsidR="0017036F" w:rsidRPr="0017036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73</w:t>
      </w:r>
      <w:r w:rsidR="0017036F" w:rsidRPr="0017036F">
        <w:rPr>
          <w:rFonts w:ascii="Times New Roman" w:hAnsi="Times New Roman" w:cs="Times New Roman"/>
        </w:rPr>
        <w:fldChar w:fldCharType="end"/>
      </w:r>
      <w:r w:rsidRPr="0017036F">
        <w:rPr>
          <w:rFonts w:ascii="Times New Roman" w:hAnsi="Times New Roman" w:cs="Times New Roman"/>
        </w:rPr>
        <w:t>).</w:t>
      </w:r>
      <w:r w:rsidRPr="000E5B90">
        <w:rPr>
          <w:rFonts w:ascii="Times New Roman" w:hAnsi="Times New Roman" w:cs="Times New Roman"/>
        </w:rPr>
        <w:t xml:space="preserve">  This supports the hypothesis that the initial mass loss is due to low MW impurities. </w:t>
      </w:r>
    </w:p>
    <w:p w14:paraId="163A33D0" w14:textId="51E25F12" w:rsidR="00BE4B6F" w:rsidRDefault="00BE4B6F" w:rsidP="008F358F">
      <w:pPr>
        <w:spacing w:line="360" w:lineRule="auto"/>
        <w:rPr>
          <w:rFonts w:ascii="Times New Roman" w:hAnsi="Times New Roman" w:cs="Times New Roman"/>
        </w:rPr>
      </w:pPr>
    </w:p>
    <w:p w14:paraId="2EDBE64B" w14:textId="77777777" w:rsidR="00BE4B6F" w:rsidRDefault="00BE4B6F" w:rsidP="008F358F">
      <w:pPr>
        <w:spacing w:line="360" w:lineRule="auto"/>
        <w:rPr>
          <w:rFonts w:ascii="Times New Roman" w:hAnsi="Times New Roman" w:cs="Times New Roman"/>
        </w:rPr>
      </w:pPr>
    </w:p>
    <w:p w14:paraId="1BABFA70" w14:textId="77777777" w:rsidR="008F358F" w:rsidRDefault="008F358F" w:rsidP="008F358F"/>
    <w:p w14:paraId="650A45D4" w14:textId="77777777" w:rsidR="0089389B" w:rsidRDefault="001165FF" w:rsidP="0089389B">
      <w:pPr>
        <w:keepNext/>
        <w:spacing w:line="360" w:lineRule="auto"/>
        <w:jc w:val="center"/>
      </w:pPr>
      <w:r w:rsidRPr="000E5B90">
        <w:rPr>
          <w:rFonts w:ascii="Times New Roman" w:hAnsi="Times New Roman" w:cs="Times New Roman"/>
          <w:noProof/>
        </w:rPr>
        <w:drawing>
          <wp:inline distT="0" distB="0" distL="0" distR="0" wp14:anchorId="6CE11BD6" wp14:editId="10B63D8D">
            <wp:extent cx="5476875" cy="1503215"/>
            <wp:effectExtent l="0" t="0" r="0" b="1905"/>
            <wp:docPr id="60" name="Picture 6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74"/>
                    <a:stretch>
                      <a:fillRect/>
                    </a:stretch>
                  </pic:blipFill>
                  <pic:spPr>
                    <a:xfrm>
                      <a:off x="0" y="0"/>
                      <a:ext cx="5480187" cy="1504124"/>
                    </a:xfrm>
                    <a:prstGeom prst="rect">
                      <a:avLst/>
                    </a:prstGeom>
                  </pic:spPr>
                </pic:pic>
              </a:graphicData>
            </a:graphic>
          </wp:inline>
        </w:drawing>
      </w:r>
    </w:p>
    <w:p w14:paraId="455455F3" w14:textId="4A34FDBA" w:rsidR="001165FF" w:rsidRPr="000E5B90" w:rsidRDefault="0089389B" w:rsidP="00F20503">
      <w:pPr>
        <w:pStyle w:val="Caption"/>
      </w:pPr>
      <w:bookmarkStart w:id="284" w:name="_Ref100939719"/>
      <w:bookmarkStart w:id="285" w:name="_Toc101365731"/>
      <w:r>
        <w:t xml:space="preserve">Figure </w:t>
      </w:r>
      <w:r w:rsidR="002F73EC">
        <w:fldChar w:fldCharType="begin"/>
      </w:r>
      <w:r w:rsidR="002F73EC">
        <w:instrText xml:space="preserve"> SEQ Figure \* ARABIC </w:instrText>
      </w:r>
      <w:r w:rsidR="002F73EC">
        <w:fldChar w:fldCharType="separate"/>
      </w:r>
      <w:r w:rsidR="00BF5717">
        <w:rPr>
          <w:noProof/>
        </w:rPr>
        <w:t>69</w:t>
      </w:r>
      <w:r w:rsidR="002F73EC">
        <w:rPr>
          <w:noProof/>
        </w:rPr>
        <w:fldChar w:fldCharType="end"/>
      </w:r>
      <w:bookmarkEnd w:id="284"/>
      <w:r>
        <w:t xml:space="preserve"> </w:t>
      </w:r>
      <w:r w:rsidRPr="000E5B90">
        <w:t>Ethoxylated Bisphenol A Dimethacrylate, also known as Bis-EMA</w:t>
      </w:r>
      <w:r>
        <w:t>.</w:t>
      </w:r>
      <w:bookmarkEnd w:id="285"/>
    </w:p>
    <w:p w14:paraId="5AA2C9E9" w14:textId="3228D8FF" w:rsidR="00986656" w:rsidRDefault="00986656" w:rsidP="00986656"/>
    <w:p w14:paraId="641970F2" w14:textId="3F0EEA9A" w:rsidR="00986656" w:rsidRDefault="00986656" w:rsidP="00986656"/>
    <w:p w14:paraId="3A4AE4FF" w14:textId="77777777" w:rsidR="00986656" w:rsidRPr="00986656" w:rsidRDefault="00986656" w:rsidP="00986656"/>
    <w:p w14:paraId="6868A8AE" w14:textId="77777777" w:rsidR="001165FF" w:rsidRDefault="001165FF" w:rsidP="001165FF"/>
    <w:p w14:paraId="7FA568E4" w14:textId="77777777" w:rsidR="001165FF" w:rsidRPr="000E5B90" w:rsidRDefault="001165FF" w:rsidP="001165FF"/>
    <w:p w14:paraId="4D28D831" w14:textId="77777777" w:rsidR="0089389B" w:rsidRDefault="008F358F" w:rsidP="0089389B">
      <w:pPr>
        <w:keepNext/>
      </w:pPr>
      <w:r>
        <w:rPr>
          <w:noProof/>
        </w:rPr>
        <w:drawing>
          <wp:inline distT="0" distB="0" distL="0" distR="0" wp14:anchorId="5BD964EB" wp14:editId="146F2E73">
            <wp:extent cx="5381625" cy="3986195"/>
            <wp:effectExtent l="0" t="0" r="0" b="0"/>
            <wp:docPr id="77" name="Picture 77"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with low confidence"/>
                    <pic:cNvPicPr/>
                  </pic:nvPicPr>
                  <pic:blipFill>
                    <a:blip r:embed="rId75"/>
                    <a:stretch>
                      <a:fillRect/>
                    </a:stretch>
                  </pic:blipFill>
                  <pic:spPr>
                    <a:xfrm>
                      <a:off x="0" y="0"/>
                      <a:ext cx="5412393" cy="4008985"/>
                    </a:xfrm>
                    <a:prstGeom prst="rect">
                      <a:avLst/>
                    </a:prstGeom>
                  </pic:spPr>
                </pic:pic>
              </a:graphicData>
            </a:graphic>
          </wp:inline>
        </w:drawing>
      </w:r>
    </w:p>
    <w:p w14:paraId="6B41BFC1" w14:textId="25FC39B8" w:rsidR="001165FF" w:rsidRPr="002C4963" w:rsidRDefault="0089389B" w:rsidP="00F20503">
      <w:pPr>
        <w:pStyle w:val="Caption"/>
      </w:pPr>
      <w:bookmarkStart w:id="286" w:name="_Ref100939845"/>
      <w:bookmarkStart w:id="287" w:name="_Toc101365732"/>
      <w:r>
        <w:t xml:space="preserve">Figure </w:t>
      </w:r>
      <w:r w:rsidR="002F73EC">
        <w:fldChar w:fldCharType="begin"/>
      </w:r>
      <w:r w:rsidR="002F73EC">
        <w:instrText xml:space="preserve"> SEQ Figure \* ARABIC </w:instrText>
      </w:r>
      <w:r w:rsidR="002F73EC">
        <w:fldChar w:fldCharType="separate"/>
      </w:r>
      <w:r w:rsidR="00BF5717">
        <w:rPr>
          <w:noProof/>
        </w:rPr>
        <w:t>70</w:t>
      </w:r>
      <w:r w:rsidR="002F73EC">
        <w:rPr>
          <w:noProof/>
        </w:rPr>
        <w:fldChar w:fldCharType="end"/>
      </w:r>
      <w:bookmarkEnd w:id="286"/>
      <w:r>
        <w:t xml:space="preserve"> ESI-MS results for CG Bis-EMA.</w:t>
      </w:r>
      <w:bookmarkEnd w:id="287"/>
    </w:p>
    <w:p w14:paraId="546633F7" w14:textId="77777777" w:rsidR="001165FF" w:rsidRPr="000E5B90" w:rsidRDefault="001165FF" w:rsidP="001165FF">
      <w:pPr>
        <w:spacing w:line="360" w:lineRule="auto"/>
        <w:rPr>
          <w:rFonts w:ascii="Times New Roman" w:hAnsi="Times New Roman" w:cs="Times New Roman"/>
        </w:rPr>
      </w:pPr>
    </w:p>
    <w:p w14:paraId="6FE47773" w14:textId="77777777" w:rsidR="001165FF" w:rsidRPr="000E5B90" w:rsidRDefault="001165FF" w:rsidP="001165FF">
      <w:pPr>
        <w:spacing w:line="360" w:lineRule="auto"/>
        <w:rPr>
          <w:rFonts w:ascii="Times New Roman" w:hAnsi="Times New Roman" w:cs="Times New Roman"/>
        </w:rPr>
      </w:pPr>
    </w:p>
    <w:p w14:paraId="78633008" w14:textId="77777777" w:rsidR="001165FF" w:rsidRDefault="001165FF" w:rsidP="001165FF">
      <w:pPr>
        <w:spacing w:line="360" w:lineRule="auto"/>
        <w:rPr>
          <w:rFonts w:ascii="Times New Roman" w:hAnsi="Times New Roman" w:cs="Times New Roman"/>
        </w:rPr>
      </w:pPr>
    </w:p>
    <w:p w14:paraId="69DA52E7" w14:textId="77777777" w:rsidR="0089389B" w:rsidRDefault="002C4963" w:rsidP="0089389B">
      <w:pPr>
        <w:keepNext/>
        <w:spacing w:line="360" w:lineRule="auto"/>
      </w:pPr>
      <w:r>
        <w:rPr>
          <w:noProof/>
        </w:rPr>
        <w:drawing>
          <wp:inline distT="0" distB="0" distL="0" distR="0" wp14:anchorId="23745220" wp14:editId="5792C6E5">
            <wp:extent cx="5387223" cy="3971925"/>
            <wp:effectExtent l="0" t="0" r="4445" b="0"/>
            <wp:docPr id="78" name="Picture 7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76"/>
                    <a:stretch>
                      <a:fillRect/>
                    </a:stretch>
                  </pic:blipFill>
                  <pic:spPr>
                    <a:xfrm>
                      <a:off x="0" y="0"/>
                      <a:ext cx="5410780" cy="3989293"/>
                    </a:xfrm>
                    <a:prstGeom prst="rect">
                      <a:avLst/>
                    </a:prstGeom>
                  </pic:spPr>
                </pic:pic>
              </a:graphicData>
            </a:graphic>
          </wp:inline>
        </w:drawing>
      </w:r>
    </w:p>
    <w:p w14:paraId="1036A3B6" w14:textId="6FC306DB" w:rsidR="001165FF" w:rsidRDefault="0089389B" w:rsidP="00F20503">
      <w:pPr>
        <w:pStyle w:val="Caption"/>
      </w:pPr>
      <w:bookmarkStart w:id="288" w:name="_Ref100939851"/>
      <w:bookmarkStart w:id="289" w:name="_Toc101365733"/>
      <w:r>
        <w:t xml:space="preserve">Figure </w:t>
      </w:r>
      <w:r w:rsidR="002F73EC">
        <w:fldChar w:fldCharType="begin"/>
      </w:r>
      <w:r w:rsidR="002F73EC">
        <w:instrText xml:space="preserve"> SEQ Figure \* ARABIC </w:instrText>
      </w:r>
      <w:r w:rsidR="002F73EC">
        <w:fldChar w:fldCharType="separate"/>
      </w:r>
      <w:r w:rsidR="00BF5717">
        <w:rPr>
          <w:noProof/>
        </w:rPr>
        <w:t>71</w:t>
      </w:r>
      <w:r w:rsidR="002F73EC">
        <w:rPr>
          <w:noProof/>
        </w:rPr>
        <w:fldChar w:fldCharType="end"/>
      </w:r>
      <w:bookmarkEnd w:id="288"/>
      <w:r>
        <w:t xml:space="preserve"> ESI-MS results for DG Bis-EMA.</w:t>
      </w:r>
      <w:bookmarkEnd w:id="289"/>
    </w:p>
    <w:p w14:paraId="2262C7B7" w14:textId="26FC0AF3" w:rsidR="001165FF" w:rsidRDefault="001165FF" w:rsidP="001165FF">
      <w:pPr>
        <w:spacing w:line="360" w:lineRule="auto"/>
        <w:rPr>
          <w:rFonts w:ascii="Times New Roman" w:hAnsi="Times New Roman" w:cs="Times New Roman"/>
        </w:rPr>
      </w:pPr>
    </w:p>
    <w:p w14:paraId="2E3CCBAB" w14:textId="6D5E2C38" w:rsidR="002C4963" w:rsidRDefault="002C4963" w:rsidP="001165FF">
      <w:pPr>
        <w:spacing w:line="360" w:lineRule="auto"/>
        <w:rPr>
          <w:rFonts w:ascii="Times New Roman" w:hAnsi="Times New Roman" w:cs="Times New Roman"/>
        </w:rPr>
      </w:pPr>
    </w:p>
    <w:p w14:paraId="50D35D06" w14:textId="1E5D4F39" w:rsidR="002C4963" w:rsidRDefault="002C4963" w:rsidP="001165FF">
      <w:pPr>
        <w:spacing w:line="360" w:lineRule="auto"/>
        <w:rPr>
          <w:rFonts w:ascii="Times New Roman" w:hAnsi="Times New Roman" w:cs="Times New Roman"/>
        </w:rPr>
      </w:pPr>
    </w:p>
    <w:p w14:paraId="7CB4F1C7" w14:textId="44AC68B6" w:rsidR="002C4963" w:rsidRDefault="002C4963" w:rsidP="001165FF">
      <w:pPr>
        <w:spacing w:line="360" w:lineRule="auto"/>
        <w:rPr>
          <w:rFonts w:ascii="Times New Roman" w:hAnsi="Times New Roman" w:cs="Times New Roman"/>
        </w:rPr>
      </w:pPr>
    </w:p>
    <w:p w14:paraId="2539ED0E" w14:textId="3A47EAE2" w:rsidR="002C4963" w:rsidRDefault="002C4963" w:rsidP="001165FF">
      <w:pPr>
        <w:spacing w:line="360" w:lineRule="auto"/>
        <w:rPr>
          <w:rFonts w:ascii="Times New Roman" w:hAnsi="Times New Roman" w:cs="Times New Roman"/>
        </w:rPr>
      </w:pPr>
    </w:p>
    <w:p w14:paraId="740AADCD" w14:textId="58BA792C" w:rsidR="002C4963" w:rsidRDefault="002C4963" w:rsidP="001165FF">
      <w:pPr>
        <w:spacing w:line="360" w:lineRule="auto"/>
        <w:rPr>
          <w:rFonts w:ascii="Times New Roman" w:hAnsi="Times New Roman" w:cs="Times New Roman"/>
        </w:rPr>
      </w:pPr>
    </w:p>
    <w:p w14:paraId="04C775D0" w14:textId="72FF6475" w:rsidR="002C4963" w:rsidRDefault="002C4963" w:rsidP="001165FF">
      <w:pPr>
        <w:spacing w:line="360" w:lineRule="auto"/>
        <w:rPr>
          <w:rFonts w:ascii="Times New Roman" w:hAnsi="Times New Roman" w:cs="Times New Roman"/>
        </w:rPr>
      </w:pPr>
    </w:p>
    <w:p w14:paraId="4ABDC9AD" w14:textId="6DEEBE59" w:rsidR="002C4963" w:rsidRDefault="002C4963" w:rsidP="001165FF">
      <w:pPr>
        <w:spacing w:line="360" w:lineRule="auto"/>
        <w:rPr>
          <w:rFonts w:ascii="Times New Roman" w:hAnsi="Times New Roman" w:cs="Times New Roman"/>
        </w:rPr>
      </w:pPr>
    </w:p>
    <w:p w14:paraId="7B0947A0" w14:textId="2E0DC986" w:rsidR="002C4963" w:rsidRDefault="002C4963" w:rsidP="001165FF">
      <w:pPr>
        <w:spacing w:line="360" w:lineRule="auto"/>
        <w:rPr>
          <w:rFonts w:ascii="Times New Roman" w:hAnsi="Times New Roman" w:cs="Times New Roman"/>
        </w:rPr>
      </w:pPr>
    </w:p>
    <w:p w14:paraId="61F8F205" w14:textId="26698994" w:rsidR="002C4963" w:rsidRDefault="002C4963" w:rsidP="001165FF">
      <w:pPr>
        <w:spacing w:line="360" w:lineRule="auto"/>
        <w:rPr>
          <w:rFonts w:ascii="Times New Roman" w:hAnsi="Times New Roman" w:cs="Times New Roman"/>
        </w:rPr>
      </w:pPr>
    </w:p>
    <w:p w14:paraId="39CFAB7D" w14:textId="6EF2A124" w:rsidR="002C4963" w:rsidRDefault="002C4963" w:rsidP="001165FF">
      <w:pPr>
        <w:spacing w:line="360" w:lineRule="auto"/>
        <w:rPr>
          <w:rFonts w:ascii="Times New Roman" w:hAnsi="Times New Roman" w:cs="Times New Roman"/>
        </w:rPr>
      </w:pPr>
    </w:p>
    <w:p w14:paraId="6D1CCDE6" w14:textId="0513D915" w:rsidR="002C4963" w:rsidRDefault="002C4963" w:rsidP="001165FF">
      <w:pPr>
        <w:spacing w:line="360" w:lineRule="auto"/>
        <w:rPr>
          <w:rFonts w:ascii="Times New Roman" w:hAnsi="Times New Roman" w:cs="Times New Roman"/>
        </w:rPr>
      </w:pPr>
    </w:p>
    <w:p w14:paraId="291ADF75" w14:textId="61AAC89F" w:rsidR="0017036F" w:rsidRDefault="00294668" w:rsidP="0017036F">
      <w:pPr>
        <w:keepNext/>
        <w:spacing w:line="360" w:lineRule="auto"/>
        <w:jc w:val="center"/>
      </w:pPr>
      <w:r>
        <w:rPr>
          <w:rFonts w:ascii="Times New Roman" w:hAnsi="Times New Roman" w:cs="Times New Roman"/>
          <w:noProof/>
        </w:rPr>
        <w:lastRenderedPageBreak/>
        <w:drawing>
          <wp:inline distT="0" distB="0" distL="0" distR="0" wp14:anchorId="659B05FD" wp14:editId="7DB11E3D">
            <wp:extent cx="4759646" cy="3106904"/>
            <wp:effectExtent l="0" t="0" r="317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0197" b="4403"/>
                    <a:stretch/>
                  </pic:blipFill>
                  <pic:spPr bwMode="auto">
                    <a:xfrm>
                      <a:off x="0" y="0"/>
                      <a:ext cx="4768927" cy="3112962"/>
                    </a:xfrm>
                    <a:prstGeom prst="rect">
                      <a:avLst/>
                    </a:prstGeom>
                    <a:noFill/>
                    <a:ln>
                      <a:noFill/>
                    </a:ln>
                    <a:extLst>
                      <a:ext uri="{53640926-AAD7-44D8-BBD7-CCE9431645EC}">
                        <a14:shadowObscured xmlns:a14="http://schemas.microsoft.com/office/drawing/2010/main"/>
                      </a:ext>
                    </a:extLst>
                  </pic:spPr>
                </pic:pic>
              </a:graphicData>
            </a:graphic>
          </wp:inline>
        </w:drawing>
      </w:r>
    </w:p>
    <w:p w14:paraId="32CF41B7" w14:textId="165F620F" w:rsidR="002C4963" w:rsidRDefault="0017036F" w:rsidP="00F20503">
      <w:pPr>
        <w:pStyle w:val="Caption"/>
      </w:pPr>
      <w:bookmarkStart w:id="290" w:name="_Ref100939935"/>
      <w:bookmarkStart w:id="291" w:name="_Toc101365734"/>
      <w:r>
        <w:t xml:space="preserve">Figure </w:t>
      </w:r>
      <w:r w:rsidR="002F73EC">
        <w:fldChar w:fldCharType="begin"/>
      </w:r>
      <w:r w:rsidR="002F73EC">
        <w:instrText xml:space="preserve"> SEQ Figure \* ARABIC </w:instrText>
      </w:r>
      <w:r w:rsidR="002F73EC">
        <w:fldChar w:fldCharType="separate"/>
      </w:r>
      <w:r w:rsidR="00BF5717">
        <w:rPr>
          <w:noProof/>
        </w:rPr>
        <w:t>72</w:t>
      </w:r>
      <w:r w:rsidR="002F73EC">
        <w:rPr>
          <w:noProof/>
        </w:rPr>
        <w:fldChar w:fldCharType="end"/>
      </w:r>
      <w:bookmarkEnd w:id="290"/>
      <w:r>
        <w:t xml:space="preserve"> </w:t>
      </w:r>
      <w:r w:rsidRPr="000E5B90">
        <w:t xml:space="preserve">Comparison of mass loss in uncured </w:t>
      </w:r>
      <w:r w:rsidR="0088543B">
        <w:t>CG</w:t>
      </w:r>
      <w:r>
        <w:t xml:space="preserve"> Bis-EMA</w:t>
      </w:r>
      <w:r w:rsidRPr="000E5B90">
        <w:t xml:space="preserve"> and </w:t>
      </w:r>
      <w:r w:rsidR="0088543B">
        <w:t>DG Bis-EMA</w:t>
      </w:r>
      <w:r w:rsidRPr="000E5B90">
        <w:t xml:space="preserve"> specimens heated under nitrogen environment</w:t>
      </w:r>
      <w:r>
        <w:t>.</w:t>
      </w:r>
      <w:bookmarkEnd w:id="291"/>
    </w:p>
    <w:p w14:paraId="231EFD85" w14:textId="48AA9372" w:rsidR="00986656" w:rsidRDefault="00986656" w:rsidP="00986656"/>
    <w:p w14:paraId="7BE1289B" w14:textId="77777777" w:rsidR="00986656" w:rsidRPr="00986656" w:rsidRDefault="00986656" w:rsidP="00986656"/>
    <w:p w14:paraId="779E558D" w14:textId="59FE9928" w:rsidR="0017036F" w:rsidRDefault="00294668" w:rsidP="0017036F">
      <w:pPr>
        <w:keepNext/>
        <w:spacing w:line="360" w:lineRule="auto"/>
        <w:jc w:val="center"/>
      </w:pPr>
      <w:r>
        <w:rPr>
          <w:rFonts w:ascii="Times New Roman" w:hAnsi="Times New Roman" w:cs="Times New Roman"/>
          <w:noProof/>
        </w:rPr>
        <w:drawing>
          <wp:inline distT="0" distB="0" distL="0" distR="0" wp14:anchorId="144B7326" wp14:editId="407B883B">
            <wp:extent cx="4799834" cy="3200400"/>
            <wp:effectExtent l="0" t="0" r="127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8647" b="4119"/>
                    <a:stretch/>
                  </pic:blipFill>
                  <pic:spPr bwMode="auto">
                    <a:xfrm>
                      <a:off x="0" y="0"/>
                      <a:ext cx="4819357" cy="3213417"/>
                    </a:xfrm>
                    <a:prstGeom prst="rect">
                      <a:avLst/>
                    </a:prstGeom>
                    <a:noFill/>
                    <a:ln>
                      <a:noFill/>
                    </a:ln>
                    <a:extLst>
                      <a:ext uri="{53640926-AAD7-44D8-BBD7-CCE9431645EC}">
                        <a14:shadowObscured xmlns:a14="http://schemas.microsoft.com/office/drawing/2010/main"/>
                      </a:ext>
                    </a:extLst>
                  </pic:spPr>
                </pic:pic>
              </a:graphicData>
            </a:graphic>
          </wp:inline>
        </w:drawing>
      </w:r>
    </w:p>
    <w:p w14:paraId="4F3C6F44" w14:textId="679C5F37" w:rsidR="002C4963" w:rsidRPr="000E5B90" w:rsidRDefault="0017036F" w:rsidP="00F20503">
      <w:pPr>
        <w:pStyle w:val="Caption"/>
      </w:pPr>
      <w:bookmarkStart w:id="292" w:name="_Ref100939986"/>
      <w:bookmarkStart w:id="293" w:name="_Toc101365735"/>
      <w:r>
        <w:t xml:space="preserve">Figure </w:t>
      </w:r>
      <w:r w:rsidR="002F73EC">
        <w:fldChar w:fldCharType="begin"/>
      </w:r>
      <w:r w:rsidR="002F73EC">
        <w:instrText xml:space="preserve"> SEQ Figure \* ARABIC </w:instrText>
      </w:r>
      <w:r w:rsidR="002F73EC">
        <w:fldChar w:fldCharType="separate"/>
      </w:r>
      <w:r w:rsidR="00BF5717">
        <w:rPr>
          <w:noProof/>
        </w:rPr>
        <w:t>73</w:t>
      </w:r>
      <w:r w:rsidR="002F73EC">
        <w:rPr>
          <w:noProof/>
        </w:rPr>
        <w:fldChar w:fldCharType="end"/>
      </w:r>
      <w:bookmarkEnd w:id="292"/>
      <w:r>
        <w:t xml:space="preserve"> </w:t>
      </w:r>
      <w:r w:rsidRPr="000E5B90">
        <w:t xml:space="preserve">Comparison of mass loss with temperature, </w:t>
      </w:r>
      <w:r w:rsidR="0088543B">
        <w:t>CG</w:t>
      </w:r>
      <w:r>
        <w:t xml:space="preserve"> Bis-EMA</w:t>
      </w:r>
      <w:r w:rsidRPr="000E5B90">
        <w:t xml:space="preserve"> adjusted to compensate for mass lost below 200 </w:t>
      </w:r>
      <w:r>
        <w:t>º</w:t>
      </w:r>
      <w:r w:rsidRPr="000E5B90">
        <w:t>C</w:t>
      </w:r>
      <w:r>
        <w:t>.</w:t>
      </w:r>
      <w:bookmarkEnd w:id="293"/>
    </w:p>
    <w:p w14:paraId="51DC569D" w14:textId="198DBAF4" w:rsidR="00DF60A2" w:rsidRPr="00D14B0F" w:rsidRDefault="00DF60A2" w:rsidP="009D06D1">
      <w:pPr>
        <w:pStyle w:val="Heading3"/>
      </w:pPr>
      <w:bookmarkStart w:id="294" w:name="_Toc101701816"/>
      <w:r>
        <w:lastRenderedPageBreak/>
        <w:t>Radiometry</w:t>
      </w:r>
      <w:bookmarkEnd w:id="294"/>
      <w:r>
        <w:t xml:space="preserve"> </w:t>
      </w:r>
    </w:p>
    <w:p w14:paraId="0F241AD2" w14:textId="1D89CE3E" w:rsidR="001165FF" w:rsidRDefault="00DF60A2" w:rsidP="001165FF">
      <w:pPr>
        <w:spacing w:line="360" w:lineRule="auto"/>
        <w:rPr>
          <w:rFonts w:ascii="Times New Roman" w:hAnsi="Times New Roman" w:cs="Times New Roman"/>
        </w:rPr>
      </w:pPr>
      <w:r>
        <w:rPr>
          <w:rFonts w:ascii="Times New Roman" w:hAnsi="Times New Roman" w:cs="Times New Roman"/>
        </w:rPr>
        <w:t xml:space="preserve">Light transmission through 3 mm neat resin was monitored </w:t>
      </w:r>
      <w:r w:rsidR="001D4FF3">
        <w:rPr>
          <w:rFonts w:ascii="Times New Roman" w:hAnsi="Times New Roman" w:cs="Times New Roman"/>
        </w:rPr>
        <w:t>with the Altair 75 UV LED system used throughout the dissertation, under an incident light intensity of 380 mW/cm</w:t>
      </w:r>
      <w:r w:rsidR="001D4FF3" w:rsidRPr="001D4FF3">
        <w:rPr>
          <w:rFonts w:ascii="Times New Roman" w:hAnsi="Times New Roman" w:cs="Times New Roman"/>
          <w:vertAlign w:val="superscript"/>
        </w:rPr>
        <w:t>2</w:t>
      </w:r>
      <w:r w:rsidR="001D4FF3">
        <w:rPr>
          <w:rFonts w:ascii="Times New Roman" w:hAnsi="Times New Roman" w:cs="Times New Roman"/>
        </w:rPr>
        <w:t xml:space="preserve">.  As shown in </w:t>
      </w:r>
      <w:r w:rsidR="0017036F" w:rsidRPr="0017036F">
        <w:rPr>
          <w:rFonts w:ascii="Times New Roman" w:hAnsi="Times New Roman" w:cs="Times New Roman"/>
        </w:rPr>
        <w:fldChar w:fldCharType="begin"/>
      </w:r>
      <w:r w:rsidR="0017036F" w:rsidRPr="0017036F">
        <w:rPr>
          <w:rFonts w:ascii="Times New Roman" w:hAnsi="Times New Roman" w:cs="Times New Roman"/>
        </w:rPr>
        <w:instrText xml:space="preserve"> REF _Ref100940040 \h </w:instrText>
      </w:r>
      <w:r w:rsidR="0017036F">
        <w:rPr>
          <w:rFonts w:ascii="Times New Roman" w:hAnsi="Times New Roman" w:cs="Times New Roman"/>
        </w:rPr>
        <w:instrText xml:space="preserve"> \* MERGEFORMAT </w:instrText>
      </w:r>
      <w:r w:rsidR="0017036F" w:rsidRPr="0017036F">
        <w:rPr>
          <w:rFonts w:ascii="Times New Roman" w:hAnsi="Times New Roman" w:cs="Times New Roman"/>
        </w:rPr>
      </w:r>
      <w:r w:rsidR="0017036F" w:rsidRPr="0017036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74</w:t>
      </w:r>
      <w:r w:rsidR="0017036F" w:rsidRPr="0017036F">
        <w:rPr>
          <w:rFonts w:ascii="Times New Roman" w:hAnsi="Times New Roman" w:cs="Times New Roman"/>
        </w:rPr>
        <w:fldChar w:fldCharType="end"/>
      </w:r>
      <w:r w:rsidR="001D4FF3">
        <w:rPr>
          <w:rFonts w:ascii="Times New Roman" w:hAnsi="Times New Roman" w:cs="Times New Roman"/>
        </w:rPr>
        <w:t xml:space="preserve">, the X-970-000 has the highest light transmission and maintains near constant transmission of 78% of the incident light intensity throughout 60 s irradiation time.  The </w:t>
      </w:r>
      <w:r w:rsidR="00397238">
        <w:rPr>
          <w:rFonts w:ascii="Times New Roman" w:hAnsi="Times New Roman" w:cs="Times New Roman"/>
        </w:rPr>
        <w:t xml:space="preserve">CG </w:t>
      </w:r>
      <w:r w:rsidR="001D4FF3">
        <w:rPr>
          <w:rFonts w:ascii="Times New Roman" w:hAnsi="Times New Roman" w:cs="Times New Roman"/>
        </w:rPr>
        <w:t xml:space="preserve">Bis-EMA has higher absorbance due to the residual methacrylic acid and possible other unidentified impurities, which results in much lower transmission.  With 20 wt% PETIA added, the </w:t>
      </w:r>
      <w:r w:rsidR="00D20EE0">
        <w:rPr>
          <w:rFonts w:ascii="Times New Roman" w:hAnsi="Times New Roman" w:cs="Times New Roman"/>
        </w:rPr>
        <w:t xml:space="preserve">transmitted light intensity improves above the baseline </w:t>
      </w:r>
      <w:r w:rsidR="00397238">
        <w:rPr>
          <w:rFonts w:ascii="Times New Roman" w:hAnsi="Times New Roman" w:cs="Times New Roman"/>
        </w:rPr>
        <w:t>CG</w:t>
      </w:r>
      <w:r w:rsidR="00D20EE0">
        <w:rPr>
          <w:rFonts w:ascii="Times New Roman" w:hAnsi="Times New Roman" w:cs="Times New Roman"/>
        </w:rPr>
        <w:t xml:space="preserve"> Bis-EMA but is only 29% at 60 s.  </w:t>
      </w:r>
      <w:r w:rsidR="00397238">
        <w:rPr>
          <w:rFonts w:ascii="Times New Roman" w:hAnsi="Times New Roman" w:cs="Times New Roman"/>
        </w:rPr>
        <w:t xml:space="preserve">Note that the transmission of the resins containing CG Bis-EMA increases over time with UV exposure, which is due to the curing reaction induced in CG Bis-EMA without the presence of any initiator.  </w:t>
      </w:r>
      <w:r w:rsidR="00A03456">
        <w:rPr>
          <w:rFonts w:ascii="Times New Roman" w:hAnsi="Times New Roman" w:cs="Times New Roman"/>
        </w:rPr>
        <w:t>The hypothesis is that this reaction is due</w:t>
      </w:r>
      <w:r w:rsidR="00397238">
        <w:rPr>
          <w:rFonts w:ascii="Times New Roman" w:hAnsi="Times New Roman" w:cs="Times New Roman"/>
        </w:rPr>
        <w:t xml:space="preserve"> to the residual methacrylic acid content, which has functional groups that can cause a polymerization reaction</w:t>
      </w:r>
      <w:r w:rsidR="00E70414">
        <w:rPr>
          <w:rFonts w:ascii="Times New Roman" w:hAnsi="Times New Roman" w:cs="Times New Roman"/>
        </w:rPr>
        <w:t xml:space="preserve">.  </w:t>
      </w:r>
      <w:r w:rsidR="00397238">
        <w:rPr>
          <w:rFonts w:ascii="Times New Roman" w:hAnsi="Times New Roman" w:cs="Times New Roman"/>
        </w:rPr>
        <w:t>This initiator-free polymerization was not observed in the DG Bis-EMA, which has a lower residual methacrylic acid content and inhibitors.  The inhibitor package of the CG Bis-EMA is unknown</w:t>
      </w:r>
      <w:r w:rsidR="00E70414">
        <w:rPr>
          <w:rFonts w:ascii="Times New Roman" w:hAnsi="Times New Roman" w:cs="Times New Roman"/>
        </w:rPr>
        <w:t>, and it is unclear whether the initiator-free polymerization is due to the methacrylic acid absorbing light and reacting, or if other impurities are absorbing light and potentially inducing a thermal reaction.</w:t>
      </w:r>
    </w:p>
    <w:p w14:paraId="6DB52410" w14:textId="1EF347B3" w:rsidR="007F1ADE" w:rsidRDefault="007F1ADE" w:rsidP="009D06D1">
      <w:pPr>
        <w:pStyle w:val="Heading3"/>
      </w:pPr>
      <w:bookmarkStart w:id="295" w:name="_Toc101701817"/>
      <w:r w:rsidRPr="00C246A0">
        <w:t>UV-Vis Spectroscopy</w:t>
      </w:r>
      <w:bookmarkEnd w:id="295"/>
    </w:p>
    <w:p w14:paraId="5AB76C9A" w14:textId="65DB819B" w:rsidR="001165FF" w:rsidRPr="00E70414" w:rsidRDefault="0028371D" w:rsidP="00E70414">
      <w:pPr>
        <w:spacing w:line="360" w:lineRule="auto"/>
        <w:rPr>
          <w:rFonts w:ascii="Times New Roman" w:hAnsi="Times New Roman" w:cs="Times New Roman"/>
        </w:rPr>
      </w:pPr>
      <w:bookmarkStart w:id="296" w:name="_Hlk101556205"/>
      <w:r w:rsidRPr="00913500">
        <w:rPr>
          <w:rFonts w:ascii="Times New Roman" w:hAnsi="Times New Roman" w:cs="Times New Roman"/>
        </w:rPr>
        <w:t>Absorption properties</w:t>
      </w:r>
      <w:r w:rsidRPr="00C246A0">
        <w:rPr>
          <w:rFonts w:ascii="Times New Roman" w:hAnsi="Times New Roman" w:cs="Times New Roman"/>
        </w:rPr>
        <w:t xml:space="preserve"> </w:t>
      </w:r>
      <w:r>
        <w:rPr>
          <w:rFonts w:ascii="Times New Roman" w:hAnsi="Times New Roman" w:cs="Times New Roman"/>
        </w:rPr>
        <w:t>were</w:t>
      </w:r>
      <w:r w:rsidR="00C246A0" w:rsidRPr="00C246A0">
        <w:rPr>
          <w:rFonts w:ascii="Times New Roman" w:hAnsi="Times New Roman" w:cs="Times New Roman"/>
        </w:rPr>
        <w:t xml:space="preserve"> </w:t>
      </w:r>
      <w:r>
        <w:rPr>
          <w:rFonts w:ascii="Times New Roman" w:hAnsi="Times New Roman" w:cs="Times New Roman"/>
        </w:rPr>
        <w:t>determined for</w:t>
      </w:r>
      <w:r w:rsidR="00C246A0" w:rsidRPr="00C246A0">
        <w:rPr>
          <w:rFonts w:ascii="Times New Roman" w:hAnsi="Times New Roman" w:cs="Times New Roman"/>
        </w:rPr>
        <w:t xml:space="preserve"> uncured resin specimens</w:t>
      </w:r>
      <w:r w:rsidR="00D82EF2">
        <w:rPr>
          <w:rFonts w:ascii="Times New Roman" w:hAnsi="Times New Roman" w:cs="Times New Roman"/>
        </w:rPr>
        <w:t xml:space="preserve"> using an</w:t>
      </w:r>
      <w:r w:rsidR="00C246A0" w:rsidRPr="00C246A0">
        <w:rPr>
          <w:rFonts w:ascii="Times New Roman" w:hAnsi="Times New Roman" w:cs="Times New Roman"/>
        </w:rPr>
        <w:t xml:space="preserve"> </w:t>
      </w:r>
      <w:r w:rsidR="00D82EF2" w:rsidRPr="00913500">
        <w:rPr>
          <w:rFonts w:ascii="Times New Roman" w:hAnsi="Times New Roman" w:cs="Times New Roman"/>
        </w:rPr>
        <w:t xml:space="preserve">Evolution 300 spectrometer from </w:t>
      </w:r>
      <w:proofErr w:type="spellStart"/>
      <w:r w:rsidR="00D82EF2" w:rsidRPr="00913500">
        <w:rPr>
          <w:rFonts w:ascii="Times New Roman" w:hAnsi="Times New Roman" w:cs="Times New Roman"/>
        </w:rPr>
        <w:t>Thermo</w:t>
      </w:r>
      <w:proofErr w:type="spellEnd"/>
      <w:r w:rsidR="00D82EF2" w:rsidRPr="00913500">
        <w:rPr>
          <w:rFonts w:ascii="Times New Roman" w:hAnsi="Times New Roman" w:cs="Times New Roman"/>
        </w:rPr>
        <w:t xml:space="preserve"> Fisher Scientific.</w:t>
      </w:r>
      <w:r w:rsidR="00D82EF2">
        <w:rPr>
          <w:rFonts w:ascii="Times New Roman" w:hAnsi="Times New Roman" w:cs="Times New Roman"/>
        </w:rPr>
        <w:t xml:space="preserve">  Resins were </w:t>
      </w:r>
      <w:r w:rsidR="00116822">
        <w:rPr>
          <w:rFonts w:ascii="Times New Roman" w:hAnsi="Times New Roman" w:cs="Times New Roman"/>
        </w:rPr>
        <w:t>dissolved at</w:t>
      </w:r>
      <w:r w:rsidR="00C246A0" w:rsidRPr="00C246A0">
        <w:rPr>
          <w:rFonts w:ascii="Times New Roman" w:hAnsi="Times New Roman" w:cs="Times New Roman"/>
        </w:rPr>
        <w:t xml:space="preserve"> 5 wt% in spectroscopy-grade acetone (</w:t>
      </w:r>
      <w:proofErr w:type="spellStart"/>
      <w:r w:rsidR="00C246A0">
        <w:rPr>
          <w:rFonts w:ascii="Times New Roman" w:hAnsi="Times New Roman" w:cs="Times New Roman"/>
        </w:rPr>
        <w:t>Uvasol</w:t>
      </w:r>
      <w:proofErr w:type="spellEnd"/>
      <w:r w:rsidR="00C246A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MilliporeSigma</w:t>
      </w:r>
      <w:proofErr w:type="spellEnd"/>
      <w:r>
        <w:rPr>
          <w:rFonts w:ascii="Times New Roman" w:hAnsi="Times New Roman" w:cs="Times New Roman"/>
        </w:rPr>
        <w:t>)</w:t>
      </w:r>
      <w:r w:rsidR="00D82EF2">
        <w:rPr>
          <w:rFonts w:ascii="Times New Roman" w:hAnsi="Times New Roman" w:cs="Times New Roman"/>
        </w:rPr>
        <w:t>,</w:t>
      </w:r>
      <w:r w:rsidRPr="00913500">
        <w:rPr>
          <w:rFonts w:ascii="Times New Roman" w:hAnsi="Times New Roman" w:cs="Times New Roman"/>
        </w:rPr>
        <w:t xml:space="preserve"> and the solution was tested in a </w:t>
      </w:r>
      <w:proofErr w:type="gramStart"/>
      <w:r w:rsidR="0074131B">
        <w:rPr>
          <w:rFonts w:ascii="Times New Roman" w:hAnsi="Times New Roman" w:cs="Times New Roman"/>
        </w:rPr>
        <w:t>3500</w:t>
      </w:r>
      <w:r w:rsidRPr="00913500">
        <w:rPr>
          <w:rFonts w:ascii="Times New Roman" w:hAnsi="Times New Roman" w:cs="Times New Roman"/>
        </w:rPr>
        <w:t xml:space="preserve"> microliter</w:t>
      </w:r>
      <w:proofErr w:type="gramEnd"/>
      <w:r w:rsidRPr="00913500">
        <w:rPr>
          <w:rFonts w:ascii="Times New Roman" w:hAnsi="Times New Roman" w:cs="Times New Roman"/>
        </w:rPr>
        <w:t xml:space="preserve"> quartz cuvette with a lid from Thorlabs, Inc.  The scan range was </w:t>
      </w:r>
      <w:r w:rsidR="00D82EF2">
        <w:rPr>
          <w:rFonts w:ascii="Times New Roman" w:hAnsi="Times New Roman" w:cs="Times New Roman"/>
        </w:rPr>
        <w:t>3</w:t>
      </w:r>
      <w:r w:rsidRPr="00913500">
        <w:rPr>
          <w:rFonts w:ascii="Times New Roman" w:hAnsi="Times New Roman" w:cs="Times New Roman"/>
        </w:rPr>
        <w:t xml:space="preserve">00 to </w:t>
      </w:r>
      <w:r w:rsidR="00D82EF2">
        <w:rPr>
          <w:rFonts w:ascii="Times New Roman" w:hAnsi="Times New Roman" w:cs="Times New Roman"/>
        </w:rPr>
        <w:t>5</w:t>
      </w:r>
      <w:r w:rsidRPr="00913500">
        <w:rPr>
          <w:rFonts w:ascii="Times New Roman" w:hAnsi="Times New Roman" w:cs="Times New Roman"/>
        </w:rPr>
        <w:t xml:space="preserve">00 nm, with a bandwidth of 2.0 nm. </w:t>
      </w:r>
      <w:r w:rsidR="00D82EF2">
        <w:rPr>
          <w:rFonts w:ascii="Times New Roman" w:hAnsi="Times New Roman" w:cs="Times New Roman"/>
        </w:rPr>
        <w:t xml:space="preserve"> Due to the absorbance range of acetone, only the absorbance &gt;325 nm could be used.  As shown in </w:t>
      </w:r>
      <w:r w:rsidR="00D82EF2" w:rsidRPr="00D82EF2">
        <w:rPr>
          <w:rFonts w:ascii="Times New Roman" w:hAnsi="Times New Roman" w:cs="Times New Roman"/>
        </w:rPr>
        <w:fldChar w:fldCharType="begin"/>
      </w:r>
      <w:r w:rsidR="00D82EF2" w:rsidRPr="00D82EF2">
        <w:rPr>
          <w:rFonts w:ascii="Times New Roman" w:hAnsi="Times New Roman" w:cs="Times New Roman"/>
        </w:rPr>
        <w:instrText xml:space="preserve"> REF _Ref101359763 \h </w:instrText>
      </w:r>
      <w:r w:rsidR="00D82EF2">
        <w:rPr>
          <w:rFonts w:ascii="Times New Roman" w:hAnsi="Times New Roman" w:cs="Times New Roman"/>
        </w:rPr>
        <w:instrText xml:space="preserve"> \* MERGEFORMAT </w:instrText>
      </w:r>
      <w:r w:rsidR="00D82EF2" w:rsidRPr="00D82EF2">
        <w:rPr>
          <w:rFonts w:ascii="Times New Roman" w:hAnsi="Times New Roman" w:cs="Times New Roman"/>
        </w:rPr>
      </w:r>
      <w:r w:rsidR="00D82EF2" w:rsidRPr="00D82EF2">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75</w:t>
      </w:r>
      <w:r w:rsidR="00D82EF2" w:rsidRPr="00D82EF2">
        <w:rPr>
          <w:rFonts w:ascii="Times New Roman" w:hAnsi="Times New Roman" w:cs="Times New Roman"/>
        </w:rPr>
        <w:fldChar w:fldCharType="end"/>
      </w:r>
      <w:r w:rsidR="00D82EF2">
        <w:rPr>
          <w:rFonts w:ascii="Times New Roman" w:hAnsi="Times New Roman" w:cs="Times New Roman"/>
        </w:rPr>
        <w:t>, the CG Bis-EMA had the highest light absorbance of the resins tested, while the DG Bis-EMA had very low light absorbance.  The addition of 20 wt% PETIA reduced the absorbance in the CG Bis-EMA:PETIA blend used throughout Chapters 2 and 3.</w:t>
      </w:r>
      <w:r w:rsidRPr="00913500">
        <w:rPr>
          <w:rFonts w:ascii="Times New Roman" w:hAnsi="Times New Roman" w:cs="Times New Roman"/>
        </w:rPr>
        <w:t xml:space="preserve"> </w:t>
      </w:r>
      <w:r w:rsidR="00397238">
        <w:rPr>
          <w:rFonts w:ascii="Times New Roman" w:hAnsi="Times New Roman" w:cs="Times New Roman"/>
        </w:rPr>
        <w:t>The UV-Vis results confirm the trends observed in the Radiometry results, with residual methacrylic acid content and other contaminants leading to higher UV absorption.  This is significant because it will limit overall light transmission through a thick polymer system.</w:t>
      </w:r>
    </w:p>
    <w:bookmarkEnd w:id="296"/>
    <w:p w14:paraId="0C34BFB2" w14:textId="77777777" w:rsidR="0017036F" w:rsidRDefault="00926B51" w:rsidP="0017036F">
      <w:pPr>
        <w:keepNext/>
        <w:jc w:val="center"/>
      </w:pPr>
      <w:r>
        <w:rPr>
          <w:noProof/>
        </w:rPr>
        <w:lastRenderedPageBreak/>
        <w:drawing>
          <wp:inline distT="0" distB="0" distL="0" distR="0" wp14:anchorId="08C0412A" wp14:editId="1E3BA35E">
            <wp:extent cx="4171366" cy="3235661"/>
            <wp:effectExtent l="0" t="0" r="635"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6509" t="8215" r="7346" b="4529"/>
                    <a:stretch/>
                  </pic:blipFill>
                  <pic:spPr bwMode="auto">
                    <a:xfrm>
                      <a:off x="0" y="0"/>
                      <a:ext cx="4172918" cy="3236865"/>
                    </a:xfrm>
                    <a:prstGeom prst="rect">
                      <a:avLst/>
                    </a:prstGeom>
                    <a:noFill/>
                    <a:ln>
                      <a:noFill/>
                    </a:ln>
                    <a:extLst>
                      <a:ext uri="{53640926-AAD7-44D8-BBD7-CCE9431645EC}">
                        <a14:shadowObscured xmlns:a14="http://schemas.microsoft.com/office/drawing/2010/main"/>
                      </a:ext>
                    </a:extLst>
                  </pic:spPr>
                </pic:pic>
              </a:graphicData>
            </a:graphic>
          </wp:inline>
        </w:drawing>
      </w:r>
    </w:p>
    <w:p w14:paraId="5D14E4BD" w14:textId="7CE81426" w:rsidR="00DF60A2" w:rsidRDefault="0017036F" w:rsidP="00F20503">
      <w:pPr>
        <w:pStyle w:val="Caption"/>
      </w:pPr>
      <w:bookmarkStart w:id="297" w:name="_Ref100940040"/>
      <w:bookmarkStart w:id="298" w:name="_Toc101365736"/>
      <w:r>
        <w:t xml:space="preserve">Figure </w:t>
      </w:r>
      <w:r w:rsidR="002F73EC">
        <w:fldChar w:fldCharType="begin"/>
      </w:r>
      <w:r w:rsidR="002F73EC">
        <w:instrText xml:space="preserve"> SEQ Figure \* ARABIC </w:instrText>
      </w:r>
      <w:r w:rsidR="002F73EC">
        <w:fldChar w:fldCharType="separate"/>
      </w:r>
      <w:r w:rsidR="00BF5717">
        <w:rPr>
          <w:noProof/>
        </w:rPr>
        <w:t>74</w:t>
      </w:r>
      <w:r w:rsidR="002F73EC">
        <w:rPr>
          <w:noProof/>
        </w:rPr>
        <w:fldChar w:fldCharType="end"/>
      </w:r>
      <w:bookmarkEnd w:id="297"/>
      <w:r w:rsidR="00E70414">
        <w:rPr>
          <w:noProof/>
        </w:rPr>
        <w:t xml:space="preserve"> Transmitted light intensity for two grades of Bis-EMA and the 80:20 Bis-EMA:PETIA blend used throughout Chapters 2 and 3.</w:t>
      </w:r>
      <w:bookmarkEnd w:id="298"/>
    </w:p>
    <w:p w14:paraId="17850335" w14:textId="64D8D02F" w:rsidR="00F25D4C" w:rsidRDefault="00F25D4C" w:rsidP="00F25D4C">
      <w:bookmarkStart w:id="299" w:name="_Toc96670681"/>
    </w:p>
    <w:p w14:paraId="6CB7834C" w14:textId="5734EDD9" w:rsidR="00F25D4C" w:rsidRDefault="00F25D4C" w:rsidP="00F25D4C"/>
    <w:p w14:paraId="4F437506" w14:textId="77777777" w:rsidR="00F25D4C" w:rsidRPr="00F25D4C" w:rsidRDefault="00F25D4C" w:rsidP="00F25D4C"/>
    <w:p w14:paraId="17DF1F74" w14:textId="77777777" w:rsidR="0017036F" w:rsidRDefault="00926B51" w:rsidP="0017036F">
      <w:pPr>
        <w:keepNext/>
        <w:jc w:val="center"/>
      </w:pPr>
      <w:r>
        <w:rPr>
          <w:noProof/>
        </w:rPr>
        <w:drawing>
          <wp:inline distT="0" distB="0" distL="0" distR="0" wp14:anchorId="3F4AA270" wp14:editId="05DE4C75">
            <wp:extent cx="3876710" cy="312946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8463" t="8780" r="8230" b="3402"/>
                    <a:stretch/>
                  </pic:blipFill>
                  <pic:spPr bwMode="auto">
                    <a:xfrm>
                      <a:off x="0" y="0"/>
                      <a:ext cx="3880559" cy="3132568"/>
                    </a:xfrm>
                    <a:prstGeom prst="rect">
                      <a:avLst/>
                    </a:prstGeom>
                    <a:noFill/>
                    <a:ln>
                      <a:noFill/>
                    </a:ln>
                    <a:extLst>
                      <a:ext uri="{53640926-AAD7-44D8-BBD7-CCE9431645EC}">
                        <a14:shadowObscured xmlns:a14="http://schemas.microsoft.com/office/drawing/2010/main"/>
                      </a:ext>
                    </a:extLst>
                  </pic:spPr>
                </pic:pic>
              </a:graphicData>
            </a:graphic>
          </wp:inline>
        </w:drawing>
      </w:r>
    </w:p>
    <w:p w14:paraId="6C3B9D06" w14:textId="229DBF86" w:rsidR="00926B51" w:rsidRDefault="0017036F" w:rsidP="00F20503">
      <w:pPr>
        <w:pStyle w:val="Caption"/>
      </w:pPr>
      <w:bookmarkStart w:id="300" w:name="_Ref101359763"/>
      <w:bookmarkStart w:id="301" w:name="_Toc101365737"/>
      <w:r>
        <w:t xml:space="preserve">Figure </w:t>
      </w:r>
      <w:r w:rsidR="002F73EC">
        <w:fldChar w:fldCharType="begin"/>
      </w:r>
      <w:r w:rsidR="002F73EC">
        <w:instrText xml:space="preserve"> SEQ Figure \* ARABIC </w:instrText>
      </w:r>
      <w:r w:rsidR="002F73EC">
        <w:fldChar w:fldCharType="separate"/>
      </w:r>
      <w:r w:rsidR="00BF5717">
        <w:rPr>
          <w:noProof/>
        </w:rPr>
        <w:t>75</w:t>
      </w:r>
      <w:r w:rsidR="002F73EC">
        <w:rPr>
          <w:noProof/>
        </w:rPr>
        <w:fldChar w:fldCharType="end"/>
      </w:r>
      <w:bookmarkEnd w:id="300"/>
      <w:r w:rsidR="00E70414">
        <w:rPr>
          <w:noProof/>
        </w:rPr>
        <w:t xml:space="preserve"> UV-Vis abso</w:t>
      </w:r>
      <w:r w:rsidR="001447E2">
        <w:rPr>
          <w:noProof/>
        </w:rPr>
        <w:t>rption spectrum for two grades of Bis-EMA and the 80:20 Bis-EMA:PETIA blend used throughout Chapters 2 and 3.</w:t>
      </w:r>
      <w:bookmarkEnd w:id="301"/>
    </w:p>
    <w:p w14:paraId="49CE3147" w14:textId="0C8361C9" w:rsidR="001165FF" w:rsidRPr="009D46F6" w:rsidRDefault="001165FF" w:rsidP="00DB3040">
      <w:pPr>
        <w:pStyle w:val="Heading2"/>
      </w:pPr>
      <w:bookmarkStart w:id="302" w:name="_Toc101701818"/>
      <w:r>
        <w:lastRenderedPageBreak/>
        <w:t>Chapter 1 Supplemental Information</w:t>
      </w:r>
      <w:bookmarkEnd w:id="299"/>
      <w:bookmarkEnd w:id="302"/>
    </w:p>
    <w:p w14:paraId="064548C3" w14:textId="77777777" w:rsidR="001165FF" w:rsidRPr="000D2CB0" w:rsidRDefault="001165FF" w:rsidP="009D06D1">
      <w:pPr>
        <w:pStyle w:val="Heading3"/>
      </w:pPr>
      <w:bookmarkStart w:id="303" w:name="_Toc96670682"/>
      <w:bookmarkStart w:id="304" w:name="_Toc101701819"/>
      <w:r>
        <w:t>Shear-Rate Calculations</w:t>
      </w:r>
      <w:bookmarkEnd w:id="303"/>
      <w:bookmarkEnd w:id="304"/>
    </w:p>
    <w:p w14:paraId="2B051DC2" w14:textId="61147CD5" w:rsidR="001165FF" w:rsidRDefault="001165FF" w:rsidP="001165FF">
      <w:pPr>
        <w:spacing w:line="360" w:lineRule="auto"/>
        <w:rPr>
          <w:rFonts w:ascii="Times New Roman" w:hAnsi="Times New Roman" w:cs="Times New Roman"/>
        </w:rPr>
      </w:pPr>
      <w:r>
        <w:rPr>
          <w:rFonts w:ascii="Times New Roman" w:hAnsi="Times New Roman" w:cs="Times New Roman"/>
        </w:rPr>
        <w:t>To assess shear thinning behavior in neat resin formulations, the photopolymer deposition method was assumed to be a material extrusion method such as direct ink writing (DIW).  By assuming no significant shear thinning in a neat resin system, the target shear rate range was calculated using Equation 1</w:t>
      </w:r>
      <w:r w:rsidR="0017036F">
        <w:rPr>
          <w:rFonts w:ascii="Times New Roman" w:hAnsi="Times New Roman" w:cs="Times New Roman"/>
        </w:rPr>
        <w:t>4</w:t>
      </w:r>
      <w:r>
        <w:rPr>
          <w:rFonts w:ascii="Times New Roman" w:hAnsi="Times New Roman" w:cs="Times New Roman"/>
        </w:rPr>
        <w:t xml:space="preserve">, the Hagen-Poiseuille equation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{"citationItems":[{"id":"ITEM-1","itemData":{"DOI":"10.1002/PC.23735","ISSN":"1548-0569","abstract":"In this work, nanocomposites based on a UV-curable polymeric resin and different inorganic fillers were developed for use in UV-assisted three-dimensional (UV-3D) printing. This technology consists in the additive multilayer deposition of a UV-curable resin for the fabrication of 3D macro structures and microstructures of arbitrary shapes. A systematic investigation on the effect of filler concentration on the rheological properties of the polymer-based nanocomposites was performed. In particular, the rheological characterization of these nanocomposites allowed to identify the optimal printability parameters for these systems based on the shear rate of the materials at the extrusion nozzle. In addition, photocalorimetric measurements were used to assess the effect of the presence of the inorganic fillers on the thermodynamics and kinetics of the photocuring process of the resins. By direct deposition of homogeneous solvent-free nanocomposite dispersions of different fillers in a UV-curable polymeric resin, the effect of UV-3D printing direction, fill density, and fill pattern on the mechanical properties of UV-3D printed specimens was investigated by means of uniaxial tensile tests. Finally, examples of 3D macroarchitectures and microarchitectures, spanning features, and planar transparent structures directly formed upon UV-3D printing of such nanocomposite dispersions were reproducibly obtained and demonstrated, clearly highlighting the suitability of these nanocomposite formulations for advanced UV-3D printing applications. POLYM. COMPOS., 38:1662–1670, 2017. © 2015 Society of Plastics Engineers.","author":[{"dropping-particle":"","family":"Postiglione","given":"Giovanni","non-dropping-particle":"","parse-names":false,"suffix":""},{"dropping-particle":"","family":"Natale","given":"Gabriele","non-dropping-particle":"","parse-names":false,"suffix":""},{"dropping-particle":"","family":"Griffini","given":"Gianmarco","non-dropping-particle":"","parse-names":false,"suffix":""},{"dropping-particle":"","family":"Levi","given":"Marinella","non-dropping-particle":"","parse-names":false,"suffix":""},{"dropping-particle":"","family":"Turri","given":"Stefano","non-dropping-particle":"","parse-names":false,"suffix":""}],"container-title":"Polymer Composites","id":"ITEM-1","issue":"8","issued":{"date-parts":[["2017","8","1"]]},"page":"1662-1670","publisher":"John Wiley &amp; Sons, Ltd","title":"UV-assisted three-dimensional printing of polymer nanocomposites based on inorganic fillers","type":"article-journal","volume":"38"},"uris":["http://www.mendeley.com/documents/?uuid=080bda0a-1888-325d-98e7-01e079551d70"]}],"mendeley":{"formattedCitation":"[154]","plainTextFormattedCitation":"[154]","previouslyFormattedCitation":"[154]"},"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[154]</w:t>
      </w:r>
      <w:r>
        <w:rPr>
          <w:rFonts w:ascii="Times New Roman" w:hAnsi="Times New Roman" w:cs="Times New Roman"/>
        </w:rPr>
        <w:fldChar w:fldCharType="end"/>
      </w:r>
      <w:r>
        <w:rPr>
          <w:rFonts w:ascii="Times New Roman" w:hAnsi="Times New Roman" w:cs="Times New Roman"/>
        </w:rPr>
        <w:t>:</w:t>
      </w:r>
    </w:p>
    <w:p w14:paraId="7E5368CD" w14:textId="77777777" w:rsidR="001165FF" w:rsidRDefault="001165FF" w:rsidP="001165FF">
      <w:pPr>
        <w:spacing w:line="360" w:lineRule="auto"/>
        <w:rPr>
          <w:rFonts w:ascii="Times New Roman" w:hAnsi="Times New Roman" w:cs="Times New Roman"/>
        </w:rPr>
      </w:pPr>
    </w:p>
    <w:p w14:paraId="60E86BB2" w14:textId="0AF1DFE6" w:rsidR="001165FF" w:rsidRPr="009B2A57" w:rsidRDefault="002F73EC" w:rsidP="001165FF">
      <w:pPr>
        <w:spacing w:line="360" w:lineRule="auto"/>
        <w:rPr>
          <w:rFonts w:ascii="Times New Roman" w:hAnsi="Times New Roman" w:cs="Times New Roman"/>
        </w:rPr>
      </w:pPr>
      <m:oMathPara>
        <m:oMath>
          <m:acc>
            <m:accPr>
              <m:chr m:val="̇"/>
              <m:ctrlPr>
                <w:rPr>
                  <w:rFonts w:ascii="Cambria Math" w:hAnsi="Cambria Math" w:cs="Times New Roman"/>
                  <w:i/>
                </w:rPr>
              </m:ctrlPr>
            </m:accPr>
            <m:e>
              <m:r>
                <w:rPr>
                  <w:rFonts w:ascii="Cambria Math" w:hAnsi="Cambria Math" w:cs="Times New Roman"/>
                </w:rPr>
                <m:t>γ</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4</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V</m:t>
                  </m:r>
                </m:sub>
              </m:sSub>
            </m:num>
            <m:den>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3</m:t>
                  </m:r>
                </m:sup>
              </m:sSup>
            </m:den>
          </m:f>
          <m:r>
            <w:rPr>
              <w:rFonts w:ascii="Cambria Math" w:hAnsi="Cambria Math" w:cs="Times New Roman"/>
            </w:rPr>
            <m:t xml:space="preserve">   (14)</m:t>
          </m:r>
        </m:oMath>
      </m:oMathPara>
    </w:p>
    <w:p w14:paraId="4F7862CE" w14:textId="77777777" w:rsidR="001165FF" w:rsidRPr="00DA25D9" w:rsidRDefault="001165FF" w:rsidP="001165FF">
      <w:pPr>
        <w:spacing w:line="360" w:lineRule="auto"/>
        <w:rPr>
          <w:rFonts w:ascii="Times New Roman" w:hAnsi="Times New Roman" w:cs="Times New Roman"/>
        </w:rPr>
      </w:pPr>
    </w:p>
    <w:p w14:paraId="58735C31" w14:textId="147D7529" w:rsidR="001165FF" w:rsidRDefault="001165FF" w:rsidP="001165FF">
      <w:pPr>
        <w:spacing w:line="360" w:lineRule="auto"/>
        <w:rPr>
          <w:rFonts w:ascii="Times New Roman" w:eastAsiaTheme="minorEastAsia" w:hAnsi="Times New Roman" w:cs="Times New Roman"/>
        </w:rPr>
      </w:pPr>
      <w:r>
        <w:rPr>
          <w:rFonts w:ascii="Times New Roman" w:hAnsi="Times New Roman" w:cs="Times New Roman"/>
        </w:rPr>
        <w:t xml:space="preserve">where </w:t>
      </w:r>
      <m:oMath>
        <m:acc>
          <m:accPr>
            <m:chr m:val="̇"/>
            <m:ctrlPr>
              <w:rPr>
                <w:rFonts w:ascii="Cambria Math" w:hAnsi="Cambria Math" w:cs="Times New Roman"/>
                <w:i/>
              </w:rPr>
            </m:ctrlPr>
          </m:accPr>
          <m:e>
            <m:r>
              <w:rPr>
                <w:rFonts w:ascii="Cambria Math" w:hAnsi="Cambria Math" w:cs="Times New Roman"/>
              </w:rPr>
              <m:t>γ</m:t>
            </m:r>
          </m:e>
        </m:acc>
      </m:oMath>
      <w:r>
        <w:rPr>
          <w:rFonts w:ascii="Times New Roman" w:eastAsiaTheme="minorEastAsia" w:hAnsi="Times New Roman" w:cs="Times New Roman"/>
        </w:rPr>
        <w:t xml:space="preserve"> is the shear rate (1/time),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V</m:t>
            </m:r>
          </m:sub>
        </m:sSub>
      </m:oMath>
      <w:r>
        <w:rPr>
          <w:rFonts w:ascii="Times New Roman" w:eastAsiaTheme="minorEastAsia" w:hAnsi="Times New Roman" w:cs="Times New Roman"/>
        </w:rPr>
        <w:t xml:space="preserve"> is the volumetric flow rate (volume/time), and </w:t>
      </w:r>
      <m:oMath>
        <m:r>
          <w:rPr>
            <w:rFonts w:ascii="Cambria Math" w:hAnsi="Cambria Math" w:cs="Times New Roman"/>
          </w:rPr>
          <m:t>r</m:t>
        </m:r>
      </m:oMath>
      <w:r>
        <w:rPr>
          <w:rFonts w:ascii="Times New Roman" w:eastAsiaTheme="minorEastAsia" w:hAnsi="Times New Roman" w:cs="Times New Roman"/>
        </w:rPr>
        <w:t xml:space="preserve"> is the nozzle radius (length).  For a large-scale printer such as the BAAM a typical 8 mm nozzle diameter is used for a 2-4 mm layer height, with deposition rates typically in the 10-20 kg/hr range but upwards of 40 kg/hr at maximum output </w:t>
      </w:r>
      <w:r>
        <w:rPr>
          <w:rFonts w:ascii="Times New Roman" w:eastAsiaTheme="minorEastAsia" w:hAnsi="Times New Roman" w:cs="Times New Roman"/>
        </w:rPr>
        <w:fldChar w:fldCharType="begin" w:fldLock="1"/>
      </w:r>
      <w:r w:rsidR="001769BF">
        <w:rPr>
          <w:rFonts w:ascii="Times New Roman" w:eastAsiaTheme="minorEastAsia" w:hAnsi="Times New Roman" w:cs="Times New Roman"/>
        </w:rPr>
        <w:instrText>ADDIN CSL_CITATION {"citationItems":[{"id":"ITEM-1","itemData":{"DOI":"10.1016/j.addma.2019.05.020","ISSN":"22148604","abstract":"Big Area Additive Manufacturing (BAAM)is a large format additive manufacturing (AM)process. The size scale has enabled many new applications for AM. However, at this scale, lack of high print resolution and extruder flowrate control lead to potentially significant geometric deviations in the printed part. This paper examines strategies to improve geometric quality in BAAM parts. Multi-resolution printing, extrusion diversion, and feedforward extruder control are examined herein. These methods were all found to be effective in mitigating phenomena detrimental to geometric part quality on the BAAM process.","author":[{"dropping-particle":"","family":"Chesser","given":"Phillip","non-dropping-particle":"","parse-names":false,"suffix":""},{"dropping-particle":"","family":"Post","given":"Brian","non-dropping-particle":"","parse-names":false,"suffix":""},{"dropping-particle":"","family":"Roschli","given":"Alex","non-dropping-particle":"","parse-names":false,"suffix":""},{"dropping-particle":"","family":"Carnal","given":"Charles","non-dropping-particle":"","parse-names":false,"suffix":""},{"dropping-particle":"","family":"Lind","given":"Randall","non-dropping-particle":"","parse-names":false,"suffix":""},{"dropping-particle":"","family":"Borish","given":"Michael","non-dropping-particle":"","parse-names":false,"suffix":""},{"dropping-particle":"","family":"Love","given":"Lonnie","non-dropping-particle":"","parse-names":false,"suffix":""}],"container-title":"Additive Manufacturing","id":"ITEM-1","issued":{"date-parts":[["2019","8","1"]]},"page":"445-455","publisher":"Elsevier B.V.","title":"Extrusion control for high quality printing on Big Area Additive Manufacturing (BAAM)systems","type":"article-journal","volume":"28"},"uris":["http://www.mendeley.com/documents/?uuid=69f7b548-5163-332a-85de-71291a072cb2"]}],"mendeley":{"formattedCitation":"[10]","plainTextFormattedCitation":"[10]","previouslyFormattedCitation":"[10]"},"properties":{"noteIndex":0},"schema":"https://github.com/citation-style-language/schema/raw/master/csl-citation.json"}</w:instrText>
      </w:r>
      <w:r>
        <w:rPr>
          <w:rFonts w:ascii="Times New Roman" w:eastAsiaTheme="minorEastAsia" w:hAnsi="Times New Roman" w:cs="Times New Roman"/>
        </w:rPr>
        <w:fldChar w:fldCharType="separate"/>
      </w:r>
      <w:r w:rsidR="005933CA" w:rsidRPr="005933CA">
        <w:rPr>
          <w:rFonts w:ascii="Times New Roman" w:eastAsiaTheme="minorEastAsia" w:hAnsi="Times New Roman" w:cs="Times New Roman"/>
          <w:noProof/>
        </w:rPr>
        <w:t>[10]</w:t>
      </w:r>
      <w:r>
        <w:rPr>
          <w:rFonts w:ascii="Times New Roman" w:eastAsiaTheme="minorEastAsia" w:hAnsi="Times New Roman" w:cs="Times New Roman"/>
        </w:rPr>
        <w:fldChar w:fldCharType="end"/>
      </w:r>
      <w:r>
        <w:rPr>
          <w:rFonts w:ascii="Times New Roman" w:eastAsiaTheme="minorEastAsia" w:hAnsi="Times New Roman" w:cs="Times New Roman"/>
        </w:rPr>
        <w:t>.  For a liquid resin density of 1.1 g/cm</w:t>
      </w:r>
      <w:r w:rsidRPr="00ED738C">
        <w:rPr>
          <w:rFonts w:ascii="Times New Roman" w:eastAsiaTheme="minorEastAsia" w:hAnsi="Times New Roman" w:cs="Times New Roman"/>
          <w:vertAlign w:val="superscript"/>
        </w:rPr>
        <w:t>3</w:t>
      </w:r>
      <w:r>
        <w:rPr>
          <w:rFonts w:ascii="Times New Roman" w:eastAsiaTheme="minorEastAsia" w:hAnsi="Times New Roman" w:cs="Times New Roman"/>
        </w:rPr>
        <w:t xml:space="preserve">, the relationship between nozzle diameter, deposition rate and shear rate for the neat resin is shown in </w:t>
      </w:r>
      <w:r w:rsidR="00A51C9C" w:rsidRPr="00A51C9C">
        <w:rPr>
          <w:rFonts w:ascii="Times New Roman" w:eastAsiaTheme="minorEastAsia" w:hAnsi="Times New Roman" w:cs="Times New Roman"/>
        </w:rPr>
        <w:fldChar w:fldCharType="begin"/>
      </w:r>
      <w:r w:rsidR="00A51C9C" w:rsidRPr="00A51C9C">
        <w:rPr>
          <w:rFonts w:ascii="Times New Roman" w:eastAsiaTheme="minorEastAsia" w:hAnsi="Times New Roman" w:cs="Times New Roman"/>
        </w:rPr>
        <w:instrText xml:space="preserve"> REF _Ref100940253 \h </w:instrText>
      </w:r>
      <w:r w:rsidR="00A51C9C">
        <w:rPr>
          <w:rFonts w:ascii="Times New Roman" w:eastAsiaTheme="minorEastAsia" w:hAnsi="Times New Roman" w:cs="Times New Roman"/>
        </w:rPr>
        <w:instrText xml:space="preserve"> \* MERGEFORMAT </w:instrText>
      </w:r>
      <w:r w:rsidR="00A51C9C" w:rsidRPr="00A51C9C">
        <w:rPr>
          <w:rFonts w:ascii="Times New Roman" w:eastAsiaTheme="minorEastAsia" w:hAnsi="Times New Roman" w:cs="Times New Roman"/>
        </w:rPr>
      </w:r>
      <w:r w:rsidR="00A51C9C" w:rsidRPr="00A51C9C">
        <w:rPr>
          <w:rFonts w:ascii="Times New Roman" w:eastAsiaTheme="minorEastAsia"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76</w:t>
      </w:r>
      <w:r w:rsidR="00A51C9C" w:rsidRPr="00A51C9C">
        <w:rPr>
          <w:rFonts w:ascii="Times New Roman" w:eastAsiaTheme="minorEastAsia" w:hAnsi="Times New Roman" w:cs="Times New Roman"/>
        </w:rPr>
        <w:fldChar w:fldCharType="end"/>
      </w:r>
      <w:r>
        <w:rPr>
          <w:rFonts w:ascii="Times New Roman" w:eastAsiaTheme="minorEastAsia" w:hAnsi="Times New Roman" w:cs="Times New Roman"/>
        </w:rPr>
        <w:t xml:space="preserve">.  </w:t>
      </w:r>
    </w:p>
    <w:p w14:paraId="5CA49818" w14:textId="77777777" w:rsidR="001165FF" w:rsidRDefault="001165FF" w:rsidP="001165FF">
      <w:pPr>
        <w:spacing w:line="360" w:lineRule="auto"/>
        <w:rPr>
          <w:rFonts w:ascii="Times New Roman" w:eastAsiaTheme="minorEastAsia" w:hAnsi="Times New Roman" w:cs="Times New Roman"/>
        </w:rPr>
      </w:pPr>
    </w:p>
    <w:p w14:paraId="316BB7D2" w14:textId="19EBC8CB" w:rsidR="001165FF" w:rsidRDefault="001165FF" w:rsidP="001165FF">
      <w:pPr>
        <w:spacing w:line="360" w:lineRule="auto"/>
        <w:rPr>
          <w:rFonts w:ascii="Times New Roman" w:hAnsi="Times New Roman" w:cs="Times New Roman"/>
        </w:rPr>
      </w:pPr>
      <w:r>
        <w:rPr>
          <w:rFonts w:ascii="Times New Roman" w:eastAsiaTheme="minorEastAsia" w:hAnsi="Times New Roman" w:cs="Times New Roman"/>
        </w:rPr>
        <w:t xml:space="preserve">Studies on small-scale, conventional DIW thermoset and photopolymer deposition report shear rates between 50 and 1000 1/s </w:t>
      </w:r>
      <w:r>
        <w:rPr>
          <w:rFonts w:ascii="Times New Roman" w:eastAsiaTheme="minorEastAsia" w:hAnsi="Times New Roman" w:cs="Times New Roman"/>
        </w:rPr>
        <w:fldChar w:fldCharType="begin" w:fldLock="1"/>
      </w:r>
      <w:r w:rsidR="00EC2668">
        <w:rPr>
          <w:rFonts w:ascii="Times New Roman" w:eastAsiaTheme="minorEastAsia" w:hAnsi="Times New Roman" w:cs="Times New Roman"/>
        </w:rPr>
        <w:instrText>ADDIN CSL_CITATION {"citationItems":[{"id":"ITEM-1","itemData":{"DOI":"10.1016/j.addma.2020.101621","ISSN":"22148604","abstract":"Thermoset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Manufacturing","id":"ITEM-1","issued":{"date-parts":[["2020","10","3"]]},"page":"101621","publisher":"Elsevier BV","title":"Linking thermoset ink rheology to the stability of 3D-printed structures","type":"article-journal"},"uris":["http://www.mendeley.com/documents/?uuid=87d00141-30b5-398b-8b12-56270c67b765"]},{"id":"ITEM-2","itemData":{"DOI":"10.1016/j.compositesb.2021.109122","abstract":"Fiber-reinforced polymer composites have been extensively utilized in recent years as feedstock materials for material extrusion additive manufacturing (AM) processes to improve strength, stiffness, and functionality of printed parts over unfilled printed polymers. However, the widespread adoption of AM of fiber-reinforced polymer composites requires a deeper understanding of the process-structure-property relationships in printed components, and such relationships are not well understood yet. Fiber length is critically important to the mechanical performance of short fiber composites, but very few studies to-date have focused on how the fiber length distribution (FLD) evolves during processing of composite feedstocks and how this evolution affects printing behavior and mechanical properties in 3D-printed composites. In this work, FLD is measured for carbon fiber reinforced epoxy composites over a wide range of ink compositions and shear mixing times, and the distributions are fit with a Weibull-type distribution function. The effects of FLD on the tradeoff between ink processability, ink rheology, printing behavior and mechanical properties are investigated. Furthermore, the effects of printing parameters (nozzle size and print speed) on mechanical anisotropy and fiber orientation distribution (FOD) in printed composites are explored. Mechanical properties of printed composites are characterized via 3 pt-flexural testing, and microstructure is investigated using optical and scanning electron mi-croscopy (SEM), and x-ray computed tomography. Finally, the fitted Weibull parameters are fed into a composite model that incorporates FLD and FOD, and model predictions are found to be in excellent agreement with experimental observations.","author":[{"dropping-particle":"","family":"Hmeidat","given":"Nadim S","non-dropping-particle":"","parse-names":false,"suffix":""},{"dropping-particle":"","family":"Elkins","given":"Daniel S","non-dropping-particle":"","parse-names":false,"suffix":""},{"dropping-particle":"","family":"Peter","given":"Hutchison R","non-dropping-particle":"","parse-names":false,"suffix":""},{"dropping-particle":"","family":"Kumar","given":"Vipin","non-dropping-particle":"","parse-names":false,"suffix":""},{"dropping-particle":"","family":"Compton","given":"Brett G","non-dropping-particle":"","parse-names":false,"suffix":""}],"container-title":"Composites Part B","id":"ITEM-2","issued":{"date-parts":[["2021"]]},"page":"1359-8368","title":"Processing and mechanical characterization of short carbon fiber-reinforced epoxy composites for material extrusion additive manufacturing ","type":"article-journal","volume":"223"},"uris":["http://www.mendeley.com/documents/?uuid=528842b9-f857-3c12-aad7-0bf373dc33ae"]},{"id":"ITEM-3","itemData":{"DOI":"10.1002/adma.201401804","ISSN":"09359648","author":[{"dropping-particle":"","family":"Compton","given":"Brett G.","non-dropping-particle":"","parse-names":false,"suffix":""},{"dropping-particle":"","family":"Lewis","given":"Jennifer A.","non-dropping-particle":"","parse-names":false,"suffix":""}],"container-title":"Advanced Materials","id":"ITEM-3","issue":"34","issued":{"date-parts":[["2014","9","1"]]},"page":"5930-5935","title":"3D-Printing of Lightweight Cellular Composites","type":"article-journal","volume":"26"},"uris":["http://www.mendeley.com/documents/?uuid=faf65912-9ca0-3d90-9ca5-85143f7ca4db"]}],"mendeley":{"formattedCitation":"[82], [83], [86]","plainTextFormattedCitation":"[82], [83], [86]","previouslyFormattedCitation":"[82], [83], [86]"},"properties":{"noteIndex":0},"schema":"https://github.com/citation-style-language/schema/raw/master/csl-citation.json"}</w:instrText>
      </w:r>
      <w:r>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[82], [83], [86]</w:t>
      </w:r>
      <w:r>
        <w:rPr>
          <w:rFonts w:ascii="Times New Roman" w:eastAsiaTheme="minorEastAsia" w:hAnsi="Times New Roman" w:cs="Times New Roman"/>
        </w:rPr>
        <w:fldChar w:fldCharType="end"/>
      </w:r>
      <w:r>
        <w:rPr>
          <w:rFonts w:ascii="Times New Roman" w:eastAsiaTheme="minorEastAsia" w:hAnsi="Times New Roman" w:cs="Times New Roman"/>
        </w:rPr>
        <w:t xml:space="preserve">, with typical nozzle diameters between 0.1 and 0.9 mm </w:t>
      </w:r>
      <w:r>
        <w:rPr>
          <w:rFonts w:ascii="Times New Roman" w:eastAsiaTheme="minorEastAsia" w:hAnsi="Times New Roman" w:cs="Times New Roman"/>
        </w:rPr>
        <w:fldChar w:fldCharType="begin" w:fldLock="1"/>
      </w:r>
      <w:r w:rsidR="00EC2668">
        <w:rPr>
          <w:rFonts w:ascii="Times New Roman" w:eastAsiaTheme="minorEastAsia" w:hAnsi="Times New Roman" w:cs="Times New Roman"/>
        </w:rPr>
        <w:instrText>ADDIN CSL_CITATION {"citationItems":[{"id":"ITEM-1","itemData":{"DOI":"10.1002/adma.201401804","ISSN":"09359648","author":[{"dropping-particle":"","family":"Compton","given":"Brett G.","non-dropping-particle":"","parse-names":false,"suffix":""},{"dropping-particle":"","family":"Lewis","given":"Jennifer A.","non-dropping-particle":"","parse-names":false,"suffix":""}],"container-title":"Advanced Materials","id":"ITEM-1","issue":"34","issued":{"date-parts":[["2014","9","1"]]},"page":"5930-5935","title":"3D-Printing of Lightweight Cellular Composites","type":"article-journal","volume":"26"},"uris":["http://www.mendeley.com/documents/?uuid=faf65912-9ca0-3d90-9ca5-85143f7ca4db"]},{"id":"ITEM-2","itemData":{"DOI":"10.1016/j.addma.2020.101621","ISSN":"22148604","abstract":"Thermoset polymer composites show promise for additive manufacturing (AM) applications to address some of the limitations of the more widely used thermoplastic feedstock materials. Thermosets offer attractive mechanical properties while providing excellent interlayer bonding, high thermal and chemical stability, and reduced energy consumption as a result of deposition at room temperature. However, since thermoset resins rely on a crosslinking reaction to solidify, rather than quickly cooling like thermoplastics, viscoelastic properties must be relied upon to maintain deposited shape after deposition until crosslinking can occur. This fact has not impeded development and characterization of new thermoset feedstocks on the small scale, but recent efforts to increase scale of thermoset printing have highlighted issues with structural stability under self-weight. This study addresses issues of self-weight by investigating the mechanisms that cause collapse of tall, thin printed walls. Using nanoclay- and fumed silica-filled epoxy feedstocks, this work compares the collapse height for printed walls to stability models based on yielding and buckling mechanics. Inputs for these models – shear yield stress and storage modulus – were taken directly from parallel plate rheometry measurements. Model predictions were found to be in good agreement with experimental results, where both yielding and buckling behavior were observed, provided the rheological properties after a shear excursion were used as inputs. This work establishes a direct link between basic rheological properties of the feedstock, geometry of the printed object, and achievable height. The results presented highlight the importance of understanding recovery behavior in thermoset feedstocks and provide valuable guidance on the development of more effective direct-ink writing feedstock materials.","author":[{"dropping-particle":"","family":"Romberg","given":"Stian K.","non-dropping-particle":"","parse-names":false,"suffix":""},{"dropping-particle":"","family":"Islam","given":"Mohammad","non-dropping-particle":"","parse-names":false,"suffix":""},{"dropping-particle":"","family":"Hershey","given":"Christopher J.","non-dropping-particle":"","parse-names":false,"suffix":""},{"dropping-particle":"","family":"DeVinney","given":"Michael","non-dropping-particle":"","parse-names":false,"suffix":""},{"dropping-particle":"","family":"Duty","given":"Chad E.","non-dropping-particle":"","parse-names":false,"suffix":""},{"dropping-particle":"","family":"Kunc","given":"Vlastimil","non-dropping-particle":"","parse-names":false,"suffix":""},{"dropping-particle":"","family":"Compton","given":"Brett G.","non-dropping-particle":"","parse-names":false,"suffix":""}],"container-title":"Additive Manufacturing","id":"ITEM-2","issued":{"date-parts":[["2020","10","3"]]},"page":"101621","publisher":"Elsevier BV","title":"Linking thermoset ink rheology to the stability of 3D-printed structures","type":"article-journal"},"uris":["http://www.mendeley.com/documents/?uuid=87d00141-30b5-398b-8b12-56270c67b765"]},{"id":"ITEM-3","itemData":{"DOI":"10.1016/j.compositesb.2021.109122","abstract":"Fiber-reinforced polymer composites have been extensively utilized in recent years as feedstock materials for material extrusion additive manufacturing (AM) processes to improve strength, stiffness, and functionality of printed parts over unfilled printed polymers. However, the widespread adoption of AM of fiber-reinforced polymer composites requires a deeper understanding of the process-structure-property relationships in printed components, and such relationships are not well understood yet. Fiber length is critically important to the mechanical performance of short fiber composites, but very few studies to-date have focused on how the fiber length distribution (FLD) evolves during processing of composite feedstocks and how this evolution affects printing behavior and mechanical properties in 3D-printed composites. In this work, FLD is measured for carbon fiber reinforced epoxy composites over a wide range of ink compositions and shear mixing times, and the distributions are fit with a Weibull-type distribution function. The effects of FLD on the tradeoff between ink processability, ink rheology, printing behavior and mechanical properties are investigated. Furthermore, the effects of printing parameters (nozzle size and print speed) on mechanical anisotropy and fiber orientation distribution (FOD) in printed composites are explored. Mechanical properties of printed composites are characterized via 3 pt-flexural testing, and microstructure is investigated using optical and scanning electron mi-croscopy (SEM), and x-ray computed tomography. Finally, the fitted Weibull parameters are fed into a composite model that incorporates FLD and FOD, and model predictions are found to be in excellent agreement with experimental observations.","author":[{"dropping-particle":"","family":"Hmeidat","given":"Nadim S","non-dropping-particle":"","parse-names":false,"suffix":""},{"dropping-particle":"","family":"Elkins","given":"Daniel S","non-dropping-particle":"","parse-names":false,"suffix":""},{"dropping-particle":"","family":"Peter","given":"Hutchison R","non-dropping-particle":"","parse-names":false,"suffix":""},{"dropping-particle":"","family":"Kumar","given":"Vipin","non-dropping-particle":"","parse-names":false,"suffix":""},{"dropping-particle":"","family":"Compton","given":"Brett G","non-dropping-particle":"","parse-names":false,"suffix":""}],"container-title":"Composites Part B","id":"ITEM-3","issued":{"date-parts":[["2021"]]},"page":"1359-8368","title":"Processing and mechanical characterization of short carbon fiber-reinforced epoxy composites for material extrusion additive manufacturing ","type":"article-journal","volume":"223"},"uris":["http://www.mendeley.com/documents/?uuid=528842b9-f857-3c12-aad7-0bf373dc33ae"]},{"id":"ITEM-4","itemData":{"DOI":"10.1016/j.compscitech.2018.03.008","ISSN":"02663538","abstract":"Clay-based nanoscale filler materials are commonly used to impart unique and desirable properties to polymer resins. Small volume fractions of nanoclay have disproportionately large effects on stiffness, toughness, strength, and gas barrier properties of polymer matrices due to their high surface-to-volume ratio and platelet morphology. Recent work has suggested that highly loaded epoxy/clay/fiber mixtures possess desirable rheological properties for use as feedstock materials for direct-write 3D printing, but little is known about the effects of the deposition process on the resulting properties of the printed composites. In this work we characterize the effects of a functionalized nanoclay on the rheological properties and printing behavior of an epoxy resin in the absence of fiber reinforcements, and investigate the effects of clay content and the deposition process on the thermo-mechanical properties of the resulting 3D-printed epoxy/clay nanocomposites. The rheological properties of ink formulations containing up to 12.5 wt% nanoclay are measured using parallel plate rheometry, and the thermo-mechanical properties of the printed composites are measured using 3-pt flexural testing, dynamic mechanical analysis, and thermo-gravimetric analysis. Flexural strength values range from 80 MPa to 100 MPa for cast samples and printed samples tested transverse to the printing direction, and up to 143 MPa for printed samples tested parallel to the print direction. Although the observed anisotropic strength values indicate that the deposition process does impart orientation to the nanoclay, the strength in each direction is significantly greater than values reported for 3D printed thermoplastic composites, suggesting that the epoxy/clay system has high potential for further development as a 3D printing feedstock material.","author":[{"dropping-particle":"","family":"Hmeidat","given":"Nadim S.","non-dropping-particle":"","parse-names":false,"suffix":""},{"dropping-particle":"","family":"Kemp","given":"James W.","non-dropping-particle":"","parse-names":false,"suffix":""},{"dropping-particle":"","family":"Compton","given":"Brett G.","non-dropping-particle":"","parse-names":false,"suffix":""}],"container-title":"Composites Science and Technology","id":"ITEM-4","issued":{"date-parts":[["2018","5","26"]]},"page":"9-20","publisher":"Elsevier Ltd","title":"High-strength epoxy nanocomposites for 3D printing","type":"article-journal","volume":"160"},"uris":["http://www.mendeley.com/documents/?uuid=293e55c1-0979-3d8c-b06b-4de96c7cd11a"]},{"id":"ITEM-5","itemData":{"DOI":"10.1088/0960-1317/24/5/055020","ISSN":"0960-1317","author":[{"dropping-particle":"","family":"Farahani","given":"R D","non-dropping-particle":"","parse-names":false,"suffix":""},{"dropping-particle":"","family":"Lebel","given":"L L","non-dropping-particle":"","parse-names":false,"suffix":""},{"dropping-particle":"","family":"Therriault","given":"D","non-dropping-particle":"","parse-names":false,"suffix":""}],"container-title":"Journal of Micromechanics and Microengineering","id":"ITEM-5","issue":"5","issued":{"date-parts":[["2014","5","1"]]},"page":"055020","publisher":"IOP Publishing","title":"Processing parameters investigation for the fabrication of self-supported and freeform polymeric microstructures using ultraviolet-assisted three-dimensional printing","type":"article-journal","volume":"24"},"uris":["http://www.mendeley.com/documents/?uuid=f73b5613-a3b1-37d0-811a-037bdc0bc130"]},{"id":"ITEM-6","itemData":{"DOI":"10.3390/ma9070583","ISSN":"1996-1944","abstract":"Glass (GFR) and carbon fiber-reinforced (CFR) dual-cure polymer composites fabricated by UV-assisted three-dimensional (UV-3D) printing are presented. The resin material combines an acrylic-based photocurable resin with a low temperature (140 °C) thermally-curable resin system based on bisphenol A diglycidyl ether as base component, an aliphatic anhydride (hexahydro-4-methylphthalic anhydride) as hardener and (2,4,6,-tris(dimethylaminomethyl)phenol) as catalyst. A thorough rheological characterization of these formulations allowed us to define their 3D printability window. UV-3D printed macrostructures were successfully demonstrated, giving a clear indication of their potential use in real-life structural applications. Differential scanning calorimetry and dynamic mechanical analysis highlighted the good thermal stability and mechanical properties of the printed parts. In addition, uniaxial tensile tests were used to assess the fiber reinforcing effect on the UV-3D printed objects. Finally, an initial study was conducted on the use of a sizing treatment on carbon fibers to improve the fiber/matrix interfacial adhesion, giving preliminary indications on the potential of this approach to improve the mechanical properties of the 3D printed CFR components.","author":[{"dropping-particle":"","family":"Invernizzi","given":"Marta","non-dropping-particle":"","parse-names":false,"suffix":""},{"dropping-particle":"","family":"Natale","given":"Gabriele","non-dropping-particle":"","parse-names":false,"suffix":""},{"dropping-particle":"","family":"Levi","given":"Marinella","non-dropping-particle":"","parse-names":false,"suffix":""},{"dropping-particle":"","family":"Turri","given":"Stefano","non-dropping-particle":"","parse-names":false,"suffix":""},{"dropping-particle":"","family":"Griffini","given":"Gianmarco","non-dropping-particle":"","parse-names":false,"suffix":""}],"container-title":"Materials","id":"ITEM-6","issue":"7","issued":{"date-parts":[["2016","7","16"]]},"page":"583","publisher":"Multidisciplinary Digital Publishing Institute","title":"UV-Assisted 3D Printing of Glass and Carbon Fiber-Reinforced Dual-Cure Polymer Composites","type":"article-journal","volume":"9"},"uris":["http://www.mendeley.com/documents/?uuid=4ad7fb45-507e-3879-bee7-7f5073003a76"]},{"id":"ITEM-7","itemData":{"DOI":"10.1002/PC.23735","ISSN":"1548-0569","abstract":"In this work, nanocomposites based on a UV-curable polymeric resin and different inorganic fillers were developed for use in UV-assisted three-dimensional (UV-3D) printing. This technology consists in the additive multilayer deposition of a UV-curable resin for the fabrication of 3D macro structures and microstructures of arbitrary shapes. A systematic investigation on the effect of filler concentration on the rheological properties of the polymer-based nanocomposites was performed. In particular, the rheological characterization of these nanocomposites allowed to identify the optimal printability parameters for these systems based on the shear rate of the materials at the extrusion nozzle. In addition, photocalorimetric measurements were used to assess the effect of the presence of the inorganic fillers on the thermodynamics and kinetics of the photocuring process of the resins. By direct deposition of homogeneous solvent-free nanocomposite dispersions of different fillers in a UV-curable polymeric resin, the effect of UV-3D printing direction, fill density, and fill pattern on the mechanical properties of UV-3D printed specimens was investigated by means of uniaxial tensile tests. Finally, examples of 3D macroarchitectures and microarchitectures, spanning features, and planar transparent structures directly formed upon UV-3D printing of such nanocomposite dispersions were reproducibly obtained and demonstrated, clearly highlighting the suitability of these nanocomposite formulations for advanced UV-3D printing applications. POLYM. COMPOS., 38:1662–1670, 2017. © 2015 Society of Plastics Engineers.","author":[{"dropping-particle":"","family":"Postiglione","given":"Giovanni","non-dropping-particle":"","parse-names":false,"suffix":""},{"dropping-particle":"","family":"Natale","given":"Gabriele","non-dropping-particle":"","parse-names":false,"suffix":""},{"dropping-particle":"","family":"Griffini","given":"Gianmarco","non-dropping-particle":"","parse-names":false,"suffix":""},{"dropping-particle":"","family":"Levi","given":"Marinella","non-dropping-particle":"","parse-names":false,"suffix":""},{"dropping-particle":"","family":"Turri","given":"Stefano","non-dropping-particle":"","parse-names":false,"suffix":""}],"container-title":"Polymer Composites","id":"ITEM-7","issue":"8","issued":{"date-parts":[["2017","8","1"]]},"page":"1662-1670","publisher":"John Wiley &amp; Sons, Ltd","title":"UV-assisted three-dimensional printing of polymer nanocomposites based on inorganic fillers","type":"article-journal","volume":"38"},"uris":["http://www.mendeley.com/documents/?uuid=080bda0a-1888-325d-98e7-01e079551d70"]}],"mendeley":{"formattedCitation":"[70], [82]–[84], [86], [87], [154]","plainTextFormattedCitation":"[70], [82]–[84], [86], [87], [154]","previouslyFormattedCitation":"[70], [82]–[84], [86], [87], [154]"},"properties":{"noteIndex":0},"schema":"https://github.com/citation-style-language/schema/raw/master/csl-citation.json"}</w:instrText>
      </w:r>
      <w:r>
        <w:rPr>
          <w:rFonts w:ascii="Times New Roman" w:eastAsiaTheme="minorEastAsia" w:hAnsi="Times New Roman" w:cs="Times New Roman"/>
        </w:rPr>
        <w:fldChar w:fldCharType="separate"/>
      </w:r>
      <w:r w:rsidR="00280E34" w:rsidRPr="00280E34">
        <w:rPr>
          <w:rFonts w:ascii="Times New Roman" w:eastAsiaTheme="minorEastAsia" w:hAnsi="Times New Roman" w:cs="Times New Roman"/>
          <w:noProof/>
        </w:rPr>
        <w:t>[70], [82]–[84], [86], [87], [154]</w:t>
      </w:r>
      <w:r>
        <w:rPr>
          <w:rFonts w:ascii="Times New Roman" w:eastAsiaTheme="minorEastAsia" w:hAnsi="Times New Roman" w:cs="Times New Roman"/>
        </w:rPr>
        <w:fldChar w:fldCharType="end"/>
      </w:r>
      <w:r>
        <w:rPr>
          <w:rFonts w:ascii="Times New Roman" w:eastAsiaTheme="minorEastAsia" w:hAnsi="Times New Roman" w:cs="Times New Roman"/>
        </w:rPr>
        <w:t xml:space="preserve">.  As </w:t>
      </w:r>
      <w:r w:rsidR="00A51C9C" w:rsidRPr="00A51C9C">
        <w:rPr>
          <w:rFonts w:ascii="Times New Roman" w:eastAsiaTheme="minorEastAsia" w:hAnsi="Times New Roman" w:cs="Times New Roman"/>
        </w:rPr>
        <w:fldChar w:fldCharType="begin"/>
      </w:r>
      <w:r w:rsidR="00A51C9C" w:rsidRPr="00A51C9C">
        <w:rPr>
          <w:rFonts w:ascii="Times New Roman" w:eastAsiaTheme="minorEastAsia" w:hAnsi="Times New Roman" w:cs="Times New Roman"/>
        </w:rPr>
        <w:instrText xml:space="preserve"> REF _Ref100940253 \h </w:instrText>
      </w:r>
      <w:r w:rsidR="00A51C9C">
        <w:rPr>
          <w:rFonts w:ascii="Times New Roman" w:eastAsiaTheme="minorEastAsia" w:hAnsi="Times New Roman" w:cs="Times New Roman"/>
        </w:rPr>
        <w:instrText xml:space="preserve"> \* MERGEFORMAT </w:instrText>
      </w:r>
      <w:r w:rsidR="00A51C9C" w:rsidRPr="00A51C9C">
        <w:rPr>
          <w:rFonts w:ascii="Times New Roman" w:eastAsiaTheme="minorEastAsia" w:hAnsi="Times New Roman" w:cs="Times New Roman"/>
        </w:rPr>
      </w:r>
      <w:r w:rsidR="00A51C9C" w:rsidRPr="00A51C9C">
        <w:rPr>
          <w:rFonts w:ascii="Times New Roman" w:eastAsiaTheme="minorEastAsia"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76</w:t>
      </w:r>
      <w:r w:rsidR="00A51C9C" w:rsidRPr="00A51C9C">
        <w:rPr>
          <w:rFonts w:ascii="Times New Roman" w:eastAsiaTheme="minorEastAsia" w:hAnsi="Times New Roman" w:cs="Times New Roman"/>
        </w:rPr>
        <w:fldChar w:fldCharType="end"/>
      </w:r>
      <w:r>
        <w:rPr>
          <w:rFonts w:ascii="Times New Roman" w:eastAsiaTheme="minorEastAsia" w:hAnsi="Times New Roman" w:cs="Times New Roman"/>
        </w:rPr>
        <w:t xml:space="preserve"> shows, such small-scale printers would typically print at a deposition rate on the order or 0.01 to 0.1 kg/hr.  In the present work, the target layer height of 3 mm has a corresponding nozzle diameter of 6 mm when using the 2:1 ratio convention typical of FDM printing.  At the target</w:t>
      </w:r>
      <w:r>
        <w:rPr>
          <w:rFonts w:ascii="Times New Roman" w:hAnsi="Times New Roman" w:cs="Times New Roman"/>
        </w:rPr>
        <w:t xml:space="preserve"> deposition range of 5-20 kg/hr, a typical shear rate for large-scale AM of a neat resin with no shear-thinning was calculated as 50 to 250 1/s. </w:t>
      </w:r>
    </w:p>
    <w:p w14:paraId="0C77CABC" w14:textId="77777777" w:rsidR="001165FF" w:rsidRDefault="001165FF" w:rsidP="009D06D1">
      <w:pPr>
        <w:pStyle w:val="Heading3"/>
      </w:pPr>
      <w:bookmarkStart w:id="305" w:name="_Toc96670683"/>
      <w:bookmarkStart w:id="306" w:name="_Toc101701820"/>
      <w:r>
        <w:t>Tensile Properties</w:t>
      </w:r>
      <w:bookmarkEnd w:id="305"/>
      <w:bookmarkEnd w:id="306"/>
    </w:p>
    <w:p w14:paraId="6AA940CC" w14:textId="5DB0D25E" w:rsidR="001165FF" w:rsidRPr="009D46F6" w:rsidRDefault="001165FF" w:rsidP="001165FF">
      <w:pPr>
        <w:spacing w:line="360" w:lineRule="auto"/>
        <w:rPr>
          <w:rFonts w:ascii="Times New Roman" w:eastAsiaTheme="minorEastAsia" w:hAnsi="Times New Roman" w:cs="Times New Roman"/>
        </w:rPr>
      </w:pPr>
      <w:r>
        <w:rPr>
          <w:rFonts w:ascii="Times New Roman" w:hAnsi="Times New Roman" w:cs="Times New Roman"/>
        </w:rPr>
        <w:t xml:space="preserve">The complete tensile test results for the neat resin formulations after 5 s UV irradiation are given in </w:t>
      </w:r>
      <w:r w:rsidR="00A51C9C" w:rsidRPr="00A51C9C">
        <w:rPr>
          <w:rFonts w:ascii="Times New Roman" w:hAnsi="Times New Roman" w:cs="Times New Roman"/>
          <w:highlight w:val="yellow"/>
        </w:rPr>
        <w:fldChar w:fldCharType="begin"/>
      </w:r>
      <w:r w:rsidR="00A51C9C" w:rsidRPr="00A51C9C">
        <w:rPr>
          <w:rFonts w:ascii="Times New Roman" w:hAnsi="Times New Roman" w:cs="Times New Roman"/>
        </w:rPr>
        <w:instrText xml:space="preserve"> REF _Ref100940318 \h </w:instrText>
      </w:r>
      <w:r w:rsidR="00A51C9C">
        <w:rPr>
          <w:rFonts w:ascii="Times New Roman" w:hAnsi="Times New Roman" w:cs="Times New Roman"/>
          <w:highlight w:val="yellow"/>
        </w:rPr>
        <w:instrText xml:space="preserve"> \* MERGEFORMAT </w:instrText>
      </w:r>
      <w:r w:rsidR="00A51C9C" w:rsidRPr="00A51C9C">
        <w:rPr>
          <w:rFonts w:ascii="Times New Roman" w:hAnsi="Times New Roman" w:cs="Times New Roman"/>
          <w:highlight w:val="yellow"/>
        </w:rPr>
      </w:r>
      <w:r w:rsidR="00A51C9C" w:rsidRPr="00A51C9C">
        <w:rPr>
          <w:rFonts w:ascii="Times New Roman" w:hAnsi="Times New Roman" w:cs="Times New Roman"/>
          <w:highlight w:val="yellow"/>
        </w:rPr>
        <w:fldChar w:fldCharType="separate"/>
      </w:r>
      <w:r w:rsidR="00A51C9C" w:rsidRPr="00A51C9C">
        <w:rPr>
          <w:rFonts w:ascii="Times New Roman" w:hAnsi="Times New Roman" w:cs="Times New Roman"/>
        </w:rPr>
        <w:t xml:space="preserve">Table </w:t>
      </w:r>
      <w:r w:rsidR="00A51C9C" w:rsidRPr="00A51C9C">
        <w:rPr>
          <w:rFonts w:ascii="Times New Roman" w:hAnsi="Times New Roman" w:cs="Times New Roman"/>
          <w:noProof/>
        </w:rPr>
        <w:t>9</w:t>
      </w:r>
      <w:r w:rsidR="00A51C9C" w:rsidRPr="00A51C9C">
        <w:rPr>
          <w:rFonts w:ascii="Times New Roman" w:hAnsi="Times New Roman" w:cs="Times New Roman"/>
          <w:highlight w:val="yellow"/>
        </w:rPr>
        <w:fldChar w:fldCharType="end"/>
      </w:r>
      <w:r>
        <w:rPr>
          <w:rFonts w:ascii="Times New Roman" w:hAnsi="Times New Roman" w:cs="Times New Roman"/>
        </w:rPr>
        <w:t>.  All samples exhibited brittle failure, with a high standard deviation in tensile strength.</w:t>
      </w:r>
    </w:p>
    <w:p w14:paraId="6A0083E9" w14:textId="77777777" w:rsidR="00A51C9C" w:rsidRDefault="001165FF" w:rsidP="00A51C9C">
      <w:pPr>
        <w:keepNext/>
        <w:spacing w:line="360" w:lineRule="auto"/>
        <w:jc w:val="center"/>
      </w:pPr>
      <w:r>
        <w:rPr>
          <w:noProof/>
        </w:rPr>
        <w:lastRenderedPageBreak/>
        <w:drawing>
          <wp:inline distT="0" distB="0" distL="0" distR="0" wp14:anchorId="5349DB3F" wp14:editId="536CD0A9">
            <wp:extent cx="5391150" cy="4114209"/>
            <wp:effectExtent l="0" t="0" r="0" b="635"/>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5432388" cy="4145679"/>
                    </a:xfrm>
                    <a:prstGeom prst="rect">
                      <a:avLst/>
                    </a:prstGeom>
                  </pic:spPr>
                </pic:pic>
              </a:graphicData>
            </a:graphic>
          </wp:inline>
        </w:drawing>
      </w:r>
    </w:p>
    <w:p w14:paraId="7A27BC48" w14:textId="75782B03" w:rsidR="001165FF" w:rsidRDefault="00A51C9C" w:rsidP="00F20503">
      <w:pPr>
        <w:pStyle w:val="Caption"/>
      </w:pPr>
      <w:bookmarkStart w:id="307" w:name="_Ref100940253"/>
      <w:bookmarkStart w:id="308" w:name="_Toc101365738"/>
      <w:r>
        <w:t xml:space="preserve">Figure </w:t>
      </w:r>
      <w:r w:rsidR="002F73EC">
        <w:fldChar w:fldCharType="begin"/>
      </w:r>
      <w:r w:rsidR="002F73EC">
        <w:instrText xml:space="preserve"> SEQ Figure \* ARABIC </w:instrText>
      </w:r>
      <w:r w:rsidR="002F73EC">
        <w:fldChar w:fldCharType="separate"/>
      </w:r>
      <w:r w:rsidR="00BF5717">
        <w:rPr>
          <w:noProof/>
        </w:rPr>
        <w:t>76</w:t>
      </w:r>
      <w:r w:rsidR="002F73EC">
        <w:rPr>
          <w:noProof/>
        </w:rPr>
        <w:fldChar w:fldCharType="end"/>
      </w:r>
      <w:bookmarkEnd w:id="307"/>
      <w:r>
        <w:t xml:space="preserve"> </w:t>
      </w:r>
      <w:r w:rsidRPr="006C0983">
        <w:t xml:space="preserve">Nozzle diameter vs. shear rate for various deposition rates, </w:t>
      </w:r>
      <w:r>
        <w:t>calculated</w:t>
      </w:r>
      <w:r w:rsidRPr="006C0983">
        <w:t xml:space="preserve"> for </w:t>
      </w:r>
      <w:r>
        <w:t>liquid densities typical of Bis-EMA and PETIA.  There is a positive correlation between deposition rate and shear rate, and an inverse correlation between nozzle diameter and shear rate.</w:t>
      </w:r>
      <w:bookmarkEnd w:id="308"/>
      <w:r>
        <w:t xml:space="preserve"> </w:t>
      </w:r>
      <w:r w:rsidRPr="006C0983">
        <w:t xml:space="preserve"> </w:t>
      </w:r>
    </w:p>
    <w:p w14:paraId="7A3021D4" w14:textId="77777777" w:rsidR="001165FF" w:rsidRPr="00E250FD" w:rsidRDefault="001165FF" w:rsidP="001165FF"/>
    <w:p w14:paraId="238EBB8D" w14:textId="77777777" w:rsidR="001165FF" w:rsidRPr="00DB0CD6" w:rsidRDefault="001165FF" w:rsidP="001165FF"/>
    <w:p w14:paraId="233D6A8F" w14:textId="23273F0A" w:rsidR="00A51C9C" w:rsidRDefault="00A51C9C" w:rsidP="00F20503">
      <w:pPr>
        <w:pStyle w:val="Caption"/>
      </w:pPr>
      <w:bookmarkStart w:id="309" w:name="_Ref100940318"/>
      <w:bookmarkStart w:id="310" w:name="_Toc101382371"/>
      <w:r>
        <w:t xml:space="preserve">Table </w:t>
      </w:r>
      <w:r w:rsidR="002F73EC">
        <w:fldChar w:fldCharType="begin"/>
      </w:r>
      <w:r w:rsidR="002F73EC">
        <w:instrText xml:space="preserve"> SEQ Table \* ARABIC </w:instrText>
      </w:r>
      <w:r w:rsidR="002F73EC">
        <w:fldChar w:fldCharType="separate"/>
      </w:r>
      <w:r w:rsidR="00B30A2A">
        <w:rPr>
          <w:noProof/>
        </w:rPr>
        <w:t>10</w:t>
      </w:r>
      <w:r w:rsidR="002F73EC">
        <w:rPr>
          <w:noProof/>
        </w:rPr>
        <w:fldChar w:fldCharType="end"/>
      </w:r>
      <w:bookmarkEnd w:id="309"/>
      <w:r>
        <w:t xml:space="preserve"> Tensile properties for neat resin blends of Bis-EMA and PETIA.</w:t>
      </w:r>
      <w:bookmarkEnd w:id="310"/>
    </w:p>
    <w:tbl>
      <w:tblPr>
        <w:tblW w:w="6400" w:type="dxa"/>
        <w:tblLook w:val="04A0" w:firstRow="1" w:lastRow="0" w:firstColumn="1" w:lastColumn="0" w:noHBand="0" w:noVBand="1"/>
      </w:tblPr>
      <w:tblGrid>
        <w:gridCol w:w="1380"/>
        <w:gridCol w:w="1740"/>
        <w:gridCol w:w="1860"/>
        <w:gridCol w:w="1420"/>
      </w:tblGrid>
      <w:tr w:rsidR="001165FF" w:rsidRPr="006109EF" w14:paraId="703F37DA" w14:textId="77777777" w:rsidTr="00EB1E9F">
        <w:trPr>
          <w:trHeight w:val="600"/>
        </w:trPr>
        <w:tc>
          <w:tcPr>
            <w:tcW w:w="1380" w:type="dxa"/>
            <w:tcBorders>
              <w:top w:val="nil"/>
              <w:left w:val="nil"/>
              <w:bottom w:val="single" w:sz="4" w:space="0" w:color="auto"/>
              <w:right w:val="nil"/>
            </w:tcBorders>
            <w:shd w:val="clear" w:color="000000" w:fill="FFFFFF"/>
            <w:noWrap/>
            <w:vAlign w:val="bottom"/>
            <w:hideMark/>
          </w:tcPr>
          <w:p w14:paraId="4FA15250" w14:textId="77777777" w:rsidR="001165FF" w:rsidRPr="006109EF" w:rsidRDefault="001165FF" w:rsidP="00EB1E9F">
            <w:pPr>
              <w:rPr>
                <w:rFonts w:ascii="Times New Roman" w:hAnsi="Times New Roman" w:cs="Times New Roman"/>
                <w:color w:val="000000"/>
              </w:rPr>
            </w:pPr>
            <w:r w:rsidRPr="006109EF">
              <w:rPr>
                <w:rFonts w:ascii="Times New Roman" w:hAnsi="Times New Roman" w:cs="Times New Roman"/>
                <w:color w:val="000000"/>
              </w:rPr>
              <w:t>PETIA (wt%)</w:t>
            </w:r>
          </w:p>
        </w:tc>
        <w:tc>
          <w:tcPr>
            <w:tcW w:w="1740" w:type="dxa"/>
            <w:tcBorders>
              <w:top w:val="nil"/>
              <w:left w:val="nil"/>
              <w:bottom w:val="single" w:sz="4" w:space="0" w:color="auto"/>
              <w:right w:val="nil"/>
            </w:tcBorders>
            <w:shd w:val="clear" w:color="000000" w:fill="FFFFFF"/>
            <w:vAlign w:val="bottom"/>
            <w:hideMark/>
          </w:tcPr>
          <w:p w14:paraId="7ADFB86D"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Tensile Strength (MPa)</w:t>
            </w:r>
          </w:p>
        </w:tc>
        <w:tc>
          <w:tcPr>
            <w:tcW w:w="1860" w:type="dxa"/>
            <w:tcBorders>
              <w:top w:val="nil"/>
              <w:left w:val="nil"/>
              <w:bottom w:val="single" w:sz="4" w:space="0" w:color="auto"/>
              <w:right w:val="nil"/>
            </w:tcBorders>
            <w:shd w:val="clear" w:color="000000" w:fill="FFFFFF"/>
            <w:vAlign w:val="bottom"/>
            <w:hideMark/>
          </w:tcPr>
          <w:p w14:paraId="73B326FB" w14:textId="77777777" w:rsidR="001165FF" w:rsidRPr="006109EF" w:rsidRDefault="001165FF" w:rsidP="00EB1E9F">
            <w:pPr>
              <w:jc w:val="center"/>
              <w:rPr>
                <w:rFonts w:ascii="Times New Roman" w:hAnsi="Times New Roman" w:cs="Times New Roman"/>
                <w:color w:val="000000"/>
              </w:rPr>
            </w:pPr>
            <w:r>
              <w:rPr>
                <w:rFonts w:ascii="Times New Roman" w:hAnsi="Times New Roman" w:cs="Times New Roman"/>
                <w:color w:val="000000"/>
              </w:rPr>
              <w:t xml:space="preserve">Initial </w:t>
            </w:r>
            <w:r w:rsidRPr="006109EF">
              <w:rPr>
                <w:rFonts w:ascii="Times New Roman" w:hAnsi="Times New Roman" w:cs="Times New Roman"/>
                <w:color w:val="000000"/>
              </w:rPr>
              <w:t>Tensile Modulus (GPa)</w:t>
            </w:r>
          </w:p>
        </w:tc>
        <w:tc>
          <w:tcPr>
            <w:tcW w:w="1420" w:type="dxa"/>
            <w:tcBorders>
              <w:top w:val="nil"/>
              <w:left w:val="nil"/>
              <w:bottom w:val="single" w:sz="4" w:space="0" w:color="auto"/>
              <w:right w:val="nil"/>
            </w:tcBorders>
            <w:shd w:val="clear" w:color="000000" w:fill="FFFFFF"/>
            <w:noWrap/>
            <w:vAlign w:val="bottom"/>
            <w:hideMark/>
          </w:tcPr>
          <w:p w14:paraId="3AEB4EEA"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 xml:space="preserve">Failure Strain </w:t>
            </w:r>
          </w:p>
        </w:tc>
      </w:tr>
      <w:tr w:rsidR="001165FF" w:rsidRPr="006109EF" w14:paraId="7EB19D87" w14:textId="77777777" w:rsidTr="00EB1E9F">
        <w:trPr>
          <w:trHeight w:val="300"/>
        </w:trPr>
        <w:tc>
          <w:tcPr>
            <w:tcW w:w="1380" w:type="dxa"/>
            <w:tcBorders>
              <w:top w:val="nil"/>
              <w:left w:val="nil"/>
              <w:bottom w:val="nil"/>
              <w:right w:val="nil"/>
            </w:tcBorders>
            <w:shd w:val="clear" w:color="000000" w:fill="FFFFFF"/>
            <w:noWrap/>
            <w:vAlign w:val="bottom"/>
            <w:hideMark/>
          </w:tcPr>
          <w:p w14:paraId="444EA606"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0</w:t>
            </w:r>
          </w:p>
        </w:tc>
        <w:tc>
          <w:tcPr>
            <w:tcW w:w="1740" w:type="dxa"/>
            <w:tcBorders>
              <w:top w:val="nil"/>
              <w:left w:val="nil"/>
              <w:bottom w:val="nil"/>
              <w:right w:val="nil"/>
            </w:tcBorders>
            <w:shd w:val="clear" w:color="000000" w:fill="FFFFFF"/>
            <w:noWrap/>
            <w:vAlign w:val="bottom"/>
            <w:hideMark/>
          </w:tcPr>
          <w:p w14:paraId="18440987"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40.53  [14.03]</w:t>
            </w:r>
          </w:p>
        </w:tc>
        <w:tc>
          <w:tcPr>
            <w:tcW w:w="1860" w:type="dxa"/>
            <w:tcBorders>
              <w:top w:val="nil"/>
              <w:left w:val="nil"/>
              <w:bottom w:val="nil"/>
              <w:right w:val="nil"/>
            </w:tcBorders>
            <w:shd w:val="clear" w:color="000000" w:fill="FFFFFF"/>
            <w:noWrap/>
            <w:vAlign w:val="bottom"/>
            <w:hideMark/>
          </w:tcPr>
          <w:p w14:paraId="052E2F40"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2.81  [0.10]</w:t>
            </w:r>
          </w:p>
        </w:tc>
        <w:tc>
          <w:tcPr>
            <w:tcW w:w="1420" w:type="dxa"/>
            <w:tcBorders>
              <w:top w:val="nil"/>
              <w:left w:val="nil"/>
              <w:bottom w:val="nil"/>
              <w:right w:val="nil"/>
            </w:tcBorders>
            <w:shd w:val="clear" w:color="000000" w:fill="FFFFFF"/>
            <w:noWrap/>
            <w:vAlign w:val="bottom"/>
            <w:hideMark/>
          </w:tcPr>
          <w:p w14:paraId="57D76E5C"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2.35  [0.65]</w:t>
            </w:r>
          </w:p>
        </w:tc>
      </w:tr>
      <w:tr w:rsidR="001165FF" w:rsidRPr="006109EF" w14:paraId="5335ABCB" w14:textId="77777777" w:rsidTr="00EB1E9F">
        <w:trPr>
          <w:trHeight w:val="300"/>
        </w:trPr>
        <w:tc>
          <w:tcPr>
            <w:tcW w:w="1380" w:type="dxa"/>
            <w:tcBorders>
              <w:top w:val="nil"/>
              <w:left w:val="nil"/>
              <w:bottom w:val="nil"/>
              <w:right w:val="nil"/>
            </w:tcBorders>
            <w:shd w:val="clear" w:color="000000" w:fill="FFFFFF"/>
            <w:noWrap/>
            <w:vAlign w:val="bottom"/>
            <w:hideMark/>
          </w:tcPr>
          <w:p w14:paraId="7EF549A3"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10</w:t>
            </w:r>
          </w:p>
        </w:tc>
        <w:tc>
          <w:tcPr>
            <w:tcW w:w="1740" w:type="dxa"/>
            <w:tcBorders>
              <w:top w:val="nil"/>
              <w:left w:val="nil"/>
              <w:bottom w:val="nil"/>
              <w:right w:val="nil"/>
            </w:tcBorders>
            <w:shd w:val="clear" w:color="000000" w:fill="FFFFFF"/>
            <w:noWrap/>
            <w:vAlign w:val="bottom"/>
            <w:hideMark/>
          </w:tcPr>
          <w:p w14:paraId="2316ED53"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44.66  [10.94]</w:t>
            </w:r>
          </w:p>
        </w:tc>
        <w:tc>
          <w:tcPr>
            <w:tcW w:w="1860" w:type="dxa"/>
            <w:tcBorders>
              <w:top w:val="nil"/>
              <w:left w:val="nil"/>
              <w:bottom w:val="nil"/>
              <w:right w:val="nil"/>
            </w:tcBorders>
            <w:shd w:val="clear" w:color="000000" w:fill="FFFFFF"/>
            <w:noWrap/>
            <w:vAlign w:val="bottom"/>
            <w:hideMark/>
          </w:tcPr>
          <w:p w14:paraId="419B4D6A"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2.07  [0.10]</w:t>
            </w:r>
          </w:p>
        </w:tc>
        <w:tc>
          <w:tcPr>
            <w:tcW w:w="1420" w:type="dxa"/>
            <w:tcBorders>
              <w:top w:val="nil"/>
              <w:left w:val="nil"/>
              <w:bottom w:val="nil"/>
              <w:right w:val="nil"/>
            </w:tcBorders>
            <w:shd w:val="clear" w:color="000000" w:fill="FFFFFF"/>
            <w:noWrap/>
            <w:vAlign w:val="bottom"/>
            <w:hideMark/>
          </w:tcPr>
          <w:p w14:paraId="7DF5A130"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2.95  [0.73]</w:t>
            </w:r>
          </w:p>
        </w:tc>
      </w:tr>
      <w:tr w:rsidR="001165FF" w:rsidRPr="006109EF" w14:paraId="713CDBB3" w14:textId="77777777" w:rsidTr="00EB1E9F">
        <w:trPr>
          <w:trHeight w:val="300"/>
        </w:trPr>
        <w:tc>
          <w:tcPr>
            <w:tcW w:w="1380" w:type="dxa"/>
            <w:tcBorders>
              <w:top w:val="nil"/>
              <w:left w:val="nil"/>
              <w:bottom w:val="nil"/>
              <w:right w:val="nil"/>
            </w:tcBorders>
            <w:shd w:val="clear" w:color="000000" w:fill="FFFFFF"/>
            <w:noWrap/>
            <w:vAlign w:val="bottom"/>
            <w:hideMark/>
          </w:tcPr>
          <w:p w14:paraId="4D0C603D"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20</w:t>
            </w:r>
          </w:p>
        </w:tc>
        <w:tc>
          <w:tcPr>
            <w:tcW w:w="1740" w:type="dxa"/>
            <w:tcBorders>
              <w:top w:val="nil"/>
              <w:left w:val="nil"/>
              <w:bottom w:val="nil"/>
              <w:right w:val="nil"/>
            </w:tcBorders>
            <w:shd w:val="clear" w:color="000000" w:fill="FFFFFF"/>
            <w:noWrap/>
            <w:vAlign w:val="bottom"/>
            <w:hideMark/>
          </w:tcPr>
          <w:p w14:paraId="6ED4E7AA"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41.16  [15.91]</w:t>
            </w:r>
          </w:p>
        </w:tc>
        <w:tc>
          <w:tcPr>
            <w:tcW w:w="1860" w:type="dxa"/>
            <w:tcBorders>
              <w:top w:val="nil"/>
              <w:left w:val="nil"/>
              <w:bottom w:val="nil"/>
              <w:right w:val="nil"/>
            </w:tcBorders>
            <w:shd w:val="clear" w:color="000000" w:fill="FFFFFF"/>
            <w:noWrap/>
            <w:vAlign w:val="bottom"/>
            <w:hideMark/>
          </w:tcPr>
          <w:p w14:paraId="78C846FC"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2.25  [0.31]</w:t>
            </w:r>
          </w:p>
        </w:tc>
        <w:tc>
          <w:tcPr>
            <w:tcW w:w="1420" w:type="dxa"/>
            <w:tcBorders>
              <w:top w:val="nil"/>
              <w:left w:val="nil"/>
              <w:bottom w:val="nil"/>
              <w:right w:val="nil"/>
            </w:tcBorders>
            <w:shd w:val="clear" w:color="000000" w:fill="FFFFFF"/>
            <w:noWrap/>
            <w:vAlign w:val="bottom"/>
            <w:hideMark/>
          </w:tcPr>
          <w:p w14:paraId="365836D8"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2.51  [1.11]</w:t>
            </w:r>
          </w:p>
        </w:tc>
      </w:tr>
      <w:tr w:rsidR="001165FF" w:rsidRPr="006109EF" w14:paraId="7C1DD1CF" w14:textId="77777777" w:rsidTr="00EB1E9F">
        <w:trPr>
          <w:trHeight w:val="300"/>
        </w:trPr>
        <w:tc>
          <w:tcPr>
            <w:tcW w:w="1380" w:type="dxa"/>
            <w:tcBorders>
              <w:top w:val="nil"/>
              <w:left w:val="nil"/>
              <w:bottom w:val="nil"/>
              <w:right w:val="nil"/>
            </w:tcBorders>
            <w:shd w:val="clear" w:color="000000" w:fill="FFFFFF"/>
            <w:noWrap/>
            <w:vAlign w:val="bottom"/>
            <w:hideMark/>
          </w:tcPr>
          <w:p w14:paraId="46C55D0F"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30</w:t>
            </w:r>
          </w:p>
        </w:tc>
        <w:tc>
          <w:tcPr>
            <w:tcW w:w="1740" w:type="dxa"/>
            <w:tcBorders>
              <w:top w:val="nil"/>
              <w:left w:val="nil"/>
              <w:bottom w:val="nil"/>
              <w:right w:val="nil"/>
            </w:tcBorders>
            <w:shd w:val="clear" w:color="000000" w:fill="FFFFFF"/>
            <w:noWrap/>
            <w:vAlign w:val="bottom"/>
            <w:hideMark/>
          </w:tcPr>
          <w:p w14:paraId="1C8FEC2E"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24.99  [10.10]</w:t>
            </w:r>
          </w:p>
        </w:tc>
        <w:tc>
          <w:tcPr>
            <w:tcW w:w="1860" w:type="dxa"/>
            <w:tcBorders>
              <w:top w:val="nil"/>
              <w:left w:val="nil"/>
              <w:bottom w:val="nil"/>
              <w:right w:val="nil"/>
            </w:tcBorders>
            <w:shd w:val="clear" w:color="000000" w:fill="FFFFFF"/>
            <w:noWrap/>
            <w:vAlign w:val="bottom"/>
            <w:hideMark/>
          </w:tcPr>
          <w:p w14:paraId="5864717C"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2.13  [0.27]</w:t>
            </w:r>
          </w:p>
        </w:tc>
        <w:tc>
          <w:tcPr>
            <w:tcW w:w="1420" w:type="dxa"/>
            <w:tcBorders>
              <w:top w:val="nil"/>
              <w:left w:val="nil"/>
              <w:bottom w:val="nil"/>
              <w:right w:val="nil"/>
            </w:tcBorders>
            <w:shd w:val="clear" w:color="000000" w:fill="FFFFFF"/>
            <w:noWrap/>
            <w:vAlign w:val="bottom"/>
            <w:hideMark/>
          </w:tcPr>
          <w:p w14:paraId="2062748C"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1.55  [0.52]</w:t>
            </w:r>
          </w:p>
        </w:tc>
      </w:tr>
      <w:tr w:rsidR="001165FF" w:rsidRPr="006109EF" w14:paraId="0063527C" w14:textId="77777777" w:rsidTr="00EB1E9F">
        <w:trPr>
          <w:trHeight w:val="300"/>
        </w:trPr>
        <w:tc>
          <w:tcPr>
            <w:tcW w:w="1380" w:type="dxa"/>
            <w:tcBorders>
              <w:top w:val="nil"/>
              <w:left w:val="nil"/>
              <w:bottom w:val="nil"/>
              <w:right w:val="nil"/>
            </w:tcBorders>
            <w:shd w:val="clear" w:color="000000" w:fill="FFFFFF"/>
            <w:noWrap/>
            <w:vAlign w:val="bottom"/>
            <w:hideMark/>
          </w:tcPr>
          <w:p w14:paraId="1F06DFD2"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40</w:t>
            </w:r>
          </w:p>
        </w:tc>
        <w:tc>
          <w:tcPr>
            <w:tcW w:w="1740" w:type="dxa"/>
            <w:tcBorders>
              <w:top w:val="nil"/>
              <w:left w:val="nil"/>
              <w:bottom w:val="nil"/>
              <w:right w:val="nil"/>
            </w:tcBorders>
            <w:shd w:val="clear" w:color="000000" w:fill="FFFFFF"/>
            <w:noWrap/>
            <w:vAlign w:val="bottom"/>
            <w:hideMark/>
          </w:tcPr>
          <w:p w14:paraId="65C54B3C"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43.32  [15.33]</w:t>
            </w:r>
          </w:p>
        </w:tc>
        <w:tc>
          <w:tcPr>
            <w:tcW w:w="1860" w:type="dxa"/>
            <w:tcBorders>
              <w:top w:val="nil"/>
              <w:left w:val="nil"/>
              <w:bottom w:val="nil"/>
              <w:right w:val="nil"/>
            </w:tcBorders>
            <w:shd w:val="clear" w:color="000000" w:fill="FFFFFF"/>
            <w:noWrap/>
            <w:vAlign w:val="bottom"/>
            <w:hideMark/>
          </w:tcPr>
          <w:p w14:paraId="5CE435BB"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2.27  [0.18]</w:t>
            </w:r>
          </w:p>
        </w:tc>
        <w:tc>
          <w:tcPr>
            <w:tcW w:w="1420" w:type="dxa"/>
            <w:tcBorders>
              <w:top w:val="nil"/>
              <w:left w:val="nil"/>
              <w:bottom w:val="nil"/>
              <w:right w:val="nil"/>
            </w:tcBorders>
            <w:shd w:val="clear" w:color="000000" w:fill="FFFFFF"/>
            <w:noWrap/>
            <w:vAlign w:val="bottom"/>
            <w:hideMark/>
          </w:tcPr>
          <w:p w14:paraId="39EE2738"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2.69  [0.96]</w:t>
            </w:r>
          </w:p>
        </w:tc>
      </w:tr>
      <w:tr w:rsidR="001165FF" w:rsidRPr="006109EF" w14:paraId="2B5B13E0" w14:textId="77777777" w:rsidTr="00EB1E9F">
        <w:trPr>
          <w:trHeight w:val="300"/>
        </w:trPr>
        <w:tc>
          <w:tcPr>
            <w:tcW w:w="1380" w:type="dxa"/>
            <w:tcBorders>
              <w:top w:val="nil"/>
              <w:left w:val="nil"/>
              <w:bottom w:val="nil"/>
              <w:right w:val="nil"/>
            </w:tcBorders>
            <w:shd w:val="clear" w:color="000000" w:fill="FFFFFF"/>
            <w:noWrap/>
            <w:vAlign w:val="bottom"/>
            <w:hideMark/>
          </w:tcPr>
          <w:p w14:paraId="7D6008EE"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50</w:t>
            </w:r>
          </w:p>
        </w:tc>
        <w:tc>
          <w:tcPr>
            <w:tcW w:w="1740" w:type="dxa"/>
            <w:tcBorders>
              <w:top w:val="nil"/>
              <w:left w:val="nil"/>
              <w:bottom w:val="nil"/>
              <w:right w:val="nil"/>
            </w:tcBorders>
            <w:shd w:val="clear" w:color="000000" w:fill="FFFFFF"/>
            <w:noWrap/>
            <w:vAlign w:val="bottom"/>
            <w:hideMark/>
          </w:tcPr>
          <w:p w14:paraId="684380E8"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49.54  [5.94]</w:t>
            </w:r>
          </w:p>
        </w:tc>
        <w:tc>
          <w:tcPr>
            <w:tcW w:w="1860" w:type="dxa"/>
            <w:tcBorders>
              <w:top w:val="nil"/>
              <w:left w:val="nil"/>
              <w:bottom w:val="nil"/>
              <w:right w:val="nil"/>
            </w:tcBorders>
            <w:shd w:val="clear" w:color="000000" w:fill="FFFFFF"/>
            <w:noWrap/>
            <w:vAlign w:val="bottom"/>
            <w:hideMark/>
          </w:tcPr>
          <w:p w14:paraId="00B52278"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2.33  [0.18]</w:t>
            </w:r>
          </w:p>
        </w:tc>
        <w:tc>
          <w:tcPr>
            <w:tcW w:w="1420" w:type="dxa"/>
            <w:tcBorders>
              <w:top w:val="nil"/>
              <w:left w:val="nil"/>
              <w:bottom w:val="nil"/>
              <w:right w:val="nil"/>
            </w:tcBorders>
            <w:shd w:val="clear" w:color="000000" w:fill="FFFFFF"/>
            <w:noWrap/>
            <w:vAlign w:val="bottom"/>
            <w:hideMark/>
          </w:tcPr>
          <w:p w14:paraId="3FF8156F" w14:textId="77777777" w:rsidR="001165FF" w:rsidRPr="006109EF" w:rsidRDefault="001165FF" w:rsidP="00EB1E9F">
            <w:pPr>
              <w:jc w:val="center"/>
              <w:rPr>
                <w:rFonts w:ascii="Times New Roman" w:hAnsi="Times New Roman" w:cs="Times New Roman"/>
                <w:color w:val="000000"/>
              </w:rPr>
            </w:pPr>
            <w:r w:rsidRPr="006109EF">
              <w:rPr>
                <w:rFonts w:ascii="Times New Roman" w:hAnsi="Times New Roman" w:cs="Times New Roman"/>
                <w:color w:val="000000"/>
              </w:rPr>
              <w:t>2.97  [0.34]</w:t>
            </w:r>
          </w:p>
        </w:tc>
      </w:tr>
    </w:tbl>
    <w:p w14:paraId="6016416E" w14:textId="77777777" w:rsidR="001165FF" w:rsidRPr="00CB2DA0" w:rsidRDefault="001165FF" w:rsidP="001165FF">
      <w:pPr>
        <w:spacing w:line="480" w:lineRule="auto"/>
        <w:rPr>
          <w:rFonts w:ascii="Times New Roman" w:hAnsi="Times New Roman" w:cs="Times New Roman"/>
        </w:rPr>
      </w:pPr>
      <w:r w:rsidRPr="00C62D5E">
        <w:rPr>
          <w:rFonts w:ascii="Times New Roman" w:hAnsi="Times New Roman" w:cs="Times New Roman"/>
        </w:rPr>
        <w:t xml:space="preserve"> </w:t>
      </w:r>
    </w:p>
    <w:p w14:paraId="1B66A142" w14:textId="77777777" w:rsidR="001165FF" w:rsidRDefault="001165FF" w:rsidP="001165FF"/>
    <w:p w14:paraId="4B451BF2" w14:textId="77777777" w:rsidR="001165FF" w:rsidRDefault="001165FF" w:rsidP="009D06D1">
      <w:pPr>
        <w:pStyle w:val="Heading3"/>
      </w:pPr>
      <w:bookmarkStart w:id="311" w:name="_Toc101701821"/>
      <w:r>
        <w:lastRenderedPageBreak/>
        <w:t>Change in FTIR Spectrum with PETIA</w:t>
      </w:r>
      <w:bookmarkEnd w:id="311"/>
    </w:p>
    <w:p w14:paraId="354DEAE1" w14:textId="32970E85" w:rsidR="001165FF" w:rsidRDefault="001165FF" w:rsidP="001165FF">
      <w:pPr>
        <w:spacing w:line="360" w:lineRule="auto"/>
        <w:rPr>
          <w:rFonts w:ascii="Times New Roman" w:hAnsi="Times New Roman" w:cs="Times New Roman"/>
        </w:rPr>
      </w:pPr>
      <w:r>
        <w:rPr>
          <w:rFonts w:ascii="Times New Roman" w:hAnsi="Times New Roman" w:cs="Times New Roman"/>
        </w:rPr>
        <w:t xml:space="preserve">As shown in </w:t>
      </w:r>
      <w:r w:rsidR="00A51C9C" w:rsidRPr="00A51C9C">
        <w:rPr>
          <w:rFonts w:ascii="Times New Roman" w:hAnsi="Times New Roman" w:cs="Times New Roman"/>
        </w:rPr>
        <w:fldChar w:fldCharType="begin"/>
      </w:r>
      <w:r w:rsidR="00A51C9C" w:rsidRPr="00A51C9C">
        <w:rPr>
          <w:rFonts w:ascii="Times New Roman" w:hAnsi="Times New Roman" w:cs="Times New Roman"/>
        </w:rPr>
        <w:instrText xml:space="preserve"> REF _Ref100940392 \h </w:instrText>
      </w:r>
      <w:r w:rsidR="00A51C9C">
        <w:rPr>
          <w:rFonts w:ascii="Times New Roman" w:hAnsi="Times New Roman" w:cs="Times New Roman"/>
        </w:rPr>
        <w:instrText xml:space="preserve"> \* MERGEFORMAT </w:instrText>
      </w:r>
      <w:r w:rsidR="00A51C9C" w:rsidRPr="00A51C9C">
        <w:rPr>
          <w:rFonts w:ascii="Times New Roman" w:hAnsi="Times New Roman" w:cs="Times New Roman"/>
        </w:rPr>
      </w:r>
      <w:r w:rsidR="00A51C9C" w:rsidRPr="00A51C9C">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77</w:t>
      </w:r>
      <w:r w:rsidR="00A51C9C" w:rsidRPr="00A51C9C">
        <w:rPr>
          <w:rFonts w:ascii="Times New Roman" w:hAnsi="Times New Roman" w:cs="Times New Roman"/>
        </w:rPr>
        <w:fldChar w:fldCharType="end"/>
      </w:r>
      <w:r>
        <w:rPr>
          <w:rFonts w:ascii="Times New Roman" w:hAnsi="Times New Roman" w:cs="Times New Roman"/>
        </w:rPr>
        <w:t>, the FTIR spectrum for baseline uncured polymer changes with increasing PETIA content.  The peak used for calculating change in acrylate/methacrylate C=C conversion was 1637 cm</w:t>
      </w:r>
      <w:r w:rsidRPr="00D951CB">
        <w:rPr>
          <w:rFonts w:ascii="Times New Roman" w:hAnsi="Times New Roman" w:cs="Times New Roman"/>
          <w:vertAlign w:val="superscript"/>
        </w:rPr>
        <w:t>-1</w:t>
      </w:r>
      <w:r>
        <w:rPr>
          <w:rFonts w:ascii="Times New Roman" w:hAnsi="Times New Roman" w:cs="Times New Roman"/>
        </w:rPr>
        <w:t>, with the reference peak as 1608 cm</w:t>
      </w:r>
      <w:r w:rsidRPr="00D951CB">
        <w:rPr>
          <w:rFonts w:ascii="Times New Roman" w:hAnsi="Times New Roman" w:cs="Times New Roman"/>
          <w:vertAlign w:val="superscript"/>
        </w:rPr>
        <w:t>-1</w:t>
      </w:r>
      <w:r>
        <w:rPr>
          <w:rFonts w:ascii="Times New Roman" w:hAnsi="Times New Roman" w:cs="Times New Roman"/>
        </w:rPr>
        <w:t>.  As PETIA content increased the 1608 cm</w:t>
      </w:r>
      <w:r w:rsidRPr="00D951CB">
        <w:rPr>
          <w:rFonts w:ascii="Times New Roman" w:hAnsi="Times New Roman" w:cs="Times New Roman"/>
          <w:vertAlign w:val="superscript"/>
        </w:rPr>
        <w:t>-1</w:t>
      </w:r>
      <w:r>
        <w:rPr>
          <w:rFonts w:ascii="Times New Roman" w:hAnsi="Times New Roman" w:cs="Times New Roman"/>
        </w:rPr>
        <w:t xml:space="preserve"> peak absorbance decreased, and pure PETIA did not feature any 1608 cm</w:t>
      </w:r>
      <w:r w:rsidRPr="00D951CB">
        <w:rPr>
          <w:rFonts w:ascii="Times New Roman" w:hAnsi="Times New Roman" w:cs="Times New Roman"/>
          <w:vertAlign w:val="superscript"/>
        </w:rPr>
        <w:t>-1</w:t>
      </w:r>
      <w:r>
        <w:rPr>
          <w:rFonts w:ascii="Times New Roman" w:hAnsi="Times New Roman" w:cs="Times New Roman"/>
        </w:rPr>
        <w:t xml:space="preserve"> peak.  This is because, unlike Bis-EMA, PETIA does not have any aromatic groups, and the trend is confirmed by the disappearance of the 1582 cm</w:t>
      </w:r>
      <w:r w:rsidRPr="00D951CB">
        <w:rPr>
          <w:rFonts w:ascii="Times New Roman" w:hAnsi="Times New Roman" w:cs="Times New Roman"/>
          <w:vertAlign w:val="superscript"/>
        </w:rPr>
        <w:t>-1</w:t>
      </w:r>
      <w:r>
        <w:rPr>
          <w:rFonts w:ascii="Times New Roman" w:hAnsi="Times New Roman" w:cs="Times New Roman"/>
        </w:rPr>
        <w:t xml:space="preserve"> peak.  The 1637 cm</w:t>
      </w:r>
      <w:r w:rsidRPr="00D951CB">
        <w:rPr>
          <w:rFonts w:ascii="Times New Roman" w:hAnsi="Times New Roman" w:cs="Times New Roman"/>
          <w:vertAlign w:val="superscript"/>
        </w:rPr>
        <w:t>-1</w:t>
      </w:r>
      <w:r>
        <w:rPr>
          <w:rFonts w:ascii="Times New Roman" w:hAnsi="Times New Roman" w:cs="Times New Roman"/>
        </w:rPr>
        <w:t xml:space="preserve"> peak increases with higher PETIA content, because PETIA has more functional groups than Bis-EMA.  A new peak emerges at 1617 cm</w:t>
      </w:r>
      <w:r w:rsidRPr="00D951CB">
        <w:rPr>
          <w:rFonts w:ascii="Times New Roman" w:hAnsi="Times New Roman" w:cs="Times New Roman"/>
          <w:vertAlign w:val="superscript"/>
        </w:rPr>
        <w:t>-1</w:t>
      </w:r>
      <w:r>
        <w:rPr>
          <w:rFonts w:ascii="Times New Roman" w:hAnsi="Times New Roman" w:cs="Times New Roman"/>
        </w:rPr>
        <w:t>, which is associated with O-H deformation.  Unlike Bis-EMA, PETIA has a secondary hydroxyl group present in the tri-acrylate portion, which is responsible for this new peak.</w:t>
      </w:r>
    </w:p>
    <w:p w14:paraId="09389D06" w14:textId="77777777" w:rsidR="001165FF" w:rsidRDefault="001165FF" w:rsidP="001165FF">
      <w:pPr>
        <w:spacing w:line="360" w:lineRule="auto"/>
        <w:rPr>
          <w:rFonts w:ascii="Times New Roman" w:hAnsi="Times New Roman" w:cs="Times New Roman"/>
        </w:rPr>
      </w:pPr>
    </w:p>
    <w:p w14:paraId="5BEC9624" w14:textId="77777777" w:rsidR="001165FF" w:rsidRDefault="001165FF" w:rsidP="001165FF">
      <w:pPr>
        <w:spacing w:line="360" w:lineRule="auto"/>
        <w:rPr>
          <w:rFonts w:ascii="Times New Roman" w:hAnsi="Times New Roman" w:cs="Times New Roman"/>
        </w:rPr>
      </w:pPr>
      <w:r>
        <w:rPr>
          <w:rFonts w:ascii="Times New Roman" w:hAnsi="Times New Roman" w:cs="Times New Roman"/>
        </w:rPr>
        <w:t>One challenge in conducting FTIR studies to assess DC in that they rely on comparing peak height ratios of a functional group vs. a reference peak.  Because both acrylate and methacrylate groups are typically measured using the 1637 cm</w:t>
      </w:r>
      <w:r w:rsidRPr="001002BA">
        <w:rPr>
          <w:rFonts w:ascii="Times New Roman" w:hAnsi="Times New Roman" w:cs="Times New Roman"/>
          <w:vertAlign w:val="superscript"/>
        </w:rPr>
        <w:t>-1</w:t>
      </w:r>
      <w:r>
        <w:rPr>
          <w:rFonts w:ascii="Times New Roman" w:hAnsi="Times New Roman" w:cs="Times New Roman"/>
        </w:rPr>
        <w:t xml:space="preserve"> peak, it is difficult to use FTIR to distinguish between the contribution of Bis-EMA versus PETIA to the overall DC.  Also, because the nominal peak heights shift with changing ratios of PETIA and Bis-EMA, it is difficult to ascertain when a change in DC between formulations is the result of improved cure kinetics.  In Chapter 1, the FTIR results were reported as only one measure of DC.  The hardness results were considered more accurate in describing the state of cure in the polymer, as they are not sensitive to changes in chemistry.</w:t>
      </w:r>
    </w:p>
    <w:p w14:paraId="1E48CE4E" w14:textId="77777777" w:rsidR="001165FF" w:rsidRDefault="001165FF" w:rsidP="001165FF">
      <w:pPr>
        <w:spacing w:line="360" w:lineRule="auto"/>
        <w:rPr>
          <w:rFonts w:ascii="Times New Roman" w:hAnsi="Times New Roman" w:cs="Times New Roman"/>
        </w:rPr>
      </w:pPr>
    </w:p>
    <w:p w14:paraId="6A1F3709" w14:textId="77777777" w:rsidR="001165FF" w:rsidRPr="00DD29D1" w:rsidRDefault="001165FF" w:rsidP="001165FF">
      <w:pPr>
        <w:spacing w:line="360" w:lineRule="auto"/>
        <w:rPr>
          <w:rFonts w:ascii="Times New Roman" w:hAnsi="Times New Roman" w:cs="Times New Roman"/>
        </w:rPr>
      </w:pPr>
      <w:r>
        <w:rPr>
          <w:rFonts w:ascii="Times New Roman" w:hAnsi="Times New Roman" w:cs="Times New Roman"/>
        </w:rPr>
        <w:t>In Chapters 2 and 3, the baseline formulation does not change, only the PI type and concentration.  No changes were observed in the FTIR spectra at the 1637 cm</w:t>
      </w:r>
      <w:r w:rsidRPr="00BE15EB">
        <w:rPr>
          <w:rFonts w:ascii="Times New Roman" w:hAnsi="Times New Roman" w:cs="Times New Roman"/>
          <w:vertAlign w:val="superscript"/>
        </w:rPr>
        <w:t>-1</w:t>
      </w:r>
      <w:r>
        <w:rPr>
          <w:rFonts w:ascii="Times New Roman" w:hAnsi="Times New Roman" w:cs="Times New Roman"/>
        </w:rPr>
        <w:t xml:space="preserve"> and 1608 cm</w:t>
      </w:r>
      <w:r w:rsidRPr="00BE15EB">
        <w:rPr>
          <w:rFonts w:ascii="Times New Roman" w:hAnsi="Times New Roman" w:cs="Times New Roman"/>
          <w:vertAlign w:val="superscript"/>
        </w:rPr>
        <w:t>-1</w:t>
      </w:r>
      <w:r>
        <w:rPr>
          <w:rFonts w:ascii="Times New Roman" w:hAnsi="Times New Roman" w:cs="Times New Roman"/>
        </w:rPr>
        <w:t xml:space="preserve"> peaks with PI adjustment.  While the baseline tested in these chapters includes 20 wt% PETIA, because the baseline FTIR spectrum remains consistent, the FTIR results were considered as an accurate measure for comparing DC between formulations.  In Chapter 3, a direct comparison of FTIR versus nanoindentation hardness showed similar trends across the profile depth, confirming the accuracy of FTIR as tool for measuring cure when the baseline chemistry is controlled.</w:t>
      </w:r>
    </w:p>
    <w:p w14:paraId="34C89FA9" w14:textId="77777777" w:rsidR="00A51C9C" w:rsidRDefault="001165FF" w:rsidP="00A51C9C">
      <w:pPr>
        <w:keepNext/>
        <w:jc w:val="center"/>
      </w:pPr>
      <w:r>
        <w:rPr>
          <w:noProof/>
        </w:rPr>
        <w:lastRenderedPageBreak/>
        <w:drawing>
          <wp:inline distT="0" distB="0" distL="0" distR="0" wp14:anchorId="108DB5E5" wp14:editId="2787C525">
            <wp:extent cx="5049672" cy="4070129"/>
            <wp:effectExtent l="0" t="0" r="0" b="6985"/>
            <wp:docPr id="58" name="Picture 5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histo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59907" cy="4078379"/>
                    </a:xfrm>
                    <a:prstGeom prst="rect">
                      <a:avLst/>
                    </a:prstGeom>
                    <a:noFill/>
                    <a:ln>
                      <a:noFill/>
                    </a:ln>
                  </pic:spPr>
                </pic:pic>
              </a:graphicData>
            </a:graphic>
          </wp:inline>
        </w:drawing>
      </w:r>
    </w:p>
    <w:p w14:paraId="4A8F5705" w14:textId="2CB6CFEB" w:rsidR="001165FF" w:rsidRDefault="00A51C9C" w:rsidP="00F20503">
      <w:pPr>
        <w:pStyle w:val="Caption"/>
      </w:pPr>
      <w:bookmarkStart w:id="312" w:name="_Ref100940392"/>
      <w:bookmarkStart w:id="313" w:name="_Toc101365739"/>
      <w:r>
        <w:t xml:space="preserve">Figure </w:t>
      </w:r>
      <w:r w:rsidR="002F73EC">
        <w:fldChar w:fldCharType="begin"/>
      </w:r>
      <w:r w:rsidR="002F73EC">
        <w:instrText xml:space="preserve"> SEQ Figure \* ARABIC </w:instrText>
      </w:r>
      <w:r w:rsidR="002F73EC">
        <w:fldChar w:fldCharType="separate"/>
      </w:r>
      <w:r w:rsidR="00BF5717">
        <w:rPr>
          <w:noProof/>
        </w:rPr>
        <w:t>77</w:t>
      </w:r>
      <w:r w:rsidR="002F73EC">
        <w:rPr>
          <w:noProof/>
        </w:rPr>
        <w:fldChar w:fldCharType="end"/>
      </w:r>
      <w:bookmarkEnd w:id="312"/>
      <w:r>
        <w:t xml:space="preserve"> FTIR spectra for uncured polymer within the target region used for measuring DC.  As PETIA content increases, the aromatic peaks from Bis-EMA decrease.</w:t>
      </w:r>
      <w:bookmarkEnd w:id="313"/>
      <w:r>
        <w:t xml:space="preserve"> </w:t>
      </w:r>
      <w:r w:rsidRPr="006C0983">
        <w:t xml:space="preserve"> </w:t>
      </w:r>
    </w:p>
    <w:p w14:paraId="3A5C4529" w14:textId="77777777" w:rsidR="001165FF" w:rsidRDefault="001165FF" w:rsidP="00F20503">
      <w:pPr>
        <w:pStyle w:val="Caption"/>
      </w:pPr>
    </w:p>
    <w:p w14:paraId="00D610F0" w14:textId="77777777" w:rsidR="001165FF" w:rsidRDefault="001165FF" w:rsidP="001165FF"/>
    <w:p w14:paraId="2F546EE7" w14:textId="7A67E893" w:rsidR="001165FF" w:rsidRDefault="001165FF" w:rsidP="001165FF"/>
    <w:p w14:paraId="7F5248DC" w14:textId="12C20AB3" w:rsidR="00BF3517" w:rsidRDefault="00BF3517" w:rsidP="001165FF"/>
    <w:p w14:paraId="3921225C" w14:textId="472FF924" w:rsidR="00BF3517" w:rsidRDefault="00BF3517" w:rsidP="001165FF"/>
    <w:p w14:paraId="1675AC21" w14:textId="3B591D7E" w:rsidR="00BF3517" w:rsidRDefault="00BF3517" w:rsidP="001165FF"/>
    <w:p w14:paraId="64CD4AC1" w14:textId="32B9C21A" w:rsidR="00BF3517" w:rsidRDefault="00BF3517" w:rsidP="001165FF"/>
    <w:p w14:paraId="1B58402E" w14:textId="23A2EB4C" w:rsidR="00BF3517" w:rsidRDefault="00BF3517" w:rsidP="001165FF"/>
    <w:p w14:paraId="3C297A22" w14:textId="1E3F34AF" w:rsidR="00BF3517" w:rsidRDefault="00BF3517" w:rsidP="001165FF"/>
    <w:p w14:paraId="79D4D83D" w14:textId="7578A4FA" w:rsidR="00BF3517" w:rsidRDefault="00BF3517" w:rsidP="001165FF"/>
    <w:p w14:paraId="305DFEBC" w14:textId="21024C23" w:rsidR="00BF3517" w:rsidRDefault="00BF3517" w:rsidP="001165FF"/>
    <w:p w14:paraId="702FAC62" w14:textId="6FF52B5A" w:rsidR="00BF3517" w:rsidRDefault="00BF3517" w:rsidP="001165FF"/>
    <w:p w14:paraId="2B8D105C" w14:textId="5DB96C37" w:rsidR="00BF3517" w:rsidRDefault="00BF3517" w:rsidP="001165FF"/>
    <w:p w14:paraId="2D796F2B" w14:textId="26AAA1C2" w:rsidR="00BF3517" w:rsidRDefault="00BF3517" w:rsidP="001165FF"/>
    <w:p w14:paraId="7B0C60D8" w14:textId="24EC48B7" w:rsidR="00BF3517" w:rsidRDefault="00BF3517" w:rsidP="001165FF"/>
    <w:p w14:paraId="17AE4CE7" w14:textId="14C90B25" w:rsidR="00BF3517" w:rsidRDefault="00BF3517" w:rsidP="001165FF"/>
    <w:p w14:paraId="7FBD3A04" w14:textId="1967B8C5" w:rsidR="00BF3517" w:rsidRDefault="00BF3517" w:rsidP="001165FF"/>
    <w:p w14:paraId="3B282739" w14:textId="0E757E64" w:rsidR="00BF3517" w:rsidRDefault="00BF3517" w:rsidP="001165FF"/>
    <w:p w14:paraId="2B93E4D6" w14:textId="54F56F60" w:rsidR="00BF3517" w:rsidRDefault="00BF3517" w:rsidP="009D06D1">
      <w:pPr>
        <w:pStyle w:val="Heading3"/>
      </w:pPr>
      <w:bookmarkStart w:id="314" w:name="_Toc101701822"/>
      <w:r w:rsidRPr="001447E2">
        <w:lastRenderedPageBreak/>
        <w:t>DMA Curves</w:t>
      </w:r>
      <w:bookmarkEnd w:id="314"/>
    </w:p>
    <w:p w14:paraId="66BEABF6" w14:textId="68089E36" w:rsidR="001447E2" w:rsidRDefault="001447E2" w:rsidP="001447E2">
      <w:pPr>
        <w:spacing w:line="360" w:lineRule="auto"/>
        <w:rPr>
          <w:rFonts w:ascii="Times New Roman" w:hAnsi="Times New Roman" w:cs="Times New Roman"/>
        </w:rPr>
      </w:pPr>
      <w:r>
        <w:rPr>
          <w:rFonts w:ascii="Times New Roman" w:hAnsi="Times New Roman" w:cs="Times New Roman"/>
        </w:rPr>
        <w:t xml:space="preserve">While the Tan Delta curves for the various </w:t>
      </w:r>
      <w:proofErr w:type="spellStart"/>
      <w:r>
        <w:rPr>
          <w:rFonts w:ascii="Times New Roman" w:hAnsi="Times New Roman" w:cs="Times New Roman"/>
        </w:rPr>
        <w:t>PETIA:Bis-EMA</w:t>
      </w:r>
      <w:proofErr w:type="spellEnd"/>
      <w:r>
        <w:rPr>
          <w:rFonts w:ascii="Times New Roman" w:hAnsi="Times New Roman" w:cs="Times New Roman"/>
        </w:rPr>
        <w:t xml:space="preserve"> formulations are given in Chapter 1, </w:t>
      </w:r>
      <w:r w:rsidRPr="001447E2">
        <w:rPr>
          <w:rFonts w:ascii="Times New Roman" w:hAnsi="Times New Roman" w:cs="Times New Roman"/>
        </w:rPr>
        <w:fldChar w:fldCharType="begin"/>
      </w:r>
      <w:r w:rsidRPr="001447E2">
        <w:rPr>
          <w:rFonts w:ascii="Times New Roman" w:hAnsi="Times New Roman" w:cs="Times New Roman"/>
        </w:rPr>
        <w:instrText xml:space="preserve"> REF _Ref101360921 \h </w:instrText>
      </w:r>
      <w:r>
        <w:rPr>
          <w:rFonts w:ascii="Times New Roman" w:hAnsi="Times New Roman" w:cs="Times New Roman"/>
        </w:rPr>
        <w:instrText xml:space="preserve"> \* MERGEFORMAT </w:instrText>
      </w:r>
      <w:r w:rsidRPr="001447E2">
        <w:rPr>
          <w:rFonts w:ascii="Times New Roman" w:hAnsi="Times New Roman" w:cs="Times New Roman"/>
        </w:rPr>
      </w:r>
      <w:r w:rsidRPr="001447E2">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78</w:t>
      </w:r>
      <w:r w:rsidRPr="001447E2">
        <w:rPr>
          <w:rFonts w:ascii="Times New Roman" w:hAnsi="Times New Roman" w:cs="Times New Roman"/>
        </w:rPr>
        <w:fldChar w:fldCharType="end"/>
      </w:r>
      <w:r>
        <w:rPr>
          <w:rFonts w:ascii="Times New Roman" w:hAnsi="Times New Roman" w:cs="Times New Roman"/>
        </w:rPr>
        <w:t xml:space="preserve"> also shows the </w:t>
      </w:r>
      <w:r w:rsidR="00637718">
        <w:rPr>
          <w:rFonts w:ascii="Times New Roman" w:hAnsi="Times New Roman" w:cs="Times New Roman"/>
        </w:rPr>
        <w:t xml:space="preserve">Storage Modulus and Loss Modulus.  In each case, the Storage Modulus decreases with increasing temperature, while the Loss Modulus exhibits the peak at ~60 °C that is reflected in the shoulder region of the Tan Delta curves.  Within the observed 25 °C to 200 °C range, only the 0 wt% PETIA formula shows a distinct </w:t>
      </w:r>
      <w:r w:rsidR="00266A59">
        <w:rPr>
          <w:rFonts w:ascii="Times New Roman" w:hAnsi="Times New Roman" w:cs="Times New Roman"/>
        </w:rPr>
        <w:t>glass transition in the Storage Modulus.  At higher concentrations, the changes in Storage Modulus and Loss Modulus at temperatures &gt; 60 °</w:t>
      </w:r>
      <w:proofErr w:type="spellStart"/>
      <w:r w:rsidR="00266A59">
        <w:rPr>
          <w:rFonts w:ascii="Times New Roman" w:hAnsi="Times New Roman" w:cs="Times New Roman"/>
        </w:rPr>
        <w:t>C are</w:t>
      </w:r>
      <w:proofErr w:type="spellEnd"/>
      <w:r w:rsidR="00266A59">
        <w:rPr>
          <w:rFonts w:ascii="Times New Roman" w:hAnsi="Times New Roman" w:cs="Times New Roman"/>
        </w:rPr>
        <w:t xml:space="preserve"> less distinct and the glass transition is broad.  The Tan Delta peak was reported for T</w:t>
      </w:r>
      <w:r w:rsidR="00266A59" w:rsidRPr="00266A59">
        <w:rPr>
          <w:rFonts w:ascii="Times New Roman" w:hAnsi="Times New Roman" w:cs="Times New Roman"/>
          <w:vertAlign w:val="subscript"/>
        </w:rPr>
        <w:t>g</w:t>
      </w:r>
      <w:r w:rsidR="00266A59">
        <w:rPr>
          <w:rFonts w:ascii="Times New Roman" w:hAnsi="Times New Roman" w:cs="Times New Roman"/>
        </w:rPr>
        <w:t xml:space="preserve"> per the standard used by the resin supplier, but the full glass transition region appears to not be fully resolved at 200 °C for formulations with &gt;10 wt% PETIA content.</w:t>
      </w:r>
    </w:p>
    <w:p w14:paraId="687D2303" w14:textId="23B52460" w:rsidR="0076354D" w:rsidRDefault="0076354D" w:rsidP="001447E2">
      <w:pPr>
        <w:spacing w:line="360" w:lineRule="auto"/>
        <w:rPr>
          <w:rFonts w:ascii="Times New Roman" w:hAnsi="Times New Roman" w:cs="Times New Roman"/>
        </w:rPr>
      </w:pPr>
    </w:p>
    <w:p w14:paraId="6884D7F9" w14:textId="671AC373" w:rsidR="00637718" w:rsidRDefault="0076354D" w:rsidP="00637718">
      <w:pPr>
        <w:spacing w:line="360" w:lineRule="auto"/>
        <w:rPr>
          <w:rFonts w:ascii="Times New Roman" w:hAnsi="Times New Roman" w:cs="Times New Roman"/>
        </w:rPr>
      </w:pPr>
      <w:r>
        <w:rPr>
          <w:rFonts w:ascii="Times New Roman" w:hAnsi="Times New Roman" w:cs="Times New Roman"/>
        </w:rPr>
        <w:t xml:space="preserve">To further investigate the glass transition, the 20 wt% PETIA formula was also tested in a film tension configuration, with the same cure and test parameters but an extended temperature window.  As shown in </w:t>
      </w:r>
      <w:r w:rsidRPr="0076354D">
        <w:rPr>
          <w:rFonts w:ascii="Times New Roman" w:hAnsi="Times New Roman" w:cs="Times New Roman"/>
        </w:rPr>
        <w:fldChar w:fldCharType="begin"/>
      </w:r>
      <w:r w:rsidRPr="0076354D">
        <w:rPr>
          <w:rFonts w:ascii="Times New Roman" w:hAnsi="Times New Roman" w:cs="Times New Roman"/>
        </w:rPr>
        <w:instrText xml:space="preserve"> REF _Ref101361835 \h </w:instrText>
      </w:r>
      <w:r>
        <w:rPr>
          <w:rFonts w:ascii="Times New Roman" w:hAnsi="Times New Roman" w:cs="Times New Roman"/>
        </w:rPr>
        <w:instrText xml:space="preserve"> \* MERGEFORMAT </w:instrText>
      </w:r>
      <w:r w:rsidRPr="0076354D">
        <w:rPr>
          <w:rFonts w:ascii="Times New Roman" w:hAnsi="Times New Roman" w:cs="Times New Roman"/>
        </w:rPr>
      </w:r>
      <w:r w:rsidRPr="0076354D">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79</w:t>
      </w:r>
      <w:r w:rsidRPr="0076354D">
        <w:rPr>
          <w:rFonts w:ascii="Times New Roman" w:hAnsi="Times New Roman" w:cs="Times New Roman"/>
        </w:rPr>
        <w:fldChar w:fldCharType="end"/>
      </w:r>
      <w:r>
        <w:rPr>
          <w:rFonts w:ascii="Times New Roman" w:hAnsi="Times New Roman" w:cs="Times New Roman"/>
        </w:rPr>
        <w:t xml:space="preserve">, by 250 °C the glass transition peak had </w:t>
      </w:r>
      <w:proofErr w:type="gramStart"/>
      <w:r>
        <w:rPr>
          <w:rFonts w:ascii="Times New Roman" w:hAnsi="Times New Roman" w:cs="Times New Roman"/>
        </w:rPr>
        <w:t>resolved</w:t>
      </w:r>
      <w:proofErr w:type="gramEnd"/>
      <w:r>
        <w:rPr>
          <w:rFonts w:ascii="Times New Roman" w:hAnsi="Times New Roman" w:cs="Times New Roman"/>
        </w:rPr>
        <w:t xml:space="preserve"> and both the Storage Modulus and Loss Modulus appear to have reached a plateau.  Above 250 °C there is significant noise in the data.  The overall trends remain the same in both test configurations, </w:t>
      </w:r>
      <w:r w:rsidR="00831CFD">
        <w:rPr>
          <w:rFonts w:ascii="Times New Roman" w:hAnsi="Times New Roman" w:cs="Times New Roman"/>
        </w:rPr>
        <w:t>and the</w:t>
      </w:r>
      <w:r w:rsidR="00637718">
        <w:rPr>
          <w:rFonts w:ascii="Times New Roman" w:hAnsi="Times New Roman" w:cs="Times New Roman"/>
        </w:rPr>
        <w:t xml:space="preserve"> T</w:t>
      </w:r>
      <w:r w:rsidR="00637718" w:rsidRPr="00A237FA">
        <w:rPr>
          <w:rFonts w:ascii="Times New Roman" w:hAnsi="Times New Roman" w:cs="Times New Roman"/>
          <w:vertAlign w:val="subscript"/>
        </w:rPr>
        <w:t>g</w:t>
      </w:r>
      <w:r w:rsidR="00637718">
        <w:rPr>
          <w:rFonts w:ascii="Times New Roman" w:hAnsi="Times New Roman" w:cs="Times New Roman"/>
        </w:rPr>
        <w:t xml:space="preserve"> by Tan Delta peak </w:t>
      </w:r>
      <w:r w:rsidR="00831CFD">
        <w:rPr>
          <w:rFonts w:ascii="Times New Roman" w:hAnsi="Times New Roman" w:cs="Times New Roman"/>
        </w:rPr>
        <w:t>was</w:t>
      </w:r>
      <w:r w:rsidR="00637718">
        <w:rPr>
          <w:rFonts w:ascii="Times New Roman" w:hAnsi="Times New Roman" w:cs="Times New Roman"/>
        </w:rPr>
        <w:t xml:space="preserve"> 146 ºC for the film tension specimen</w:t>
      </w:r>
      <w:r w:rsidR="00831CFD">
        <w:rPr>
          <w:rFonts w:ascii="Times New Roman" w:hAnsi="Times New Roman" w:cs="Times New Roman"/>
        </w:rPr>
        <w:t xml:space="preserve"> versus a </w:t>
      </w:r>
      <w:r w:rsidR="00637718">
        <w:rPr>
          <w:rFonts w:ascii="Times New Roman" w:hAnsi="Times New Roman" w:cs="Times New Roman"/>
        </w:rPr>
        <w:t>T</w:t>
      </w:r>
      <w:r w:rsidR="00637718" w:rsidRPr="00AB7EF9">
        <w:rPr>
          <w:rFonts w:ascii="Times New Roman" w:hAnsi="Times New Roman" w:cs="Times New Roman"/>
          <w:vertAlign w:val="subscript"/>
        </w:rPr>
        <w:t>g</w:t>
      </w:r>
      <w:r w:rsidR="00637718">
        <w:rPr>
          <w:rFonts w:ascii="Times New Roman" w:hAnsi="Times New Roman" w:cs="Times New Roman"/>
        </w:rPr>
        <w:t xml:space="preserve"> of 150 ºC</w:t>
      </w:r>
      <w:r w:rsidR="00831CFD">
        <w:rPr>
          <w:rFonts w:ascii="Times New Roman" w:hAnsi="Times New Roman" w:cs="Times New Roman"/>
        </w:rPr>
        <w:t xml:space="preserve"> for the single cantilever specimen</w:t>
      </w:r>
      <w:r w:rsidR="00637718">
        <w:rPr>
          <w:rFonts w:ascii="Times New Roman" w:hAnsi="Times New Roman" w:cs="Times New Roman"/>
        </w:rPr>
        <w:t>.</w:t>
      </w:r>
    </w:p>
    <w:p w14:paraId="4CD03378" w14:textId="6A537229" w:rsidR="00831CFD" w:rsidRDefault="00831CFD" w:rsidP="00637718">
      <w:pPr>
        <w:spacing w:line="360" w:lineRule="auto"/>
        <w:rPr>
          <w:rFonts w:ascii="Times New Roman" w:hAnsi="Times New Roman" w:cs="Times New Roman"/>
        </w:rPr>
      </w:pPr>
    </w:p>
    <w:p w14:paraId="4C7E7D25" w14:textId="15D71A31" w:rsidR="00BF3517" w:rsidRPr="00900B0F" w:rsidRDefault="00831CFD" w:rsidP="00900B0F">
      <w:pPr>
        <w:spacing w:line="360" w:lineRule="auto"/>
        <w:rPr>
          <w:rFonts w:ascii="Times New Roman" w:hAnsi="Times New Roman" w:cs="Times New Roman"/>
        </w:rPr>
      </w:pPr>
      <w:r>
        <w:rPr>
          <w:rFonts w:ascii="Times New Roman" w:hAnsi="Times New Roman" w:cs="Times New Roman"/>
        </w:rPr>
        <w:t xml:space="preserve">A broad glass transition region is common for photopolymers with multiple monomer components </w:t>
      </w:r>
      <w:r>
        <w:rPr>
          <w:rFonts w:ascii="Times New Roman" w:hAnsi="Times New Roman" w:cs="Times New Roman"/>
        </w:rPr>
        <w:fldChar w:fldCharType="begin" w:fldLock="1"/>
      </w:r>
      <w:r w:rsidR="00280E34">
        <w:rPr>
          <w:rFonts w:ascii="Times New Roman" w:hAnsi="Times New Roman" w:cs="Times New Roman"/>
        </w:rPr>
        <w:instrText>ADDIN CSL_CITATION {"citationItems":[{"id":"ITEM-1","itemData":{"ISBN":"0470423773","abstract":"Presents a solid introduction to thermal analysis, methods, instrumentation, calibration, and application along with the necessary theoretical background.; Useful to chemists, physicists, materials scientists, and engineers who are new to thermal analysis techniques, and to existing users of thermal analysis who wish expand their experience to new techniques and applications.; Topics covered include Differential Scanning Calorimetry and Differential Thermal Analysis (DSC/DTA), Thermogravimetry, Thermomechanical Analysis and Dilatometry, Dynamic Mechanical Analysis, Micro-Thermal Analysis, Hot. Introduction / Joseph D. Menczel, R. Bruce Prime and Patrick K. Gallagher -- Differential scanning calorimetry (DSC) / Joseph D. Menczel [and others] -- Thermogravimetric analysis (TGA) / R. Bruce Prime [and others] -- Thermomechanical analysis (TMA) and thermodilatometry (TD) / Harvey E. Bair [and others] -- Dynamic mechanical analysis (DMA) / Richard P. Chartoff, Joseph D. Menczel, and Steven H. Dillman -- Dielectric analysis (DEA) / Aglaia Vassilikou-Dova and Ioannis M. Kalogeras -- Micro- and nanoscale local thermal analysis / Valeriy V. Gorbunov [and others].","author":[{"dropping-particle":"","family":"Menczel","given":"Joseph D.","non-dropping-particle":"","parse-names":false,"suffix":""},{"dropping-particle":"","family":"Prime","given":"R. Bruce.","non-dropping-particle":"","parse-names":false,"suffix":""}],"id":"ITEM-1","issued":{"date-parts":[["2009"]]},"page":"688","publisher":"John Wiley","title":"Thermal analysis of polymers","type":"article-journal"},"uris":["http://www.mendeley.com/documents/?uuid=df262455-4461-3d93-86d9-f8ff6da34de8"]}],"mendeley":{"formattedCitation":"[155]","plainTextFormattedCitation":"[155]","previouslyFormattedCitation":"[155]"},"properties":{"noteIndex":0},"schema":"https://github.com/citation-style-language/schema/raw/master/csl-citation.json"}</w:instrText>
      </w:r>
      <w:r>
        <w:rPr>
          <w:rFonts w:ascii="Times New Roman" w:hAnsi="Times New Roman" w:cs="Times New Roman"/>
        </w:rPr>
        <w:fldChar w:fldCharType="separate"/>
      </w:r>
      <w:r w:rsidR="00280E34" w:rsidRPr="00280E34">
        <w:rPr>
          <w:rFonts w:ascii="Times New Roman" w:hAnsi="Times New Roman" w:cs="Times New Roman"/>
          <w:noProof/>
        </w:rPr>
        <w:t>[155]</w:t>
      </w:r>
      <w:r>
        <w:rPr>
          <w:rFonts w:ascii="Times New Roman" w:hAnsi="Times New Roman" w:cs="Times New Roman"/>
        </w:rPr>
        <w:fldChar w:fldCharType="end"/>
      </w:r>
      <w:r>
        <w:rPr>
          <w:rFonts w:ascii="Times New Roman" w:hAnsi="Times New Roman" w:cs="Times New Roman"/>
        </w:rPr>
        <w:t xml:space="preserve">.  Because PETIA has higher functionality that Bis-EMA, it is more prone to </w:t>
      </w:r>
      <w:r w:rsidR="00235FCC">
        <w:rPr>
          <w:rFonts w:ascii="Times New Roman" w:hAnsi="Times New Roman" w:cs="Times New Roman"/>
        </w:rPr>
        <w:t xml:space="preserve">achieve a lower overall DC as the polymer vitrifies, leaving residual unreacted C=C bonds that can reduce cured polymer properties </w:t>
      </w:r>
      <w:r w:rsidR="00235FCC">
        <w:rPr>
          <w:rFonts w:ascii="Times New Roman" w:hAnsi="Times New Roman" w:cs="Times New Roman"/>
        </w:rPr>
        <w:fldChar w:fldCharType="begin" w:fldLock="1"/>
      </w:r>
      <w:r w:rsidR="00280E34">
        <w:rPr>
          <w:rFonts w:ascii="Times New Roman" w:hAnsi="Times New Roman" w:cs="Times New Roman"/>
        </w:rPr>
        <w:instrText>ADDIN CSL_CITATION {"citationItems":[{"id":"ITEM-1","itemData":{"author":[{"dropping-particle":"","family":"Idacavage","given":"Mike J.","non-dropping-particle":"","parse-names":false,"suffix":""},{"dropping-particle":"","family":"Cramer","given":"Neil","non-dropping-particle":"","parse-names":false,"suffix":""}],"container-title":"RadTech UV &amp; EB 2018","id":"ITEM-1","issued":{"date-parts":[["2018"]]},"publisher":"Colorado Photopolymer Solutions","title":"UV-EB Professional Short Course","type":"paper-conference"},"uris":["http://www.mendeley.com/documents/?uuid=f56083be-a697-46b4-bb1e-acaf86dc93ff"]}],"mendeley":{"formattedCitation":"[156]","plainTextFormattedCitation":"[156]","previouslyFormattedCitation":"[156]"},"properties":{"noteIndex":0},"schema":"https://github.com/citation-style-language/schema/raw/master/csl-citation.json"}</w:instrText>
      </w:r>
      <w:r w:rsidR="00235FCC">
        <w:rPr>
          <w:rFonts w:ascii="Times New Roman" w:hAnsi="Times New Roman" w:cs="Times New Roman"/>
        </w:rPr>
        <w:fldChar w:fldCharType="separate"/>
      </w:r>
      <w:r w:rsidR="00280E34" w:rsidRPr="00280E34">
        <w:rPr>
          <w:rFonts w:ascii="Times New Roman" w:hAnsi="Times New Roman" w:cs="Times New Roman"/>
          <w:noProof/>
        </w:rPr>
        <w:t>[156]</w:t>
      </w:r>
      <w:r w:rsidR="00235FCC">
        <w:rPr>
          <w:rFonts w:ascii="Times New Roman" w:hAnsi="Times New Roman" w:cs="Times New Roman"/>
        </w:rPr>
        <w:fldChar w:fldCharType="end"/>
      </w:r>
      <w:r w:rsidR="00235FCC">
        <w:rPr>
          <w:rFonts w:ascii="Times New Roman" w:hAnsi="Times New Roman" w:cs="Times New Roman"/>
        </w:rPr>
        <w:t>.  The presence of unreacted monomer within the crosslinked network is assumed to be the cause of the broader Tan Delta peak and reduced T</w:t>
      </w:r>
      <w:r w:rsidR="00235FCC" w:rsidRPr="00235FCC">
        <w:rPr>
          <w:rFonts w:ascii="Times New Roman" w:hAnsi="Times New Roman" w:cs="Times New Roman"/>
          <w:vertAlign w:val="subscript"/>
        </w:rPr>
        <w:t>g</w:t>
      </w:r>
      <w:r w:rsidR="00235FCC">
        <w:rPr>
          <w:rFonts w:ascii="Times New Roman" w:hAnsi="Times New Roman" w:cs="Times New Roman"/>
        </w:rPr>
        <w:t xml:space="preserve"> with higher PETIA content.  This assumption was later supported in Chapter 3, where a post cure at 200 °C </w:t>
      </w:r>
      <w:r w:rsidR="00900B0F">
        <w:rPr>
          <w:rFonts w:ascii="Times New Roman" w:hAnsi="Times New Roman" w:cs="Times New Roman"/>
        </w:rPr>
        <w:t>for a 20 wt% PETIA formula</w:t>
      </w:r>
      <w:r w:rsidR="00235FCC">
        <w:rPr>
          <w:rFonts w:ascii="Times New Roman" w:hAnsi="Times New Roman" w:cs="Times New Roman"/>
        </w:rPr>
        <w:t xml:space="preserve"> yielded a 98% DC</w:t>
      </w:r>
      <w:r w:rsidR="00900B0F">
        <w:rPr>
          <w:rFonts w:ascii="Times New Roman" w:hAnsi="Times New Roman" w:cs="Times New Roman"/>
        </w:rPr>
        <w:t>.  With this more complete reaction, the T</w:t>
      </w:r>
      <w:r w:rsidR="00900B0F" w:rsidRPr="00900B0F">
        <w:rPr>
          <w:rFonts w:ascii="Times New Roman" w:hAnsi="Times New Roman" w:cs="Times New Roman"/>
          <w:vertAlign w:val="subscript"/>
        </w:rPr>
        <w:t>g</w:t>
      </w:r>
      <w:r w:rsidR="00900B0F">
        <w:rPr>
          <w:rFonts w:ascii="Times New Roman" w:hAnsi="Times New Roman" w:cs="Times New Roman"/>
        </w:rPr>
        <w:t xml:space="preserve"> increased in 186 °C and DMA results showed a distinct transition in both Loss Modulus and Storage Modulus that closely coincided with the Tan Delta peak (see </w:t>
      </w:r>
      <w:r w:rsidR="00900B0F" w:rsidRPr="00900B0F">
        <w:rPr>
          <w:rFonts w:ascii="Times New Roman" w:hAnsi="Times New Roman" w:cs="Times New Roman"/>
        </w:rPr>
        <w:fldChar w:fldCharType="begin"/>
      </w:r>
      <w:r w:rsidR="00900B0F" w:rsidRPr="00900B0F">
        <w:rPr>
          <w:rFonts w:ascii="Times New Roman" w:hAnsi="Times New Roman" w:cs="Times New Roman"/>
        </w:rPr>
        <w:instrText xml:space="preserve"> REF _Ref101216581 \h </w:instrText>
      </w:r>
      <w:r w:rsidR="00900B0F">
        <w:rPr>
          <w:rFonts w:ascii="Times New Roman" w:hAnsi="Times New Roman" w:cs="Times New Roman"/>
        </w:rPr>
        <w:instrText xml:space="preserve"> \* MERGEFORMAT </w:instrText>
      </w:r>
      <w:r w:rsidR="00900B0F" w:rsidRPr="00900B0F">
        <w:rPr>
          <w:rFonts w:ascii="Times New Roman" w:hAnsi="Times New Roman" w:cs="Times New Roman"/>
        </w:rPr>
      </w:r>
      <w:r w:rsidR="00900B0F" w:rsidRPr="00900B0F">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51</w:t>
      </w:r>
      <w:r w:rsidR="00900B0F" w:rsidRPr="00900B0F">
        <w:rPr>
          <w:rFonts w:ascii="Times New Roman" w:hAnsi="Times New Roman" w:cs="Times New Roman"/>
        </w:rPr>
        <w:fldChar w:fldCharType="end"/>
      </w:r>
      <w:r w:rsidR="00900B0F">
        <w:rPr>
          <w:rFonts w:ascii="Times New Roman" w:hAnsi="Times New Roman" w:cs="Times New Roman"/>
        </w:rPr>
        <w:t>).</w:t>
      </w:r>
    </w:p>
    <w:p w14:paraId="7A96D24A" w14:textId="77777777" w:rsidR="00961325" w:rsidRDefault="00961325" w:rsidP="00637718">
      <w:pPr>
        <w:keepNext/>
        <w:jc w:val="center"/>
      </w:pPr>
      <w:r>
        <w:rPr>
          <w:noProof/>
        </w:rPr>
        <w:lastRenderedPageBreak/>
        <w:drawing>
          <wp:inline distT="0" distB="0" distL="0" distR="0" wp14:anchorId="7E056352" wp14:editId="2C1BA71A">
            <wp:extent cx="5955596" cy="5806440"/>
            <wp:effectExtent l="0" t="0" r="7620" b="3810"/>
            <wp:docPr id="72" name="Picture 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pic:nvPicPr>
                  <pic:blipFill rotWithShape="1">
                    <a:blip r:embed="rId83" cstate="print">
                      <a:extLst>
                        <a:ext uri="{28A0092B-C50C-407E-A947-70E740481C1C}">
                          <a14:useLocalDpi xmlns:a14="http://schemas.microsoft.com/office/drawing/2010/main" val="0"/>
                        </a:ext>
                      </a:extLst>
                    </a:blip>
                    <a:srcRect l="17101" r="11255"/>
                    <a:stretch/>
                  </pic:blipFill>
                  <pic:spPr bwMode="auto">
                    <a:xfrm>
                      <a:off x="0" y="0"/>
                      <a:ext cx="5974942" cy="5825301"/>
                    </a:xfrm>
                    <a:prstGeom prst="rect">
                      <a:avLst/>
                    </a:prstGeom>
                    <a:ln>
                      <a:noFill/>
                    </a:ln>
                    <a:extLst>
                      <a:ext uri="{53640926-AAD7-44D8-BBD7-CCE9431645EC}">
                        <a14:shadowObscured xmlns:a14="http://schemas.microsoft.com/office/drawing/2010/main"/>
                      </a:ext>
                    </a:extLst>
                  </pic:spPr>
                </pic:pic>
              </a:graphicData>
            </a:graphic>
          </wp:inline>
        </w:drawing>
      </w:r>
    </w:p>
    <w:p w14:paraId="552F51BC" w14:textId="62D005C7" w:rsidR="001165FF" w:rsidRDefault="00961325" w:rsidP="00F20503">
      <w:pPr>
        <w:pStyle w:val="Caption"/>
      </w:pPr>
      <w:bookmarkStart w:id="315" w:name="_Ref101360921"/>
      <w:bookmarkStart w:id="316" w:name="_Toc101365740"/>
      <w:r>
        <w:t xml:space="preserve">Figure </w:t>
      </w:r>
      <w:r w:rsidR="002F73EC">
        <w:fldChar w:fldCharType="begin"/>
      </w:r>
      <w:r w:rsidR="002F73EC">
        <w:instrText xml:space="preserve"> SEQ Figure \* ARABIC </w:instrText>
      </w:r>
      <w:r w:rsidR="002F73EC">
        <w:fldChar w:fldCharType="separate"/>
      </w:r>
      <w:r w:rsidR="00BF5717">
        <w:rPr>
          <w:noProof/>
        </w:rPr>
        <w:t>78</w:t>
      </w:r>
      <w:r w:rsidR="002F73EC">
        <w:rPr>
          <w:noProof/>
        </w:rPr>
        <w:fldChar w:fldCharType="end"/>
      </w:r>
      <w:bookmarkEnd w:id="315"/>
      <w:r>
        <w:t xml:space="preserve"> Full DMA curves for PETIA content ranging from 0 wt% to 50 wt%, irradiated with 8.0 J/cm</w:t>
      </w:r>
      <w:r w:rsidRPr="00961325">
        <w:rPr>
          <w:vertAlign w:val="superscript"/>
        </w:rPr>
        <w:t>2</w:t>
      </w:r>
      <w:r>
        <w:t xml:space="preserve"> and tested in single cantilever configuration.</w:t>
      </w:r>
      <w:bookmarkEnd w:id="316"/>
    </w:p>
    <w:p w14:paraId="135F7905" w14:textId="77777777" w:rsidR="001165FF" w:rsidRDefault="001165FF" w:rsidP="001165FF"/>
    <w:p w14:paraId="50B27D32" w14:textId="77777777" w:rsidR="001165FF" w:rsidRDefault="001165FF" w:rsidP="001165FF"/>
    <w:p w14:paraId="71E83564" w14:textId="77777777" w:rsidR="00637718" w:rsidRDefault="00637718" w:rsidP="00637718">
      <w:pPr>
        <w:keepNext/>
        <w:jc w:val="center"/>
      </w:pPr>
      <w:r>
        <w:rPr>
          <w:noProof/>
        </w:rPr>
        <w:lastRenderedPageBreak/>
        <w:drawing>
          <wp:inline distT="0" distB="0" distL="0" distR="0" wp14:anchorId="01B3E3C9" wp14:editId="6D36484B">
            <wp:extent cx="5486306" cy="7101320"/>
            <wp:effectExtent l="0" t="0" r="635" b="4445"/>
            <wp:docPr id="81" name="Picture 81"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 line chart, histogram&#10;&#10;Description automatically generated"/>
                    <pic:cNvPicPr/>
                  </pic:nvPicPr>
                  <pic:blipFill rotWithShape="1">
                    <a:blip r:embed="rId84" cstate="print">
                      <a:extLst>
                        <a:ext uri="{28A0092B-C50C-407E-A947-70E740481C1C}">
                          <a14:useLocalDpi xmlns:a14="http://schemas.microsoft.com/office/drawing/2010/main" val="0"/>
                        </a:ext>
                      </a:extLst>
                    </a:blip>
                    <a:srcRect t="2118" b="7431"/>
                    <a:stretch/>
                  </pic:blipFill>
                  <pic:spPr bwMode="auto">
                    <a:xfrm>
                      <a:off x="0" y="0"/>
                      <a:ext cx="5486400" cy="7101441"/>
                    </a:xfrm>
                    <a:prstGeom prst="rect">
                      <a:avLst/>
                    </a:prstGeom>
                    <a:ln>
                      <a:noFill/>
                    </a:ln>
                    <a:extLst>
                      <a:ext uri="{53640926-AAD7-44D8-BBD7-CCE9431645EC}">
                        <a14:shadowObscured xmlns:a14="http://schemas.microsoft.com/office/drawing/2010/main"/>
                      </a:ext>
                    </a:extLst>
                  </pic:spPr>
                </pic:pic>
              </a:graphicData>
            </a:graphic>
          </wp:inline>
        </w:drawing>
      </w:r>
    </w:p>
    <w:p w14:paraId="6C8A8155" w14:textId="3DF8E5D1" w:rsidR="001165FF" w:rsidRDefault="00637718" w:rsidP="00637718">
      <w:pPr>
        <w:pStyle w:val="Caption"/>
      </w:pPr>
      <w:bookmarkStart w:id="317" w:name="_Ref101361835"/>
      <w:bookmarkStart w:id="318" w:name="_Toc101365741"/>
      <w:r>
        <w:t xml:space="preserve">Figure </w:t>
      </w:r>
      <w:r w:rsidR="002F73EC">
        <w:fldChar w:fldCharType="begin"/>
      </w:r>
      <w:r w:rsidR="002F73EC">
        <w:instrText xml:space="preserve"> S</w:instrText>
      </w:r>
      <w:r w:rsidR="002F73EC">
        <w:instrText xml:space="preserve">EQ Figure \* ARABIC </w:instrText>
      </w:r>
      <w:r w:rsidR="002F73EC">
        <w:fldChar w:fldCharType="separate"/>
      </w:r>
      <w:r w:rsidR="00BF5717">
        <w:rPr>
          <w:noProof/>
        </w:rPr>
        <w:t>79</w:t>
      </w:r>
      <w:r w:rsidR="002F73EC">
        <w:rPr>
          <w:noProof/>
        </w:rPr>
        <w:fldChar w:fldCharType="end"/>
      </w:r>
      <w:bookmarkEnd w:id="317"/>
      <w:r>
        <w:t xml:space="preserve"> DMA curves comparing the same 80:20 Bis-EMA:PETIA formula in single cantilever versus film tension configurations.  </w:t>
      </w:r>
      <w:r w:rsidR="0076354D">
        <w:t xml:space="preserve">Both </w:t>
      </w:r>
      <w:r>
        <w:t>specimens had 1 wt% BDMB as PI and were irradiated at 8.0 J/cm</w:t>
      </w:r>
      <w:r w:rsidRPr="00AB7EF9">
        <w:rPr>
          <w:vertAlign w:val="superscript"/>
        </w:rPr>
        <w:t>2</w:t>
      </w:r>
      <w:r>
        <w:t>.</w:t>
      </w:r>
      <w:bookmarkEnd w:id="318"/>
    </w:p>
    <w:p w14:paraId="4797EF43" w14:textId="77777777" w:rsidR="001165FF" w:rsidRDefault="001165FF" w:rsidP="00DB3040">
      <w:pPr>
        <w:pStyle w:val="Heading2"/>
      </w:pPr>
      <w:bookmarkStart w:id="319" w:name="_Toc101701823"/>
      <w:r>
        <w:lastRenderedPageBreak/>
        <w:t>Chapter 2 Supplemental Information</w:t>
      </w:r>
      <w:bookmarkEnd w:id="319"/>
    </w:p>
    <w:p w14:paraId="2AC2ABDE" w14:textId="77777777" w:rsidR="001165FF" w:rsidRPr="00803630" w:rsidRDefault="001165FF" w:rsidP="009D06D1">
      <w:pPr>
        <w:pStyle w:val="Heading3"/>
      </w:pPr>
      <w:bookmarkStart w:id="320" w:name="_Toc101701824"/>
      <w:r w:rsidRPr="00803630">
        <w:t>MATLAB script for polychromatic optical model</w:t>
      </w:r>
      <w:bookmarkEnd w:id="320"/>
    </w:p>
    <w:p w14:paraId="094824EA" w14:textId="77777777" w:rsidR="001165FF" w:rsidRDefault="001165FF" w:rsidP="001165FF">
      <w:pPr>
        <w:autoSpaceDE w:val="0"/>
        <w:autoSpaceDN w:val="0"/>
        <w:adjustRightInd w:val="0"/>
        <w:rPr>
          <w:rFonts w:ascii="Courier New" w:hAnsi="Courier New" w:cs="Courier New"/>
          <w:color w:val="000000"/>
          <w:sz w:val="20"/>
          <w:szCs w:val="20"/>
        </w:rPr>
      </w:pPr>
    </w:p>
    <w:p w14:paraId="2FBCE081"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clc, clear </w:t>
      </w:r>
      <w:r>
        <w:rPr>
          <w:rFonts w:ascii="Courier New" w:hAnsi="Courier New" w:cs="Courier New"/>
          <w:color w:val="AA04F9"/>
          <w:sz w:val="20"/>
          <w:szCs w:val="20"/>
        </w:rPr>
        <w:t>all</w:t>
      </w:r>
      <w:r>
        <w:rPr>
          <w:rFonts w:ascii="Courier New" w:hAnsi="Courier New" w:cs="Courier New"/>
          <w:color w:val="000000"/>
          <w:sz w:val="20"/>
          <w:szCs w:val="20"/>
        </w:rPr>
        <w:t xml:space="preserve">, close </w:t>
      </w:r>
      <w:r>
        <w:rPr>
          <w:rFonts w:ascii="Courier New" w:hAnsi="Courier New" w:cs="Courier New"/>
          <w:color w:val="AA04F9"/>
          <w:sz w:val="20"/>
          <w:szCs w:val="20"/>
        </w:rPr>
        <w:t>all</w:t>
      </w:r>
    </w:p>
    <w:p w14:paraId="7BFD70E1" w14:textId="77777777" w:rsidR="001165FF" w:rsidRDefault="001165FF" w:rsidP="001165FF">
      <w:pPr>
        <w:autoSpaceDE w:val="0"/>
        <w:autoSpaceDN w:val="0"/>
        <w:adjustRightInd w:val="0"/>
        <w:rPr>
          <w:rFonts w:ascii="Courier New" w:hAnsi="Courier New" w:cs="Courier New"/>
          <w:color w:val="000000"/>
          <w:sz w:val="20"/>
          <w:szCs w:val="20"/>
        </w:rPr>
      </w:pPr>
    </w:p>
    <w:p w14:paraId="44E05489" w14:textId="77777777" w:rsidR="001165FF" w:rsidRDefault="001165FF" w:rsidP="001165FF">
      <w:pPr>
        <w:autoSpaceDE w:val="0"/>
        <w:autoSpaceDN w:val="0"/>
        <w:adjustRightInd w:val="0"/>
        <w:rPr>
          <w:rFonts w:ascii="Courier New" w:hAnsi="Courier New" w:cs="Courier New"/>
          <w:color w:val="028009"/>
          <w:sz w:val="20"/>
          <w:szCs w:val="20"/>
        </w:rPr>
      </w:pPr>
      <w:r w:rsidRPr="00762A8B">
        <w:rPr>
          <w:rFonts w:ascii="Courier New" w:hAnsi="Courier New" w:cs="Courier New"/>
          <w:color w:val="028009"/>
          <w:sz w:val="20"/>
          <w:szCs w:val="20"/>
        </w:rPr>
        <w:t>%</w:t>
      </w:r>
      <w:r>
        <w:rPr>
          <w:rFonts w:ascii="Courier New" w:hAnsi="Courier New" w:cs="Courier New"/>
          <w:color w:val="028009"/>
          <w:sz w:val="20"/>
          <w:szCs w:val="20"/>
        </w:rPr>
        <w:t xml:space="preserve"> </w:t>
      </w:r>
      <w:r w:rsidRPr="00762A8B">
        <w:rPr>
          <w:rFonts w:ascii="Courier New" w:hAnsi="Courier New" w:cs="Courier New"/>
          <w:color w:val="028009"/>
          <w:sz w:val="20"/>
          <w:szCs w:val="20"/>
        </w:rPr>
        <w:t>Polychromatic optical model based on Kenning et al.</w:t>
      </w:r>
    </w:p>
    <w:p w14:paraId="6D17DBB7" w14:textId="77777777" w:rsidR="001165FF" w:rsidRPr="00762A8B" w:rsidRDefault="001165FF" w:rsidP="001165FF">
      <w:pPr>
        <w:autoSpaceDE w:val="0"/>
        <w:autoSpaceDN w:val="0"/>
        <w:adjustRightInd w:val="0"/>
        <w:rPr>
          <w:rFonts w:ascii="Courier New" w:hAnsi="Courier New" w:cs="Courier New"/>
          <w:color w:val="028009"/>
          <w:sz w:val="20"/>
          <w:szCs w:val="20"/>
        </w:rPr>
      </w:pPr>
      <w:r>
        <w:rPr>
          <w:rFonts w:ascii="Courier New" w:hAnsi="Courier New" w:cs="Courier New"/>
          <w:color w:val="028009"/>
          <w:sz w:val="20"/>
          <w:szCs w:val="20"/>
        </w:rPr>
        <w:t>% Code written by Thomas-Allan Tison and Alex Stiles</w:t>
      </w:r>
    </w:p>
    <w:p w14:paraId="4754F46A" w14:textId="77777777" w:rsidR="001165FF" w:rsidRDefault="001165FF" w:rsidP="001165FF">
      <w:pPr>
        <w:autoSpaceDE w:val="0"/>
        <w:autoSpaceDN w:val="0"/>
        <w:adjustRightInd w:val="0"/>
        <w:rPr>
          <w:rFonts w:ascii="Courier New" w:hAnsi="Courier New" w:cs="Courier New"/>
          <w:color w:val="000000"/>
          <w:sz w:val="20"/>
          <w:szCs w:val="20"/>
        </w:rPr>
      </w:pPr>
    </w:p>
    <w:p w14:paraId="213166F1" w14:textId="77777777" w:rsidR="001165FF" w:rsidRPr="00BA3AAF" w:rsidRDefault="001165FF" w:rsidP="001165FF">
      <w:pPr>
        <w:autoSpaceDE w:val="0"/>
        <w:autoSpaceDN w:val="0"/>
        <w:adjustRightInd w:val="0"/>
        <w:rPr>
          <w:rFonts w:ascii="Courier New" w:hAnsi="Courier New" w:cs="Courier New"/>
          <w:color w:val="028009"/>
          <w:sz w:val="20"/>
          <w:szCs w:val="20"/>
        </w:rPr>
      </w:pPr>
      <w:r w:rsidRPr="00BA3AAF">
        <w:rPr>
          <w:rFonts w:ascii="Courier New" w:hAnsi="Courier New" w:cs="Courier New"/>
          <w:color w:val="028009"/>
          <w:sz w:val="20"/>
          <w:szCs w:val="20"/>
        </w:rPr>
        <w:t>%</w:t>
      </w:r>
      <w:r>
        <w:rPr>
          <w:rFonts w:ascii="Courier New" w:hAnsi="Courier New" w:cs="Courier New"/>
          <w:color w:val="028009"/>
          <w:sz w:val="20"/>
          <w:szCs w:val="20"/>
        </w:rPr>
        <w:t xml:space="preserve"> </w:t>
      </w:r>
      <w:r w:rsidRPr="00BA3AAF">
        <w:rPr>
          <w:rFonts w:ascii="Courier New" w:hAnsi="Courier New" w:cs="Courier New"/>
          <w:color w:val="028009"/>
          <w:sz w:val="20"/>
          <w:szCs w:val="20"/>
        </w:rPr>
        <w:t>Constants</w:t>
      </w:r>
    </w:p>
    <w:p w14:paraId="7F46FC9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Con0 = 0.002645;        </w:t>
      </w:r>
      <w:r>
        <w:rPr>
          <w:rFonts w:ascii="Courier New" w:hAnsi="Courier New" w:cs="Courier New"/>
          <w:color w:val="028009"/>
          <w:sz w:val="20"/>
          <w:szCs w:val="20"/>
        </w:rPr>
        <w:t>% Molar Conc. of photoinitiator</w:t>
      </w:r>
      <w:r>
        <w:rPr>
          <w:rFonts w:ascii="Courier New" w:hAnsi="Courier New" w:cs="Courier New"/>
          <w:color w:val="028009"/>
          <w:sz w:val="20"/>
          <w:szCs w:val="20"/>
        </w:rPr>
        <w:tab/>
        <w:t xml:space="preserve">: mol/L </w:t>
      </w:r>
    </w:p>
    <w:p w14:paraId="61564E21"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phi = 0.2;              </w:t>
      </w:r>
      <w:r>
        <w:rPr>
          <w:rFonts w:ascii="Courier New" w:hAnsi="Courier New" w:cs="Courier New"/>
          <w:color w:val="028009"/>
          <w:sz w:val="20"/>
          <w:szCs w:val="20"/>
        </w:rPr>
        <w:t xml:space="preserve">% Quantum yield                   </w:t>
      </w:r>
      <w:r>
        <w:rPr>
          <w:rFonts w:ascii="Courier New" w:hAnsi="Courier New" w:cs="Courier New"/>
          <w:color w:val="028009"/>
          <w:sz w:val="20"/>
          <w:szCs w:val="20"/>
        </w:rPr>
        <w:tab/>
        <w:t>: no units</w:t>
      </w:r>
    </w:p>
    <w:p w14:paraId="47003742" w14:textId="4657C87C"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h = 6.626*10^(-34);     </w:t>
      </w:r>
      <w:r>
        <w:rPr>
          <w:rFonts w:ascii="Courier New" w:hAnsi="Courier New" w:cs="Courier New"/>
          <w:color w:val="028009"/>
          <w:sz w:val="20"/>
          <w:szCs w:val="20"/>
        </w:rPr>
        <w:t xml:space="preserve">% Planck's constant               </w:t>
      </w:r>
      <w:r>
        <w:rPr>
          <w:rFonts w:ascii="Courier New" w:hAnsi="Courier New" w:cs="Courier New"/>
          <w:color w:val="028009"/>
          <w:sz w:val="20"/>
          <w:szCs w:val="20"/>
        </w:rPr>
        <w:tab/>
        <w:t>: kgm^2/(s)</w:t>
      </w:r>
    </w:p>
    <w:p w14:paraId="6E54AEB3"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Avo = 6.022*10^(23);    </w:t>
      </w:r>
      <w:r>
        <w:rPr>
          <w:rFonts w:ascii="Courier New" w:hAnsi="Courier New" w:cs="Courier New"/>
          <w:color w:val="028009"/>
          <w:sz w:val="20"/>
          <w:szCs w:val="20"/>
        </w:rPr>
        <w:t xml:space="preserve">% Avogadro's number               </w:t>
      </w:r>
      <w:r>
        <w:rPr>
          <w:rFonts w:ascii="Courier New" w:hAnsi="Courier New" w:cs="Courier New"/>
          <w:color w:val="028009"/>
          <w:sz w:val="20"/>
          <w:szCs w:val="20"/>
        </w:rPr>
        <w:tab/>
        <w:t>: 1/mol</w:t>
      </w:r>
    </w:p>
    <w:p w14:paraId="41BEED0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Depth = 0.3;            </w:t>
      </w:r>
      <w:r>
        <w:rPr>
          <w:rFonts w:ascii="Courier New" w:hAnsi="Courier New" w:cs="Courier New"/>
          <w:color w:val="028009"/>
          <w:sz w:val="20"/>
          <w:szCs w:val="20"/>
        </w:rPr>
        <w:t>% Target depth</w:t>
      </w:r>
      <w:r>
        <w:rPr>
          <w:rFonts w:ascii="Courier New" w:hAnsi="Courier New" w:cs="Courier New"/>
          <w:color w:val="028009"/>
          <w:sz w:val="20"/>
          <w:szCs w:val="20"/>
        </w:rPr>
        <w:tab/>
      </w:r>
      <w:r>
        <w:rPr>
          <w:rFonts w:ascii="Courier New" w:hAnsi="Courier New" w:cs="Courier New"/>
          <w:color w:val="028009"/>
          <w:sz w:val="20"/>
          <w:szCs w:val="20"/>
        </w:rPr>
        <w:tab/>
      </w:r>
      <w:r>
        <w:rPr>
          <w:rFonts w:ascii="Courier New" w:hAnsi="Courier New" w:cs="Courier New"/>
          <w:color w:val="028009"/>
          <w:sz w:val="20"/>
          <w:szCs w:val="20"/>
        </w:rPr>
        <w:tab/>
      </w:r>
      <w:r>
        <w:rPr>
          <w:rFonts w:ascii="Courier New" w:hAnsi="Courier New" w:cs="Courier New"/>
          <w:color w:val="028009"/>
          <w:sz w:val="20"/>
          <w:szCs w:val="20"/>
        </w:rPr>
        <w:tab/>
        <w:t>: cm</w:t>
      </w:r>
    </w:p>
    <w:p w14:paraId="54991EC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DepthMax = 1;           </w:t>
      </w:r>
      <w:r>
        <w:rPr>
          <w:rFonts w:ascii="Courier New" w:hAnsi="Courier New" w:cs="Courier New"/>
          <w:color w:val="028009"/>
          <w:sz w:val="20"/>
          <w:szCs w:val="20"/>
        </w:rPr>
        <w:t>% Maximum layer thickness</w:t>
      </w:r>
      <w:r>
        <w:rPr>
          <w:rFonts w:ascii="Courier New" w:hAnsi="Courier New" w:cs="Courier New"/>
          <w:color w:val="028009"/>
          <w:sz w:val="20"/>
          <w:szCs w:val="20"/>
        </w:rPr>
        <w:tab/>
      </w:r>
      <w:r>
        <w:rPr>
          <w:rFonts w:ascii="Courier New" w:hAnsi="Courier New" w:cs="Courier New"/>
          <w:color w:val="028009"/>
          <w:sz w:val="20"/>
          <w:szCs w:val="20"/>
        </w:rPr>
        <w:tab/>
        <w:t>: cm</w:t>
      </w:r>
    </w:p>
    <w:p w14:paraId="113FB42F" w14:textId="77777777" w:rsidR="001165FF" w:rsidRDefault="001165FF" w:rsidP="001165FF">
      <w:pPr>
        <w:autoSpaceDE w:val="0"/>
        <w:autoSpaceDN w:val="0"/>
        <w:adjustRightInd w:val="0"/>
        <w:rPr>
          <w:rFonts w:ascii="Courier New" w:hAnsi="Courier New" w:cs="Courier New"/>
        </w:rPr>
      </w:pPr>
    </w:p>
    <w:p w14:paraId="53F01F6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Create wavelength array</w:t>
      </w:r>
    </w:p>
    <w:p w14:paraId="3DF1925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wav = 344:454;  </w:t>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28009"/>
          <w:sz w:val="20"/>
          <w:szCs w:val="20"/>
        </w:rPr>
        <w:t>%from 344 to 454 nm, output of Altair 75</w:t>
      </w:r>
    </w:p>
    <w:p w14:paraId="7787672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wav = wav';  </w:t>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28009"/>
          <w:sz w:val="20"/>
          <w:szCs w:val="20"/>
        </w:rPr>
        <w:t>%rotate array to vertical</w:t>
      </w:r>
    </w:p>
    <w:p w14:paraId="208DE7D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n = 111; </w:t>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28009"/>
          <w:sz w:val="20"/>
          <w:szCs w:val="20"/>
        </w:rPr>
        <w:t>%number of wavelengths in range</w:t>
      </w:r>
    </w:p>
    <w:p w14:paraId="7F03E976"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54204336"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Read in molar absorptivity values</w:t>
      </w:r>
    </w:p>
    <w:p w14:paraId="74BF457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Filename = </w:t>
      </w:r>
      <w:r>
        <w:rPr>
          <w:rFonts w:ascii="Courier New" w:hAnsi="Courier New" w:cs="Courier New"/>
          <w:color w:val="AA04F9"/>
          <w:sz w:val="20"/>
          <w:szCs w:val="20"/>
        </w:rPr>
        <w:t>'BAPO_ei.txt'</w:t>
      </w:r>
      <w:r>
        <w:rPr>
          <w:rFonts w:ascii="Courier New" w:hAnsi="Courier New" w:cs="Courier New"/>
          <w:color w:val="000000"/>
          <w:sz w:val="20"/>
          <w:szCs w:val="20"/>
        </w:rPr>
        <w:t>;</w:t>
      </w:r>
      <w:r>
        <w:rPr>
          <w:rFonts w:ascii="Courier New" w:hAnsi="Courier New" w:cs="Courier New"/>
          <w:color w:val="000000"/>
          <w:sz w:val="20"/>
          <w:szCs w:val="20"/>
        </w:rPr>
        <w:tab/>
      </w:r>
      <w:r w:rsidRPr="00762A8B">
        <w:rPr>
          <w:rFonts w:ascii="Courier New" w:hAnsi="Courier New" w:cs="Courier New"/>
          <w:color w:val="028009"/>
          <w:sz w:val="20"/>
          <w:szCs w:val="20"/>
        </w:rPr>
        <w:t>%read in values for BAPO molar abs.</w:t>
      </w:r>
    </w:p>
    <w:p w14:paraId="68D8875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temp = </w:t>
      </w:r>
      <w:proofErr w:type="spellStart"/>
      <w:r>
        <w:rPr>
          <w:rFonts w:ascii="Courier New" w:hAnsi="Courier New" w:cs="Courier New"/>
          <w:color w:val="000000"/>
          <w:sz w:val="20"/>
          <w:szCs w:val="20"/>
        </w:rPr>
        <w:t>readtable</w:t>
      </w:r>
      <w:proofErr w:type="spellEnd"/>
      <w:r>
        <w:rPr>
          <w:rFonts w:ascii="Courier New" w:hAnsi="Courier New" w:cs="Courier New"/>
          <w:color w:val="000000"/>
          <w:sz w:val="20"/>
          <w:szCs w:val="20"/>
        </w:rPr>
        <w:t>(Filename</w:t>
      </w:r>
      <w:proofErr w:type="gramStart"/>
      <w:r>
        <w:rPr>
          <w:rFonts w:ascii="Courier New" w:hAnsi="Courier New" w:cs="Courier New"/>
          <w:color w:val="000000"/>
          <w:sz w:val="20"/>
          <w:szCs w:val="20"/>
        </w:rPr>
        <w:t>);</w:t>
      </w:r>
      <w:proofErr w:type="gramEnd"/>
    </w:p>
    <w:p w14:paraId="55CD4642" w14:textId="77777777" w:rsidR="001165FF" w:rsidRDefault="001165FF" w:rsidP="001165FF">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e_i</w:t>
      </w:r>
      <w:proofErr w:type="spellEnd"/>
      <w:r>
        <w:rPr>
          <w:rFonts w:ascii="Courier New" w:hAnsi="Courier New" w:cs="Courier New"/>
          <w:color w:val="000000"/>
          <w:sz w:val="20"/>
          <w:szCs w:val="20"/>
        </w:rPr>
        <w:t xml:space="preserve"> = table2array(temp);  </w:t>
      </w:r>
      <w:r>
        <w:rPr>
          <w:rFonts w:ascii="Courier New" w:hAnsi="Courier New" w:cs="Courier New"/>
          <w:color w:val="000000"/>
          <w:sz w:val="20"/>
          <w:szCs w:val="20"/>
        </w:rPr>
        <w:tab/>
      </w:r>
      <w:r>
        <w:rPr>
          <w:rFonts w:ascii="Courier New" w:hAnsi="Courier New" w:cs="Courier New"/>
          <w:color w:val="028009"/>
          <w:sz w:val="20"/>
          <w:szCs w:val="20"/>
        </w:rPr>
        <w:t>%create column vector for PI molar abs.</w:t>
      </w:r>
    </w:p>
    <w:p w14:paraId="3F0D458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7B30B63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Read in lamp intensity values</w:t>
      </w:r>
    </w:p>
    <w:p w14:paraId="16CC217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File2 = </w:t>
      </w:r>
      <w:r>
        <w:rPr>
          <w:rFonts w:ascii="Courier New" w:hAnsi="Courier New" w:cs="Courier New"/>
          <w:color w:val="AA04F9"/>
          <w:sz w:val="20"/>
          <w:szCs w:val="20"/>
        </w:rPr>
        <w:t>'25pow_I.txt'</w:t>
      </w:r>
      <w:r>
        <w:rPr>
          <w:rFonts w:ascii="Courier New" w:hAnsi="Courier New" w:cs="Courier New"/>
          <w:color w:val="000000"/>
          <w:sz w:val="20"/>
          <w:szCs w:val="20"/>
        </w:rPr>
        <w:t>;</w:t>
      </w:r>
      <w:r>
        <w:rPr>
          <w:rFonts w:ascii="Courier New" w:hAnsi="Courier New" w:cs="Courier New"/>
          <w:color w:val="000000"/>
          <w:sz w:val="20"/>
          <w:szCs w:val="20"/>
        </w:rPr>
        <w:tab/>
      </w:r>
      <w:r>
        <w:rPr>
          <w:rFonts w:ascii="Courier New" w:hAnsi="Courier New" w:cs="Courier New"/>
          <w:color w:val="000000"/>
          <w:sz w:val="20"/>
          <w:szCs w:val="20"/>
        </w:rPr>
        <w:tab/>
      </w:r>
      <w:r w:rsidRPr="00567FC8">
        <w:rPr>
          <w:rFonts w:ascii="Courier New" w:hAnsi="Courier New" w:cs="Courier New"/>
          <w:color w:val="028009"/>
          <w:sz w:val="20"/>
          <w:szCs w:val="20"/>
        </w:rPr>
        <w:t>%read in values for 25% lamp output</w:t>
      </w:r>
    </w:p>
    <w:p w14:paraId="302CD43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temp2 = </w:t>
      </w:r>
      <w:proofErr w:type="spellStart"/>
      <w:r>
        <w:rPr>
          <w:rFonts w:ascii="Courier New" w:hAnsi="Courier New" w:cs="Courier New"/>
          <w:color w:val="000000"/>
          <w:sz w:val="20"/>
          <w:szCs w:val="20"/>
        </w:rPr>
        <w:t>readtable</w:t>
      </w:r>
      <w:proofErr w:type="spellEnd"/>
      <w:r>
        <w:rPr>
          <w:rFonts w:ascii="Courier New" w:hAnsi="Courier New" w:cs="Courier New"/>
          <w:color w:val="000000"/>
          <w:sz w:val="20"/>
          <w:szCs w:val="20"/>
        </w:rPr>
        <w:t>(File2</w:t>
      </w:r>
      <w:proofErr w:type="gramStart"/>
      <w:r>
        <w:rPr>
          <w:rFonts w:ascii="Courier New" w:hAnsi="Courier New" w:cs="Courier New"/>
          <w:color w:val="000000"/>
          <w:sz w:val="20"/>
          <w:szCs w:val="20"/>
        </w:rPr>
        <w:t>);</w:t>
      </w:r>
      <w:proofErr w:type="gramEnd"/>
    </w:p>
    <w:p w14:paraId="42D6BAE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Int0 = table2array(temp2); </w:t>
      </w:r>
      <w:r>
        <w:rPr>
          <w:rFonts w:ascii="Courier New" w:hAnsi="Courier New" w:cs="Courier New"/>
          <w:color w:val="000000"/>
          <w:sz w:val="20"/>
          <w:szCs w:val="20"/>
        </w:rPr>
        <w:tab/>
      </w:r>
      <w:r>
        <w:rPr>
          <w:rFonts w:ascii="Courier New" w:hAnsi="Courier New" w:cs="Courier New"/>
          <w:color w:val="028009"/>
          <w:sz w:val="20"/>
          <w:szCs w:val="20"/>
        </w:rPr>
        <w:t>%create column vector for lamp output</w:t>
      </w:r>
    </w:p>
    <w:p w14:paraId="42CCA66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401894A3"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Read in monomer absorptivity values</w:t>
      </w:r>
    </w:p>
    <w:p w14:paraId="0A0AF52E" w14:textId="28F036F9"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File3 = </w:t>
      </w:r>
      <w:r>
        <w:rPr>
          <w:rFonts w:ascii="Courier New" w:hAnsi="Courier New" w:cs="Courier New"/>
          <w:color w:val="AA04F9"/>
          <w:sz w:val="20"/>
          <w:szCs w:val="20"/>
        </w:rPr>
        <w:t>'</w:t>
      </w:r>
      <w:r w:rsidR="00803630">
        <w:rPr>
          <w:rFonts w:ascii="Courier New" w:hAnsi="Courier New" w:cs="Courier New"/>
          <w:color w:val="AA04F9"/>
          <w:sz w:val="20"/>
          <w:szCs w:val="20"/>
        </w:rPr>
        <w:t>8020</w:t>
      </w:r>
      <w:r>
        <w:rPr>
          <w:rFonts w:ascii="Courier New" w:hAnsi="Courier New" w:cs="Courier New"/>
          <w:color w:val="AA04F9"/>
          <w:sz w:val="20"/>
          <w:szCs w:val="20"/>
        </w:rPr>
        <w:t>_Am.txt'</w:t>
      </w:r>
      <w:r>
        <w:rPr>
          <w:rFonts w:ascii="Courier New" w:hAnsi="Courier New" w:cs="Courier New"/>
          <w:color w:val="000000"/>
          <w:sz w:val="20"/>
          <w:szCs w:val="20"/>
        </w:rPr>
        <w:t>;</w:t>
      </w:r>
      <w:r>
        <w:rPr>
          <w:rFonts w:ascii="Courier New" w:hAnsi="Courier New" w:cs="Courier New"/>
          <w:color w:val="000000"/>
          <w:sz w:val="20"/>
          <w:szCs w:val="20"/>
        </w:rPr>
        <w:tab/>
      </w:r>
      <w:r w:rsidRPr="00567FC8">
        <w:rPr>
          <w:rFonts w:ascii="Courier New" w:hAnsi="Courier New" w:cs="Courier New"/>
          <w:color w:val="028009"/>
          <w:sz w:val="20"/>
          <w:szCs w:val="20"/>
        </w:rPr>
        <w:t xml:space="preserve">%read in absorptivity for high purity </w:t>
      </w:r>
      <w:proofErr w:type="spellStart"/>
      <w:r w:rsidRPr="00567FC8">
        <w:rPr>
          <w:rFonts w:ascii="Courier New" w:hAnsi="Courier New" w:cs="Courier New"/>
          <w:color w:val="028009"/>
          <w:sz w:val="20"/>
          <w:szCs w:val="20"/>
        </w:rPr>
        <w:t>BisEMA</w:t>
      </w:r>
      <w:proofErr w:type="spellEnd"/>
    </w:p>
    <w:p w14:paraId="616C8F8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temp3 = </w:t>
      </w:r>
      <w:proofErr w:type="spellStart"/>
      <w:r>
        <w:rPr>
          <w:rFonts w:ascii="Courier New" w:hAnsi="Courier New" w:cs="Courier New"/>
          <w:color w:val="000000"/>
          <w:sz w:val="20"/>
          <w:szCs w:val="20"/>
        </w:rPr>
        <w:t>readtable</w:t>
      </w:r>
      <w:proofErr w:type="spellEnd"/>
      <w:r>
        <w:rPr>
          <w:rFonts w:ascii="Courier New" w:hAnsi="Courier New" w:cs="Courier New"/>
          <w:color w:val="000000"/>
          <w:sz w:val="20"/>
          <w:szCs w:val="20"/>
        </w:rPr>
        <w:t>(File3</w:t>
      </w:r>
      <w:proofErr w:type="gramStart"/>
      <w:r>
        <w:rPr>
          <w:rFonts w:ascii="Courier New" w:hAnsi="Courier New" w:cs="Courier New"/>
          <w:color w:val="000000"/>
          <w:sz w:val="20"/>
          <w:szCs w:val="20"/>
        </w:rPr>
        <w:t>);</w:t>
      </w:r>
      <w:proofErr w:type="gramEnd"/>
    </w:p>
    <w:p w14:paraId="1CCAC8CB" w14:textId="77777777" w:rsidR="001165FF" w:rsidRDefault="001165FF" w:rsidP="001165FF">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A_m</w:t>
      </w:r>
      <w:proofErr w:type="spellEnd"/>
      <w:r>
        <w:rPr>
          <w:rFonts w:ascii="Courier New" w:hAnsi="Courier New" w:cs="Courier New"/>
          <w:color w:val="000000"/>
          <w:sz w:val="20"/>
          <w:szCs w:val="20"/>
        </w:rPr>
        <w:t xml:space="preserve"> = table2array(temp3);  </w:t>
      </w:r>
      <w:r>
        <w:rPr>
          <w:rFonts w:ascii="Courier New" w:hAnsi="Courier New" w:cs="Courier New"/>
          <w:color w:val="000000"/>
          <w:sz w:val="20"/>
          <w:szCs w:val="20"/>
        </w:rPr>
        <w:tab/>
      </w:r>
      <w:r w:rsidRPr="00567FC8">
        <w:rPr>
          <w:rFonts w:ascii="Courier New" w:hAnsi="Courier New" w:cs="Courier New"/>
          <w:color w:val="028009"/>
          <w:sz w:val="20"/>
          <w:szCs w:val="20"/>
        </w:rPr>
        <w:t>%cream column vector for monomer abs.</w:t>
      </w:r>
      <w:r>
        <w:rPr>
          <w:rFonts w:ascii="Courier New" w:hAnsi="Courier New" w:cs="Courier New"/>
          <w:color w:val="000000"/>
          <w:sz w:val="20"/>
          <w:szCs w:val="20"/>
        </w:rPr>
        <w:t xml:space="preserve"> </w:t>
      </w:r>
    </w:p>
    <w:p w14:paraId="2A85E7A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6E154F61"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Set time intervals for calculations (must be increments of 5)</w:t>
      </w:r>
    </w:p>
    <w:p w14:paraId="42932849" w14:textId="77777777" w:rsidR="001165FF" w:rsidRDefault="001165FF" w:rsidP="001165FF">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TimeMaxVT</w:t>
      </w:r>
      <w:proofErr w:type="spellEnd"/>
      <w:r>
        <w:rPr>
          <w:rFonts w:ascii="Courier New" w:hAnsi="Courier New" w:cs="Courier New"/>
          <w:color w:val="000000"/>
          <w:sz w:val="20"/>
          <w:szCs w:val="20"/>
        </w:rPr>
        <w:t xml:space="preserve"> = 120;         </w:t>
      </w:r>
      <w:r>
        <w:rPr>
          <w:rFonts w:ascii="Courier New" w:hAnsi="Courier New" w:cs="Courier New"/>
          <w:color w:val="000000"/>
          <w:sz w:val="20"/>
          <w:szCs w:val="20"/>
        </w:rPr>
        <w:tab/>
      </w:r>
      <w:r>
        <w:rPr>
          <w:rFonts w:ascii="Courier New" w:hAnsi="Courier New" w:cs="Courier New"/>
          <w:color w:val="028009"/>
          <w:sz w:val="20"/>
          <w:szCs w:val="20"/>
        </w:rPr>
        <w:t>% Total number of time steps</w:t>
      </w:r>
    </w:p>
    <w:p w14:paraId="227D4FAA"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C65E9C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2CC53F0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Equations/Constants</w:t>
      </w:r>
    </w:p>
    <w:p w14:paraId="2610701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x = </w:t>
      </w:r>
      <w:proofErr w:type="spellStart"/>
      <w:r>
        <w:rPr>
          <w:rFonts w:ascii="Courier New" w:hAnsi="Courier New" w:cs="Courier New"/>
          <w:color w:val="000000"/>
          <w:sz w:val="20"/>
          <w:szCs w:val="20"/>
        </w:rPr>
        <w:t>linspace</w:t>
      </w:r>
      <w:proofErr w:type="spellEnd"/>
      <w:r>
        <w:rPr>
          <w:rFonts w:ascii="Courier New" w:hAnsi="Courier New" w:cs="Courier New"/>
          <w:color w:val="000000"/>
          <w:sz w:val="20"/>
          <w:szCs w:val="20"/>
        </w:rPr>
        <w:t>(0,DepthMax,(DepthMax*</w:t>
      </w:r>
      <w:proofErr w:type="spellStart"/>
      <w:r>
        <w:rPr>
          <w:rFonts w:ascii="Courier New" w:hAnsi="Courier New" w:cs="Courier New"/>
          <w:color w:val="000000"/>
          <w:sz w:val="20"/>
          <w:szCs w:val="20"/>
        </w:rPr>
        <w:t>TimeMaxVT</w:t>
      </w:r>
      <w:proofErr w:type="spellEnd"/>
      <w:r>
        <w:rPr>
          <w:rFonts w:ascii="Courier New" w:hAnsi="Courier New" w:cs="Courier New"/>
          <w:color w:val="000000"/>
          <w:sz w:val="20"/>
          <w:szCs w:val="20"/>
        </w:rPr>
        <w:t xml:space="preserve">)+1); </w:t>
      </w:r>
      <w:r>
        <w:rPr>
          <w:rFonts w:ascii="Courier New" w:hAnsi="Courier New" w:cs="Courier New"/>
          <w:color w:val="028009"/>
          <w:sz w:val="20"/>
          <w:szCs w:val="20"/>
        </w:rPr>
        <w:t>% vector of depth values</w:t>
      </w:r>
    </w:p>
    <w:p w14:paraId="5FA94686"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t = 0:1/</w:t>
      </w:r>
      <w:proofErr w:type="spellStart"/>
      <w:r>
        <w:rPr>
          <w:rFonts w:ascii="Courier New" w:hAnsi="Courier New" w:cs="Courier New"/>
          <w:color w:val="000000"/>
          <w:sz w:val="20"/>
          <w:szCs w:val="20"/>
        </w:rPr>
        <w:t>DepthMax:TimeMaxVT</w:t>
      </w:r>
      <w:proofErr w:type="spellEnd"/>
      <w:r>
        <w:rPr>
          <w:rFonts w:ascii="Courier New" w:hAnsi="Courier New" w:cs="Courier New"/>
          <w:color w:val="000000"/>
          <w:sz w:val="20"/>
          <w:szCs w:val="20"/>
        </w:rPr>
        <w:t xml:space="preserve">;        </w:t>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 xml:space="preserve"> </w:t>
      </w:r>
      <w:r>
        <w:rPr>
          <w:rFonts w:ascii="Courier New" w:hAnsi="Courier New" w:cs="Courier New"/>
          <w:color w:val="028009"/>
          <w:sz w:val="20"/>
          <w:szCs w:val="20"/>
        </w:rPr>
        <w:t>% vector of time values</w:t>
      </w:r>
    </w:p>
    <w:p w14:paraId="7C035B8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div = (length(x)-1</w:t>
      </w:r>
      <w:proofErr w:type="gramStart"/>
      <w:r>
        <w:rPr>
          <w:rFonts w:ascii="Courier New" w:hAnsi="Courier New" w:cs="Courier New"/>
          <w:color w:val="000000"/>
          <w:sz w:val="20"/>
          <w:szCs w:val="20"/>
        </w:rPr>
        <w:t>);</w:t>
      </w:r>
      <w:proofErr w:type="gramEnd"/>
    </w:p>
    <w:p w14:paraId="27DBCDA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66E01C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dx = 1/</w:t>
      </w:r>
      <w:proofErr w:type="spellStart"/>
      <w:r>
        <w:rPr>
          <w:rFonts w:ascii="Courier New" w:hAnsi="Courier New" w:cs="Courier New"/>
          <w:color w:val="000000"/>
          <w:sz w:val="20"/>
          <w:szCs w:val="20"/>
        </w:rPr>
        <w:t>TimeMaxVT</w:t>
      </w:r>
      <w:proofErr w:type="spellEnd"/>
      <w:r>
        <w:rPr>
          <w:rFonts w:ascii="Courier New" w:hAnsi="Courier New" w:cs="Courier New"/>
          <w:color w:val="000000"/>
          <w:sz w:val="20"/>
          <w:szCs w:val="20"/>
        </w:rPr>
        <w:t xml:space="preserve">;       </w:t>
      </w:r>
      <w:r>
        <w:rPr>
          <w:rFonts w:ascii="Courier New" w:hAnsi="Courier New" w:cs="Courier New"/>
          <w:color w:val="000000"/>
          <w:sz w:val="20"/>
          <w:szCs w:val="20"/>
        </w:rPr>
        <w:tab/>
      </w:r>
      <w:r>
        <w:rPr>
          <w:rFonts w:ascii="Courier New" w:hAnsi="Courier New" w:cs="Courier New"/>
          <w:color w:val="028009"/>
          <w:sz w:val="20"/>
          <w:szCs w:val="20"/>
        </w:rPr>
        <w:t xml:space="preserve">% depth increment   </w:t>
      </w:r>
    </w:p>
    <w:p w14:paraId="3547BF6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dt = 0.25;                 </w:t>
      </w:r>
      <w:r>
        <w:rPr>
          <w:rFonts w:ascii="Courier New" w:hAnsi="Courier New" w:cs="Courier New"/>
          <w:color w:val="000000"/>
          <w:sz w:val="20"/>
          <w:szCs w:val="20"/>
        </w:rPr>
        <w:tab/>
      </w:r>
      <w:r>
        <w:rPr>
          <w:rFonts w:ascii="Courier New" w:hAnsi="Courier New" w:cs="Courier New"/>
          <w:color w:val="028009"/>
          <w:sz w:val="20"/>
          <w:szCs w:val="20"/>
        </w:rPr>
        <w:t xml:space="preserve">% time increment   </w:t>
      </w:r>
    </w:p>
    <w:p w14:paraId="1C87D46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21EB328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Constants/Conversions</w:t>
      </w:r>
    </w:p>
    <w:p w14:paraId="56FF3698"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lastRenderedPageBreak/>
        <w:t xml:space="preserve">K = (1000*dt)/(Avo*h);  </w:t>
      </w:r>
      <w:r>
        <w:rPr>
          <w:rFonts w:ascii="Courier New" w:hAnsi="Courier New" w:cs="Courier New"/>
          <w:color w:val="028009"/>
          <w:sz w:val="20"/>
          <w:szCs w:val="20"/>
        </w:rPr>
        <w:t xml:space="preserve">% the constants found in </w:t>
      </w:r>
      <w:proofErr w:type="spellStart"/>
      <w:r>
        <w:rPr>
          <w:rFonts w:ascii="Courier New" w:hAnsi="Courier New" w:cs="Courier New"/>
          <w:color w:val="028009"/>
          <w:sz w:val="20"/>
          <w:szCs w:val="20"/>
        </w:rPr>
        <w:t>Eqn</w:t>
      </w:r>
      <w:proofErr w:type="spellEnd"/>
      <w:r>
        <w:rPr>
          <w:rFonts w:ascii="Courier New" w:hAnsi="Courier New" w:cs="Courier New"/>
          <w:color w:val="028009"/>
          <w:sz w:val="20"/>
          <w:szCs w:val="20"/>
        </w:rPr>
        <w:t xml:space="preserve"> 8 from the Miller Paper</w:t>
      </w:r>
    </w:p>
    <w:p w14:paraId="17DE4A3A" w14:textId="77777777" w:rsidR="001165FF" w:rsidRDefault="001165FF" w:rsidP="001165FF">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cspeed</w:t>
      </w:r>
      <w:proofErr w:type="spellEnd"/>
      <w:r>
        <w:rPr>
          <w:rFonts w:ascii="Courier New" w:hAnsi="Courier New" w:cs="Courier New"/>
          <w:color w:val="000000"/>
          <w:sz w:val="20"/>
          <w:szCs w:val="20"/>
        </w:rPr>
        <w:t xml:space="preserve"> = 299792458;     </w:t>
      </w:r>
      <w:r>
        <w:rPr>
          <w:rFonts w:ascii="Courier New" w:hAnsi="Courier New" w:cs="Courier New"/>
          <w:color w:val="028009"/>
          <w:sz w:val="20"/>
          <w:szCs w:val="20"/>
        </w:rPr>
        <w:t xml:space="preserve">% speed of light (m/s) </w:t>
      </w:r>
    </w:p>
    <w:p w14:paraId="45D240DA"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v = zeros(n,1</w:t>
      </w:r>
      <w:proofErr w:type="gramStart"/>
      <w:r>
        <w:rPr>
          <w:rFonts w:ascii="Courier New" w:hAnsi="Courier New" w:cs="Courier New"/>
          <w:color w:val="000000"/>
          <w:sz w:val="20"/>
          <w:szCs w:val="20"/>
        </w:rPr>
        <w:t>);</w:t>
      </w:r>
      <w:proofErr w:type="gramEnd"/>
    </w:p>
    <w:p w14:paraId="2E0EC45D"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 xml:space="preserve"> = 1:n</w:t>
      </w:r>
    </w:p>
    <w:p w14:paraId="078FDD1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v(i,1) = </w:t>
      </w:r>
      <w:proofErr w:type="spellStart"/>
      <w:r>
        <w:rPr>
          <w:rFonts w:ascii="Courier New" w:hAnsi="Courier New" w:cs="Courier New"/>
          <w:color w:val="000000"/>
          <w:sz w:val="20"/>
          <w:szCs w:val="20"/>
        </w:rPr>
        <w:t>cspeed</w:t>
      </w:r>
      <w:proofErr w:type="spellEnd"/>
      <w:r>
        <w:rPr>
          <w:rFonts w:ascii="Courier New" w:hAnsi="Courier New" w:cs="Courier New"/>
          <w:color w:val="000000"/>
          <w:sz w:val="20"/>
          <w:szCs w:val="20"/>
        </w:rPr>
        <w:t xml:space="preserve">/(wav(i,1)*10.^(-9)); </w:t>
      </w:r>
      <w:r>
        <w:rPr>
          <w:rFonts w:ascii="Courier New" w:hAnsi="Courier New" w:cs="Courier New"/>
          <w:color w:val="028009"/>
          <w:sz w:val="20"/>
          <w:szCs w:val="20"/>
        </w:rPr>
        <w:t>% conversion from wavelength to frequency : nm -&gt; Hz</w:t>
      </w:r>
    </w:p>
    <w:p w14:paraId="35222CED"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end</w:t>
      </w:r>
    </w:p>
    <w:p w14:paraId="6DA237B9" w14:textId="39E2E05E"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Con0 = </w:t>
      </w:r>
      <w:proofErr w:type="gramStart"/>
      <w:r>
        <w:rPr>
          <w:rFonts w:ascii="Courier New" w:hAnsi="Courier New" w:cs="Courier New"/>
          <w:color w:val="000000"/>
          <w:sz w:val="20"/>
          <w:szCs w:val="20"/>
        </w:rPr>
        <w:t>Con0;</w:t>
      </w:r>
      <w:proofErr w:type="gramEnd"/>
    </w:p>
    <w:p w14:paraId="0340A05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6153948D"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Making the Grid for both Concentration and Intensity</w:t>
      </w:r>
    </w:p>
    <w:p w14:paraId="5E76BD7D"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Con = zeros(length(t)+1,length(x)+1);  </w:t>
      </w:r>
      <w:r>
        <w:rPr>
          <w:rFonts w:ascii="Courier New" w:hAnsi="Courier New" w:cs="Courier New"/>
          <w:color w:val="028009"/>
          <w:sz w:val="20"/>
          <w:szCs w:val="20"/>
        </w:rPr>
        <w:t>% 2D is time x depth</w:t>
      </w:r>
    </w:p>
    <w:p w14:paraId="0C50543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Int = zeros(length(t)+1,length(x)+1</w:t>
      </w:r>
      <w:proofErr w:type="gramStart"/>
      <w:r>
        <w:rPr>
          <w:rFonts w:ascii="Courier New" w:hAnsi="Courier New" w:cs="Courier New"/>
          <w:color w:val="000000"/>
          <w:sz w:val="20"/>
          <w:szCs w:val="20"/>
        </w:rPr>
        <w:t>);</w:t>
      </w:r>
      <w:proofErr w:type="gramEnd"/>
    </w:p>
    <w:p w14:paraId="00BB290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 = 1:n</w:t>
      </w:r>
    </w:p>
    <w:p w14:paraId="2721DF1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Int</w:t>
      </w:r>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w)=zeros;</w:t>
      </w:r>
    </w:p>
    <w:p w14:paraId="59783E43"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74F96B9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 xml:space="preserve"> </w:t>
      </w:r>
    </w:p>
    <w:p w14:paraId="1FA065F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Initial Condition for Intensity at Depth=0</w:t>
      </w:r>
    </w:p>
    <w:p w14:paraId="6774182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 = 1:n</w:t>
      </w:r>
    </w:p>
    <w:p w14:paraId="6BD0950B" w14:textId="2B038FA2"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Int(</w:t>
      </w:r>
      <w:proofErr w:type="gramStart"/>
      <w:r>
        <w:rPr>
          <w:rFonts w:ascii="Courier New" w:hAnsi="Courier New" w:cs="Courier New"/>
          <w:color w:val="000000"/>
          <w:sz w:val="20"/>
          <w:szCs w:val="20"/>
        </w:rPr>
        <w:t>1,:,</w:t>
      </w:r>
      <w:proofErr w:type="gramEnd"/>
      <w:r>
        <w:rPr>
          <w:rFonts w:ascii="Courier New" w:hAnsi="Courier New" w:cs="Courier New"/>
          <w:color w:val="000000"/>
          <w:sz w:val="20"/>
          <w:szCs w:val="20"/>
        </w:rPr>
        <w:t xml:space="preserve">w) = ((Int0(w))/1000); </w:t>
      </w:r>
      <w:r>
        <w:rPr>
          <w:rFonts w:ascii="Courier New" w:hAnsi="Courier New" w:cs="Courier New"/>
          <w:color w:val="028009"/>
          <w:sz w:val="20"/>
          <w:szCs w:val="20"/>
        </w:rPr>
        <w:t>%Each page in the array corresponds to a different wavelength, adjust mW to W</w:t>
      </w:r>
    </w:p>
    <w:p w14:paraId="3BF2BC42"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6A2D142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 xml:space="preserve"> </w:t>
      </w:r>
    </w:p>
    <w:p w14:paraId="5E6B16C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Initial Condition for Concentration at Time=0</w:t>
      </w:r>
    </w:p>
    <w:p w14:paraId="4D54A3E2"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Con</w:t>
      </w:r>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1) = Con0;</w:t>
      </w:r>
    </w:p>
    <w:p w14:paraId="431FF0AA"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
    <w:p w14:paraId="3B60824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%Summation formula for polychromatic portions</w:t>
      </w:r>
    </w:p>
    <w:p w14:paraId="00719896"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poly = zeros(length(t)+1,length(x));  </w:t>
      </w:r>
      <w:r>
        <w:rPr>
          <w:rFonts w:ascii="Courier New" w:hAnsi="Courier New" w:cs="Courier New"/>
          <w:color w:val="028009"/>
          <w:sz w:val="20"/>
          <w:szCs w:val="20"/>
        </w:rPr>
        <w:t>% 2D is time x depth</w:t>
      </w:r>
    </w:p>
    <w:p w14:paraId="20F762F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xml:space="preserve"> </w:t>
      </w:r>
    </w:p>
    <w:p w14:paraId="4D9CB1F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 Logarithmic Beer-Lambert's Law for Intensity at Time=0</w:t>
      </w:r>
    </w:p>
    <w:p w14:paraId="0F63347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w=1:n</w:t>
      </w:r>
    </w:p>
    <w:p w14:paraId="6BE0AD8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=1:length(t)-1</w:t>
      </w:r>
    </w:p>
    <w:p w14:paraId="256D9D9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Int(i+1,1,w) = Int(i,1,w)*10^(-(</w:t>
      </w:r>
      <w:proofErr w:type="spellStart"/>
      <w:r>
        <w:rPr>
          <w:rFonts w:ascii="Courier New" w:hAnsi="Courier New" w:cs="Courier New"/>
          <w:color w:val="000000"/>
          <w:sz w:val="20"/>
          <w:szCs w:val="20"/>
        </w:rPr>
        <w:t>e_i</w:t>
      </w:r>
      <w:proofErr w:type="spellEnd"/>
      <w:r>
        <w:rPr>
          <w:rFonts w:ascii="Courier New" w:hAnsi="Courier New" w:cs="Courier New"/>
          <w:color w:val="000000"/>
          <w:sz w:val="20"/>
          <w:szCs w:val="20"/>
        </w:rPr>
        <w:t>(w)*Con(i,1))*dx</w:t>
      </w:r>
      <w:proofErr w:type="gramStart"/>
      <w:r>
        <w:rPr>
          <w:rFonts w:ascii="Courier New" w:hAnsi="Courier New" w:cs="Courier New"/>
          <w:color w:val="000000"/>
          <w:sz w:val="20"/>
          <w:szCs w:val="20"/>
        </w:rPr>
        <w:t>);</w:t>
      </w:r>
      <w:proofErr w:type="gramEnd"/>
    </w:p>
    <w:p w14:paraId="7942537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0089A26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end</w:t>
      </w:r>
    </w:p>
    <w:p w14:paraId="3B2801B1"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 xml:space="preserve"> </w:t>
      </w:r>
    </w:p>
    <w:p w14:paraId="08D5A69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%Set of FOR Loops to complete the Concentration and Intensity grids</w:t>
      </w:r>
    </w:p>
    <w:p w14:paraId="0764B22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=2:length(t)</w:t>
      </w:r>
    </w:p>
    <w:p w14:paraId="3D12ED43"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j=1:length(x)</w:t>
      </w:r>
    </w:p>
    <w:p w14:paraId="1A25098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w=1:n</w:t>
      </w:r>
    </w:p>
    <w:p w14:paraId="19EBEA0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poly(</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 = poly(</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e_i</w:t>
      </w:r>
      <w:proofErr w:type="spellEnd"/>
      <w:r>
        <w:rPr>
          <w:rFonts w:ascii="Courier New" w:hAnsi="Courier New" w:cs="Courier New"/>
          <w:color w:val="000000"/>
          <w:sz w:val="20"/>
          <w:szCs w:val="20"/>
        </w:rPr>
        <w:t>(w)*phi)/v(w))*Int(</w:t>
      </w:r>
      <w:proofErr w:type="spellStart"/>
      <w:r>
        <w:rPr>
          <w:rFonts w:ascii="Courier New" w:hAnsi="Courier New" w:cs="Courier New"/>
          <w:color w:val="000000"/>
          <w:sz w:val="20"/>
          <w:szCs w:val="20"/>
        </w:rPr>
        <w:t>i,j,w</w:t>
      </w:r>
      <w:proofErr w:type="spellEnd"/>
      <w:proofErr w:type="gramStart"/>
      <w:r>
        <w:rPr>
          <w:rFonts w:ascii="Courier New" w:hAnsi="Courier New" w:cs="Courier New"/>
          <w:color w:val="000000"/>
          <w:sz w:val="20"/>
          <w:szCs w:val="20"/>
        </w:rPr>
        <w:t>);</w:t>
      </w:r>
      <w:proofErr w:type="gramEnd"/>
    </w:p>
    <w:p w14:paraId="0A7E8BF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33CBCEF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Con(i,j+1) = Con(</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)*(1-K*poly(</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w:t>
      </w:r>
      <w:proofErr w:type="gramStart"/>
      <w:r>
        <w:rPr>
          <w:rFonts w:ascii="Courier New" w:hAnsi="Courier New" w:cs="Courier New"/>
          <w:color w:val="000000"/>
          <w:sz w:val="20"/>
          <w:szCs w:val="20"/>
        </w:rPr>
        <w:t>);</w:t>
      </w:r>
      <w:proofErr w:type="gramEnd"/>
    </w:p>
    <w:p w14:paraId="2CCF5323"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Con(i,j+1)=(abs(Con(i,j+1))+Con(i,j+1))/2;  </w:t>
      </w:r>
      <w:r>
        <w:rPr>
          <w:rFonts w:ascii="Courier New" w:hAnsi="Courier New" w:cs="Courier New"/>
          <w:color w:val="028009"/>
          <w:sz w:val="20"/>
          <w:szCs w:val="20"/>
        </w:rPr>
        <w:t>%neg values to zero</w:t>
      </w:r>
    </w:p>
    <w:p w14:paraId="28B54028"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if</w:t>
      </w:r>
      <w:r>
        <w:rPr>
          <w:rFonts w:ascii="Courier New" w:hAnsi="Courier New" w:cs="Courier New"/>
          <w:color w:val="000000"/>
          <w:sz w:val="20"/>
          <w:szCs w:val="20"/>
        </w:rPr>
        <w:t xml:space="preserve"> (Con(i,j+1)&lt;= </w:t>
      </w:r>
      <w:proofErr w:type="spellStart"/>
      <w:r>
        <w:rPr>
          <w:rFonts w:ascii="Courier New" w:hAnsi="Courier New" w:cs="Courier New"/>
          <w:color w:val="000000"/>
          <w:sz w:val="20"/>
          <w:szCs w:val="20"/>
        </w:rPr>
        <w:t>min_Con</w:t>
      </w:r>
      <w:proofErr w:type="spellEnd"/>
      <w:r>
        <w:rPr>
          <w:rFonts w:ascii="Courier New" w:hAnsi="Courier New" w:cs="Courier New"/>
          <w:color w:val="000000"/>
          <w:sz w:val="20"/>
          <w:szCs w:val="20"/>
        </w:rPr>
        <w:t>)</w:t>
      </w:r>
    </w:p>
    <w:p w14:paraId="4C6AFB3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phi = </w:t>
      </w:r>
      <w:proofErr w:type="spellStart"/>
      <w:r>
        <w:rPr>
          <w:rFonts w:ascii="Courier New" w:hAnsi="Courier New" w:cs="Courier New"/>
          <w:color w:val="000000"/>
          <w:sz w:val="20"/>
          <w:szCs w:val="20"/>
        </w:rPr>
        <w:t>new_</w:t>
      </w:r>
      <w:proofErr w:type="gramStart"/>
      <w:r>
        <w:rPr>
          <w:rFonts w:ascii="Courier New" w:hAnsi="Courier New" w:cs="Courier New"/>
          <w:color w:val="000000"/>
          <w:sz w:val="20"/>
          <w:szCs w:val="20"/>
        </w:rPr>
        <w:t>Phi</w:t>
      </w:r>
      <w:proofErr w:type="spellEnd"/>
      <w:r>
        <w:rPr>
          <w:rFonts w:ascii="Courier New" w:hAnsi="Courier New" w:cs="Courier New"/>
          <w:color w:val="000000"/>
          <w:sz w:val="20"/>
          <w:szCs w:val="20"/>
        </w:rPr>
        <w:t>;</w:t>
      </w:r>
      <w:proofErr w:type="gramEnd"/>
    </w:p>
    <w:p w14:paraId="3F34987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else</w:t>
      </w:r>
      <w:r>
        <w:rPr>
          <w:rFonts w:ascii="Courier New" w:hAnsi="Courier New" w:cs="Courier New"/>
          <w:color w:val="000000"/>
          <w:sz w:val="20"/>
          <w:szCs w:val="20"/>
        </w:rPr>
        <w:t xml:space="preserve"> phi = </w:t>
      </w:r>
      <w:proofErr w:type="gramStart"/>
      <w:r>
        <w:rPr>
          <w:rFonts w:ascii="Courier New" w:hAnsi="Courier New" w:cs="Courier New"/>
          <w:color w:val="000000"/>
          <w:sz w:val="20"/>
          <w:szCs w:val="20"/>
        </w:rPr>
        <w:t>phi;</w:t>
      </w:r>
      <w:proofErr w:type="gramEnd"/>
    </w:p>
    <w:p w14:paraId="5FCAEAF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06A60E9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w=1:n</w:t>
      </w:r>
    </w:p>
    <w:p w14:paraId="2B8A2AB8"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Int(i,j+1,w) = Int(i-1,j+1,w)*(1-((</w:t>
      </w:r>
      <w:proofErr w:type="spellStart"/>
      <w:r>
        <w:rPr>
          <w:rFonts w:ascii="Courier New" w:hAnsi="Courier New" w:cs="Courier New"/>
          <w:color w:val="000000"/>
          <w:sz w:val="20"/>
          <w:szCs w:val="20"/>
        </w:rPr>
        <w:t>e_i</w:t>
      </w:r>
      <w:proofErr w:type="spellEnd"/>
      <w:r>
        <w:rPr>
          <w:rFonts w:ascii="Courier New" w:hAnsi="Courier New" w:cs="Courier New"/>
          <w:color w:val="000000"/>
          <w:sz w:val="20"/>
          <w:szCs w:val="20"/>
        </w:rPr>
        <w:t xml:space="preserve">(w)*Con(i-1,j+1))+ </w:t>
      </w:r>
      <w:proofErr w:type="spellStart"/>
      <w:r>
        <w:rPr>
          <w:rFonts w:ascii="Courier New" w:hAnsi="Courier New" w:cs="Courier New"/>
          <w:color w:val="000000"/>
          <w:sz w:val="20"/>
          <w:szCs w:val="20"/>
        </w:rPr>
        <w:t>A_m</w:t>
      </w:r>
      <w:proofErr w:type="spellEnd"/>
      <w:r>
        <w:rPr>
          <w:rFonts w:ascii="Courier New" w:hAnsi="Courier New" w:cs="Courier New"/>
          <w:color w:val="000000"/>
          <w:sz w:val="20"/>
          <w:szCs w:val="20"/>
        </w:rPr>
        <w:t>(w))*log(10)*dx</w:t>
      </w:r>
      <w:proofErr w:type="gramStart"/>
      <w:r>
        <w:rPr>
          <w:rFonts w:ascii="Courier New" w:hAnsi="Courier New" w:cs="Courier New"/>
          <w:color w:val="000000"/>
          <w:sz w:val="20"/>
          <w:szCs w:val="20"/>
        </w:rPr>
        <w:t>);</w:t>
      </w:r>
      <w:proofErr w:type="gramEnd"/>
      <w:r>
        <w:rPr>
          <w:rFonts w:ascii="Courier New" w:hAnsi="Courier New" w:cs="Courier New"/>
          <w:color w:val="000000"/>
          <w:sz w:val="20"/>
          <w:szCs w:val="20"/>
        </w:rPr>
        <w:t xml:space="preserve"> </w:t>
      </w:r>
    </w:p>
    <w:p w14:paraId="6E959E5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7CE89D70"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02ECBB1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lastRenderedPageBreak/>
        <w:t>end</w:t>
      </w:r>
    </w:p>
    <w:p w14:paraId="4ED310E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 xml:space="preserve"> </w:t>
      </w:r>
    </w:p>
    <w:p w14:paraId="123BCE01"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28009"/>
          <w:sz w:val="20"/>
          <w:szCs w:val="20"/>
        </w:rPr>
        <w:t>%Rate of photoinitiator generation</w:t>
      </w:r>
    </w:p>
    <w:p w14:paraId="1B5AB84F" w14:textId="77777777" w:rsidR="001165FF" w:rsidRDefault="001165FF" w:rsidP="001165FF">
      <w:pPr>
        <w:autoSpaceDE w:val="0"/>
        <w:autoSpaceDN w:val="0"/>
        <w:adjustRightInd w:val="0"/>
        <w:rPr>
          <w:rFonts w:ascii="Courier New" w:hAnsi="Courier New" w:cs="Courier New"/>
        </w:rPr>
      </w:pPr>
      <w:proofErr w:type="spellStart"/>
      <w:r>
        <w:rPr>
          <w:rFonts w:ascii="Courier New" w:hAnsi="Courier New" w:cs="Courier New"/>
          <w:color w:val="000000"/>
          <w:sz w:val="20"/>
          <w:szCs w:val="20"/>
        </w:rPr>
        <w:t>R_i</w:t>
      </w:r>
      <w:proofErr w:type="spellEnd"/>
      <w:r>
        <w:rPr>
          <w:rFonts w:ascii="Courier New" w:hAnsi="Courier New" w:cs="Courier New"/>
          <w:color w:val="000000"/>
          <w:sz w:val="20"/>
          <w:szCs w:val="20"/>
        </w:rPr>
        <w:t xml:space="preserve"> = zeros(length(t)+1,length(x));  </w:t>
      </w:r>
      <w:r>
        <w:rPr>
          <w:rFonts w:ascii="Courier New" w:hAnsi="Courier New" w:cs="Courier New"/>
          <w:color w:val="028009"/>
          <w:sz w:val="20"/>
          <w:szCs w:val="20"/>
        </w:rPr>
        <w:t>% 2D is time x depth</w:t>
      </w:r>
    </w:p>
    <w:p w14:paraId="025D6E2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sum = zeros(length(t)+1,length(x));  </w:t>
      </w:r>
      <w:r>
        <w:rPr>
          <w:rFonts w:ascii="Courier New" w:hAnsi="Courier New" w:cs="Courier New"/>
          <w:color w:val="028009"/>
          <w:sz w:val="20"/>
          <w:szCs w:val="20"/>
        </w:rPr>
        <w:t>% 2D is time x depth</w:t>
      </w:r>
    </w:p>
    <w:p w14:paraId="55581554"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col_1 = zeros(length(t)+1,n);  </w:t>
      </w:r>
      <w:r>
        <w:rPr>
          <w:rFonts w:ascii="Courier New" w:hAnsi="Courier New" w:cs="Courier New"/>
          <w:color w:val="000000"/>
          <w:sz w:val="20"/>
          <w:szCs w:val="20"/>
        </w:rPr>
        <w:tab/>
        <w:t xml:space="preserve"> </w:t>
      </w:r>
      <w:r>
        <w:rPr>
          <w:rFonts w:ascii="Courier New" w:hAnsi="Courier New" w:cs="Courier New"/>
          <w:color w:val="028009"/>
          <w:sz w:val="20"/>
          <w:szCs w:val="20"/>
        </w:rPr>
        <w:t xml:space="preserve">% check for column 1 </w:t>
      </w:r>
    </w:p>
    <w:p w14:paraId="2F3709B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=1:n</w:t>
      </w:r>
    </w:p>
    <w:p w14:paraId="6D7C85E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col_1 </w:t>
      </w:r>
      <w:proofErr w:type="gramStart"/>
      <w:r>
        <w:rPr>
          <w:rFonts w:ascii="Courier New" w:hAnsi="Courier New" w:cs="Courier New"/>
          <w:color w:val="000000"/>
          <w:sz w:val="20"/>
          <w:szCs w:val="20"/>
        </w:rPr>
        <w:t>(:,</w:t>
      </w:r>
      <w:proofErr w:type="spellStart"/>
      <w:proofErr w:type="gramEnd"/>
      <w:r>
        <w:rPr>
          <w:rFonts w:ascii="Courier New" w:hAnsi="Courier New" w:cs="Courier New"/>
          <w:color w:val="000000"/>
          <w:sz w:val="20"/>
          <w:szCs w:val="20"/>
        </w:rPr>
        <w:t>i</w:t>
      </w:r>
      <w:proofErr w:type="spellEnd"/>
      <w:r>
        <w:rPr>
          <w:rFonts w:ascii="Courier New" w:hAnsi="Courier New" w:cs="Courier New"/>
          <w:color w:val="000000"/>
          <w:sz w:val="20"/>
          <w:szCs w:val="20"/>
        </w:rPr>
        <w:t xml:space="preserve">)= Int(:,1,i);   </w:t>
      </w:r>
    </w:p>
    <w:p w14:paraId="5D2AA3C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end</w:t>
      </w:r>
    </w:p>
    <w:p w14:paraId="47D9B247"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 xml:space="preserve"> </w:t>
      </w:r>
    </w:p>
    <w:p w14:paraId="05993559"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E00FF"/>
          <w:sz w:val="20"/>
          <w:szCs w:val="20"/>
        </w:rPr>
        <w:t>for</w:t>
      </w: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i</w:t>
      </w:r>
      <w:proofErr w:type="spellEnd"/>
      <w:r>
        <w:rPr>
          <w:rFonts w:ascii="Courier New" w:hAnsi="Courier New" w:cs="Courier New"/>
          <w:color w:val="000000"/>
          <w:sz w:val="20"/>
          <w:szCs w:val="20"/>
        </w:rPr>
        <w:t>=1:length(t)</w:t>
      </w:r>
    </w:p>
    <w:p w14:paraId="61A04BDB"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j=1:length(x)</w:t>
      </w:r>
    </w:p>
    <w:p w14:paraId="5D8AF70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for</w:t>
      </w:r>
      <w:r>
        <w:rPr>
          <w:rFonts w:ascii="Courier New" w:hAnsi="Courier New" w:cs="Courier New"/>
          <w:color w:val="000000"/>
          <w:sz w:val="20"/>
          <w:szCs w:val="20"/>
        </w:rPr>
        <w:t xml:space="preserve"> w=1:n</w:t>
      </w:r>
    </w:p>
    <w:p w14:paraId="3734E6D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sum(</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 = sum(</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)+phi*</w:t>
      </w:r>
      <w:proofErr w:type="spellStart"/>
      <w:r>
        <w:rPr>
          <w:rFonts w:ascii="Courier New" w:hAnsi="Courier New" w:cs="Courier New"/>
          <w:color w:val="000000"/>
          <w:sz w:val="20"/>
          <w:szCs w:val="20"/>
        </w:rPr>
        <w:t>e_i</w:t>
      </w:r>
      <w:proofErr w:type="spellEnd"/>
      <w:r>
        <w:rPr>
          <w:rFonts w:ascii="Courier New" w:hAnsi="Courier New" w:cs="Courier New"/>
          <w:color w:val="000000"/>
          <w:sz w:val="20"/>
          <w:szCs w:val="20"/>
        </w:rPr>
        <w:t>(w)*Int(</w:t>
      </w:r>
      <w:proofErr w:type="spellStart"/>
      <w:r>
        <w:rPr>
          <w:rFonts w:ascii="Courier New" w:hAnsi="Courier New" w:cs="Courier New"/>
          <w:color w:val="000000"/>
          <w:sz w:val="20"/>
          <w:szCs w:val="20"/>
        </w:rPr>
        <w:t>i,j,w</w:t>
      </w:r>
      <w:proofErr w:type="spellEnd"/>
      <w:proofErr w:type="gramStart"/>
      <w:r>
        <w:rPr>
          <w:rFonts w:ascii="Courier New" w:hAnsi="Courier New" w:cs="Courier New"/>
          <w:color w:val="000000"/>
          <w:sz w:val="20"/>
          <w:szCs w:val="20"/>
        </w:rPr>
        <w:t>);</w:t>
      </w:r>
      <w:proofErr w:type="gramEnd"/>
    </w:p>
    <w:p w14:paraId="0389CC7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587671DC"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proofErr w:type="spellStart"/>
      <w:r>
        <w:rPr>
          <w:rFonts w:ascii="Courier New" w:hAnsi="Courier New" w:cs="Courier New"/>
          <w:color w:val="000000"/>
          <w:sz w:val="20"/>
          <w:szCs w:val="20"/>
        </w:rPr>
        <w:t>R_i</w:t>
      </w:r>
      <w:proofErr w:type="spellEnd"/>
      <w:r>
        <w:rPr>
          <w:rFonts w:ascii="Courier New" w:hAnsi="Courier New" w:cs="Courier New"/>
          <w:color w:val="000000"/>
          <w:sz w:val="20"/>
          <w:szCs w:val="20"/>
        </w:rPr>
        <w:t>(</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 = 2*Con(</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)*sum(</w:t>
      </w:r>
      <w:proofErr w:type="spellStart"/>
      <w:r>
        <w:rPr>
          <w:rFonts w:ascii="Courier New" w:hAnsi="Courier New" w:cs="Courier New"/>
          <w:color w:val="000000"/>
          <w:sz w:val="20"/>
          <w:szCs w:val="20"/>
        </w:rPr>
        <w:t>i,j</w:t>
      </w:r>
      <w:proofErr w:type="spellEnd"/>
      <w:proofErr w:type="gramStart"/>
      <w:r>
        <w:rPr>
          <w:rFonts w:ascii="Courier New" w:hAnsi="Courier New" w:cs="Courier New"/>
          <w:color w:val="000000"/>
          <w:sz w:val="20"/>
          <w:szCs w:val="20"/>
        </w:rPr>
        <w:t>);</w:t>
      </w:r>
      <w:proofErr w:type="gramEnd"/>
    </w:p>
    <w:p w14:paraId="52FAE355"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if</w:t>
      </w:r>
      <w:r>
        <w:rPr>
          <w:rFonts w:ascii="Courier New" w:hAnsi="Courier New" w:cs="Courier New"/>
          <w:color w:val="000000"/>
          <w:sz w:val="20"/>
          <w:szCs w:val="20"/>
        </w:rPr>
        <w:t xml:space="preserve"> (Con(</w:t>
      </w:r>
      <w:proofErr w:type="spellStart"/>
      <w:r>
        <w:rPr>
          <w:rFonts w:ascii="Courier New" w:hAnsi="Courier New" w:cs="Courier New"/>
          <w:color w:val="000000"/>
          <w:sz w:val="20"/>
          <w:szCs w:val="20"/>
        </w:rPr>
        <w:t>i,j</w:t>
      </w:r>
      <w:proofErr w:type="spellEnd"/>
      <w:r>
        <w:rPr>
          <w:rFonts w:ascii="Courier New" w:hAnsi="Courier New" w:cs="Courier New"/>
          <w:color w:val="000000"/>
          <w:sz w:val="20"/>
          <w:szCs w:val="20"/>
        </w:rPr>
        <w:t xml:space="preserve">)&lt;= </w:t>
      </w:r>
      <w:proofErr w:type="spellStart"/>
      <w:r>
        <w:rPr>
          <w:rFonts w:ascii="Courier New" w:hAnsi="Courier New" w:cs="Courier New"/>
          <w:color w:val="000000"/>
          <w:sz w:val="20"/>
          <w:szCs w:val="20"/>
        </w:rPr>
        <w:t>min_Con</w:t>
      </w:r>
      <w:proofErr w:type="spellEnd"/>
      <w:r>
        <w:rPr>
          <w:rFonts w:ascii="Courier New" w:hAnsi="Courier New" w:cs="Courier New"/>
          <w:color w:val="000000"/>
          <w:sz w:val="20"/>
          <w:szCs w:val="20"/>
        </w:rPr>
        <w:t>)</w:t>
      </w:r>
    </w:p>
    <w:p w14:paraId="7DF0089F"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phi = </w:t>
      </w:r>
      <w:proofErr w:type="spellStart"/>
      <w:r>
        <w:rPr>
          <w:rFonts w:ascii="Courier New" w:hAnsi="Courier New" w:cs="Courier New"/>
          <w:color w:val="000000"/>
          <w:sz w:val="20"/>
          <w:szCs w:val="20"/>
        </w:rPr>
        <w:t>new_</w:t>
      </w:r>
      <w:proofErr w:type="gramStart"/>
      <w:r>
        <w:rPr>
          <w:rFonts w:ascii="Courier New" w:hAnsi="Courier New" w:cs="Courier New"/>
          <w:color w:val="000000"/>
          <w:sz w:val="20"/>
          <w:szCs w:val="20"/>
        </w:rPr>
        <w:t>Phi</w:t>
      </w:r>
      <w:proofErr w:type="spellEnd"/>
      <w:r>
        <w:rPr>
          <w:rFonts w:ascii="Courier New" w:hAnsi="Courier New" w:cs="Courier New"/>
          <w:color w:val="000000"/>
          <w:sz w:val="20"/>
          <w:szCs w:val="20"/>
        </w:rPr>
        <w:t>;</w:t>
      </w:r>
      <w:proofErr w:type="gramEnd"/>
    </w:p>
    <w:p w14:paraId="7C87A64E"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else</w:t>
      </w:r>
      <w:r>
        <w:rPr>
          <w:rFonts w:ascii="Courier New" w:hAnsi="Courier New" w:cs="Courier New"/>
          <w:color w:val="000000"/>
          <w:sz w:val="20"/>
          <w:szCs w:val="20"/>
        </w:rPr>
        <w:t xml:space="preserve"> phi = </w:t>
      </w:r>
      <w:proofErr w:type="gramStart"/>
      <w:r>
        <w:rPr>
          <w:rFonts w:ascii="Courier New" w:hAnsi="Courier New" w:cs="Courier New"/>
          <w:color w:val="000000"/>
          <w:sz w:val="20"/>
          <w:szCs w:val="20"/>
        </w:rPr>
        <w:t>phi;</w:t>
      </w:r>
      <w:proofErr w:type="gramEnd"/>
    </w:p>
    <w:p w14:paraId="7B0409ED"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64FDB238" w14:textId="77777777" w:rsidR="001165FF" w:rsidRDefault="001165FF" w:rsidP="001165FF">
      <w:pPr>
        <w:autoSpaceDE w:val="0"/>
        <w:autoSpaceDN w:val="0"/>
        <w:adjustRightInd w:val="0"/>
        <w:rPr>
          <w:rFonts w:ascii="Courier New" w:hAnsi="Courier New" w:cs="Courier New"/>
        </w:rPr>
      </w:pPr>
      <w:r>
        <w:rPr>
          <w:rFonts w:ascii="Courier New" w:hAnsi="Courier New" w:cs="Courier New"/>
          <w:color w:val="000000"/>
          <w:sz w:val="20"/>
          <w:szCs w:val="20"/>
        </w:rPr>
        <w:t xml:space="preserve">    </w:t>
      </w:r>
      <w:r>
        <w:rPr>
          <w:rFonts w:ascii="Courier New" w:hAnsi="Courier New" w:cs="Courier New"/>
          <w:color w:val="0E00FF"/>
          <w:sz w:val="20"/>
          <w:szCs w:val="20"/>
        </w:rPr>
        <w:t>end</w:t>
      </w:r>
    </w:p>
    <w:p w14:paraId="0373ECE2" w14:textId="30B3061A" w:rsidR="001165FF" w:rsidRPr="00803630" w:rsidRDefault="001165FF" w:rsidP="00803630">
      <w:pPr>
        <w:autoSpaceDE w:val="0"/>
        <w:autoSpaceDN w:val="0"/>
        <w:adjustRightInd w:val="0"/>
        <w:rPr>
          <w:rFonts w:ascii="Courier New" w:hAnsi="Courier New" w:cs="Courier New"/>
        </w:rPr>
      </w:pPr>
      <w:r>
        <w:rPr>
          <w:rFonts w:ascii="Courier New" w:hAnsi="Courier New" w:cs="Courier New"/>
          <w:color w:val="0E00FF"/>
          <w:sz w:val="20"/>
          <w:szCs w:val="20"/>
        </w:rPr>
        <w:t>end</w:t>
      </w:r>
    </w:p>
    <w:p w14:paraId="11533DB2" w14:textId="1F9F39CF" w:rsidR="001165FF" w:rsidRDefault="001165FF" w:rsidP="001165FF"/>
    <w:p w14:paraId="3A7985BA" w14:textId="77777777" w:rsidR="003E5A9C" w:rsidRDefault="003E5A9C" w:rsidP="001165FF"/>
    <w:p w14:paraId="417293DB" w14:textId="77777777" w:rsidR="001165FF" w:rsidRDefault="001165FF" w:rsidP="009D06D1">
      <w:pPr>
        <w:pStyle w:val="Heading3"/>
      </w:pPr>
      <w:bookmarkStart w:id="321" w:name="_Toc101701825"/>
      <w:r>
        <w:t>Values for BAPO molar absorptivity</w:t>
      </w:r>
      <w:bookmarkEnd w:id="321"/>
    </w:p>
    <w:p w14:paraId="639F0941" w14:textId="77777777" w:rsidR="001165FF" w:rsidRDefault="001165FF" w:rsidP="001165FF"/>
    <w:p w14:paraId="6732F48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1506</w:t>
      </w:r>
    </w:p>
    <w:p w14:paraId="28DAD64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1432</w:t>
      </w:r>
    </w:p>
    <w:p w14:paraId="6E5C0ED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1370</w:t>
      </w:r>
    </w:p>
    <w:p w14:paraId="5CB2BAF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1309</w:t>
      </w:r>
    </w:p>
    <w:p w14:paraId="4FBB02E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1254</w:t>
      </w:r>
    </w:p>
    <w:p w14:paraId="546C013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1207</w:t>
      </w:r>
    </w:p>
    <w:p w14:paraId="4E782B0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1161</w:t>
      </w:r>
    </w:p>
    <w:p w14:paraId="7318337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1120</w:t>
      </w:r>
    </w:p>
    <w:p w14:paraId="027A45D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1083</w:t>
      </w:r>
    </w:p>
    <w:p w14:paraId="27D680E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1057</w:t>
      </w:r>
    </w:p>
    <w:p w14:paraId="6B1C0D6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1030</w:t>
      </w:r>
    </w:p>
    <w:p w14:paraId="2E3B70C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1013</w:t>
      </w:r>
    </w:p>
    <w:p w14:paraId="3962510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1004</w:t>
      </w:r>
    </w:p>
    <w:p w14:paraId="0BCBE92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995</w:t>
      </w:r>
    </w:p>
    <w:p w14:paraId="28BCC5C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997</w:t>
      </w:r>
    </w:p>
    <w:p w14:paraId="6CFB3A4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1006</w:t>
      </w:r>
    </w:p>
    <w:p w14:paraId="7CF6B1D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1022</w:t>
      </w:r>
    </w:p>
    <w:p w14:paraId="1F118A6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1027</w:t>
      </w:r>
    </w:p>
    <w:p w14:paraId="7EF770A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1044</w:t>
      </w:r>
    </w:p>
    <w:p w14:paraId="75A98B5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1052</w:t>
      </w:r>
    </w:p>
    <w:p w14:paraId="045345F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1074</w:t>
      </w:r>
    </w:p>
    <w:p w14:paraId="09B0324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1080</w:t>
      </w:r>
    </w:p>
    <w:p w14:paraId="4786B3C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1081</w:t>
      </w:r>
    </w:p>
    <w:p w14:paraId="15AC94A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1081</w:t>
      </w:r>
    </w:p>
    <w:p w14:paraId="18D02BC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1076</w:t>
      </w:r>
    </w:p>
    <w:p w14:paraId="052B577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1062</w:t>
      </w:r>
    </w:p>
    <w:p w14:paraId="6AC74D9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lastRenderedPageBreak/>
        <w:t>1046</w:t>
      </w:r>
    </w:p>
    <w:p w14:paraId="7AF8802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1022</w:t>
      </w:r>
    </w:p>
    <w:p w14:paraId="2A586FF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1008</w:t>
      </w:r>
    </w:p>
    <w:p w14:paraId="1DCB576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986</w:t>
      </w:r>
    </w:p>
    <w:p w14:paraId="1CE5D98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972</w:t>
      </w:r>
    </w:p>
    <w:p w14:paraId="38D5C25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956</w:t>
      </w:r>
    </w:p>
    <w:p w14:paraId="7B8E52D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946</w:t>
      </w:r>
    </w:p>
    <w:p w14:paraId="1E0CA88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937</w:t>
      </w:r>
    </w:p>
    <w:p w14:paraId="66AABD6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930</w:t>
      </w:r>
    </w:p>
    <w:p w14:paraId="3F3006C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921</w:t>
      </w:r>
    </w:p>
    <w:p w14:paraId="3080161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909</w:t>
      </w:r>
    </w:p>
    <w:p w14:paraId="3CDD6E5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897</w:t>
      </w:r>
    </w:p>
    <w:p w14:paraId="15DED99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886</w:t>
      </w:r>
    </w:p>
    <w:p w14:paraId="214E7BD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872</w:t>
      </w:r>
    </w:p>
    <w:p w14:paraId="5AF1452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860</w:t>
      </w:r>
    </w:p>
    <w:p w14:paraId="74F72B3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849</w:t>
      </w:r>
    </w:p>
    <w:p w14:paraId="4942618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837</w:t>
      </w:r>
    </w:p>
    <w:p w14:paraId="12A3816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819</w:t>
      </w:r>
    </w:p>
    <w:p w14:paraId="25A9448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810</w:t>
      </w:r>
    </w:p>
    <w:p w14:paraId="69B7F57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798</w:t>
      </w:r>
    </w:p>
    <w:p w14:paraId="5151D0E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794</w:t>
      </w:r>
    </w:p>
    <w:p w14:paraId="4AC8A1A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779</w:t>
      </w:r>
    </w:p>
    <w:p w14:paraId="0DEEA58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768</w:t>
      </w:r>
    </w:p>
    <w:p w14:paraId="1750799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761</w:t>
      </w:r>
    </w:p>
    <w:p w14:paraId="055672E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750</w:t>
      </w:r>
    </w:p>
    <w:p w14:paraId="6081B1F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733</w:t>
      </w:r>
    </w:p>
    <w:p w14:paraId="6A966D6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720</w:t>
      </w:r>
    </w:p>
    <w:p w14:paraId="27F1277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701</w:t>
      </w:r>
    </w:p>
    <w:p w14:paraId="69831E5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680</w:t>
      </w:r>
    </w:p>
    <w:p w14:paraId="66311A2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653</w:t>
      </w:r>
    </w:p>
    <w:p w14:paraId="04C5E6E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631</w:t>
      </w:r>
    </w:p>
    <w:p w14:paraId="3737C20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602</w:t>
      </w:r>
    </w:p>
    <w:p w14:paraId="711B2A0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574</w:t>
      </w:r>
    </w:p>
    <w:p w14:paraId="3A295F0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548</w:t>
      </w:r>
    </w:p>
    <w:p w14:paraId="602FB12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511</w:t>
      </w:r>
    </w:p>
    <w:p w14:paraId="20AC6A6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486</w:t>
      </w:r>
    </w:p>
    <w:p w14:paraId="1179E81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461</w:t>
      </w:r>
    </w:p>
    <w:p w14:paraId="0CC8FCC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435</w:t>
      </w:r>
    </w:p>
    <w:p w14:paraId="1595B93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405</w:t>
      </w:r>
    </w:p>
    <w:p w14:paraId="2BEEDD1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380</w:t>
      </w:r>
    </w:p>
    <w:p w14:paraId="05A506C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352</w:t>
      </w:r>
    </w:p>
    <w:p w14:paraId="27022CC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333</w:t>
      </w:r>
    </w:p>
    <w:p w14:paraId="197CAD6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310</w:t>
      </w:r>
    </w:p>
    <w:p w14:paraId="5F1428F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291</w:t>
      </w:r>
    </w:p>
    <w:p w14:paraId="23749DE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268</w:t>
      </w:r>
    </w:p>
    <w:p w14:paraId="4BDB027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255</w:t>
      </w:r>
    </w:p>
    <w:p w14:paraId="2BFA244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238</w:t>
      </w:r>
    </w:p>
    <w:p w14:paraId="364EDFE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225</w:t>
      </w:r>
    </w:p>
    <w:p w14:paraId="0AF19E6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208</w:t>
      </w:r>
    </w:p>
    <w:p w14:paraId="7255BEC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192</w:t>
      </w:r>
    </w:p>
    <w:p w14:paraId="5E8607A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183</w:t>
      </w:r>
    </w:p>
    <w:p w14:paraId="56E086A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171</w:t>
      </w:r>
    </w:p>
    <w:p w14:paraId="7E99BD1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151</w:t>
      </w:r>
    </w:p>
    <w:p w14:paraId="6AF7AC5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143</w:t>
      </w:r>
    </w:p>
    <w:p w14:paraId="3A9C4E9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lastRenderedPageBreak/>
        <w:t>132</w:t>
      </w:r>
    </w:p>
    <w:p w14:paraId="1980CD5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113</w:t>
      </w:r>
    </w:p>
    <w:p w14:paraId="7D52DA3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102</w:t>
      </w:r>
    </w:p>
    <w:p w14:paraId="6E8B99F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92</w:t>
      </w:r>
    </w:p>
    <w:p w14:paraId="7C9DCAE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83</w:t>
      </w:r>
    </w:p>
    <w:p w14:paraId="4C7CFE3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76</w:t>
      </w:r>
    </w:p>
    <w:p w14:paraId="7231742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70</w:t>
      </w:r>
    </w:p>
    <w:p w14:paraId="6E41AC6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62</w:t>
      </w:r>
    </w:p>
    <w:p w14:paraId="6880842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51</w:t>
      </w:r>
    </w:p>
    <w:p w14:paraId="255B7D3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46</w:t>
      </w:r>
    </w:p>
    <w:p w14:paraId="41DEF8F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41</w:t>
      </w:r>
    </w:p>
    <w:p w14:paraId="2202546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30</w:t>
      </w:r>
    </w:p>
    <w:p w14:paraId="4E6DCFF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32</w:t>
      </w:r>
    </w:p>
    <w:p w14:paraId="65D0D01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28</w:t>
      </w:r>
    </w:p>
    <w:p w14:paraId="16CBB82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21</w:t>
      </w:r>
    </w:p>
    <w:p w14:paraId="20649A0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21</w:t>
      </w:r>
    </w:p>
    <w:p w14:paraId="4E7664B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18</w:t>
      </w:r>
    </w:p>
    <w:p w14:paraId="2F02E70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w:t>
      </w:r>
    </w:p>
    <w:p w14:paraId="1D66890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w:t>
      </w:r>
    </w:p>
    <w:p w14:paraId="01A3D14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w:t>
      </w:r>
    </w:p>
    <w:p w14:paraId="04A11ED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w:t>
      </w:r>
    </w:p>
    <w:p w14:paraId="3428C37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w:t>
      </w:r>
    </w:p>
    <w:p w14:paraId="1AE0B69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w:t>
      </w:r>
    </w:p>
    <w:p w14:paraId="39CA669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w:t>
      </w:r>
    </w:p>
    <w:p w14:paraId="24CD630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w:t>
      </w:r>
    </w:p>
    <w:p w14:paraId="765C513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w:t>
      </w:r>
    </w:p>
    <w:p w14:paraId="4EA39C3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w:t>
      </w:r>
    </w:p>
    <w:p w14:paraId="75ADCF7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w:t>
      </w:r>
    </w:p>
    <w:p w14:paraId="27FCD30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w:t>
      </w:r>
    </w:p>
    <w:p w14:paraId="2937D85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w:t>
      </w:r>
    </w:p>
    <w:p w14:paraId="213390FB" w14:textId="5EFDF11B" w:rsidR="001165FF" w:rsidRPr="00803630" w:rsidRDefault="001165FF" w:rsidP="00803630">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w:t>
      </w:r>
    </w:p>
    <w:p w14:paraId="524DA4A1" w14:textId="640BD268" w:rsidR="001165FF" w:rsidRDefault="001165FF" w:rsidP="001165FF"/>
    <w:p w14:paraId="3493C1CA" w14:textId="77777777" w:rsidR="003E5A9C" w:rsidRDefault="003E5A9C" w:rsidP="001165FF"/>
    <w:p w14:paraId="07B19E37" w14:textId="77777777" w:rsidR="001165FF" w:rsidRDefault="001165FF" w:rsidP="009D06D1">
      <w:pPr>
        <w:pStyle w:val="Heading3"/>
      </w:pPr>
      <w:bookmarkStart w:id="322" w:name="_Toc101701826"/>
      <w:r>
        <w:t>Values for 25% Power Lamp Output</w:t>
      </w:r>
      <w:bookmarkEnd w:id="322"/>
    </w:p>
    <w:p w14:paraId="440F62C5" w14:textId="77777777" w:rsidR="001165FF" w:rsidRDefault="001165FF" w:rsidP="001165FF"/>
    <w:p w14:paraId="1D4D01A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0.535037</w:t>
      </w:r>
    </w:p>
    <w:p w14:paraId="2E450E3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0.493503</w:t>
      </w:r>
    </w:p>
    <w:p w14:paraId="2A3FA78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0.409183</w:t>
      </w:r>
    </w:p>
    <w:p w14:paraId="6709D0E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0.468773</w:t>
      </w:r>
    </w:p>
    <w:p w14:paraId="7EA14F3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0.625827</w:t>
      </w:r>
    </w:p>
    <w:p w14:paraId="0D67F9F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0.764067</w:t>
      </w:r>
    </w:p>
    <w:p w14:paraId="68EE746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0.789053</w:t>
      </w:r>
    </w:p>
    <w:p w14:paraId="1EF4087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0.727597</w:t>
      </w:r>
    </w:p>
    <w:p w14:paraId="12F61C9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0.768070</w:t>
      </w:r>
    </w:p>
    <w:p w14:paraId="06B3B8C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0.905370</w:t>
      </w:r>
    </w:p>
    <w:p w14:paraId="37C38D2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0.964910</w:t>
      </w:r>
    </w:p>
    <w:p w14:paraId="640B884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0.871053</w:t>
      </w:r>
    </w:p>
    <w:p w14:paraId="29780DF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0.964157</w:t>
      </w:r>
    </w:p>
    <w:p w14:paraId="7DBBC3F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0.978117</w:t>
      </w:r>
    </w:p>
    <w:p w14:paraId="2758FC3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0.929467</w:t>
      </w:r>
    </w:p>
    <w:p w14:paraId="1BD1D4E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1.089627</w:t>
      </w:r>
    </w:p>
    <w:p w14:paraId="5BE2725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1.211100</w:t>
      </w:r>
    </w:p>
    <w:p w14:paraId="1949898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lastRenderedPageBreak/>
        <w:t>1.387167</w:t>
      </w:r>
    </w:p>
    <w:p w14:paraId="352E385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1.468767</w:t>
      </w:r>
    </w:p>
    <w:p w14:paraId="493541B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1.323867</w:t>
      </w:r>
    </w:p>
    <w:p w14:paraId="1B26117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1.320800</w:t>
      </w:r>
    </w:p>
    <w:p w14:paraId="1E781CB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1.456000</w:t>
      </w:r>
    </w:p>
    <w:p w14:paraId="00F1FA8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1.656400</w:t>
      </w:r>
    </w:p>
    <w:p w14:paraId="5E24344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1.998000</w:t>
      </w:r>
    </w:p>
    <w:p w14:paraId="2DF5721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2.318300</w:t>
      </w:r>
    </w:p>
    <w:p w14:paraId="3C269E7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2.708433</w:t>
      </w:r>
    </w:p>
    <w:p w14:paraId="309936D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2.960633</w:t>
      </w:r>
    </w:p>
    <w:p w14:paraId="00D964C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3.275867</w:t>
      </w:r>
    </w:p>
    <w:p w14:paraId="2EFC8A4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3.916100</w:t>
      </w:r>
    </w:p>
    <w:p w14:paraId="29527B8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4.709100</w:t>
      </w:r>
    </w:p>
    <w:p w14:paraId="5C5A8B7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5.540733</w:t>
      </w:r>
    </w:p>
    <w:p w14:paraId="18A4BE5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6.527333</w:t>
      </w:r>
    </w:p>
    <w:p w14:paraId="0325EB1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7.870100</w:t>
      </w:r>
    </w:p>
    <w:p w14:paraId="60B7A32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9.650433</w:t>
      </w:r>
    </w:p>
    <w:p w14:paraId="7FFAB69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12.037000</w:t>
      </w:r>
    </w:p>
    <w:p w14:paraId="503B517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15.043333</w:t>
      </w:r>
    </w:p>
    <w:p w14:paraId="0EB0115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18.993667</w:t>
      </w:r>
    </w:p>
    <w:p w14:paraId="13957C9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23.710667</w:t>
      </w:r>
    </w:p>
    <w:p w14:paraId="68DA563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29.759000</w:t>
      </w:r>
    </w:p>
    <w:p w14:paraId="1B2B861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37.275667</w:t>
      </w:r>
    </w:p>
    <w:p w14:paraId="6FC47DC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45.821000</w:t>
      </w:r>
    </w:p>
    <w:p w14:paraId="6019BEB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56.618000</w:t>
      </w:r>
    </w:p>
    <w:p w14:paraId="56B7404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70.369000</w:t>
      </w:r>
    </w:p>
    <w:p w14:paraId="4F2A126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86.590667</w:t>
      </w:r>
    </w:p>
    <w:p w14:paraId="1C0FCF4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106.213333</w:t>
      </w:r>
    </w:p>
    <w:p w14:paraId="258EDD6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130.170000</w:t>
      </w:r>
    </w:p>
    <w:p w14:paraId="74D0D51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157.406667</w:t>
      </w:r>
    </w:p>
    <w:p w14:paraId="0A8BCC4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186.783333</w:t>
      </w:r>
    </w:p>
    <w:p w14:paraId="3029135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219.890000</w:t>
      </w:r>
    </w:p>
    <w:p w14:paraId="32D6DB8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259.260000</w:t>
      </w:r>
    </w:p>
    <w:p w14:paraId="77AF858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294.896667</w:t>
      </w:r>
    </w:p>
    <w:p w14:paraId="23A1950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324.140000</w:t>
      </w:r>
    </w:p>
    <w:p w14:paraId="08E0293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346.786667</w:t>
      </w:r>
    </w:p>
    <w:p w14:paraId="1A99980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358.210000</w:t>
      </w:r>
    </w:p>
    <w:p w14:paraId="116AA3E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358.863333</w:t>
      </w:r>
    </w:p>
    <w:p w14:paraId="431EC0D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342.780000</w:t>
      </w:r>
    </w:p>
    <w:p w14:paraId="0DD7DAF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322.110000</w:t>
      </w:r>
    </w:p>
    <w:p w14:paraId="2CF8ACD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295.603333</w:t>
      </w:r>
    </w:p>
    <w:p w14:paraId="5B0BB64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260.510000</w:t>
      </w:r>
    </w:p>
    <w:p w14:paraId="6B5BC90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224.600000</w:t>
      </w:r>
    </w:p>
    <w:p w14:paraId="3B3B330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192.690000</w:t>
      </w:r>
    </w:p>
    <w:p w14:paraId="69229E7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166.420000</w:t>
      </w:r>
    </w:p>
    <w:p w14:paraId="70270BA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144.476667</w:t>
      </w:r>
    </w:p>
    <w:p w14:paraId="24F71B9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125.250000</w:t>
      </w:r>
    </w:p>
    <w:p w14:paraId="36EAA84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107.380000</w:t>
      </w:r>
    </w:p>
    <w:p w14:paraId="6345A02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93.259000</w:t>
      </w:r>
    </w:p>
    <w:p w14:paraId="011CD5A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81.438667</w:t>
      </w:r>
    </w:p>
    <w:p w14:paraId="4A3D1BF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70.556667</w:t>
      </w:r>
    </w:p>
    <w:p w14:paraId="2566CAB2"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61.294667</w:t>
      </w:r>
    </w:p>
    <w:p w14:paraId="737AC62F"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53.292000</w:t>
      </w:r>
    </w:p>
    <w:p w14:paraId="4811E9C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46.075000</w:t>
      </w:r>
    </w:p>
    <w:p w14:paraId="7241E53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lastRenderedPageBreak/>
        <w:t>39.720000</w:t>
      </w:r>
    </w:p>
    <w:p w14:paraId="65041140"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34.693667</w:t>
      </w:r>
    </w:p>
    <w:p w14:paraId="6816B82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29.869333</w:t>
      </w:r>
    </w:p>
    <w:p w14:paraId="4AA3FD0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25.822000</w:t>
      </w:r>
    </w:p>
    <w:p w14:paraId="102E99E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22.679000</w:t>
      </w:r>
    </w:p>
    <w:p w14:paraId="66D2509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19.782667</w:t>
      </w:r>
    </w:p>
    <w:p w14:paraId="2D6B64E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17.471667</w:t>
      </w:r>
    </w:p>
    <w:p w14:paraId="0C0A27B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15.384000</w:t>
      </w:r>
    </w:p>
    <w:p w14:paraId="7CA35E3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13.373333</w:t>
      </w:r>
    </w:p>
    <w:p w14:paraId="22634F8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11.738000</w:t>
      </w:r>
    </w:p>
    <w:p w14:paraId="56EEFA8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10.430000</w:t>
      </w:r>
    </w:p>
    <w:p w14:paraId="290E235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9.211133</w:t>
      </w:r>
    </w:p>
    <w:p w14:paraId="1E6EF56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8.075300</w:t>
      </w:r>
    </w:p>
    <w:p w14:paraId="21C97C1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7.243600</w:t>
      </w:r>
    </w:p>
    <w:p w14:paraId="49AA21A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6.405867</w:t>
      </w:r>
    </w:p>
    <w:p w14:paraId="1ED9A5F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5.503433</w:t>
      </w:r>
    </w:p>
    <w:p w14:paraId="1EC195BB"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4.921033</w:t>
      </w:r>
    </w:p>
    <w:p w14:paraId="0399F0F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4.293833</w:t>
      </w:r>
    </w:p>
    <w:p w14:paraId="43BDF8E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3.707400</w:t>
      </w:r>
    </w:p>
    <w:p w14:paraId="6A020F67"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3.450467</w:t>
      </w:r>
    </w:p>
    <w:p w14:paraId="6C15D4A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3.159000</w:t>
      </w:r>
    </w:p>
    <w:p w14:paraId="1C8D177E"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2.737600</w:t>
      </w:r>
    </w:p>
    <w:p w14:paraId="6BCAEF0C"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2.508800</w:t>
      </w:r>
    </w:p>
    <w:p w14:paraId="63419AFD"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2.200000</w:t>
      </w:r>
    </w:p>
    <w:p w14:paraId="66E3D10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1.926600</w:t>
      </w:r>
    </w:p>
    <w:p w14:paraId="4CD6A95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1.804000</w:t>
      </w:r>
    </w:p>
    <w:p w14:paraId="622B90D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1.716400</w:t>
      </w:r>
    </w:p>
    <w:p w14:paraId="3C5FD22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1.552300</w:t>
      </w:r>
    </w:p>
    <w:p w14:paraId="430E2AC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1.330000</w:t>
      </w:r>
    </w:p>
    <w:p w14:paraId="118B59B4"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1.151733</w:t>
      </w:r>
    </w:p>
    <w:p w14:paraId="29FD0038"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1.045073</w:t>
      </w:r>
    </w:p>
    <w:p w14:paraId="69FE362A"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0.969267</w:t>
      </w:r>
    </w:p>
    <w:p w14:paraId="5870D095"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0.929257</w:t>
      </w:r>
    </w:p>
    <w:p w14:paraId="7AFED07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0.870080</w:t>
      </w:r>
    </w:p>
    <w:p w14:paraId="1C90A4D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0.676877</w:t>
      </w:r>
    </w:p>
    <w:p w14:paraId="740FF7A9"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0.609763</w:t>
      </w:r>
    </w:p>
    <w:p w14:paraId="239CF366"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0.667380</w:t>
      </w:r>
    </w:p>
    <w:p w14:paraId="57326433"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0.597953</w:t>
      </w:r>
    </w:p>
    <w:p w14:paraId="433AD1B1" w14:textId="77777777"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0.530943</w:t>
      </w:r>
    </w:p>
    <w:p w14:paraId="75FB65A9" w14:textId="4F177498" w:rsidR="001165FF" w:rsidRDefault="001165FF" w:rsidP="001165FF">
      <w:pPr>
        <w:autoSpaceDE w:val="0"/>
        <w:autoSpaceDN w:val="0"/>
        <w:adjustRightInd w:val="0"/>
        <w:rPr>
          <w:rFonts w:ascii="Courier New" w:eastAsiaTheme="minorHAnsi" w:hAnsi="Courier New" w:cs="Courier New"/>
        </w:rPr>
      </w:pPr>
      <w:r>
        <w:rPr>
          <w:rFonts w:ascii="Courier New" w:eastAsiaTheme="minorHAnsi" w:hAnsi="Courier New" w:cs="Courier New"/>
          <w:color w:val="000000"/>
          <w:sz w:val="20"/>
          <w:szCs w:val="20"/>
        </w:rPr>
        <w:t>0.503863</w:t>
      </w:r>
    </w:p>
    <w:p w14:paraId="4877F59C" w14:textId="77892E46" w:rsidR="001165FF" w:rsidRDefault="001165FF" w:rsidP="001165FF"/>
    <w:p w14:paraId="64C13B46" w14:textId="77777777" w:rsidR="003E5A9C" w:rsidRDefault="003E5A9C" w:rsidP="001165FF"/>
    <w:p w14:paraId="3D164D32" w14:textId="2B59DF0B" w:rsidR="001165FF" w:rsidRDefault="001165FF" w:rsidP="009D06D1">
      <w:pPr>
        <w:pStyle w:val="Heading3"/>
      </w:pPr>
      <w:bookmarkStart w:id="323" w:name="_Toc101701827"/>
      <w:r>
        <w:t xml:space="preserve">Values for </w:t>
      </w:r>
      <w:r w:rsidR="00803630">
        <w:t>80:20 Bis-EMA:PETIA</w:t>
      </w:r>
      <w:r>
        <w:t xml:space="preserve"> light absorptivity</w:t>
      </w:r>
      <w:bookmarkEnd w:id="323"/>
    </w:p>
    <w:p w14:paraId="1B9C43BE" w14:textId="77777777" w:rsidR="001165FF" w:rsidRDefault="001165FF" w:rsidP="001165FF"/>
    <w:p w14:paraId="07973B58"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19.82864868</w:t>
      </w:r>
    </w:p>
    <w:p w14:paraId="4FCC494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19.47677338</w:t>
      </w:r>
    </w:p>
    <w:p w14:paraId="6B2500D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19.12489808</w:t>
      </w:r>
    </w:p>
    <w:p w14:paraId="059EFBB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18.72547206</w:t>
      </w:r>
    </w:p>
    <w:p w14:paraId="3F2BAF2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18.30702576</w:t>
      </w:r>
    </w:p>
    <w:p w14:paraId="09EBB8A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17.86004902</w:t>
      </w:r>
    </w:p>
    <w:p w14:paraId="331687D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17.41307229</w:t>
      </w:r>
    </w:p>
    <w:p w14:paraId="026672B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16.96609556</w:t>
      </w:r>
    </w:p>
    <w:p w14:paraId="2F4C8D8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lastRenderedPageBreak/>
        <w:t>16.50009854</w:t>
      </w:r>
    </w:p>
    <w:p w14:paraId="26DD8DB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15.99606095</w:t>
      </w:r>
    </w:p>
    <w:p w14:paraId="1C91AB8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15.51104364</w:t>
      </w:r>
    </w:p>
    <w:p w14:paraId="1B6D0C1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15.03553648</w:t>
      </w:r>
    </w:p>
    <w:p w14:paraId="4174B55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14.54100903</w:t>
      </w:r>
    </w:p>
    <w:p w14:paraId="355E1AF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14.00844101</w:t>
      </w:r>
    </w:p>
    <w:p w14:paraId="763DEE7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13.54244399</w:t>
      </w:r>
    </w:p>
    <w:p w14:paraId="40F3336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13.11448754</w:t>
      </w:r>
    </w:p>
    <w:p w14:paraId="4D0822A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12.57240938</w:t>
      </w:r>
    </w:p>
    <w:p w14:paraId="4C273764"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12.0493515</w:t>
      </w:r>
    </w:p>
    <w:p w14:paraId="1784CA6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11.62139505</w:t>
      </w:r>
    </w:p>
    <w:p w14:paraId="5C567BE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11.26951975</w:t>
      </w:r>
    </w:p>
    <w:p w14:paraId="7CDD4C7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10.85107345</w:t>
      </w:r>
    </w:p>
    <w:p w14:paraId="50CBB73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10.38507643</w:t>
      </w:r>
    </w:p>
    <w:p w14:paraId="323FA8BF"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9.966630126</w:t>
      </w:r>
    </w:p>
    <w:p w14:paraId="4F3967F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9.557693966</w:t>
      </w:r>
    </w:p>
    <w:p w14:paraId="6856AB5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9.186798379</w:t>
      </w:r>
    </w:p>
    <w:p w14:paraId="5FF7704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8.815902793</w:t>
      </w:r>
    </w:p>
    <w:p w14:paraId="329A7D67"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8.445007206</w:t>
      </w:r>
    </w:p>
    <w:p w14:paraId="6BC9A1B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8.074111619</w:t>
      </w:r>
    </w:p>
    <w:p w14:paraId="314D1C3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7.760276892</w:t>
      </w:r>
    </w:p>
    <w:p w14:paraId="7640D2E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7.417911735</w:t>
      </w:r>
    </w:p>
    <w:p w14:paraId="2FE8E9F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7.104077008</w:t>
      </w:r>
    </w:p>
    <w:p w14:paraId="1563E1E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6.761711851</w:t>
      </w:r>
    </w:p>
    <w:p w14:paraId="33DF01F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6.447877123</w:t>
      </w:r>
    </w:p>
    <w:p w14:paraId="0D5C05E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6.162572826</w:t>
      </w:r>
    </w:p>
    <w:p w14:paraId="1E5C25B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5.905798958</w:t>
      </w:r>
    </w:p>
    <w:p w14:paraId="501FEEC4"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5.64902509</w:t>
      </w:r>
    </w:p>
    <w:p w14:paraId="7417B6C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5.363720793</w:t>
      </w:r>
    </w:p>
    <w:p w14:paraId="4CCB1D5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5.087926639</w:t>
      </w:r>
    </w:p>
    <w:p w14:paraId="2731B65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4.850173057</w:t>
      </w:r>
    </w:p>
    <w:p w14:paraId="392C639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4.59339919</w:t>
      </w:r>
    </w:p>
    <w:p w14:paraId="76F4B49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4.384176038</w:t>
      </w:r>
    </w:p>
    <w:p w14:paraId="24C051C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4.18446303</w:t>
      </w:r>
    </w:p>
    <w:p w14:paraId="010D37C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3.984750022</w:t>
      </w:r>
    </w:p>
    <w:p w14:paraId="73208408"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3.785037013</w:t>
      </w:r>
    </w:p>
    <w:p w14:paraId="41762B7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3.623364578</w:t>
      </w:r>
    </w:p>
    <w:p w14:paraId="6D6DF2F4"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3.471202286</w:t>
      </w:r>
    </w:p>
    <w:p w14:paraId="2E0E777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3.300019708</w:t>
      </w:r>
    </w:p>
    <w:p w14:paraId="7C0A281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3.138347272</w:t>
      </w:r>
    </w:p>
    <w:p w14:paraId="2CB19B2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3.01471541</w:t>
      </w:r>
    </w:p>
    <w:p w14:paraId="34991CA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2.891083548</w:t>
      </w:r>
    </w:p>
    <w:p w14:paraId="70EC059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2.757941542</w:t>
      </w:r>
    </w:p>
    <w:p w14:paraId="299F0EB4"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2.643819823</w:t>
      </w:r>
    </w:p>
    <w:p w14:paraId="5603E6A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2.529698104</w:t>
      </w:r>
    </w:p>
    <w:p w14:paraId="6EB5928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2.415576385</w:t>
      </w:r>
    </w:p>
    <w:p w14:paraId="46C22AE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2.31096481</w:t>
      </w:r>
    </w:p>
    <w:p w14:paraId="21F53AEF"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2.215863377</w:t>
      </w:r>
    </w:p>
    <w:p w14:paraId="57E2BA3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2.120761945</w:t>
      </w:r>
    </w:p>
    <w:p w14:paraId="300DBBB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2.016150369</w:t>
      </w:r>
    </w:p>
    <w:p w14:paraId="19E689F6"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1.93055908</w:t>
      </w:r>
    </w:p>
    <w:p w14:paraId="3C47643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1.854477934</w:t>
      </w:r>
    </w:p>
    <w:p w14:paraId="19DCF85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1.768886644</w:t>
      </w:r>
    </w:p>
    <w:p w14:paraId="4D2ED67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1.702315642</w:t>
      </w:r>
    </w:p>
    <w:p w14:paraId="18E6CFC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lastRenderedPageBreak/>
        <w:t>1.645254782</w:t>
      </w:r>
    </w:p>
    <w:p w14:paraId="69BCD2E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1.578683779</w:t>
      </w:r>
    </w:p>
    <w:p w14:paraId="0BF33C0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1.502602633</w:t>
      </w:r>
    </w:p>
    <w:p w14:paraId="0D52080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1.445541774</w:t>
      </w:r>
    </w:p>
    <w:p w14:paraId="1F09915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1.388480914</w:t>
      </w:r>
    </w:p>
    <w:p w14:paraId="4D1A5A7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1.340930198</w:t>
      </w:r>
    </w:p>
    <w:p w14:paraId="070CDA6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1.302889625</w:t>
      </w:r>
    </w:p>
    <w:p w14:paraId="1324499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1.245828766</w:t>
      </w:r>
    </w:p>
    <w:p w14:paraId="7228C07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1.217298336</w:t>
      </w:r>
    </w:p>
    <w:p w14:paraId="206D349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1.16974762</w:t>
      </w:r>
    </w:p>
    <w:p w14:paraId="1887026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1.131707047</w:t>
      </w:r>
    </w:p>
    <w:p w14:paraId="0E7343A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1.103176617</w:t>
      </w:r>
    </w:p>
    <w:p w14:paraId="76F7B75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1.074646187</w:t>
      </w:r>
    </w:p>
    <w:p w14:paraId="18412B4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1.046115757</w:t>
      </w:r>
    </w:p>
    <w:p w14:paraId="1725C56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1.017585328</w:t>
      </w:r>
    </w:p>
    <w:p w14:paraId="1F135B1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0.989054898</w:t>
      </w:r>
    </w:p>
    <w:p w14:paraId="44992956"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0.979544755</w:t>
      </w:r>
    </w:p>
    <w:p w14:paraId="42D3AEBF"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0.960524468</w:t>
      </w:r>
    </w:p>
    <w:p w14:paraId="4DE39B7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0.931994038</w:t>
      </w:r>
    </w:p>
    <w:p w14:paraId="2FCF37E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0.922483895</w:t>
      </w:r>
    </w:p>
    <w:p w14:paraId="3B9FC047"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0.903463609</w:t>
      </w:r>
    </w:p>
    <w:p w14:paraId="7AA0423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0.874933179</w:t>
      </w:r>
    </w:p>
    <w:p w14:paraId="711899A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0.865423036</w:t>
      </w:r>
    </w:p>
    <w:p w14:paraId="57CAC67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0.846402749</w:t>
      </w:r>
    </w:p>
    <w:p w14:paraId="192CFC1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0.836892606</w:t>
      </w:r>
    </w:p>
    <w:p w14:paraId="6DCF6939"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0.817872319</w:t>
      </w:r>
    </w:p>
    <w:p w14:paraId="4904A75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0.78934189</w:t>
      </w:r>
    </w:p>
    <w:p w14:paraId="52959E22"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0.779831746</w:t>
      </w:r>
    </w:p>
    <w:p w14:paraId="50E06826"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0.76081146</w:t>
      </w:r>
    </w:p>
    <w:p w14:paraId="4C0865E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0.76081146</w:t>
      </w:r>
    </w:p>
    <w:p w14:paraId="793B130E"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0.751301317</w:t>
      </w:r>
    </w:p>
    <w:p w14:paraId="6A56F7BF"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0.73228103</w:t>
      </w:r>
    </w:p>
    <w:p w14:paraId="256B376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0.73228103</w:t>
      </w:r>
    </w:p>
    <w:p w14:paraId="1D38215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0.713260744</w:t>
      </w:r>
    </w:p>
    <w:p w14:paraId="0D62BFD3"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0.7037506</w:t>
      </w:r>
    </w:p>
    <w:p w14:paraId="2065B94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0.7037506</w:t>
      </w:r>
    </w:p>
    <w:p w14:paraId="79809D8B"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0.694240457</w:t>
      </w:r>
    </w:p>
    <w:p w14:paraId="5628E0C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0.675220171</w:t>
      </w:r>
    </w:p>
    <w:p w14:paraId="7943C865"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0.675220171</w:t>
      </w:r>
    </w:p>
    <w:p w14:paraId="386BBAEF"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0.665710027</w:t>
      </w:r>
    </w:p>
    <w:p w14:paraId="17EF4090"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0.646689741</w:t>
      </w:r>
    </w:p>
    <w:p w14:paraId="508C90B4"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0.646689741</w:t>
      </w:r>
    </w:p>
    <w:p w14:paraId="3B9832A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0.637179598</w:t>
      </w:r>
    </w:p>
    <w:p w14:paraId="58DC8577"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0.618159311</w:t>
      </w:r>
    </w:p>
    <w:p w14:paraId="1EF8FAAD"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0.618159311</w:t>
      </w:r>
    </w:p>
    <w:p w14:paraId="50B58D86"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0.618159311</w:t>
      </w:r>
    </w:p>
    <w:p w14:paraId="60031CE1"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0.608649168</w:t>
      </w:r>
    </w:p>
    <w:p w14:paraId="7277BD5A" w14:textId="77777777" w:rsidR="00803630" w:rsidRPr="00803630"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0.618159311</w:t>
      </w:r>
    </w:p>
    <w:p w14:paraId="53F6A642" w14:textId="7C831910" w:rsidR="000E55F9" w:rsidRDefault="00803630" w:rsidP="00803630">
      <w:pPr>
        <w:rPr>
          <w:rFonts w:ascii="Courier New" w:eastAsiaTheme="minorHAnsi" w:hAnsi="Courier New" w:cs="Courier New"/>
          <w:color w:val="000000"/>
          <w:sz w:val="20"/>
          <w:szCs w:val="20"/>
        </w:rPr>
      </w:pPr>
      <w:r w:rsidRPr="00803630">
        <w:rPr>
          <w:rFonts w:ascii="Courier New" w:eastAsiaTheme="minorHAnsi" w:hAnsi="Courier New" w:cs="Courier New"/>
          <w:color w:val="000000"/>
          <w:sz w:val="20"/>
          <w:szCs w:val="20"/>
        </w:rPr>
        <w:t>0.608649168</w:t>
      </w:r>
    </w:p>
    <w:p w14:paraId="4C658162" w14:textId="48E66410" w:rsidR="003E5A9C" w:rsidRDefault="003E5A9C" w:rsidP="00803630">
      <w:pPr>
        <w:rPr>
          <w:rFonts w:ascii="Courier New" w:eastAsiaTheme="minorHAnsi" w:hAnsi="Courier New" w:cs="Courier New"/>
          <w:color w:val="000000"/>
          <w:sz w:val="20"/>
          <w:szCs w:val="20"/>
        </w:rPr>
      </w:pPr>
    </w:p>
    <w:p w14:paraId="49999B12" w14:textId="0EAF99F0" w:rsidR="003E5A9C" w:rsidRDefault="003E5A9C" w:rsidP="00803630">
      <w:pPr>
        <w:rPr>
          <w:rFonts w:ascii="Courier New" w:eastAsiaTheme="minorHAnsi" w:hAnsi="Courier New" w:cs="Courier New"/>
          <w:color w:val="000000"/>
          <w:sz w:val="20"/>
          <w:szCs w:val="20"/>
        </w:rPr>
      </w:pPr>
    </w:p>
    <w:p w14:paraId="01B15493" w14:textId="77777777" w:rsidR="003E5A9C" w:rsidRPr="007635FD" w:rsidRDefault="003E5A9C" w:rsidP="00803630"/>
    <w:p w14:paraId="7E6DBFB7" w14:textId="600402EB" w:rsidR="006C62B6" w:rsidRDefault="006C62B6" w:rsidP="00BF3517">
      <w:pPr>
        <w:pStyle w:val="Heading1"/>
      </w:pPr>
      <w:bookmarkStart w:id="324" w:name="_Toc101701828"/>
      <w:r>
        <w:t>Chapter 3 Supplemental Information</w:t>
      </w:r>
      <w:bookmarkEnd w:id="324"/>
    </w:p>
    <w:p w14:paraId="7BA205D7" w14:textId="7C87B622" w:rsidR="00E955BB" w:rsidRDefault="00E955BB" w:rsidP="009D06D1">
      <w:pPr>
        <w:pStyle w:val="Heading3"/>
      </w:pPr>
      <w:bookmarkStart w:id="325" w:name="_Toc101701829"/>
      <w:r>
        <w:lastRenderedPageBreak/>
        <w:t>Tensile</w:t>
      </w:r>
      <w:r w:rsidRPr="001447E2">
        <w:t xml:space="preserve"> Curves</w:t>
      </w:r>
      <w:bookmarkEnd w:id="325"/>
    </w:p>
    <w:p w14:paraId="2438CC53" w14:textId="470C07FE" w:rsidR="00E955BB" w:rsidRDefault="00E955BB" w:rsidP="00E955BB">
      <w:pPr>
        <w:spacing w:line="360" w:lineRule="auto"/>
        <w:rPr>
          <w:rFonts w:ascii="Times New Roman" w:hAnsi="Times New Roman" w:cs="Times New Roman"/>
        </w:rPr>
      </w:pPr>
      <w:r>
        <w:rPr>
          <w:rFonts w:ascii="Times New Roman" w:hAnsi="Times New Roman" w:cs="Times New Roman"/>
        </w:rPr>
        <w:t xml:space="preserve">As shown in </w:t>
      </w:r>
      <w:r>
        <w:rPr>
          <w:rFonts w:ascii="Times New Roman" w:hAnsi="Times New Roman" w:cs="Times New Roman"/>
        </w:rPr>
        <w:fldChar w:fldCharType="begin"/>
      </w:r>
      <w:r>
        <w:rPr>
          <w:rFonts w:ascii="Times New Roman" w:hAnsi="Times New Roman" w:cs="Times New Roman"/>
        </w:rPr>
        <w:instrText xml:space="preserve"> REF _Ref101363586 \h  \* MERGEFORMAT </w:instrText>
      </w:r>
      <w:r>
        <w:rPr>
          <w:rFonts w:ascii="Times New Roman" w:hAnsi="Times New Roman" w:cs="Times New Roman"/>
        </w:rPr>
      </w:r>
      <w:r>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80</w:t>
      </w:r>
      <w:r>
        <w:rPr>
          <w:rFonts w:ascii="Times New Roman" w:hAnsi="Times New Roman" w:cs="Times New Roman"/>
        </w:rPr>
        <w:fldChar w:fldCharType="end"/>
      </w:r>
      <w:r>
        <w:rPr>
          <w:rFonts w:ascii="Times New Roman" w:hAnsi="Times New Roman" w:cs="Times New Roman"/>
        </w:rPr>
        <w:t>, the tensile curves from the three tested cure regimens did not exhibit the same inflection point observed in Chapter 1.  This is attributed to the thinner specimen size and absence of a cure gradient and is the most likely reason for the observed improvement in standard deviation within the test results.  A minimum of 10 specimens were tested from each sample set, and only specimens that broke within the gage length were included in the results.</w:t>
      </w:r>
    </w:p>
    <w:p w14:paraId="2B66B2E4" w14:textId="1D5BCF83" w:rsidR="00E955BB" w:rsidRDefault="00E955BB" w:rsidP="009D06D1">
      <w:pPr>
        <w:pStyle w:val="Heading3"/>
      </w:pPr>
      <w:bookmarkStart w:id="326" w:name="_Toc101701830"/>
      <w:r>
        <w:t>DSC Thermograms</w:t>
      </w:r>
      <w:bookmarkEnd w:id="326"/>
    </w:p>
    <w:p w14:paraId="41E93272" w14:textId="1DEFA285" w:rsidR="00E955BB" w:rsidRDefault="00B93D1C" w:rsidP="00E955BB">
      <w:pPr>
        <w:spacing w:line="360" w:lineRule="auto"/>
        <w:rPr>
          <w:rFonts w:ascii="Times New Roman" w:hAnsi="Times New Roman" w:cs="Times New Roman"/>
        </w:rPr>
      </w:pPr>
      <w:r>
        <w:rPr>
          <w:rFonts w:ascii="Times New Roman" w:hAnsi="Times New Roman" w:cs="Times New Roman"/>
        </w:rPr>
        <w:t xml:space="preserve">In addition to the 80:20 Bis-EMA:PETIA blend tested as a liquid without photoinitiator, tests were performed on pure Bis-EMA without initiator (see </w:t>
      </w:r>
      <w:r w:rsidRPr="00B93D1C">
        <w:rPr>
          <w:rFonts w:ascii="Times New Roman" w:hAnsi="Times New Roman" w:cs="Times New Roman"/>
        </w:rPr>
        <w:fldChar w:fldCharType="begin"/>
      </w:r>
      <w:r w:rsidRPr="00B93D1C">
        <w:rPr>
          <w:rFonts w:ascii="Times New Roman" w:hAnsi="Times New Roman" w:cs="Times New Roman"/>
        </w:rPr>
        <w:instrText xml:space="preserve"> REF _Ref101364201 \h </w:instrText>
      </w:r>
      <w:r>
        <w:rPr>
          <w:rFonts w:ascii="Times New Roman" w:hAnsi="Times New Roman" w:cs="Times New Roman"/>
        </w:rPr>
        <w:instrText xml:space="preserve"> \* MERGEFORMAT </w:instrText>
      </w:r>
      <w:r w:rsidRPr="00B93D1C">
        <w:rPr>
          <w:rFonts w:ascii="Times New Roman" w:hAnsi="Times New Roman" w:cs="Times New Roman"/>
        </w:rPr>
      </w:r>
      <w:r w:rsidRPr="00B93D1C">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81</w:t>
      </w:r>
      <w:r w:rsidRPr="00B93D1C">
        <w:rPr>
          <w:rFonts w:ascii="Times New Roman" w:hAnsi="Times New Roman" w:cs="Times New Roman"/>
        </w:rPr>
        <w:fldChar w:fldCharType="end"/>
      </w:r>
      <w:r>
        <w:rPr>
          <w:rFonts w:ascii="Times New Roman" w:hAnsi="Times New Roman" w:cs="Times New Roman"/>
        </w:rPr>
        <w:t xml:space="preserve">) and on the 80:20 Bis-EMA:PETIA blend with 0.1 wt% BAPO (see </w:t>
      </w:r>
      <w:r w:rsidRPr="00B93D1C">
        <w:rPr>
          <w:rFonts w:ascii="Times New Roman" w:hAnsi="Times New Roman" w:cs="Times New Roman"/>
        </w:rPr>
        <w:fldChar w:fldCharType="begin"/>
      </w:r>
      <w:r w:rsidRPr="00B93D1C">
        <w:rPr>
          <w:rFonts w:ascii="Times New Roman" w:hAnsi="Times New Roman" w:cs="Times New Roman"/>
        </w:rPr>
        <w:instrText xml:space="preserve"> REF _Ref101364236 \h </w:instrText>
      </w:r>
      <w:r>
        <w:rPr>
          <w:rFonts w:ascii="Times New Roman" w:hAnsi="Times New Roman" w:cs="Times New Roman"/>
        </w:rPr>
        <w:instrText xml:space="preserve"> \* MERGEFORMAT </w:instrText>
      </w:r>
      <w:r w:rsidRPr="00B93D1C">
        <w:rPr>
          <w:rFonts w:ascii="Times New Roman" w:hAnsi="Times New Roman" w:cs="Times New Roman"/>
        </w:rPr>
      </w:r>
      <w:r w:rsidRPr="00B93D1C">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82</w:t>
      </w:r>
      <w:r w:rsidRPr="00B93D1C">
        <w:rPr>
          <w:rFonts w:ascii="Times New Roman" w:hAnsi="Times New Roman" w:cs="Times New Roman"/>
        </w:rPr>
        <w:fldChar w:fldCharType="end"/>
      </w:r>
      <w:r>
        <w:rPr>
          <w:rFonts w:ascii="Times New Roman" w:hAnsi="Times New Roman" w:cs="Times New Roman"/>
        </w:rPr>
        <w:t xml:space="preserve">).  While the Bis-EMA cured thermally without an initiator, the </w:t>
      </w:r>
      <w:r w:rsidR="00EB339D">
        <w:rPr>
          <w:rFonts w:ascii="Times New Roman" w:hAnsi="Times New Roman" w:cs="Times New Roman"/>
        </w:rPr>
        <w:t>reaction enthalpy</w:t>
      </w:r>
      <w:r>
        <w:rPr>
          <w:rFonts w:ascii="Times New Roman" w:hAnsi="Times New Roman" w:cs="Times New Roman"/>
        </w:rPr>
        <w:t xml:space="preserve"> observed was much lower than that of the 80:20 blends.  The presence of BAPO </w:t>
      </w:r>
      <w:r w:rsidR="00885C5C">
        <w:rPr>
          <w:rFonts w:ascii="Times New Roman" w:hAnsi="Times New Roman" w:cs="Times New Roman"/>
        </w:rPr>
        <w:t xml:space="preserve">did not </w:t>
      </w:r>
      <w:r w:rsidR="006A2D7B">
        <w:rPr>
          <w:rFonts w:ascii="Times New Roman" w:hAnsi="Times New Roman" w:cs="Times New Roman"/>
        </w:rPr>
        <w:t>significantly change the total heat of reaction, w</w:t>
      </w:r>
      <w:r w:rsidR="00EB339D">
        <w:rPr>
          <w:rFonts w:ascii="Times New Roman" w:hAnsi="Times New Roman" w:cs="Times New Roman"/>
        </w:rPr>
        <w:t>hich</w:t>
      </w:r>
      <w:r w:rsidR="006A2D7B">
        <w:rPr>
          <w:rFonts w:ascii="Times New Roman" w:hAnsi="Times New Roman" w:cs="Times New Roman"/>
        </w:rPr>
        <w:t xml:space="preserve"> was ~270 J/g</w:t>
      </w:r>
      <w:r>
        <w:rPr>
          <w:rFonts w:ascii="Times New Roman" w:hAnsi="Times New Roman" w:cs="Times New Roman"/>
        </w:rPr>
        <w:t xml:space="preserve">.  </w:t>
      </w:r>
      <w:r w:rsidR="00EB339D">
        <w:rPr>
          <w:rFonts w:ascii="Times New Roman" w:hAnsi="Times New Roman" w:cs="Times New Roman"/>
        </w:rPr>
        <w:t xml:space="preserve">While the exothermic peak was fully resolved for the 80:20 Bis-EMA:PETIA blend without PI (see </w:t>
      </w:r>
      <w:r w:rsidR="00EB339D" w:rsidRPr="00EB339D">
        <w:rPr>
          <w:rFonts w:ascii="Times New Roman" w:hAnsi="Times New Roman" w:cs="Times New Roman"/>
        </w:rPr>
        <w:fldChar w:fldCharType="begin"/>
      </w:r>
      <w:r w:rsidR="00EB339D" w:rsidRPr="00EB339D">
        <w:rPr>
          <w:rFonts w:ascii="Times New Roman" w:hAnsi="Times New Roman" w:cs="Times New Roman"/>
        </w:rPr>
        <w:instrText xml:space="preserve"> REF _Ref101354479 \h </w:instrText>
      </w:r>
      <w:r w:rsidR="00EB339D">
        <w:rPr>
          <w:rFonts w:ascii="Times New Roman" w:hAnsi="Times New Roman" w:cs="Times New Roman"/>
        </w:rPr>
        <w:instrText xml:space="preserve"> \* MERGEFORMAT </w:instrText>
      </w:r>
      <w:r w:rsidR="00EB339D" w:rsidRPr="00EB339D">
        <w:rPr>
          <w:rFonts w:ascii="Times New Roman" w:hAnsi="Times New Roman" w:cs="Times New Roman"/>
        </w:rPr>
      </w:r>
      <w:r w:rsidR="00EB339D" w:rsidRPr="00EB339D">
        <w:rPr>
          <w:rFonts w:ascii="Times New Roman" w:hAnsi="Times New Roman" w:cs="Times New Roman"/>
        </w:rPr>
        <w:fldChar w:fldCharType="separate"/>
      </w:r>
      <w:r w:rsidR="00EB339D" w:rsidRPr="00EB339D">
        <w:rPr>
          <w:rFonts w:ascii="Times New Roman" w:hAnsi="Times New Roman" w:cs="Times New Roman"/>
        </w:rPr>
        <w:t xml:space="preserve">Figure </w:t>
      </w:r>
      <w:r w:rsidR="00EB339D" w:rsidRPr="00EB339D">
        <w:rPr>
          <w:rFonts w:ascii="Times New Roman" w:hAnsi="Times New Roman" w:cs="Times New Roman"/>
          <w:noProof/>
        </w:rPr>
        <w:t>53</w:t>
      </w:r>
      <w:r w:rsidR="00EB339D" w:rsidRPr="00EB339D">
        <w:rPr>
          <w:rFonts w:ascii="Times New Roman" w:hAnsi="Times New Roman" w:cs="Times New Roman"/>
        </w:rPr>
        <w:fldChar w:fldCharType="end"/>
      </w:r>
      <w:r w:rsidR="00EB339D">
        <w:rPr>
          <w:rFonts w:ascii="Times New Roman" w:hAnsi="Times New Roman" w:cs="Times New Roman"/>
        </w:rPr>
        <w:t>), at 350 ºC the Bis-EMA peak was not fully resolved.  Higher temperatures were not attempted, as TGA testing indicated that significant mass loss occurs at temperatures above 350 ºC.</w:t>
      </w:r>
    </w:p>
    <w:p w14:paraId="10326776" w14:textId="316EA118" w:rsidR="00C03112" w:rsidRDefault="00C03112" w:rsidP="009D06D1">
      <w:pPr>
        <w:pStyle w:val="Heading3"/>
      </w:pPr>
      <w:bookmarkStart w:id="327" w:name="_Toc101701831"/>
      <w:r>
        <w:t>Dark Cure Testing</w:t>
      </w:r>
      <w:bookmarkEnd w:id="327"/>
    </w:p>
    <w:p w14:paraId="278764CA" w14:textId="3A81A0F2" w:rsidR="00C03112" w:rsidRPr="009B4CFB" w:rsidRDefault="00C03112" w:rsidP="00E955BB">
      <w:pPr>
        <w:spacing w:line="360" w:lineRule="auto"/>
        <w:rPr>
          <w:rFonts w:ascii="Times New Roman" w:hAnsi="Times New Roman" w:cs="Times New Roman"/>
        </w:rPr>
      </w:pPr>
      <w:r>
        <w:rPr>
          <w:rFonts w:ascii="Times New Roman" w:hAnsi="Times New Roman" w:cs="Times New Roman"/>
        </w:rPr>
        <w:t xml:space="preserve">In Chapter 3, RT-FTIR showed that DC increased during the first 10 minutes post irradiation (see </w:t>
      </w:r>
      <w:r w:rsidRPr="00C03112">
        <w:rPr>
          <w:rFonts w:ascii="Times New Roman" w:hAnsi="Times New Roman" w:cs="Times New Roman"/>
        </w:rPr>
        <w:fldChar w:fldCharType="begin"/>
      </w:r>
      <w:r w:rsidRPr="00C03112">
        <w:rPr>
          <w:rFonts w:ascii="Times New Roman" w:hAnsi="Times New Roman" w:cs="Times New Roman"/>
        </w:rPr>
        <w:instrText xml:space="preserve"> REF _Ref100936162 \h </w:instrText>
      </w:r>
      <w:r>
        <w:rPr>
          <w:rFonts w:ascii="Times New Roman" w:hAnsi="Times New Roman" w:cs="Times New Roman"/>
        </w:rPr>
        <w:instrText xml:space="preserve"> \* MERGEFORMAT </w:instrText>
      </w:r>
      <w:r w:rsidRPr="00C03112">
        <w:rPr>
          <w:rFonts w:ascii="Times New Roman" w:hAnsi="Times New Roman" w:cs="Times New Roman"/>
        </w:rPr>
      </w:r>
      <w:r w:rsidRPr="00C03112">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56</w:t>
      </w:r>
      <w:r w:rsidRPr="00C03112">
        <w:rPr>
          <w:rFonts w:ascii="Times New Roman" w:hAnsi="Times New Roman" w:cs="Times New Roman"/>
        </w:rPr>
        <w:fldChar w:fldCharType="end"/>
      </w:r>
      <w:r>
        <w:rPr>
          <w:rFonts w:ascii="Times New Roman" w:hAnsi="Times New Roman" w:cs="Times New Roman"/>
        </w:rPr>
        <w:t xml:space="preserve">), and after over 1 month post irradiation the DC had further increased by 10-16% (see </w:t>
      </w:r>
      <w:r w:rsidR="00671ABE" w:rsidRPr="00671ABE">
        <w:rPr>
          <w:rFonts w:ascii="Times New Roman" w:hAnsi="Times New Roman" w:cs="Times New Roman"/>
        </w:rPr>
        <w:fldChar w:fldCharType="begin"/>
      </w:r>
      <w:r w:rsidR="00671ABE" w:rsidRPr="00671ABE">
        <w:rPr>
          <w:rFonts w:ascii="Times New Roman" w:hAnsi="Times New Roman" w:cs="Times New Roman"/>
        </w:rPr>
        <w:instrText xml:space="preserve"> REF _Ref100936426 \h </w:instrText>
      </w:r>
      <w:r w:rsidR="00671ABE">
        <w:rPr>
          <w:rFonts w:ascii="Times New Roman" w:hAnsi="Times New Roman" w:cs="Times New Roman"/>
        </w:rPr>
        <w:instrText xml:space="preserve"> \* MERGEFORMAT </w:instrText>
      </w:r>
      <w:r w:rsidR="00671ABE" w:rsidRPr="00671ABE">
        <w:rPr>
          <w:rFonts w:ascii="Times New Roman" w:hAnsi="Times New Roman" w:cs="Times New Roman"/>
        </w:rPr>
      </w:r>
      <w:r w:rsidR="00671ABE" w:rsidRPr="00671ABE">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59</w:t>
      </w:r>
      <w:r w:rsidR="00671ABE" w:rsidRPr="00671ABE">
        <w:rPr>
          <w:rFonts w:ascii="Times New Roman" w:hAnsi="Times New Roman" w:cs="Times New Roman"/>
        </w:rPr>
        <w:fldChar w:fldCharType="end"/>
      </w:r>
      <w:r w:rsidR="00671ABE">
        <w:rPr>
          <w:rFonts w:ascii="Times New Roman" w:hAnsi="Times New Roman" w:cs="Times New Roman"/>
        </w:rPr>
        <w:t>).  To observe this “dark cure” effect more closely, a preliminary study</w:t>
      </w:r>
      <w:r w:rsidR="00895E97">
        <w:rPr>
          <w:rFonts w:ascii="Times New Roman" w:hAnsi="Times New Roman" w:cs="Times New Roman"/>
        </w:rPr>
        <w:t xml:space="preserve"> </w:t>
      </w:r>
      <w:r w:rsidR="00671ABE">
        <w:rPr>
          <w:rFonts w:ascii="Times New Roman" w:hAnsi="Times New Roman" w:cs="Times New Roman"/>
        </w:rPr>
        <w:t>monitor</w:t>
      </w:r>
      <w:r w:rsidR="00895E97">
        <w:rPr>
          <w:rFonts w:ascii="Times New Roman" w:hAnsi="Times New Roman" w:cs="Times New Roman"/>
        </w:rPr>
        <w:t>ed</w:t>
      </w:r>
      <w:r w:rsidR="00671ABE">
        <w:rPr>
          <w:rFonts w:ascii="Times New Roman" w:hAnsi="Times New Roman" w:cs="Times New Roman"/>
        </w:rPr>
        <w:t xml:space="preserve"> the change in DC after irradiation of 5.5 J/cm</w:t>
      </w:r>
      <w:r w:rsidR="00671ABE" w:rsidRPr="00671ABE">
        <w:rPr>
          <w:rFonts w:ascii="Times New Roman" w:hAnsi="Times New Roman" w:cs="Times New Roman"/>
          <w:vertAlign w:val="superscript"/>
        </w:rPr>
        <w:t>2</w:t>
      </w:r>
      <w:r w:rsidR="00671ABE">
        <w:rPr>
          <w:rFonts w:ascii="Times New Roman" w:hAnsi="Times New Roman" w:cs="Times New Roman"/>
        </w:rPr>
        <w:t xml:space="preserve"> </w:t>
      </w:r>
      <w:r w:rsidR="00895E97">
        <w:rPr>
          <w:rFonts w:ascii="Times New Roman" w:hAnsi="Times New Roman" w:cs="Times New Roman"/>
        </w:rPr>
        <w:t>for</w:t>
      </w:r>
      <w:r w:rsidR="00671ABE">
        <w:rPr>
          <w:rFonts w:ascii="Times New Roman" w:hAnsi="Times New Roman" w:cs="Times New Roman"/>
        </w:rPr>
        <w:t xml:space="preserve"> the 0.1 wt% BAPO formulation.  3 mm thick specimens were measured on the bottom surface at </w:t>
      </w:r>
      <w:r w:rsidR="009B4CFB">
        <w:rPr>
          <w:rFonts w:ascii="Times New Roman" w:hAnsi="Times New Roman" w:cs="Times New Roman"/>
        </w:rPr>
        <w:t>10-minute</w:t>
      </w:r>
      <w:r w:rsidR="00671ABE">
        <w:rPr>
          <w:rFonts w:ascii="Times New Roman" w:hAnsi="Times New Roman" w:cs="Times New Roman"/>
        </w:rPr>
        <w:t xml:space="preserve"> intervals in-situ for the first hour, followed by measurements at 10 hours and </w:t>
      </w:r>
      <w:r w:rsidR="009B4CFB">
        <w:rPr>
          <w:rFonts w:ascii="Times New Roman" w:hAnsi="Times New Roman" w:cs="Times New Roman"/>
        </w:rPr>
        <w:t xml:space="preserve">268 hours post irradiation.  As shown in </w:t>
      </w:r>
      <w:r w:rsidR="009B4CFB" w:rsidRPr="009B4CFB">
        <w:rPr>
          <w:rFonts w:ascii="Times New Roman" w:hAnsi="Times New Roman" w:cs="Times New Roman"/>
        </w:rPr>
        <w:fldChar w:fldCharType="begin"/>
      </w:r>
      <w:r w:rsidR="009B4CFB" w:rsidRPr="009B4CFB">
        <w:rPr>
          <w:rFonts w:ascii="Times New Roman" w:hAnsi="Times New Roman" w:cs="Times New Roman"/>
        </w:rPr>
        <w:instrText xml:space="preserve"> REF _Ref101365162 \h </w:instrText>
      </w:r>
      <w:r w:rsidR="009B4CFB">
        <w:rPr>
          <w:rFonts w:ascii="Times New Roman" w:hAnsi="Times New Roman" w:cs="Times New Roman"/>
        </w:rPr>
        <w:instrText xml:space="preserve"> \* MERGEFORMAT </w:instrText>
      </w:r>
      <w:r w:rsidR="009B4CFB" w:rsidRPr="009B4CFB">
        <w:rPr>
          <w:rFonts w:ascii="Times New Roman" w:hAnsi="Times New Roman" w:cs="Times New Roman"/>
        </w:rPr>
      </w:r>
      <w:r w:rsidR="009B4CFB" w:rsidRPr="009B4CFB">
        <w:rPr>
          <w:rFonts w:ascii="Times New Roman" w:hAnsi="Times New Roman" w:cs="Times New Roman"/>
        </w:rPr>
        <w:fldChar w:fldCharType="separate"/>
      </w:r>
      <w:r w:rsidR="00195E1C" w:rsidRPr="00195E1C">
        <w:rPr>
          <w:rFonts w:ascii="Times New Roman" w:hAnsi="Times New Roman" w:cs="Times New Roman"/>
        </w:rPr>
        <w:t xml:space="preserve">Figure </w:t>
      </w:r>
      <w:r w:rsidR="00195E1C" w:rsidRPr="00195E1C">
        <w:rPr>
          <w:rFonts w:ascii="Times New Roman" w:hAnsi="Times New Roman" w:cs="Times New Roman"/>
          <w:noProof/>
        </w:rPr>
        <w:t>83</w:t>
      </w:r>
      <w:r w:rsidR="009B4CFB" w:rsidRPr="009B4CFB">
        <w:rPr>
          <w:rFonts w:ascii="Times New Roman" w:hAnsi="Times New Roman" w:cs="Times New Roman"/>
        </w:rPr>
        <w:fldChar w:fldCharType="end"/>
      </w:r>
      <w:r w:rsidR="009B4CFB">
        <w:rPr>
          <w:rFonts w:ascii="Times New Roman" w:hAnsi="Times New Roman" w:cs="Times New Roman"/>
        </w:rPr>
        <w:t>,</w:t>
      </w:r>
      <w:r w:rsidR="00895E97">
        <w:rPr>
          <w:rFonts w:ascii="Times New Roman" w:hAnsi="Times New Roman" w:cs="Times New Roman"/>
        </w:rPr>
        <w:t xml:space="preserve"> the</w:t>
      </w:r>
      <w:r w:rsidR="009B4CFB">
        <w:rPr>
          <w:rFonts w:ascii="Times New Roman" w:hAnsi="Times New Roman" w:cs="Times New Roman"/>
        </w:rPr>
        <w:t xml:space="preserve"> most significant </w:t>
      </w:r>
      <w:r w:rsidR="00895E97">
        <w:rPr>
          <w:rFonts w:ascii="Times New Roman" w:hAnsi="Times New Roman" w:cs="Times New Roman"/>
        </w:rPr>
        <w:t xml:space="preserve">DC increase occurs </w:t>
      </w:r>
      <w:r w:rsidR="009B4CFB">
        <w:rPr>
          <w:rFonts w:ascii="Times New Roman" w:hAnsi="Times New Roman" w:cs="Times New Roman"/>
        </w:rPr>
        <w:t xml:space="preserve">during the first 10 hours post irradiation, </w:t>
      </w:r>
      <w:r w:rsidR="00895E97">
        <w:rPr>
          <w:rFonts w:ascii="Times New Roman" w:hAnsi="Times New Roman" w:cs="Times New Roman"/>
        </w:rPr>
        <w:t xml:space="preserve">jumping by 9% </w:t>
      </w:r>
      <w:r w:rsidR="009B4CFB">
        <w:rPr>
          <w:rFonts w:ascii="Times New Roman" w:hAnsi="Times New Roman" w:cs="Times New Roman"/>
        </w:rPr>
        <w:t xml:space="preserve">in the first hour alone.  </w:t>
      </w:r>
      <w:r w:rsidR="00895E97">
        <w:rPr>
          <w:rFonts w:ascii="Times New Roman" w:hAnsi="Times New Roman" w:cs="Times New Roman"/>
        </w:rPr>
        <w:t>Further testing is needed to determine what effect specimen size, filler content and storage conditions may have on this dark cure effect in Bis-EMA photopolymers.</w:t>
      </w:r>
    </w:p>
    <w:p w14:paraId="2C58BAC9" w14:textId="77777777" w:rsidR="00BF3517" w:rsidRDefault="000B1FF5" w:rsidP="00BF3517">
      <w:pPr>
        <w:keepNext/>
        <w:jc w:val="center"/>
      </w:pPr>
      <w:r>
        <w:rPr>
          <w:noProof/>
        </w:rPr>
        <w:lastRenderedPageBreak/>
        <w:drawing>
          <wp:inline distT="0" distB="0" distL="0" distR="0" wp14:anchorId="3E88DDD8" wp14:editId="218ADA45">
            <wp:extent cx="3737457" cy="6531429"/>
            <wp:effectExtent l="0" t="0" r="0" b="3175"/>
            <wp:docPr id="49" name="Picture 4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10;&#10;Description automatically generated with low confidence"/>
                    <pic:cNvPicPr/>
                  </pic:nvPicPr>
                  <pic:blipFill rotWithShape="1">
                    <a:blip r:embed="rId85" cstate="print">
                      <a:extLst>
                        <a:ext uri="{28A0092B-C50C-407E-A947-70E740481C1C}">
                          <a14:useLocalDpi xmlns:a14="http://schemas.microsoft.com/office/drawing/2010/main" val="0"/>
                        </a:ext>
                      </a:extLst>
                    </a:blip>
                    <a:srcRect l="8225" t="3098" r="53031"/>
                    <a:stretch/>
                  </pic:blipFill>
                  <pic:spPr bwMode="auto">
                    <a:xfrm>
                      <a:off x="0" y="0"/>
                      <a:ext cx="3749835" cy="6553060"/>
                    </a:xfrm>
                    <a:prstGeom prst="rect">
                      <a:avLst/>
                    </a:prstGeom>
                    <a:ln>
                      <a:noFill/>
                    </a:ln>
                    <a:extLst>
                      <a:ext uri="{53640926-AAD7-44D8-BBD7-CCE9431645EC}">
                        <a14:shadowObscured xmlns:a14="http://schemas.microsoft.com/office/drawing/2010/main"/>
                      </a:ext>
                    </a:extLst>
                  </pic:spPr>
                </pic:pic>
              </a:graphicData>
            </a:graphic>
          </wp:inline>
        </w:drawing>
      </w:r>
    </w:p>
    <w:p w14:paraId="617BEDCA" w14:textId="4CD907D1" w:rsidR="000B1FF5" w:rsidRDefault="00BF3517" w:rsidP="00F20503">
      <w:pPr>
        <w:pStyle w:val="Caption"/>
      </w:pPr>
      <w:bookmarkStart w:id="328" w:name="_Ref101363586"/>
      <w:bookmarkStart w:id="329" w:name="_Toc101365742"/>
      <w:r>
        <w:t xml:space="preserve">Figure </w:t>
      </w:r>
      <w:r w:rsidR="002F73EC">
        <w:fldChar w:fldCharType="begin"/>
      </w:r>
      <w:r w:rsidR="002F73EC">
        <w:instrText xml:space="preserve"> SEQ Figure \* ARABIC </w:instrText>
      </w:r>
      <w:r w:rsidR="002F73EC">
        <w:fldChar w:fldCharType="separate"/>
      </w:r>
      <w:r w:rsidR="00BF5717">
        <w:rPr>
          <w:noProof/>
        </w:rPr>
        <w:t>80</w:t>
      </w:r>
      <w:r w:rsidR="002F73EC">
        <w:rPr>
          <w:noProof/>
        </w:rPr>
        <w:fldChar w:fldCharType="end"/>
      </w:r>
      <w:bookmarkEnd w:id="328"/>
      <w:r>
        <w:t xml:space="preserve"> </w:t>
      </w:r>
      <w:r w:rsidR="00E955BB">
        <w:t>Stress-strain curves for tensile specimens after various cure conditions.  Note that the specimens did not exhibit the inflection point observed in the tensile testing from Chapter 1.</w:t>
      </w:r>
      <w:bookmarkEnd w:id="329"/>
    </w:p>
    <w:p w14:paraId="3C352DA8" w14:textId="5F2548F1" w:rsidR="000B1FF5" w:rsidRDefault="000B1FF5" w:rsidP="000B1FF5"/>
    <w:p w14:paraId="346C2742" w14:textId="663487FD" w:rsidR="000B1FF5" w:rsidRDefault="000B1FF5" w:rsidP="000B1FF5"/>
    <w:p w14:paraId="0851E5FB" w14:textId="48F08555" w:rsidR="00E955BB" w:rsidRDefault="00E955BB" w:rsidP="000B1FF5"/>
    <w:p w14:paraId="7B14E7C8" w14:textId="23A6B9E1" w:rsidR="00BF5717" w:rsidRDefault="001E1838" w:rsidP="006550A1">
      <w:pPr>
        <w:keepNext/>
        <w:jc w:val="center"/>
      </w:pPr>
      <w:r>
        <w:rPr>
          <w:noProof/>
        </w:rPr>
        <w:lastRenderedPageBreak/>
        <w:drawing>
          <wp:inline distT="0" distB="0" distL="0" distR="0" wp14:anchorId="4E35A1B6" wp14:editId="63EF3775">
            <wp:extent cx="3906241" cy="3262938"/>
            <wp:effectExtent l="0" t="0" r="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10;&#10;Description automatically generated"/>
                    <pic:cNvPicPr/>
                  </pic:nvPicPr>
                  <pic:blipFill rotWithShape="1">
                    <a:blip r:embed="rId86" cstate="print">
                      <a:extLst>
                        <a:ext uri="{28A0092B-C50C-407E-A947-70E740481C1C}">
                          <a14:useLocalDpi xmlns:a14="http://schemas.microsoft.com/office/drawing/2010/main" val="0"/>
                        </a:ext>
                      </a:extLst>
                    </a:blip>
                    <a:srcRect l="7360" t="8768" r="12554" b="3830"/>
                    <a:stretch/>
                  </pic:blipFill>
                  <pic:spPr bwMode="auto">
                    <a:xfrm>
                      <a:off x="0" y="0"/>
                      <a:ext cx="3926442" cy="3279813"/>
                    </a:xfrm>
                    <a:prstGeom prst="rect">
                      <a:avLst/>
                    </a:prstGeom>
                    <a:ln>
                      <a:noFill/>
                    </a:ln>
                    <a:extLst>
                      <a:ext uri="{53640926-AAD7-44D8-BBD7-CCE9431645EC}">
                        <a14:shadowObscured xmlns:a14="http://schemas.microsoft.com/office/drawing/2010/main"/>
                      </a:ext>
                    </a:extLst>
                  </pic:spPr>
                </pic:pic>
              </a:graphicData>
            </a:graphic>
          </wp:inline>
        </w:drawing>
      </w:r>
    </w:p>
    <w:p w14:paraId="4E37DBBB" w14:textId="660B87ED" w:rsidR="00E955BB" w:rsidRDefault="00BF5717" w:rsidP="00BF5717">
      <w:pPr>
        <w:pStyle w:val="Caption"/>
      </w:pPr>
      <w:bookmarkStart w:id="330" w:name="_Ref101364201"/>
      <w:bookmarkStart w:id="331" w:name="_Toc101365743"/>
      <w:r>
        <w:t xml:space="preserve">Figure </w:t>
      </w:r>
      <w:r w:rsidR="002F73EC">
        <w:fldChar w:fldCharType="begin"/>
      </w:r>
      <w:r w:rsidR="002F73EC">
        <w:instrText xml:space="preserve"> SEQ Figure \* ARABIC </w:instrText>
      </w:r>
      <w:r w:rsidR="002F73EC">
        <w:fldChar w:fldCharType="separate"/>
      </w:r>
      <w:r>
        <w:rPr>
          <w:noProof/>
        </w:rPr>
        <w:t>81</w:t>
      </w:r>
      <w:r w:rsidR="002F73EC">
        <w:rPr>
          <w:noProof/>
        </w:rPr>
        <w:fldChar w:fldCharType="end"/>
      </w:r>
      <w:bookmarkEnd w:id="330"/>
      <w:r>
        <w:t xml:space="preserve"> DSC Thermogram for liquid Bis-EMA, which exhibits some exothermic reaction starting at ~200 °C</w:t>
      </w:r>
      <w:bookmarkEnd w:id="331"/>
      <w:r w:rsidR="00885C5C">
        <w:t>, and the peak is not fully resolved by 350 ºC.</w:t>
      </w:r>
      <w:r>
        <w:t xml:space="preserve">  </w:t>
      </w:r>
    </w:p>
    <w:p w14:paraId="141225D7" w14:textId="1344EBEE" w:rsidR="00E955BB" w:rsidRDefault="00E955BB" w:rsidP="000B1FF5"/>
    <w:p w14:paraId="561BC2A1" w14:textId="77777777" w:rsidR="00BF5717" w:rsidRDefault="00BF5717" w:rsidP="000B1FF5"/>
    <w:p w14:paraId="1EF3C46D" w14:textId="6048E962" w:rsidR="00BF5717" w:rsidRDefault="005F4918" w:rsidP="006550A1">
      <w:pPr>
        <w:keepNext/>
        <w:jc w:val="center"/>
      </w:pPr>
      <w:r>
        <w:rPr>
          <w:noProof/>
        </w:rPr>
        <w:drawing>
          <wp:inline distT="0" distB="0" distL="0" distR="0" wp14:anchorId="682E3C3A" wp14:editId="2A47EFA7">
            <wp:extent cx="3840480" cy="3182711"/>
            <wp:effectExtent l="0" t="0" r="7620" b="0"/>
            <wp:docPr id="85" name="Picture 8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hart, diagram&#10;&#10;Description automatically generated"/>
                    <pic:cNvPicPr/>
                  </pic:nvPicPr>
                  <pic:blipFill rotWithShape="1">
                    <a:blip r:embed="rId87" cstate="print">
                      <a:extLst>
                        <a:ext uri="{28A0092B-C50C-407E-A947-70E740481C1C}">
                          <a14:useLocalDpi xmlns:a14="http://schemas.microsoft.com/office/drawing/2010/main" val="0"/>
                        </a:ext>
                      </a:extLst>
                    </a:blip>
                    <a:srcRect l="7829" t="9468" r="12589" b="4365"/>
                    <a:stretch/>
                  </pic:blipFill>
                  <pic:spPr bwMode="auto">
                    <a:xfrm>
                      <a:off x="0" y="0"/>
                      <a:ext cx="3848908" cy="3189695"/>
                    </a:xfrm>
                    <a:prstGeom prst="rect">
                      <a:avLst/>
                    </a:prstGeom>
                    <a:ln>
                      <a:noFill/>
                    </a:ln>
                    <a:extLst>
                      <a:ext uri="{53640926-AAD7-44D8-BBD7-CCE9431645EC}">
                        <a14:shadowObscured xmlns:a14="http://schemas.microsoft.com/office/drawing/2010/main"/>
                      </a:ext>
                    </a:extLst>
                  </pic:spPr>
                </pic:pic>
              </a:graphicData>
            </a:graphic>
          </wp:inline>
        </w:drawing>
      </w:r>
    </w:p>
    <w:p w14:paraId="68ACE8E0" w14:textId="6998FDC1" w:rsidR="00E955BB" w:rsidRDefault="00BF5717" w:rsidP="00BF5717">
      <w:pPr>
        <w:pStyle w:val="Caption"/>
      </w:pPr>
      <w:bookmarkStart w:id="332" w:name="_Ref101364236"/>
      <w:bookmarkStart w:id="333" w:name="_Toc101365744"/>
      <w:r>
        <w:t xml:space="preserve">Figure </w:t>
      </w:r>
      <w:r w:rsidR="002F73EC">
        <w:fldChar w:fldCharType="begin"/>
      </w:r>
      <w:r w:rsidR="002F73EC">
        <w:instrText xml:space="preserve"> SEQ Figure \* ARABIC </w:instrText>
      </w:r>
      <w:r w:rsidR="002F73EC">
        <w:fldChar w:fldCharType="separate"/>
      </w:r>
      <w:r>
        <w:rPr>
          <w:noProof/>
        </w:rPr>
        <w:t>82</w:t>
      </w:r>
      <w:r w:rsidR="002F73EC">
        <w:rPr>
          <w:noProof/>
        </w:rPr>
        <w:fldChar w:fldCharType="end"/>
      </w:r>
      <w:bookmarkEnd w:id="332"/>
      <w:r>
        <w:t xml:space="preserve"> DSC Thermogram for 80:20 Bis-EMA:PETIA with 0.1 wt% BAPO.</w:t>
      </w:r>
      <w:bookmarkEnd w:id="333"/>
      <w:r w:rsidR="00885C5C">
        <w:t xml:space="preserve">  The </w:t>
      </w:r>
      <w:r w:rsidR="00D90A35">
        <w:t>reaction enthalpy is</w:t>
      </w:r>
      <w:r w:rsidR="00885C5C">
        <w:t xml:space="preserve"> </w:t>
      </w:r>
      <w:r w:rsidR="00E26D44">
        <w:t>comparable to the 80:20 formula without PI.</w:t>
      </w:r>
    </w:p>
    <w:p w14:paraId="743D6639" w14:textId="77777777" w:rsidR="00803630" w:rsidRPr="00A237FA" w:rsidRDefault="00803630" w:rsidP="00DF60A2">
      <w:pPr>
        <w:rPr>
          <w:rFonts w:ascii="Times New Roman" w:hAnsi="Times New Roman" w:cs="Times New Roman"/>
        </w:rPr>
      </w:pPr>
    </w:p>
    <w:p w14:paraId="7576C0A7" w14:textId="77777777" w:rsidR="00A51C9C" w:rsidRDefault="006C62B6" w:rsidP="00A51C9C">
      <w:pPr>
        <w:keepNext/>
        <w:jc w:val="center"/>
      </w:pPr>
      <w:r w:rsidRPr="006C62B6">
        <w:rPr>
          <w:noProof/>
        </w:rPr>
        <w:drawing>
          <wp:inline distT="0" distB="0" distL="0" distR="0" wp14:anchorId="79AD7FB0" wp14:editId="54198BEF">
            <wp:extent cx="4722284" cy="3802388"/>
            <wp:effectExtent l="0" t="0" r="2540" b="7620"/>
            <wp:docPr id="71" name="Picture 6" descr="Chart, scatter chart&#10;&#10;Description automatically generated">
              <a:extLst xmlns:a="http://schemas.openxmlformats.org/drawingml/2006/main">
                <a:ext uri="{FF2B5EF4-FFF2-40B4-BE49-F238E27FC236}">
                  <a16:creationId xmlns:a16="http://schemas.microsoft.com/office/drawing/2014/main" id="{BE16C6EE-CD8A-4E4D-B67F-41A0AF1DA6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scatter chart&#10;&#10;Description automatically generated">
                      <a:extLst>
                        <a:ext uri="{FF2B5EF4-FFF2-40B4-BE49-F238E27FC236}">
                          <a16:creationId xmlns:a16="http://schemas.microsoft.com/office/drawing/2014/main" id="{BE16C6EE-CD8A-4E4D-B67F-41A0AF1DA65F}"/>
                        </a:ext>
                      </a:extLst>
                    </pic:cNvPr>
                    <pic:cNvPicPr>
                      <a:picLocks noChangeAspect="1"/>
                    </pic:cNvPicPr>
                  </pic:nvPicPr>
                  <pic:blipFill rotWithShape="1">
                    <a:blip r:embed="rId88"/>
                    <a:srcRect l="7513" t="7795" r="8664" b="4004"/>
                    <a:stretch/>
                  </pic:blipFill>
                  <pic:spPr>
                    <a:xfrm>
                      <a:off x="0" y="0"/>
                      <a:ext cx="4724920" cy="3804511"/>
                    </a:xfrm>
                    <a:prstGeom prst="rect">
                      <a:avLst/>
                    </a:prstGeom>
                  </pic:spPr>
                </pic:pic>
              </a:graphicData>
            </a:graphic>
          </wp:inline>
        </w:drawing>
      </w:r>
    </w:p>
    <w:p w14:paraId="5239E36F" w14:textId="5AD28162" w:rsidR="006C62B6" w:rsidRDefault="00A51C9C" w:rsidP="00F20503">
      <w:pPr>
        <w:pStyle w:val="Caption"/>
      </w:pPr>
      <w:bookmarkStart w:id="334" w:name="_Ref101365162"/>
      <w:bookmarkStart w:id="335" w:name="_Toc101365745"/>
      <w:r>
        <w:t xml:space="preserve">Figure </w:t>
      </w:r>
      <w:r w:rsidR="002F73EC">
        <w:fldChar w:fldCharType="begin"/>
      </w:r>
      <w:r w:rsidR="002F73EC">
        <w:instrText xml:space="preserve"> SEQ Figure \* ARABIC </w:instrText>
      </w:r>
      <w:r w:rsidR="002F73EC">
        <w:fldChar w:fldCharType="separate"/>
      </w:r>
      <w:r w:rsidR="00BF5717">
        <w:rPr>
          <w:noProof/>
        </w:rPr>
        <w:t>83</w:t>
      </w:r>
      <w:r w:rsidR="002F73EC">
        <w:rPr>
          <w:noProof/>
        </w:rPr>
        <w:fldChar w:fldCharType="end"/>
      </w:r>
      <w:bookmarkEnd w:id="334"/>
      <w:r w:rsidR="00895E97">
        <w:rPr>
          <w:noProof/>
        </w:rPr>
        <w:t xml:space="preserve"> Post-irradiation change in degree of conversion for the 80:20 Bis-EMA:PETIA formula with 0.1 wt% BAPO, as measured at 3 mm depth post 5.5 J/cm</w:t>
      </w:r>
      <w:r w:rsidR="00895E97" w:rsidRPr="00895E97">
        <w:rPr>
          <w:noProof/>
          <w:vertAlign w:val="superscript"/>
        </w:rPr>
        <w:t>2</w:t>
      </w:r>
      <w:r w:rsidR="00895E97">
        <w:rPr>
          <w:noProof/>
        </w:rPr>
        <w:t xml:space="preserve"> UV dose.</w:t>
      </w:r>
      <w:bookmarkEnd w:id="335"/>
    </w:p>
    <w:p w14:paraId="739E400F" w14:textId="190C81D4" w:rsidR="006C62B6" w:rsidRDefault="006C62B6" w:rsidP="006C62B6"/>
    <w:p w14:paraId="0FDD5798" w14:textId="661B256D" w:rsidR="006C62B6" w:rsidRDefault="006C62B6" w:rsidP="006C62B6"/>
    <w:p w14:paraId="3073C969" w14:textId="65027DC2" w:rsidR="00BA6298" w:rsidRDefault="00BA6298" w:rsidP="006C62B6"/>
    <w:p w14:paraId="2B9F79A8" w14:textId="200AF760" w:rsidR="00BA6298" w:rsidRDefault="00BA6298" w:rsidP="006C62B6"/>
    <w:p w14:paraId="5FC0F371" w14:textId="08482087" w:rsidR="00BA6298" w:rsidRDefault="00BA6298" w:rsidP="006C62B6"/>
    <w:p w14:paraId="521492CA" w14:textId="6F0C335B" w:rsidR="00BA6298" w:rsidRDefault="00BA6298" w:rsidP="006C62B6"/>
    <w:p w14:paraId="421B0A57" w14:textId="2268952E" w:rsidR="00BF3517" w:rsidRDefault="00BF3517" w:rsidP="006C62B6"/>
    <w:p w14:paraId="212FDCEE" w14:textId="443B5A6C" w:rsidR="00BF3517" w:rsidRDefault="00BF3517" w:rsidP="006C62B6"/>
    <w:p w14:paraId="3408B169" w14:textId="4C8ACA42" w:rsidR="00BF3517" w:rsidRDefault="00BF3517" w:rsidP="006C62B6"/>
    <w:p w14:paraId="037E19E6" w14:textId="17B450D1" w:rsidR="00BF3517" w:rsidRDefault="00BF3517" w:rsidP="006C62B6"/>
    <w:p w14:paraId="7B8D279B" w14:textId="77777777" w:rsidR="00BF3517" w:rsidRDefault="00BF3517" w:rsidP="006C62B6"/>
    <w:p w14:paraId="71193811" w14:textId="6F88C7E7" w:rsidR="00BA6298" w:rsidRDefault="00BA6298" w:rsidP="006C62B6"/>
    <w:p w14:paraId="6D69E020" w14:textId="11C82B88" w:rsidR="00BA6298" w:rsidRDefault="00BA6298" w:rsidP="006C62B6"/>
    <w:p w14:paraId="473AB648" w14:textId="326FB2A3" w:rsidR="00BA6298" w:rsidRDefault="00BA6298" w:rsidP="006C62B6"/>
    <w:p w14:paraId="0224DFD3" w14:textId="5BAB5580" w:rsidR="00BA6298" w:rsidRDefault="00BA6298" w:rsidP="006C62B6"/>
    <w:p w14:paraId="56FC0404" w14:textId="1D32E93E" w:rsidR="00BA6298" w:rsidRDefault="00BA6298" w:rsidP="006C62B6"/>
    <w:p w14:paraId="452AB68E" w14:textId="12AA46EC" w:rsidR="00BA6298" w:rsidRDefault="00BA6298" w:rsidP="006C62B6"/>
    <w:p w14:paraId="296F7D57" w14:textId="35282F86" w:rsidR="00BA6298" w:rsidRDefault="00BA6298" w:rsidP="006C62B6"/>
    <w:p w14:paraId="19C45AE7" w14:textId="77777777" w:rsidR="006C62B6" w:rsidRPr="006C62B6" w:rsidRDefault="006C62B6" w:rsidP="006C62B6"/>
    <w:p w14:paraId="58603097" w14:textId="34B65725" w:rsidR="00191DD7" w:rsidRPr="008B3BCF" w:rsidRDefault="00DF312D" w:rsidP="00BF3517">
      <w:pPr>
        <w:pStyle w:val="Heading1"/>
      </w:pPr>
      <w:bookmarkStart w:id="336" w:name="_Toc101701832"/>
      <w:r>
        <w:lastRenderedPageBreak/>
        <w:t>VITA</w:t>
      </w:r>
      <w:bookmarkEnd w:id="336"/>
    </w:p>
    <w:p w14:paraId="7D34FB7A" w14:textId="11D55AE4" w:rsidR="00AE125E" w:rsidRPr="008B3BCF" w:rsidRDefault="00B830D1" w:rsidP="00322976">
      <w:pPr>
        <w:spacing w:line="360" w:lineRule="auto"/>
        <w:rPr>
          <w:rFonts w:ascii="Times New Roman" w:hAnsi="Times New Roman" w:cs="Times New Roman"/>
        </w:rPr>
      </w:pPr>
      <w:r w:rsidRPr="008B3BCF">
        <w:rPr>
          <w:rFonts w:ascii="Times New Roman" w:hAnsi="Times New Roman" w:cs="Times New Roman"/>
        </w:rPr>
        <w:t xml:space="preserve">Alex Stiles received a </w:t>
      </w:r>
      <w:proofErr w:type="spellStart"/>
      <w:proofErr w:type="gramStart"/>
      <w:r w:rsidRPr="008B3BCF">
        <w:rPr>
          <w:rFonts w:ascii="Times New Roman" w:hAnsi="Times New Roman" w:cs="Times New Roman"/>
        </w:rPr>
        <w:t>Bachelors</w:t>
      </w:r>
      <w:proofErr w:type="spellEnd"/>
      <w:r w:rsidRPr="008B3BCF">
        <w:rPr>
          <w:rFonts w:ascii="Times New Roman" w:hAnsi="Times New Roman" w:cs="Times New Roman"/>
        </w:rPr>
        <w:t xml:space="preserve"> of Science</w:t>
      </w:r>
      <w:proofErr w:type="gramEnd"/>
      <w:r w:rsidRPr="008B3BCF">
        <w:rPr>
          <w:rFonts w:ascii="Times New Roman" w:hAnsi="Times New Roman" w:cs="Times New Roman"/>
        </w:rPr>
        <w:t xml:space="preserve"> in Mechanical Engineering from the Illinois Institute of Technology in 2012, and worked as a Product Engineer at Holland LP before joining the Fibers and Composites Manufacturing Facility at the University of Tennessee, Knoxville to study advanced composites manufacturing and photopolymers.</w:t>
      </w:r>
    </w:p>
    <w:sectPr w:rsidR="00AE125E" w:rsidRPr="008B3BC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7E9FE" w14:textId="77777777" w:rsidR="0026016E" w:rsidRDefault="0026016E">
      <w:r>
        <w:separator/>
      </w:r>
    </w:p>
  </w:endnote>
  <w:endnote w:type="continuationSeparator" w:id="0">
    <w:p w14:paraId="4F25F2CA" w14:textId="77777777" w:rsidR="0026016E" w:rsidRDefault="0026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6FFD30F"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C317E9">
          <w:rPr>
            <w:rFonts w:ascii="Times New Roman" w:hAnsi="Times New Roman" w:cs="Times New Roman"/>
            <w:noProof/>
          </w:rPr>
          <w:t>vi</w:t>
        </w:r>
        <w:r w:rsidRPr="009D2AA9">
          <w:rPr>
            <w:rFonts w:ascii="Times New Roman" w:hAnsi="Times New Roman" w:cs="Times New Roman"/>
            <w:noProof/>
          </w:rPr>
          <w:fldChar w:fldCharType="end"/>
        </w:r>
      </w:p>
    </w:sdtContent>
  </w:sdt>
  <w:p w14:paraId="5F50B68C"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C0526" w14:textId="77777777" w:rsidR="0026016E" w:rsidRDefault="0026016E">
      <w:r>
        <w:separator/>
      </w:r>
    </w:p>
  </w:footnote>
  <w:footnote w:type="continuationSeparator" w:id="0">
    <w:p w14:paraId="618389B9" w14:textId="77777777" w:rsidR="0026016E" w:rsidRDefault="0026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CB2B"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C34C"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47C"/>
    <w:multiLevelType w:val="hybridMultilevel"/>
    <w:tmpl w:val="0B64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87CF2"/>
    <w:multiLevelType w:val="hybridMultilevel"/>
    <w:tmpl w:val="253CF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5" w15:restartNumberingAfterBreak="0">
    <w:nsid w:val="085F550A"/>
    <w:multiLevelType w:val="hybridMultilevel"/>
    <w:tmpl w:val="6834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D80679"/>
    <w:multiLevelType w:val="hybridMultilevel"/>
    <w:tmpl w:val="07C8DF32"/>
    <w:lvl w:ilvl="0" w:tplc="0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45B26"/>
    <w:multiLevelType w:val="hybridMultilevel"/>
    <w:tmpl w:val="349C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710379"/>
    <w:multiLevelType w:val="hybridMultilevel"/>
    <w:tmpl w:val="B334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BB1BDD"/>
    <w:multiLevelType w:val="hybridMultilevel"/>
    <w:tmpl w:val="5C520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41B77D4"/>
    <w:multiLevelType w:val="hybridMultilevel"/>
    <w:tmpl w:val="588EBD6E"/>
    <w:lvl w:ilvl="0" w:tplc="04090013">
      <w:start w:val="1"/>
      <w:numFmt w:val="upperRoman"/>
      <w:lvlText w:val="%1."/>
      <w:lvlJc w:val="right"/>
      <w:pPr>
        <w:ind w:left="720" w:hanging="360"/>
      </w:pPr>
    </w:lvl>
    <w:lvl w:ilvl="1" w:tplc="B1E4E520">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48027EC"/>
    <w:multiLevelType w:val="hybridMultilevel"/>
    <w:tmpl w:val="A9F6D4EA"/>
    <w:lvl w:ilvl="0" w:tplc="04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6171B25"/>
    <w:multiLevelType w:val="hybridMultilevel"/>
    <w:tmpl w:val="DB1434A6"/>
    <w:lvl w:ilvl="0" w:tplc="3DCE74FC">
      <w:start w:val="1"/>
      <w:numFmt w:val="upperRoman"/>
      <w:lvlText w:val="%1."/>
      <w:lvlJc w:val="right"/>
      <w:pPr>
        <w:ind w:left="720" w:hanging="360"/>
      </w:pPr>
    </w:lvl>
    <w:lvl w:ilvl="1" w:tplc="818C632A">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CCA17B1"/>
    <w:multiLevelType w:val="hybridMultilevel"/>
    <w:tmpl w:val="347C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6C3371"/>
    <w:multiLevelType w:val="hybridMultilevel"/>
    <w:tmpl w:val="7812DBDA"/>
    <w:lvl w:ilvl="0" w:tplc="EF008716">
      <w:start w:val="1"/>
      <w:numFmt w:val="lowerLetter"/>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0440B3E"/>
    <w:multiLevelType w:val="multilevel"/>
    <w:tmpl w:val="118EE21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9C6225"/>
    <w:multiLevelType w:val="hybridMultilevel"/>
    <w:tmpl w:val="F068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544249"/>
    <w:multiLevelType w:val="hybridMultilevel"/>
    <w:tmpl w:val="7578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4A427FD"/>
    <w:multiLevelType w:val="hybridMultilevel"/>
    <w:tmpl w:val="87C6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B36D08"/>
    <w:multiLevelType w:val="hybridMultilevel"/>
    <w:tmpl w:val="5718CBC0"/>
    <w:lvl w:ilvl="0" w:tplc="13B8C412">
      <w:start w:val="1"/>
      <w:numFmt w:val="bullet"/>
      <w:lvlText w:val="•"/>
      <w:lvlJc w:val="left"/>
      <w:pPr>
        <w:tabs>
          <w:tab w:val="num" w:pos="720"/>
        </w:tabs>
        <w:ind w:left="720" w:hanging="360"/>
      </w:pPr>
      <w:rPr>
        <w:rFonts w:ascii="Arial" w:hAnsi="Arial" w:hint="default"/>
      </w:rPr>
    </w:lvl>
    <w:lvl w:ilvl="1" w:tplc="967CB8FE" w:tentative="1">
      <w:start w:val="1"/>
      <w:numFmt w:val="bullet"/>
      <w:lvlText w:val="•"/>
      <w:lvlJc w:val="left"/>
      <w:pPr>
        <w:tabs>
          <w:tab w:val="num" w:pos="1440"/>
        </w:tabs>
        <w:ind w:left="1440" w:hanging="360"/>
      </w:pPr>
      <w:rPr>
        <w:rFonts w:ascii="Arial" w:hAnsi="Arial" w:hint="default"/>
      </w:rPr>
    </w:lvl>
    <w:lvl w:ilvl="2" w:tplc="5F7EFE86" w:tentative="1">
      <w:start w:val="1"/>
      <w:numFmt w:val="bullet"/>
      <w:lvlText w:val="•"/>
      <w:lvlJc w:val="left"/>
      <w:pPr>
        <w:tabs>
          <w:tab w:val="num" w:pos="2160"/>
        </w:tabs>
        <w:ind w:left="2160" w:hanging="360"/>
      </w:pPr>
      <w:rPr>
        <w:rFonts w:ascii="Arial" w:hAnsi="Arial" w:hint="default"/>
      </w:rPr>
    </w:lvl>
    <w:lvl w:ilvl="3" w:tplc="F670D04C" w:tentative="1">
      <w:start w:val="1"/>
      <w:numFmt w:val="bullet"/>
      <w:lvlText w:val="•"/>
      <w:lvlJc w:val="left"/>
      <w:pPr>
        <w:tabs>
          <w:tab w:val="num" w:pos="2880"/>
        </w:tabs>
        <w:ind w:left="2880" w:hanging="360"/>
      </w:pPr>
      <w:rPr>
        <w:rFonts w:ascii="Arial" w:hAnsi="Arial" w:hint="default"/>
      </w:rPr>
    </w:lvl>
    <w:lvl w:ilvl="4" w:tplc="88B614F4" w:tentative="1">
      <w:start w:val="1"/>
      <w:numFmt w:val="bullet"/>
      <w:lvlText w:val="•"/>
      <w:lvlJc w:val="left"/>
      <w:pPr>
        <w:tabs>
          <w:tab w:val="num" w:pos="3600"/>
        </w:tabs>
        <w:ind w:left="3600" w:hanging="360"/>
      </w:pPr>
      <w:rPr>
        <w:rFonts w:ascii="Arial" w:hAnsi="Arial" w:hint="default"/>
      </w:rPr>
    </w:lvl>
    <w:lvl w:ilvl="5" w:tplc="50D2DD46" w:tentative="1">
      <w:start w:val="1"/>
      <w:numFmt w:val="bullet"/>
      <w:lvlText w:val="•"/>
      <w:lvlJc w:val="left"/>
      <w:pPr>
        <w:tabs>
          <w:tab w:val="num" w:pos="4320"/>
        </w:tabs>
        <w:ind w:left="4320" w:hanging="360"/>
      </w:pPr>
      <w:rPr>
        <w:rFonts w:ascii="Arial" w:hAnsi="Arial" w:hint="default"/>
      </w:rPr>
    </w:lvl>
    <w:lvl w:ilvl="6" w:tplc="487C39B4" w:tentative="1">
      <w:start w:val="1"/>
      <w:numFmt w:val="bullet"/>
      <w:lvlText w:val="•"/>
      <w:lvlJc w:val="left"/>
      <w:pPr>
        <w:tabs>
          <w:tab w:val="num" w:pos="5040"/>
        </w:tabs>
        <w:ind w:left="5040" w:hanging="360"/>
      </w:pPr>
      <w:rPr>
        <w:rFonts w:ascii="Arial" w:hAnsi="Arial" w:hint="default"/>
      </w:rPr>
    </w:lvl>
    <w:lvl w:ilvl="7" w:tplc="297E5106" w:tentative="1">
      <w:start w:val="1"/>
      <w:numFmt w:val="bullet"/>
      <w:lvlText w:val="•"/>
      <w:lvlJc w:val="left"/>
      <w:pPr>
        <w:tabs>
          <w:tab w:val="num" w:pos="5760"/>
        </w:tabs>
        <w:ind w:left="5760" w:hanging="360"/>
      </w:pPr>
      <w:rPr>
        <w:rFonts w:ascii="Arial" w:hAnsi="Arial" w:hint="default"/>
      </w:rPr>
    </w:lvl>
    <w:lvl w:ilvl="8" w:tplc="CACEF8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55D53CE"/>
    <w:multiLevelType w:val="hybridMultilevel"/>
    <w:tmpl w:val="B468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E92281"/>
    <w:multiLevelType w:val="hybridMultilevel"/>
    <w:tmpl w:val="EF58B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CD41A3"/>
    <w:multiLevelType w:val="multilevel"/>
    <w:tmpl w:val="F15C18BC"/>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C0B1246"/>
    <w:multiLevelType w:val="hybridMultilevel"/>
    <w:tmpl w:val="6BE0E918"/>
    <w:lvl w:ilvl="0" w:tplc="EB167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185214"/>
    <w:multiLevelType w:val="hybridMultilevel"/>
    <w:tmpl w:val="2598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1D1C90"/>
    <w:multiLevelType w:val="hybridMultilevel"/>
    <w:tmpl w:val="02E6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1E25C2"/>
    <w:multiLevelType w:val="hybridMultilevel"/>
    <w:tmpl w:val="397E1A82"/>
    <w:lvl w:ilvl="0" w:tplc="6A4AE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9F71AC"/>
    <w:multiLevelType w:val="hybridMultilevel"/>
    <w:tmpl w:val="49BE52D2"/>
    <w:lvl w:ilvl="0" w:tplc="DCA66958">
      <w:start w:val="1"/>
      <w:numFmt w:val="decimal"/>
      <w:lvlText w:val="%1."/>
      <w:lvlJc w:val="left"/>
      <w:pPr>
        <w:ind w:left="108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9834CE8"/>
    <w:multiLevelType w:val="hybridMultilevel"/>
    <w:tmpl w:val="5D702EA0"/>
    <w:lvl w:ilvl="0" w:tplc="00D4119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773D81"/>
    <w:multiLevelType w:val="hybridMultilevel"/>
    <w:tmpl w:val="5B1EFB6E"/>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5D8C04E7"/>
    <w:multiLevelType w:val="hybridMultilevel"/>
    <w:tmpl w:val="A7CEF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48812F3"/>
    <w:multiLevelType w:val="hybridMultilevel"/>
    <w:tmpl w:val="F46A339E"/>
    <w:lvl w:ilvl="0" w:tplc="0409000F">
      <w:start w:val="1"/>
      <w:numFmt w:val="decimal"/>
      <w:lvlText w:val="%1."/>
      <w:lvlJc w:val="left"/>
      <w:pPr>
        <w:ind w:left="720" w:hanging="360"/>
      </w:pPr>
    </w:lvl>
    <w:lvl w:ilvl="1" w:tplc="998290AA">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75611A"/>
    <w:multiLevelType w:val="hybridMultilevel"/>
    <w:tmpl w:val="FC68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055B27"/>
    <w:multiLevelType w:val="hybridMultilevel"/>
    <w:tmpl w:val="9342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2E69A1"/>
    <w:multiLevelType w:val="hybridMultilevel"/>
    <w:tmpl w:val="16DA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4C441D"/>
    <w:multiLevelType w:val="hybridMultilevel"/>
    <w:tmpl w:val="B60A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7E7D2A"/>
    <w:multiLevelType w:val="hybridMultilevel"/>
    <w:tmpl w:val="0BBA2AD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5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3F132FA"/>
    <w:multiLevelType w:val="hybridMultilevel"/>
    <w:tmpl w:val="10563970"/>
    <w:lvl w:ilvl="0" w:tplc="0336A1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FF051C"/>
    <w:multiLevelType w:val="hybridMultilevel"/>
    <w:tmpl w:val="7B54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7A59E9"/>
    <w:multiLevelType w:val="hybridMultilevel"/>
    <w:tmpl w:val="0648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A12EEA"/>
    <w:multiLevelType w:val="hybridMultilevel"/>
    <w:tmpl w:val="0DC8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033D96"/>
    <w:multiLevelType w:val="hybridMultilevel"/>
    <w:tmpl w:val="EB1E9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039478">
    <w:abstractNumId w:val="2"/>
  </w:num>
  <w:num w:numId="2" w16cid:durableId="595602200">
    <w:abstractNumId w:val="19"/>
  </w:num>
  <w:num w:numId="3" w16cid:durableId="1302073080">
    <w:abstractNumId w:val="6"/>
  </w:num>
  <w:num w:numId="4" w16cid:durableId="2062746550">
    <w:abstractNumId w:val="31"/>
  </w:num>
  <w:num w:numId="5" w16cid:durableId="84312584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394520">
    <w:abstractNumId w:val="21"/>
  </w:num>
  <w:num w:numId="7" w16cid:durableId="1170944182">
    <w:abstractNumId w:val="39"/>
  </w:num>
  <w:num w:numId="8" w16cid:durableId="1155757017">
    <w:abstractNumId w:val="17"/>
  </w:num>
  <w:num w:numId="9" w16cid:durableId="1406298303">
    <w:abstractNumId w:val="0"/>
  </w:num>
  <w:num w:numId="10" w16cid:durableId="270087893">
    <w:abstractNumId w:val="8"/>
  </w:num>
  <w:num w:numId="11" w16cid:durableId="349990603">
    <w:abstractNumId w:val="54"/>
  </w:num>
  <w:num w:numId="12" w16cid:durableId="355930829">
    <w:abstractNumId w:val="30"/>
  </w:num>
  <w:num w:numId="13" w16cid:durableId="736560771">
    <w:abstractNumId w:val="46"/>
  </w:num>
  <w:num w:numId="14" w16cid:durableId="1883401943">
    <w:abstractNumId w:val="29"/>
  </w:num>
  <w:num w:numId="15" w16cid:durableId="1413703806">
    <w:abstractNumId w:val="33"/>
  </w:num>
  <w:num w:numId="16" w16cid:durableId="2021815751">
    <w:abstractNumId w:val="22"/>
  </w:num>
  <w:num w:numId="17" w16cid:durableId="845556782">
    <w:abstractNumId w:val="55"/>
  </w:num>
  <w:num w:numId="18" w16cid:durableId="916938636">
    <w:abstractNumId w:val="45"/>
  </w:num>
  <w:num w:numId="19" w16cid:durableId="45296466">
    <w:abstractNumId w:val="23"/>
  </w:num>
  <w:num w:numId="20" w16cid:durableId="11953477">
    <w:abstractNumId w:val="47"/>
  </w:num>
  <w:num w:numId="21" w16cid:durableId="1959483384">
    <w:abstractNumId w:val="34"/>
  </w:num>
  <w:num w:numId="22" w16cid:durableId="323752287">
    <w:abstractNumId w:val="42"/>
  </w:num>
  <w:num w:numId="23" w16cid:durableId="743573312">
    <w:abstractNumId w:val="1"/>
  </w:num>
  <w:num w:numId="24" w16cid:durableId="408040020">
    <w:abstractNumId w:val="18"/>
  </w:num>
  <w:num w:numId="25" w16cid:durableId="1169902877">
    <w:abstractNumId w:val="51"/>
  </w:num>
  <w:num w:numId="26" w16cid:durableId="613097289">
    <w:abstractNumId w:val="36"/>
  </w:num>
  <w:num w:numId="27" w16cid:durableId="239872995">
    <w:abstractNumId w:val="36"/>
    <w:lvlOverride w:ilvl="0">
      <w:startOverride w:val="1"/>
    </w:lvlOverride>
  </w:num>
  <w:num w:numId="28" w16cid:durableId="2088913928">
    <w:abstractNumId w:val="12"/>
  </w:num>
  <w:num w:numId="29" w16cid:durableId="2072002403">
    <w:abstractNumId w:val="26"/>
  </w:num>
  <w:num w:numId="30" w16cid:durableId="1867134937">
    <w:abstractNumId w:val="5"/>
  </w:num>
  <w:num w:numId="31" w16cid:durableId="1254388896">
    <w:abstractNumId w:val="52"/>
  </w:num>
  <w:num w:numId="32" w16cid:durableId="1030034244">
    <w:abstractNumId w:val="49"/>
  </w:num>
  <w:num w:numId="33" w16cid:durableId="1974755007">
    <w:abstractNumId w:val="53"/>
  </w:num>
  <w:num w:numId="34" w16cid:durableId="2122533397">
    <w:abstractNumId w:val="44"/>
  </w:num>
  <w:num w:numId="35" w16cid:durableId="323899974">
    <w:abstractNumId w:val="9"/>
  </w:num>
  <w:num w:numId="36" w16cid:durableId="1725523921">
    <w:abstractNumId w:val="10"/>
  </w:num>
  <w:num w:numId="37" w16cid:durableId="1682707734">
    <w:abstractNumId w:val="15"/>
  </w:num>
  <w:num w:numId="38" w16cid:durableId="1909075173">
    <w:abstractNumId w:val="15"/>
    <w:lvlOverride w:ilvl="0">
      <w:startOverride w:val="1"/>
    </w:lvlOverride>
  </w:num>
  <w:num w:numId="39" w16cid:durableId="313611665">
    <w:abstractNumId w:val="32"/>
  </w:num>
  <w:num w:numId="40" w16cid:durableId="318000059">
    <w:abstractNumId w:val="32"/>
    <w:lvlOverride w:ilvl="0">
      <w:startOverride w:val="1"/>
    </w:lvlOverride>
  </w:num>
  <w:num w:numId="41" w16cid:durableId="1073696974">
    <w:abstractNumId w:val="13"/>
  </w:num>
  <w:num w:numId="42" w16cid:durableId="1075934800">
    <w:abstractNumId w:val="7"/>
  </w:num>
  <w:num w:numId="43" w16cid:durableId="708727749">
    <w:abstractNumId w:val="40"/>
  </w:num>
  <w:num w:numId="44" w16cid:durableId="381758038">
    <w:abstractNumId w:val="35"/>
  </w:num>
  <w:num w:numId="45" w16cid:durableId="1495485070">
    <w:abstractNumId w:val="27"/>
  </w:num>
  <w:num w:numId="46" w16cid:durableId="1842771064">
    <w:abstractNumId w:val="4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NzQwtzSxtDQxNzJQ0lEKTi0uzszPAykwMqoFACud11QtAAAA"/>
  </w:docVars>
  <w:rsids>
    <w:rsidRoot w:val="009D2AA9"/>
    <w:rsid w:val="00000805"/>
    <w:rsid w:val="00005D99"/>
    <w:rsid w:val="00014A3E"/>
    <w:rsid w:val="000166A9"/>
    <w:rsid w:val="00017A30"/>
    <w:rsid w:val="00020242"/>
    <w:rsid w:val="0002037F"/>
    <w:rsid w:val="000234CC"/>
    <w:rsid w:val="00031EA6"/>
    <w:rsid w:val="00032057"/>
    <w:rsid w:val="00045079"/>
    <w:rsid w:val="000525E4"/>
    <w:rsid w:val="00057004"/>
    <w:rsid w:val="00060BFC"/>
    <w:rsid w:val="0006397D"/>
    <w:rsid w:val="00067DEA"/>
    <w:rsid w:val="00071FB8"/>
    <w:rsid w:val="00072B07"/>
    <w:rsid w:val="00076A95"/>
    <w:rsid w:val="000827EF"/>
    <w:rsid w:val="00083858"/>
    <w:rsid w:val="000905A1"/>
    <w:rsid w:val="00091357"/>
    <w:rsid w:val="000957C1"/>
    <w:rsid w:val="000960B4"/>
    <w:rsid w:val="00096BD2"/>
    <w:rsid w:val="000A08F8"/>
    <w:rsid w:val="000B0A40"/>
    <w:rsid w:val="000B1FF5"/>
    <w:rsid w:val="000B5C42"/>
    <w:rsid w:val="000B7A1E"/>
    <w:rsid w:val="000D6C81"/>
    <w:rsid w:val="000D7162"/>
    <w:rsid w:val="000E1272"/>
    <w:rsid w:val="000E55F9"/>
    <w:rsid w:val="000E5DEC"/>
    <w:rsid w:val="000F4D4E"/>
    <w:rsid w:val="000F5E98"/>
    <w:rsid w:val="001002BA"/>
    <w:rsid w:val="0010217F"/>
    <w:rsid w:val="001036B9"/>
    <w:rsid w:val="00106E24"/>
    <w:rsid w:val="00111706"/>
    <w:rsid w:val="0011195E"/>
    <w:rsid w:val="00112F00"/>
    <w:rsid w:val="0011354A"/>
    <w:rsid w:val="00115FB0"/>
    <w:rsid w:val="001165FF"/>
    <w:rsid w:val="00116822"/>
    <w:rsid w:val="00121847"/>
    <w:rsid w:val="00124133"/>
    <w:rsid w:val="00124622"/>
    <w:rsid w:val="00130AC7"/>
    <w:rsid w:val="00131DE6"/>
    <w:rsid w:val="0014117A"/>
    <w:rsid w:val="001421B7"/>
    <w:rsid w:val="001447E2"/>
    <w:rsid w:val="001476CF"/>
    <w:rsid w:val="001669A7"/>
    <w:rsid w:val="0017036F"/>
    <w:rsid w:val="00173751"/>
    <w:rsid w:val="001769BF"/>
    <w:rsid w:val="00177713"/>
    <w:rsid w:val="00177D09"/>
    <w:rsid w:val="00183C80"/>
    <w:rsid w:val="001854F0"/>
    <w:rsid w:val="001854FB"/>
    <w:rsid w:val="00191DD7"/>
    <w:rsid w:val="001929AB"/>
    <w:rsid w:val="00193642"/>
    <w:rsid w:val="00195E1C"/>
    <w:rsid w:val="00196880"/>
    <w:rsid w:val="001968CD"/>
    <w:rsid w:val="001A0D20"/>
    <w:rsid w:val="001A5A00"/>
    <w:rsid w:val="001B1AC1"/>
    <w:rsid w:val="001B5253"/>
    <w:rsid w:val="001B6802"/>
    <w:rsid w:val="001C3978"/>
    <w:rsid w:val="001C39F6"/>
    <w:rsid w:val="001C66D6"/>
    <w:rsid w:val="001C66FE"/>
    <w:rsid w:val="001D4908"/>
    <w:rsid w:val="001D4FF3"/>
    <w:rsid w:val="001D5929"/>
    <w:rsid w:val="001D6904"/>
    <w:rsid w:val="001E1838"/>
    <w:rsid w:val="001E18E0"/>
    <w:rsid w:val="001F522F"/>
    <w:rsid w:val="002036BB"/>
    <w:rsid w:val="002036FA"/>
    <w:rsid w:val="002064D7"/>
    <w:rsid w:val="00207219"/>
    <w:rsid w:val="002141EE"/>
    <w:rsid w:val="00214400"/>
    <w:rsid w:val="00214853"/>
    <w:rsid w:val="00220226"/>
    <w:rsid w:val="002216E7"/>
    <w:rsid w:val="00230130"/>
    <w:rsid w:val="0023205F"/>
    <w:rsid w:val="00233B38"/>
    <w:rsid w:val="00234C43"/>
    <w:rsid w:val="00235FCC"/>
    <w:rsid w:val="00236A30"/>
    <w:rsid w:val="00236E6D"/>
    <w:rsid w:val="002422FC"/>
    <w:rsid w:val="002429E5"/>
    <w:rsid w:val="0026016E"/>
    <w:rsid w:val="00262174"/>
    <w:rsid w:val="00264BD1"/>
    <w:rsid w:val="00266A59"/>
    <w:rsid w:val="0027163B"/>
    <w:rsid w:val="00280CEF"/>
    <w:rsid w:val="00280E34"/>
    <w:rsid w:val="0028256C"/>
    <w:rsid w:val="0028371D"/>
    <w:rsid w:val="00284FAE"/>
    <w:rsid w:val="0028757A"/>
    <w:rsid w:val="0029180D"/>
    <w:rsid w:val="00293FDA"/>
    <w:rsid w:val="00294668"/>
    <w:rsid w:val="002A0276"/>
    <w:rsid w:val="002B4CE1"/>
    <w:rsid w:val="002C028A"/>
    <w:rsid w:val="002C10FF"/>
    <w:rsid w:val="002C4963"/>
    <w:rsid w:val="002D1F04"/>
    <w:rsid w:val="002D1FE4"/>
    <w:rsid w:val="002D470F"/>
    <w:rsid w:val="002E2492"/>
    <w:rsid w:val="002F15D8"/>
    <w:rsid w:val="002F73EC"/>
    <w:rsid w:val="00304BD0"/>
    <w:rsid w:val="00307D77"/>
    <w:rsid w:val="00311F1A"/>
    <w:rsid w:val="003128FB"/>
    <w:rsid w:val="00313E9E"/>
    <w:rsid w:val="003150D5"/>
    <w:rsid w:val="003163CC"/>
    <w:rsid w:val="00320F78"/>
    <w:rsid w:val="00321C79"/>
    <w:rsid w:val="00322976"/>
    <w:rsid w:val="003334B1"/>
    <w:rsid w:val="0033427D"/>
    <w:rsid w:val="0033781B"/>
    <w:rsid w:val="0035768F"/>
    <w:rsid w:val="00357DDF"/>
    <w:rsid w:val="00360CC8"/>
    <w:rsid w:val="00364690"/>
    <w:rsid w:val="00376050"/>
    <w:rsid w:val="0038177C"/>
    <w:rsid w:val="003836EB"/>
    <w:rsid w:val="00387024"/>
    <w:rsid w:val="0039323C"/>
    <w:rsid w:val="003933D2"/>
    <w:rsid w:val="0039365D"/>
    <w:rsid w:val="003963D3"/>
    <w:rsid w:val="00397238"/>
    <w:rsid w:val="003A0FAF"/>
    <w:rsid w:val="003A21C7"/>
    <w:rsid w:val="003A2F2D"/>
    <w:rsid w:val="003C1575"/>
    <w:rsid w:val="003C51A2"/>
    <w:rsid w:val="003D07F7"/>
    <w:rsid w:val="003D5275"/>
    <w:rsid w:val="003D63DF"/>
    <w:rsid w:val="003D737F"/>
    <w:rsid w:val="003E2944"/>
    <w:rsid w:val="003E5741"/>
    <w:rsid w:val="003E5A9C"/>
    <w:rsid w:val="003E5EA7"/>
    <w:rsid w:val="003F3F8C"/>
    <w:rsid w:val="003F584F"/>
    <w:rsid w:val="003F7474"/>
    <w:rsid w:val="003F7FED"/>
    <w:rsid w:val="00400677"/>
    <w:rsid w:val="00400D64"/>
    <w:rsid w:val="00404616"/>
    <w:rsid w:val="00407B6A"/>
    <w:rsid w:val="00407F4C"/>
    <w:rsid w:val="00414400"/>
    <w:rsid w:val="0041449C"/>
    <w:rsid w:val="00414621"/>
    <w:rsid w:val="00416298"/>
    <w:rsid w:val="00420910"/>
    <w:rsid w:val="00421CD4"/>
    <w:rsid w:val="00426160"/>
    <w:rsid w:val="00427833"/>
    <w:rsid w:val="00430C2E"/>
    <w:rsid w:val="0044196E"/>
    <w:rsid w:val="0044365D"/>
    <w:rsid w:val="00444E61"/>
    <w:rsid w:val="004502D6"/>
    <w:rsid w:val="00463DF8"/>
    <w:rsid w:val="00464136"/>
    <w:rsid w:val="00466FEB"/>
    <w:rsid w:val="00467939"/>
    <w:rsid w:val="0047094F"/>
    <w:rsid w:val="00474210"/>
    <w:rsid w:val="004745BB"/>
    <w:rsid w:val="00475741"/>
    <w:rsid w:val="00477D75"/>
    <w:rsid w:val="00480B96"/>
    <w:rsid w:val="00482C24"/>
    <w:rsid w:val="00482C96"/>
    <w:rsid w:val="0048303E"/>
    <w:rsid w:val="00483E6E"/>
    <w:rsid w:val="004847A6"/>
    <w:rsid w:val="00491433"/>
    <w:rsid w:val="004920F6"/>
    <w:rsid w:val="0049226F"/>
    <w:rsid w:val="00492ADF"/>
    <w:rsid w:val="004A1B3F"/>
    <w:rsid w:val="004A67E8"/>
    <w:rsid w:val="004A7FA6"/>
    <w:rsid w:val="004B6793"/>
    <w:rsid w:val="004B7EC9"/>
    <w:rsid w:val="004C229A"/>
    <w:rsid w:val="004C3D65"/>
    <w:rsid w:val="004D042E"/>
    <w:rsid w:val="004D05F5"/>
    <w:rsid w:val="004D4393"/>
    <w:rsid w:val="004D484A"/>
    <w:rsid w:val="004D5D5A"/>
    <w:rsid w:val="004D6472"/>
    <w:rsid w:val="004D6A00"/>
    <w:rsid w:val="004E6808"/>
    <w:rsid w:val="004F0269"/>
    <w:rsid w:val="004F08CE"/>
    <w:rsid w:val="004F368D"/>
    <w:rsid w:val="004F58F9"/>
    <w:rsid w:val="004F7C9E"/>
    <w:rsid w:val="00500145"/>
    <w:rsid w:val="005023B7"/>
    <w:rsid w:val="00502B76"/>
    <w:rsid w:val="00507CD8"/>
    <w:rsid w:val="0051196E"/>
    <w:rsid w:val="0051289D"/>
    <w:rsid w:val="00513BB6"/>
    <w:rsid w:val="0051601F"/>
    <w:rsid w:val="005262C6"/>
    <w:rsid w:val="00553901"/>
    <w:rsid w:val="00562EB1"/>
    <w:rsid w:val="00570DC8"/>
    <w:rsid w:val="00580BEB"/>
    <w:rsid w:val="005933CA"/>
    <w:rsid w:val="00593A5F"/>
    <w:rsid w:val="00593CBB"/>
    <w:rsid w:val="00597D3F"/>
    <w:rsid w:val="005A0EB0"/>
    <w:rsid w:val="005B0D2A"/>
    <w:rsid w:val="005B7470"/>
    <w:rsid w:val="005B79E9"/>
    <w:rsid w:val="005C0A5E"/>
    <w:rsid w:val="005C4D5F"/>
    <w:rsid w:val="005D0F94"/>
    <w:rsid w:val="005E00F2"/>
    <w:rsid w:val="005E4912"/>
    <w:rsid w:val="005E6F1F"/>
    <w:rsid w:val="005E7604"/>
    <w:rsid w:val="005F2B0B"/>
    <w:rsid w:val="005F44D1"/>
    <w:rsid w:val="005F4918"/>
    <w:rsid w:val="005F60E7"/>
    <w:rsid w:val="00600D17"/>
    <w:rsid w:val="00602EEE"/>
    <w:rsid w:val="00621129"/>
    <w:rsid w:val="006249BB"/>
    <w:rsid w:val="00633916"/>
    <w:rsid w:val="00635D4B"/>
    <w:rsid w:val="00637718"/>
    <w:rsid w:val="00641D2B"/>
    <w:rsid w:val="0064260B"/>
    <w:rsid w:val="00643ACA"/>
    <w:rsid w:val="0065123B"/>
    <w:rsid w:val="006550A1"/>
    <w:rsid w:val="00662D3E"/>
    <w:rsid w:val="006634B2"/>
    <w:rsid w:val="0066384E"/>
    <w:rsid w:val="00665C7E"/>
    <w:rsid w:val="00670343"/>
    <w:rsid w:val="00671ABE"/>
    <w:rsid w:val="00672DDD"/>
    <w:rsid w:val="00674041"/>
    <w:rsid w:val="006749E2"/>
    <w:rsid w:val="00676C91"/>
    <w:rsid w:val="00681A33"/>
    <w:rsid w:val="00682254"/>
    <w:rsid w:val="00682E32"/>
    <w:rsid w:val="00683F5B"/>
    <w:rsid w:val="006850AB"/>
    <w:rsid w:val="00690B77"/>
    <w:rsid w:val="00693114"/>
    <w:rsid w:val="00693334"/>
    <w:rsid w:val="00694515"/>
    <w:rsid w:val="006A2D7B"/>
    <w:rsid w:val="006A40B3"/>
    <w:rsid w:val="006A6278"/>
    <w:rsid w:val="006A692E"/>
    <w:rsid w:val="006B1E6B"/>
    <w:rsid w:val="006C4000"/>
    <w:rsid w:val="006C4070"/>
    <w:rsid w:val="006C5BBE"/>
    <w:rsid w:val="006C62B6"/>
    <w:rsid w:val="006D1CBD"/>
    <w:rsid w:val="006D474B"/>
    <w:rsid w:val="006D4A2C"/>
    <w:rsid w:val="006E1E6D"/>
    <w:rsid w:val="006E490E"/>
    <w:rsid w:val="006E4BDD"/>
    <w:rsid w:val="006E557D"/>
    <w:rsid w:val="006E56E8"/>
    <w:rsid w:val="006E65C7"/>
    <w:rsid w:val="006F1981"/>
    <w:rsid w:val="006F2122"/>
    <w:rsid w:val="006F2E70"/>
    <w:rsid w:val="006F3AB3"/>
    <w:rsid w:val="006F5C08"/>
    <w:rsid w:val="006F6353"/>
    <w:rsid w:val="006F7FAC"/>
    <w:rsid w:val="007017BA"/>
    <w:rsid w:val="00707AD8"/>
    <w:rsid w:val="00711200"/>
    <w:rsid w:val="007219EB"/>
    <w:rsid w:val="0072397F"/>
    <w:rsid w:val="00724186"/>
    <w:rsid w:val="00724880"/>
    <w:rsid w:val="00725C40"/>
    <w:rsid w:val="00731922"/>
    <w:rsid w:val="00731ACB"/>
    <w:rsid w:val="00736705"/>
    <w:rsid w:val="007368AD"/>
    <w:rsid w:val="00737580"/>
    <w:rsid w:val="00737F54"/>
    <w:rsid w:val="0074122E"/>
    <w:rsid w:val="0074131B"/>
    <w:rsid w:val="0074133D"/>
    <w:rsid w:val="0074293C"/>
    <w:rsid w:val="00745215"/>
    <w:rsid w:val="00747382"/>
    <w:rsid w:val="0075196D"/>
    <w:rsid w:val="00753EAD"/>
    <w:rsid w:val="00754F1D"/>
    <w:rsid w:val="0075558C"/>
    <w:rsid w:val="00757A68"/>
    <w:rsid w:val="00761EFA"/>
    <w:rsid w:val="0076354D"/>
    <w:rsid w:val="00764873"/>
    <w:rsid w:val="00772176"/>
    <w:rsid w:val="007778DD"/>
    <w:rsid w:val="007856D9"/>
    <w:rsid w:val="00790B6C"/>
    <w:rsid w:val="0079210B"/>
    <w:rsid w:val="00795D03"/>
    <w:rsid w:val="00796693"/>
    <w:rsid w:val="007A5D29"/>
    <w:rsid w:val="007C7591"/>
    <w:rsid w:val="007D203B"/>
    <w:rsid w:val="007D3933"/>
    <w:rsid w:val="007D3A77"/>
    <w:rsid w:val="007D538B"/>
    <w:rsid w:val="007D5CD5"/>
    <w:rsid w:val="007E5B56"/>
    <w:rsid w:val="007F18A5"/>
    <w:rsid w:val="007F1ADE"/>
    <w:rsid w:val="007F2CA9"/>
    <w:rsid w:val="007F6AE9"/>
    <w:rsid w:val="00803630"/>
    <w:rsid w:val="00807849"/>
    <w:rsid w:val="008106CC"/>
    <w:rsid w:val="00813284"/>
    <w:rsid w:val="0081543A"/>
    <w:rsid w:val="00822036"/>
    <w:rsid w:val="0082333A"/>
    <w:rsid w:val="00826D54"/>
    <w:rsid w:val="00831CFD"/>
    <w:rsid w:val="00834CBF"/>
    <w:rsid w:val="00836F89"/>
    <w:rsid w:val="00841BCE"/>
    <w:rsid w:val="00843ABB"/>
    <w:rsid w:val="00846459"/>
    <w:rsid w:val="008502AA"/>
    <w:rsid w:val="00852266"/>
    <w:rsid w:val="00855B80"/>
    <w:rsid w:val="008573D3"/>
    <w:rsid w:val="00861CAB"/>
    <w:rsid w:val="00863435"/>
    <w:rsid w:val="008659A8"/>
    <w:rsid w:val="008662E1"/>
    <w:rsid w:val="00872827"/>
    <w:rsid w:val="0087349A"/>
    <w:rsid w:val="008845A1"/>
    <w:rsid w:val="0088543B"/>
    <w:rsid w:val="00885C5C"/>
    <w:rsid w:val="008865B6"/>
    <w:rsid w:val="0089389B"/>
    <w:rsid w:val="008949B0"/>
    <w:rsid w:val="00894BE9"/>
    <w:rsid w:val="00895DF4"/>
    <w:rsid w:val="00895E97"/>
    <w:rsid w:val="008971EA"/>
    <w:rsid w:val="008A45B3"/>
    <w:rsid w:val="008A4E30"/>
    <w:rsid w:val="008A7BB2"/>
    <w:rsid w:val="008B1A4D"/>
    <w:rsid w:val="008B3BCF"/>
    <w:rsid w:val="008B7EAA"/>
    <w:rsid w:val="008D589C"/>
    <w:rsid w:val="008E23C2"/>
    <w:rsid w:val="008E7085"/>
    <w:rsid w:val="008F239B"/>
    <w:rsid w:val="008F2960"/>
    <w:rsid w:val="008F2A6C"/>
    <w:rsid w:val="008F358F"/>
    <w:rsid w:val="008F3E73"/>
    <w:rsid w:val="008F60C3"/>
    <w:rsid w:val="00900B0F"/>
    <w:rsid w:val="00903939"/>
    <w:rsid w:val="009134C6"/>
    <w:rsid w:val="00913500"/>
    <w:rsid w:val="0092037B"/>
    <w:rsid w:val="009228B2"/>
    <w:rsid w:val="009254D6"/>
    <w:rsid w:val="0092669B"/>
    <w:rsid w:val="00926B51"/>
    <w:rsid w:val="0093124C"/>
    <w:rsid w:val="0093163E"/>
    <w:rsid w:val="00936436"/>
    <w:rsid w:val="009368EB"/>
    <w:rsid w:val="0094164C"/>
    <w:rsid w:val="009429BD"/>
    <w:rsid w:val="0094721A"/>
    <w:rsid w:val="00947D4F"/>
    <w:rsid w:val="00961325"/>
    <w:rsid w:val="00965FBD"/>
    <w:rsid w:val="00966BAC"/>
    <w:rsid w:val="00986656"/>
    <w:rsid w:val="009869D8"/>
    <w:rsid w:val="00990A2B"/>
    <w:rsid w:val="00994ED7"/>
    <w:rsid w:val="00995113"/>
    <w:rsid w:val="009A2ABE"/>
    <w:rsid w:val="009A6A2F"/>
    <w:rsid w:val="009A7025"/>
    <w:rsid w:val="009A733E"/>
    <w:rsid w:val="009B2396"/>
    <w:rsid w:val="009B2A57"/>
    <w:rsid w:val="009B3D25"/>
    <w:rsid w:val="009B439C"/>
    <w:rsid w:val="009B4CFB"/>
    <w:rsid w:val="009C0103"/>
    <w:rsid w:val="009C4DC8"/>
    <w:rsid w:val="009C6A7F"/>
    <w:rsid w:val="009C755C"/>
    <w:rsid w:val="009C780F"/>
    <w:rsid w:val="009D06D1"/>
    <w:rsid w:val="009D2408"/>
    <w:rsid w:val="009D2AA9"/>
    <w:rsid w:val="009D46F6"/>
    <w:rsid w:val="009E4BA4"/>
    <w:rsid w:val="009E4F4C"/>
    <w:rsid w:val="009F0D40"/>
    <w:rsid w:val="00A03456"/>
    <w:rsid w:val="00A044C1"/>
    <w:rsid w:val="00A237FA"/>
    <w:rsid w:val="00A25353"/>
    <w:rsid w:val="00A2593C"/>
    <w:rsid w:val="00A26E25"/>
    <w:rsid w:val="00A31220"/>
    <w:rsid w:val="00A34ABE"/>
    <w:rsid w:val="00A34ACC"/>
    <w:rsid w:val="00A34F5F"/>
    <w:rsid w:val="00A403C8"/>
    <w:rsid w:val="00A43BBE"/>
    <w:rsid w:val="00A46A68"/>
    <w:rsid w:val="00A50EE9"/>
    <w:rsid w:val="00A5188E"/>
    <w:rsid w:val="00A51C9C"/>
    <w:rsid w:val="00A51D71"/>
    <w:rsid w:val="00A56B44"/>
    <w:rsid w:val="00A71C69"/>
    <w:rsid w:val="00A74307"/>
    <w:rsid w:val="00A75D5B"/>
    <w:rsid w:val="00A762A0"/>
    <w:rsid w:val="00A83ADC"/>
    <w:rsid w:val="00A86843"/>
    <w:rsid w:val="00A86F48"/>
    <w:rsid w:val="00A92759"/>
    <w:rsid w:val="00A9375D"/>
    <w:rsid w:val="00AA00B8"/>
    <w:rsid w:val="00AA2D72"/>
    <w:rsid w:val="00AB3CC1"/>
    <w:rsid w:val="00AB7EF9"/>
    <w:rsid w:val="00AC1B28"/>
    <w:rsid w:val="00AC7944"/>
    <w:rsid w:val="00AD0A33"/>
    <w:rsid w:val="00AD1450"/>
    <w:rsid w:val="00AE0982"/>
    <w:rsid w:val="00AE125E"/>
    <w:rsid w:val="00AE3DDA"/>
    <w:rsid w:val="00AE4B13"/>
    <w:rsid w:val="00AF7F48"/>
    <w:rsid w:val="00B00A40"/>
    <w:rsid w:val="00B07524"/>
    <w:rsid w:val="00B113E7"/>
    <w:rsid w:val="00B11981"/>
    <w:rsid w:val="00B11ADD"/>
    <w:rsid w:val="00B11D4E"/>
    <w:rsid w:val="00B217BE"/>
    <w:rsid w:val="00B26528"/>
    <w:rsid w:val="00B30A2A"/>
    <w:rsid w:val="00B31D9B"/>
    <w:rsid w:val="00B3272F"/>
    <w:rsid w:val="00B32F8A"/>
    <w:rsid w:val="00B35B7C"/>
    <w:rsid w:val="00B419F7"/>
    <w:rsid w:val="00B438C4"/>
    <w:rsid w:val="00B46391"/>
    <w:rsid w:val="00B53C15"/>
    <w:rsid w:val="00B665F8"/>
    <w:rsid w:val="00B76E7C"/>
    <w:rsid w:val="00B830D1"/>
    <w:rsid w:val="00B830F6"/>
    <w:rsid w:val="00B86B05"/>
    <w:rsid w:val="00B90095"/>
    <w:rsid w:val="00B93BF8"/>
    <w:rsid w:val="00B93D1C"/>
    <w:rsid w:val="00B947E7"/>
    <w:rsid w:val="00B955BD"/>
    <w:rsid w:val="00BA093B"/>
    <w:rsid w:val="00BA3189"/>
    <w:rsid w:val="00BA55EE"/>
    <w:rsid w:val="00BA6298"/>
    <w:rsid w:val="00BB116E"/>
    <w:rsid w:val="00BB7068"/>
    <w:rsid w:val="00BC536F"/>
    <w:rsid w:val="00BD3522"/>
    <w:rsid w:val="00BD43E6"/>
    <w:rsid w:val="00BE15EB"/>
    <w:rsid w:val="00BE4B6F"/>
    <w:rsid w:val="00BE6843"/>
    <w:rsid w:val="00BE7625"/>
    <w:rsid w:val="00BF1ED3"/>
    <w:rsid w:val="00BF3517"/>
    <w:rsid w:val="00BF5717"/>
    <w:rsid w:val="00BF7344"/>
    <w:rsid w:val="00C019E9"/>
    <w:rsid w:val="00C03112"/>
    <w:rsid w:val="00C048C5"/>
    <w:rsid w:val="00C067FC"/>
    <w:rsid w:val="00C0799A"/>
    <w:rsid w:val="00C10A15"/>
    <w:rsid w:val="00C11D0D"/>
    <w:rsid w:val="00C1521B"/>
    <w:rsid w:val="00C23603"/>
    <w:rsid w:val="00C246A0"/>
    <w:rsid w:val="00C317E9"/>
    <w:rsid w:val="00C34857"/>
    <w:rsid w:val="00C429EC"/>
    <w:rsid w:val="00C509C3"/>
    <w:rsid w:val="00C50A17"/>
    <w:rsid w:val="00C52232"/>
    <w:rsid w:val="00C530A3"/>
    <w:rsid w:val="00C53DD5"/>
    <w:rsid w:val="00C65186"/>
    <w:rsid w:val="00C6616A"/>
    <w:rsid w:val="00C7079B"/>
    <w:rsid w:val="00C70EAE"/>
    <w:rsid w:val="00C71A06"/>
    <w:rsid w:val="00C72D98"/>
    <w:rsid w:val="00C76A5F"/>
    <w:rsid w:val="00C811BE"/>
    <w:rsid w:val="00C83B65"/>
    <w:rsid w:val="00C872A4"/>
    <w:rsid w:val="00C95581"/>
    <w:rsid w:val="00CA0172"/>
    <w:rsid w:val="00CA13DC"/>
    <w:rsid w:val="00CA2397"/>
    <w:rsid w:val="00CB1BED"/>
    <w:rsid w:val="00CB77EA"/>
    <w:rsid w:val="00CB7831"/>
    <w:rsid w:val="00CC0B39"/>
    <w:rsid w:val="00CD4017"/>
    <w:rsid w:val="00CD50B5"/>
    <w:rsid w:val="00CD73A9"/>
    <w:rsid w:val="00CF4A8A"/>
    <w:rsid w:val="00CF4CC6"/>
    <w:rsid w:val="00CF773B"/>
    <w:rsid w:val="00D06F12"/>
    <w:rsid w:val="00D06F7A"/>
    <w:rsid w:val="00D07ECB"/>
    <w:rsid w:val="00D12005"/>
    <w:rsid w:val="00D130E1"/>
    <w:rsid w:val="00D20EE0"/>
    <w:rsid w:val="00D21EF3"/>
    <w:rsid w:val="00D25494"/>
    <w:rsid w:val="00D306B9"/>
    <w:rsid w:val="00D3189E"/>
    <w:rsid w:val="00D3572E"/>
    <w:rsid w:val="00D42901"/>
    <w:rsid w:val="00D46790"/>
    <w:rsid w:val="00D46A58"/>
    <w:rsid w:val="00D512E3"/>
    <w:rsid w:val="00D57437"/>
    <w:rsid w:val="00D57DA9"/>
    <w:rsid w:val="00D70EAD"/>
    <w:rsid w:val="00D72BB0"/>
    <w:rsid w:val="00D7663F"/>
    <w:rsid w:val="00D77C1B"/>
    <w:rsid w:val="00D81B0C"/>
    <w:rsid w:val="00D82EF2"/>
    <w:rsid w:val="00D83B30"/>
    <w:rsid w:val="00D90A35"/>
    <w:rsid w:val="00D91C27"/>
    <w:rsid w:val="00D951CB"/>
    <w:rsid w:val="00DA0DDB"/>
    <w:rsid w:val="00DA3FB5"/>
    <w:rsid w:val="00DB0CD6"/>
    <w:rsid w:val="00DB2754"/>
    <w:rsid w:val="00DB2CE6"/>
    <w:rsid w:val="00DB3040"/>
    <w:rsid w:val="00DB3CF8"/>
    <w:rsid w:val="00DB41E0"/>
    <w:rsid w:val="00DC01AE"/>
    <w:rsid w:val="00DC290C"/>
    <w:rsid w:val="00DC2AD2"/>
    <w:rsid w:val="00DC5925"/>
    <w:rsid w:val="00DC60FA"/>
    <w:rsid w:val="00DD29D1"/>
    <w:rsid w:val="00DE1EB8"/>
    <w:rsid w:val="00DE23AF"/>
    <w:rsid w:val="00DE3748"/>
    <w:rsid w:val="00DE5031"/>
    <w:rsid w:val="00DF312D"/>
    <w:rsid w:val="00DF3B9A"/>
    <w:rsid w:val="00DF60A2"/>
    <w:rsid w:val="00DF6E32"/>
    <w:rsid w:val="00E03371"/>
    <w:rsid w:val="00E05330"/>
    <w:rsid w:val="00E076AF"/>
    <w:rsid w:val="00E11089"/>
    <w:rsid w:val="00E146B7"/>
    <w:rsid w:val="00E17598"/>
    <w:rsid w:val="00E236DC"/>
    <w:rsid w:val="00E250FD"/>
    <w:rsid w:val="00E26D44"/>
    <w:rsid w:val="00E33958"/>
    <w:rsid w:val="00E444A3"/>
    <w:rsid w:val="00E468B8"/>
    <w:rsid w:val="00E55557"/>
    <w:rsid w:val="00E70414"/>
    <w:rsid w:val="00E76D47"/>
    <w:rsid w:val="00E82681"/>
    <w:rsid w:val="00E85754"/>
    <w:rsid w:val="00E91931"/>
    <w:rsid w:val="00E93348"/>
    <w:rsid w:val="00E955BB"/>
    <w:rsid w:val="00E97FDB"/>
    <w:rsid w:val="00EA0DEB"/>
    <w:rsid w:val="00EA1FEC"/>
    <w:rsid w:val="00EA5199"/>
    <w:rsid w:val="00EA5479"/>
    <w:rsid w:val="00EB339D"/>
    <w:rsid w:val="00EC2668"/>
    <w:rsid w:val="00EC331B"/>
    <w:rsid w:val="00EC4218"/>
    <w:rsid w:val="00EC6A73"/>
    <w:rsid w:val="00EC7405"/>
    <w:rsid w:val="00ED7A05"/>
    <w:rsid w:val="00EE00B6"/>
    <w:rsid w:val="00EE3032"/>
    <w:rsid w:val="00EE334C"/>
    <w:rsid w:val="00EE46E1"/>
    <w:rsid w:val="00EE488F"/>
    <w:rsid w:val="00EF11A4"/>
    <w:rsid w:val="00EF1DC3"/>
    <w:rsid w:val="00EF6E91"/>
    <w:rsid w:val="00F02153"/>
    <w:rsid w:val="00F058DF"/>
    <w:rsid w:val="00F06D87"/>
    <w:rsid w:val="00F15675"/>
    <w:rsid w:val="00F20503"/>
    <w:rsid w:val="00F21250"/>
    <w:rsid w:val="00F234D6"/>
    <w:rsid w:val="00F2398D"/>
    <w:rsid w:val="00F25D4C"/>
    <w:rsid w:val="00F4293A"/>
    <w:rsid w:val="00F43C42"/>
    <w:rsid w:val="00F44455"/>
    <w:rsid w:val="00F52F6E"/>
    <w:rsid w:val="00F5460D"/>
    <w:rsid w:val="00F54702"/>
    <w:rsid w:val="00F55515"/>
    <w:rsid w:val="00F5787E"/>
    <w:rsid w:val="00F61008"/>
    <w:rsid w:val="00F634A3"/>
    <w:rsid w:val="00F679E5"/>
    <w:rsid w:val="00F710F9"/>
    <w:rsid w:val="00F74031"/>
    <w:rsid w:val="00F75F73"/>
    <w:rsid w:val="00F7620F"/>
    <w:rsid w:val="00F83A5F"/>
    <w:rsid w:val="00F8462C"/>
    <w:rsid w:val="00F863CC"/>
    <w:rsid w:val="00F87F40"/>
    <w:rsid w:val="00F90798"/>
    <w:rsid w:val="00F97BB2"/>
    <w:rsid w:val="00FA0AE4"/>
    <w:rsid w:val="00FA114D"/>
    <w:rsid w:val="00FB3EF0"/>
    <w:rsid w:val="00FB4DBA"/>
    <w:rsid w:val="00FB57D6"/>
    <w:rsid w:val="00FB667E"/>
    <w:rsid w:val="00FB6763"/>
    <w:rsid w:val="00FD0E40"/>
    <w:rsid w:val="00FD48B4"/>
    <w:rsid w:val="00FD7C8C"/>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1B325"/>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976"/>
    <w:rPr>
      <w:rFonts w:ascii="Arial" w:hAnsi="Arial"/>
    </w:rPr>
  </w:style>
  <w:style w:type="paragraph" w:styleId="Heading1">
    <w:name w:val="heading 1"/>
    <w:basedOn w:val="Normal"/>
    <w:next w:val="Normal"/>
    <w:link w:val="Heading1Char"/>
    <w:autoRedefine/>
    <w:qFormat/>
    <w:rsid w:val="00BF3517"/>
    <w:pPr>
      <w:autoSpaceDE w:val="0"/>
      <w:autoSpaceDN w:val="0"/>
      <w:adjustRightInd w:val="0"/>
      <w:spacing w:before="120" w:after="120" w:line="360" w:lineRule="auto"/>
      <w:jc w:val="center"/>
      <w:outlineLvl w:val="0"/>
    </w:pPr>
    <w:rPr>
      <w:rFonts w:ascii="Times New Roman" w:hAnsi="Times New Roman" w:cs="Times New Roman"/>
      <w:b/>
      <w:bCs/>
      <w:color w:val="000000" w:themeColor="text1"/>
      <w:szCs w:val="22"/>
    </w:rPr>
  </w:style>
  <w:style w:type="paragraph" w:styleId="Heading2">
    <w:name w:val="heading 2"/>
    <w:basedOn w:val="Normal"/>
    <w:next w:val="Normal"/>
    <w:link w:val="Heading2Char"/>
    <w:autoRedefine/>
    <w:qFormat/>
    <w:rsid w:val="00DB3040"/>
    <w:pPr>
      <w:keepNext/>
      <w:spacing w:before="240" w:after="60"/>
      <w:outlineLvl w:val="1"/>
    </w:pPr>
    <w:rPr>
      <w:rFonts w:ascii="Times New Roman" w:hAnsi="Times New Roman" w:cs="Times New Roman"/>
      <w:b/>
      <w:bCs/>
      <w:iCs/>
    </w:rPr>
  </w:style>
  <w:style w:type="paragraph" w:styleId="Heading3">
    <w:name w:val="heading 3"/>
    <w:basedOn w:val="Normal"/>
    <w:next w:val="Normal"/>
    <w:link w:val="Heading3Char"/>
    <w:autoRedefine/>
    <w:qFormat/>
    <w:rsid w:val="009D06D1"/>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BF3517"/>
    <w:rPr>
      <w:rFonts w:cs="Times New Roman"/>
      <w:b/>
      <w:bCs/>
      <w:color w:val="000000" w:themeColor="text1"/>
      <w:szCs w:val="2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0F4D4E"/>
    <w:pPr>
      <w:numPr>
        <w:numId w:val="44"/>
      </w:numPr>
      <w:spacing w:line="360" w:lineRule="auto"/>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F20503"/>
    <w:pPr>
      <w:spacing w:before="120" w:after="12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5C0A5E"/>
    <w:pPr>
      <w:numPr>
        <w:ilvl w:val="12"/>
      </w:numPr>
    </w:pPr>
    <w:rPr>
      <w:bCs w:val="0"/>
    </w:rPr>
  </w:style>
  <w:style w:type="character" w:styleId="CommentReference">
    <w:name w:val="annotation reference"/>
    <w:basedOn w:val="DefaultParagraphFont"/>
    <w:uiPriority w:val="99"/>
    <w:semiHidden/>
    <w:unhideWhenUsed/>
    <w:rsid w:val="00F75F73"/>
    <w:rPr>
      <w:sz w:val="16"/>
      <w:szCs w:val="16"/>
    </w:rPr>
  </w:style>
  <w:style w:type="paragraph" w:styleId="CommentText">
    <w:name w:val="annotation text"/>
    <w:basedOn w:val="Normal"/>
    <w:link w:val="CommentTextChar"/>
    <w:uiPriority w:val="99"/>
    <w:unhideWhenUsed/>
    <w:rsid w:val="00F75F7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75F73"/>
    <w:rPr>
      <w:rFonts w:asciiTheme="minorHAnsi" w:eastAsiaTheme="minorHAnsi" w:hAnsiTheme="minorHAnsi" w:cstheme="minorBidi"/>
      <w:sz w:val="20"/>
      <w:szCs w:val="20"/>
    </w:rPr>
  </w:style>
  <w:style w:type="character" w:styleId="PlaceholderText">
    <w:name w:val="Placeholder Text"/>
    <w:basedOn w:val="DefaultParagraphFont"/>
    <w:uiPriority w:val="99"/>
    <w:semiHidden/>
    <w:rsid w:val="008B3BCF"/>
    <w:rPr>
      <w:color w:val="808080"/>
    </w:rPr>
  </w:style>
  <w:style w:type="paragraph" w:styleId="CommentSubject">
    <w:name w:val="annotation subject"/>
    <w:basedOn w:val="CommentText"/>
    <w:next w:val="CommentText"/>
    <w:link w:val="CommentSubjectChar"/>
    <w:uiPriority w:val="99"/>
    <w:semiHidden/>
    <w:unhideWhenUsed/>
    <w:rsid w:val="008B3BCF"/>
    <w:rPr>
      <w:b/>
      <w:bCs/>
    </w:rPr>
  </w:style>
  <w:style w:type="character" w:customStyle="1" w:styleId="CommentSubjectChar">
    <w:name w:val="Comment Subject Char"/>
    <w:basedOn w:val="CommentTextChar"/>
    <w:link w:val="CommentSubject"/>
    <w:uiPriority w:val="99"/>
    <w:semiHidden/>
    <w:rsid w:val="008B3BCF"/>
    <w:rPr>
      <w:rFonts w:asciiTheme="minorHAnsi" w:eastAsiaTheme="minorHAnsi" w:hAnsiTheme="minorHAnsi" w:cstheme="minorBidi"/>
      <w:b/>
      <w:bCs/>
      <w:sz w:val="20"/>
      <w:szCs w:val="20"/>
    </w:rPr>
  </w:style>
  <w:style w:type="character" w:styleId="LineNumber">
    <w:name w:val="line number"/>
    <w:basedOn w:val="DefaultParagraphFont"/>
    <w:uiPriority w:val="99"/>
    <w:semiHidden/>
    <w:unhideWhenUsed/>
    <w:rsid w:val="008B3BCF"/>
  </w:style>
  <w:style w:type="character" w:customStyle="1" w:styleId="HeaderChar">
    <w:name w:val="Header Char"/>
    <w:basedOn w:val="DefaultParagraphFont"/>
    <w:link w:val="Header"/>
    <w:uiPriority w:val="99"/>
    <w:rsid w:val="00913500"/>
    <w:rPr>
      <w:rFonts w:ascii="Arial" w:hAnsi="Arial"/>
    </w:rPr>
  </w:style>
  <w:style w:type="paragraph" w:styleId="Revision">
    <w:name w:val="Revision"/>
    <w:hidden/>
    <w:uiPriority w:val="99"/>
    <w:semiHidden/>
    <w:rsid w:val="00913500"/>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DB3040"/>
    <w:rPr>
      <w:rFonts w:cs="Times New Roman"/>
      <w:b/>
      <w:bCs/>
      <w:iCs/>
    </w:rPr>
  </w:style>
  <w:style w:type="character" w:customStyle="1" w:styleId="Heading3Char">
    <w:name w:val="Heading 3 Char"/>
    <w:basedOn w:val="DefaultParagraphFont"/>
    <w:link w:val="Heading3"/>
    <w:rsid w:val="009D06D1"/>
    <w:rPr>
      <w:rFonts w:cs="Times New Roman"/>
      <w:b/>
      <w:bCs/>
      <w:i/>
      <w:szCs w:val="26"/>
    </w:rPr>
  </w:style>
  <w:style w:type="character" w:styleId="UnresolvedMention">
    <w:name w:val="Unresolved Mention"/>
    <w:basedOn w:val="DefaultParagraphFont"/>
    <w:uiPriority w:val="99"/>
    <w:semiHidden/>
    <w:unhideWhenUsed/>
    <w:rsid w:val="00D2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67757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70525730">
      <w:bodyDiv w:val="1"/>
      <w:marLeft w:val="0"/>
      <w:marRight w:val="0"/>
      <w:marTop w:val="0"/>
      <w:marBottom w:val="0"/>
      <w:divBdr>
        <w:top w:val="none" w:sz="0" w:space="0" w:color="auto"/>
        <w:left w:val="none" w:sz="0" w:space="0" w:color="auto"/>
        <w:bottom w:val="none" w:sz="0" w:space="0" w:color="auto"/>
        <w:right w:val="none" w:sz="0" w:space="0" w:color="auto"/>
      </w:divBdr>
    </w:div>
    <w:div w:id="2020502183">
      <w:bodyDiv w:val="1"/>
      <w:marLeft w:val="0"/>
      <w:marRight w:val="0"/>
      <w:marTop w:val="0"/>
      <w:marBottom w:val="0"/>
      <w:divBdr>
        <w:top w:val="none" w:sz="0" w:space="0" w:color="auto"/>
        <w:left w:val="none" w:sz="0" w:space="0" w:color="auto"/>
        <w:bottom w:val="none" w:sz="0" w:space="0" w:color="auto"/>
        <w:right w:val="none" w:sz="0" w:space="0" w:color="auto"/>
      </w:divBdr>
      <w:divsChild>
        <w:div w:id="1987321109">
          <w:marLeft w:val="446"/>
          <w:marRight w:val="0"/>
          <w:marTop w:val="0"/>
          <w:marBottom w:val="0"/>
          <w:divBdr>
            <w:top w:val="none" w:sz="0" w:space="0" w:color="auto"/>
            <w:left w:val="none" w:sz="0" w:space="0" w:color="auto"/>
            <w:bottom w:val="none" w:sz="0" w:space="0" w:color="auto"/>
            <w:right w:val="none" w:sz="0" w:space="0" w:color="auto"/>
          </w:divBdr>
        </w:div>
        <w:div w:id="294482331">
          <w:marLeft w:val="446"/>
          <w:marRight w:val="0"/>
          <w:marTop w:val="0"/>
          <w:marBottom w:val="0"/>
          <w:divBdr>
            <w:top w:val="none" w:sz="0" w:space="0" w:color="auto"/>
            <w:left w:val="none" w:sz="0" w:space="0" w:color="auto"/>
            <w:bottom w:val="none" w:sz="0" w:space="0" w:color="auto"/>
            <w:right w:val="none" w:sz="0" w:space="0" w:color="auto"/>
          </w:divBdr>
        </w:div>
        <w:div w:id="2215974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6.tiff"/><Relationship Id="rId29" Type="http://schemas.openxmlformats.org/officeDocument/2006/relationships/image" Target="media/image19.tiff"/><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theme" Target="theme/theme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1.jpeg"/><Relationship Id="rId54" Type="http://schemas.microsoft.com/office/2007/relationships/hdphoto" Target="media/hdphoto1.wdp"/><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tiff"/><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2</TotalTime>
  <Pages>196</Pages>
  <Words>160940</Words>
  <Characters>917362</Characters>
  <Application>Microsoft Office Word</Application>
  <DocSecurity>0</DocSecurity>
  <Lines>7644</Lines>
  <Paragraphs>2152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1076150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Stiles, Alex</cp:lastModifiedBy>
  <cp:revision>3</cp:revision>
  <cp:lastPrinted>2022-03-07T16:58:00Z</cp:lastPrinted>
  <dcterms:created xsi:type="dcterms:W3CDTF">2022-04-24T18:10:00Z</dcterms:created>
  <dcterms:modified xsi:type="dcterms:W3CDTF">2022-04-26T00:45:00Z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http://www.zotero.org/styles/asce-asme-journal-of-risk-and-uncertainty-in-engineering-systems-part-a-civil-engineering</vt:lpwstr>
  </property>
  <property fmtid="{D5CDD505-2E9C-101B-9397-08002B2CF9AE}" pid="3" name="Mendeley Recent Style Name 0_1">
    <vt:lpwstr>ASCE-ASME Journal of Risk and Uncertainty in Engineering Systems, Part A: Civil Engineering</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98142eef-bf34-3c42-a6d0-624952d338b5</vt:lpwstr>
  </property>
  <property fmtid="{D5CDD505-2E9C-101B-9397-08002B2CF9AE}" pid="24" name="Mendeley Citation Style_1">
    <vt:lpwstr>http://www.zotero.org/styles/ieee</vt:lpwstr>
  </property>
</Properties>
</file>