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653C5" w14:textId="21B6DD9F" w:rsidR="00ED09E0" w:rsidRPr="00E033D4" w:rsidRDefault="00BE2AA8" w:rsidP="00D02884">
      <w:pPr>
        <w:contextualSpacing/>
        <w:jc w:val="center"/>
        <w:rPr>
          <w:rFonts w:eastAsia="Times New Roman" w:cs="Arial"/>
          <w:b/>
          <w:bCs/>
          <w:color w:val="000000"/>
          <w:sz w:val="32"/>
          <w:szCs w:val="32"/>
        </w:rPr>
      </w:pPr>
      <w:r w:rsidRPr="00E033D4">
        <w:rPr>
          <w:rFonts w:eastAsia="Times New Roman" w:cs="Arial"/>
          <w:b/>
          <w:bCs/>
          <w:color w:val="000000"/>
          <w:sz w:val="32"/>
          <w:szCs w:val="32"/>
        </w:rPr>
        <w:t>Cell-free</w:t>
      </w:r>
      <w:r w:rsidR="00ED09E0" w:rsidRPr="00E033D4">
        <w:rPr>
          <w:rFonts w:eastAsia="Times New Roman" w:cs="Arial"/>
          <w:b/>
          <w:bCs/>
          <w:color w:val="000000"/>
          <w:sz w:val="32"/>
          <w:szCs w:val="32"/>
        </w:rPr>
        <w:t xml:space="preserve"> </w:t>
      </w:r>
      <w:r w:rsidR="004F23CE">
        <w:rPr>
          <w:rFonts w:eastAsia="Times New Roman" w:cs="Arial"/>
          <w:b/>
          <w:bCs/>
          <w:color w:val="000000"/>
          <w:sz w:val="32"/>
          <w:szCs w:val="32"/>
        </w:rPr>
        <w:t xml:space="preserve">Metabolic </w:t>
      </w:r>
      <w:r w:rsidR="00ED09E0" w:rsidRPr="00E033D4">
        <w:rPr>
          <w:rFonts w:eastAsia="Times New Roman" w:cs="Arial"/>
          <w:b/>
          <w:bCs/>
          <w:color w:val="000000"/>
          <w:sz w:val="32"/>
          <w:szCs w:val="32"/>
        </w:rPr>
        <w:t xml:space="preserve">Engineering Strategies for </w:t>
      </w:r>
    </w:p>
    <w:p w14:paraId="383F7150" w14:textId="1FC05038" w:rsidR="00B833EA" w:rsidRPr="00E033D4" w:rsidRDefault="005243FC" w:rsidP="00D02884">
      <w:pPr>
        <w:contextualSpacing/>
        <w:jc w:val="center"/>
        <w:rPr>
          <w:rFonts w:eastAsia="Times New Roman" w:cs="Arial"/>
          <w:b/>
          <w:bCs/>
          <w:color w:val="000000"/>
          <w:sz w:val="32"/>
          <w:szCs w:val="32"/>
        </w:rPr>
      </w:pPr>
      <w:r w:rsidRPr="00E033D4">
        <w:rPr>
          <w:rFonts w:eastAsia="Times New Roman" w:cs="Arial"/>
          <w:b/>
          <w:bCs/>
          <w:color w:val="000000"/>
          <w:sz w:val="32"/>
          <w:szCs w:val="32"/>
        </w:rPr>
        <w:t>Accelerated</w:t>
      </w:r>
      <w:r w:rsidR="00BE2AA8" w:rsidRPr="00E033D4">
        <w:rPr>
          <w:rFonts w:eastAsia="Times New Roman" w:cs="Arial"/>
          <w:b/>
          <w:bCs/>
          <w:color w:val="000000"/>
          <w:sz w:val="32"/>
          <w:szCs w:val="32"/>
        </w:rPr>
        <w:t xml:space="preserve"> Biomanufacturing</w:t>
      </w:r>
    </w:p>
    <w:p w14:paraId="703EDD38" w14:textId="36B9A574" w:rsidR="00B833EA" w:rsidRDefault="00B833EA" w:rsidP="00D02884">
      <w:pPr>
        <w:contextualSpacing/>
        <w:jc w:val="center"/>
        <w:rPr>
          <w:rFonts w:eastAsia="Times New Roman" w:cs="Arial"/>
          <w:b/>
          <w:bCs/>
          <w:color w:val="000000"/>
          <w:sz w:val="28"/>
          <w:szCs w:val="28"/>
        </w:rPr>
      </w:pPr>
    </w:p>
    <w:p w14:paraId="0B0D3394" w14:textId="14805F7A" w:rsidR="00B833EA" w:rsidRDefault="00B833EA" w:rsidP="00D02884">
      <w:pPr>
        <w:contextualSpacing/>
        <w:jc w:val="center"/>
        <w:rPr>
          <w:rFonts w:eastAsia="Times New Roman" w:cs="Arial"/>
          <w:b/>
          <w:bCs/>
          <w:color w:val="000000"/>
          <w:sz w:val="28"/>
          <w:szCs w:val="28"/>
        </w:rPr>
      </w:pPr>
    </w:p>
    <w:p w14:paraId="5F590D16" w14:textId="7657ED24" w:rsidR="00B833EA" w:rsidRDefault="00B833EA" w:rsidP="00ED09E0">
      <w:pPr>
        <w:contextualSpacing/>
        <w:rPr>
          <w:rFonts w:eastAsia="Times New Roman" w:cs="Arial"/>
          <w:b/>
          <w:bCs/>
          <w:color w:val="000000"/>
          <w:sz w:val="28"/>
          <w:szCs w:val="28"/>
        </w:rPr>
      </w:pPr>
    </w:p>
    <w:p w14:paraId="26316A5A" w14:textId="50C9C44E" w:rsidR="00B833EA" w:rsidRDefault="00B833EA" w:rsidP="00D02884">
      <w:pPr>
        <w:contextualSpacing/>
        <w:jc w:val="center"/>
        <w:rPr>
          <w:rFonts w:eastAsia="Times New Roman" w:cs="Arial"/>
          <w:b/>
          <w:bCs/>
          <w:color w:val="000000"/>
          <w:sz w:val="28"/>
          <w:szCs w:val="28"/>
        </w:rPr>
      </w:pPr>
    </w:p>
    <w:p w14:paraId="05B7E788" w14:textId="7B3A0FEA" w:rsidR="00B833EA" w:rsidRDefault="00B833EA" w:rsidP="00D02884">
      <w:pPr>
        <w:contextualSpacing/>
        <w:jc w:val="center"/>
        <w:rPr>
          <w:rFonts w:eastAsia="Times New Roman" w:cs="Arial"/>
          <w:b/>
          <w:bCs/>
          <w:color w:val="000000"/>
          <w:sz w:val="28"/>
          <w:szCs w:val="28"/>
        </w:rPr>
      </w:pPr>
    </w:p>
    <w:p w14:paraId="49135F13" w14:textId="5D8D8AE3" w:rsidR="00B833EA" w:rsidRPr="00E033D4" w:rsidRDefault="00B833EA" w:rsidP="00D02884">
      <w:pPr>
        <w:contextualSpacing/>
        <w:jc w:val="center"/>
        <w:rPr>
          <w:rFonts w:eastAsia="Times New Roman" w:cs="Arial"/>
          <w:b/>
          <w:bCs/>
          <w:color w:val="000000"/>
          <w:sz w:val="32"/>
          <w:szCs w:val="32"/>
        </w:rPr>
      </w:pPr>
      <w:r w:rsidRPr="00E033D4">
        <w:rPr>
          <w:rFonts w:eastAsia="Times New Roman" w:cs="Arial"/>
          <w:b/>
          <w:bCs/>
          <w:color w:val="000000"/>
          <w:sz w:val="32"/>
          <w:szCs w:val="32"/>
        </w:rPr>
        <w:t>A Dissertation Presented for the</w:t>
      </w:r>
    </w:p>
    <w:p w14:paraId="7D817718" w14:textId="1A1600C2" w:rsidR="00B833EA" w:rsidRPr="00E033D4" w:rsidRDefault="00B833EA" w:rsidP="00D02884">
      <w:pPr>
        <w:contextualSpacing/>
        <w:jc w:val="center"/>
        <w:rPr>
          <w:rFonts w:eastAsia="Times New Roman" w:cs="Arial"/>
          <w:b/>
          <w:bCs/>
          <w:color w:val="000000"/>
          <w:sz w:val="32"/>
          <w:szCs w:val="32"/>
        </w:rPr>
      </w:pPr>
      <w:r w:rsidRPr="00E033D4">
        <w:rPr>
          <w:rFonts w:eastAsia="Times New Roman" w:cs="Arial"/>
          <w:b/>
          <w:bCs/>
          <w:color w:val="000000"/>
          <w:sz w:val="32"/>
          <w:szCs w:val="32"/>
        </w:rPr>
        <w:t>Doctor of Philosophy</w:t>
      </w:r>
    </w:p>
    <w:p w14:paraId="538A6138" w14:textId="17AB6DEA" w:rsidR="00B833EA" w:rsidRPr="00E033D4" w:rsidRDefault="00B833EA" w:rsidP="00D02884">
      <w:pPr>
        <w:contextualSpacing/>
        <w:jc w:val="center"/>
        <w:rPr>
          <w:rFonts w:eastAsia="Times New Roman" w:cs="Arial"/>
          <w:b/>
          <w:bCs/>
          <w:color w:val="000000"/>
          <w:sz w:val="32"/>
          <w:szCs w:val="32"/>
        </w:rPr>
      </w:pPr>
      <w:r w:rsidRPr="00E033D4">
        <w:rPr>
          <w:rFonts w:eastAsia="Times New Roman" w:cs="Arial"/>
          <w:b/>
          <w:bCs/>
          <w:color w:val="000000"/>
          <w:sz w:val="32"/>
          <w:szCs w:val="32"/>
        </w:rPr>
        <w:t>Degree</w:t>
      </w:r>
    </w:p>
    <w:p w14:paraId="26A457DE" w14:textId="324A293E" w:rsidR="00B833EA" w:rsidRPr="00E033D4" w:rsidRDefault="00B833EA" w:rsidP="00D02884">
      <w:pPr>
        <w:contextualSpacing/>
        <w:jc w:val="center"/>
        <w:rPr>
          <w:rFonts w:eastAsia="Times New Roman" w:cs="Arial"/>
          <w:b/>
          <w:bCs/>
          <w:color w:val="000000"/>
          <w:sz w:val="32"/>
          <w:szCs w:val="32"/>
        </w:rPr>
      </w:pPr>
      <w:r w:rsidRPr="00E033D4">
        <w:rPr>
          <w:rFonts w:eastAsia="Times New Roman" w:cs="Arial"/>
          <w:b/>
          <w:bCs/>
          <w:color w:val="000000"/>
          <w:sz w:val="32"/>
          <w:szCs w:val="32"/>
        </w:rPr>
        <w:t>The University of Tennessee, Knoxville</w:t>
      </w:r>
    </w:p>
    <w:p w14:paraId="0B8A8E2A" w14:textId="77777777" w:rsidR="00B833EA" w:rsidRDefault="00B833EA" w:rsidP="00D02884">
      <w:pPr>
        <w:contextualSpacing/>
        <w:jc w:val="center"/>
        <w:rPr>
          <w:rFonts w:eastAsia="Times New Roman" w:cs="Arial"/>
          <w:b/>
          <w:bCs/>
          <w:color w:val="000000"/>
          <w:szCs w:val="22"/>
        </w:rPr>
      </w:pPr>
    </w:p>
    <w:p w14:paraId="0F31E42C" w14:textId="77777777" w:rsidR="00B833EA" w:rsidRDefault="00B833EA" w:rsidP="00D02884">
      <w:pPr>
        <w:contextualSpacing/>
        <w:jc w:val="center"/>
        <w:rPr>
          <w:rFonts w:eastAsia="Times New Roman" w:cs="Arial"/>
          <w:b/>
          <w:bCs/>
          <w:color w:val="000000"/>
          <w:szCs w:val="22"/>
        </w:rPr>
      </w:pPr>
    </w:p>
    <w:p w14:paraId="2CB1AFD4" w14:textId="77777777" w:rsidR="00B833EA" w:rsidRDefault="00B833EA" w:rsidP="00D02884">
      <w:pPr>
        <w:contextualSpacing/>
        <w:jc w:val="center"/>
        <w:rPr>
          <w:rFonts w:eastAsia="Times New Roman" w:cs="Arial"/>
          <w:b/>
          <w:bCs/>
          <w:color w:val="000000"/>
          <w:szCs w:val="22"/>
        </w:rPr>
      </w:pPr>
    </w:p>
    <w:p w14:paraId="6BE945A4" w14:textId="77777777" w:rsidR="00B833EA" w:rsidRDefault="00B833EA" w:rsidP="00D02884">
      <w:pPr>
        <w:contextualSpacing/>
        <w:jc w:val="center"/>
        <w:rPr>
          <w:rFonts w:eastAsia="Times New Roman" w:cs="Arial"/>
          <w:b/>
          <w:bCs/>
          <w:color w:val="000000"/>
          <w:szCs w:val="22"/>
        </w:rPr>
      </w:pPr>
    </w:p>
    <w:p w14:paraId="7503E922" w14:textId="08A04014" w:rsidR="00B833EA" w:rsidRDefault="00B833EA" w:rsidP="00D02884">
      <w:pPr>
        <w:contextualSpacing/>
        <w:jc w:val="center"/>
        <w:rPr>
          <w:rFonts w:eastAsia="Times New Roman" w:cs="Arial"/>
          <w:b/>
          <w:bCs/>
          <w:color w:val="000000"/>
          <w:sz w:val="28"/>
          <w:szCs w:val="28"/>
        </w:rPr>
      </w:pPr>
    </w:p>
    <w:p w14:paraId="7A87B109" w14:textId="429F977D" w:rsidR="00B833EA" w:rsidRDefault="00B833EA" w:rsidP="00D02884">
      <w:pPr>
        <w:contextualSpacing/>
        <w:jc w:val="center"/>
        <w:rPr>
          <w:rFonts w:eastAsia="Times New Roman" w:cs="Arial"/>
          <w:b/>
          <w:bCs/>
          <w:color w:val="000000"/>
          <w:sz w:val="28"/>
          <w:szCs w:val="28"/>
        </w:rPr>
      </w:pPr>
    </w:p>
    <w:p w14:paraId="7F835B91" w14:textId="6D5CBC9D" w:rsidR="00B833EA" w:rsidRDefault="00B833EA" w:rsidP="00D02884">
      <w:pPr>
        <w:contextualSpacing/>
        <w:jc w:val="center"/>
        <w:rPr>
          <w:rFonts w:eastAsia="Times New Roman" w:cs="Arial"/>
          <w:b/>
          <w:bCs/>
          <w:color w:val="000000"/>
          <w:sz w:val="28"/>
          <w:szCs w:val="28"/>
        </w:rPr>
      </w:pPr>
    </w:p>
    <w:p w14:paraId="19BCC574" w14:textId="30D392D8" w:rsidR="00B833EA" w:rsidRPr="00567FF4" w:rsidRDefault="00B833EA" w:rsidP="00D02884">
      <w:pPr>
        <w:contextualSpacing/>
        <w:jc w:val="center"/>
        <w:rPr>
          <w:rFonts w:eastAsia="Times New Roman" w:cs="Arial"/>
          <w:b/>
          <w:bCs/>
          <w:color w:val="000000"/>
          <w:sz w:val="32"/>
          <w:szCs w:val="32"/>
        </w:rPr>
      </w:pPr>
      <w:r w:rsidRPr="00567FF4">
        <w:rPr>
          <w:rFonts w:eastAsia="Times New Roman" w:cs="Arial"/>
          <w:b/>
          <w:bCs/>
          <w:color w:val="000000"/>
          <w:sz w:val="32"/>
          <w:szCs w:val="32"/>
        </w:rPr>
        <w:t>Jaime Lorenzo N</w:t>
      </w:r>
      <w:r w:rsidR="001F4A37" w:rsidRPr="00567FF4">
        <w:rPr>
          <w:rFonts w:eastAsia="Times New Roman" w:cs="Arial"/>
          <w:b/>
          <w:bCs/>
          <w:color w:val="000000"/>
          <w:sz w:val="32"/>
          <w:szCs w:val="32"/>
        </w:rPr>
        <w:t>aval</w:t>
      </w:r>
      <w:r w:rsidRPr="00567FF4">
        <w:rPr>
          <w:rFonts w:eastAsia="Times New Roman" w:cs="Arial"/>
          <w:b/>
          <w:bCs/>
          <w:color w:val="000000"/>
          <w:sz w:val="32"/>
          <w:szCs w:val="32"/>
        </w:rPr>
        <w:t xml:space="preserve"> Dinglasan</w:t>
      </w:r>
    </w:p>
    <w:p w14:paraId="2A990B3F" w14:textId="06D6D61C" w:rsidR="00B833EA" w:rsidRPr="00567FF4" w:rsidRDefault="00A11E1F" w:rsidP="00D02884">
      <w:pPr>
        <w:contextualSpacing/>
        <w:jc w:val="center"/>
        <w:rPr>
          <w:rFonts w:eastAsia="Times New Roman" w:cs="Arial"/>
          <w:b/>
          <w:bCs/>
          <w:color w:val="000000"/>
          <w:sz w:val="32"/>
          <w:szCs w:val="32"/>
        </w:rPr>
      </w:pPr>
      <w:r w:rsidRPr="00567FF4">
        <w:rPr>
          <w:rFonts w:eastAsia="Times New Roman" w:cs="Arial"/>
          <w:b/>
          <w:bCs/>
          <w:color w:val="000000"/>
          <w:sz w:val="32"/>
          <w:szCs w:val="32"/>
        </w:rPr>
        <w:t xml:space="preserve">May </w:t>
      </w:r>
      <w:r w:rsidR="00B833EA" w:rsidRPr="00567FF4">
        <w:rPr>
          <w:rFonts w:eastAsia="Times New Roman" w:cs="Arial"/>
          <w:b/>
          <w:bCs/>
          <w:color w:val="000000"/>
          <w:sz w:val="32"/>
          <w:szCs w:val="32"/>
        </w:rPr>
        <w:t>2023</w:t>
      </w:r>
    </w:p>
    <w:p w14:paraId="37C0E056" w14:textId="77777777" w:rsidR="00B833EA" w:rsidRDefault="00B833EA" w:rsidP="0008141D">
      <w:pPr>
        <w:contextualSpacing/>
        <w:rPr>
          <w:rFonts w:eastAsia="Times New Roman" w:cs="Arial"/>
          <w:b/>
          <w:bCs/>
          <w:color w:val="000000"/>
          <w:szCs w:val="22"/>
        </w:rPr>
      </w:pPr>
    </w:p>
    <w:p w14:paraId="615A1054" w14:textId="16FFF02C" w:rsidR="00A11E1F" w:rsidRPr="00D02884" w:rsidRDefault="00A11E1F" w:rsidP="00D02884">
      <w:pPr>
        <w:contextualSpacing/>
        <w:jc w:val="center"/>
        <w:rPr>
          <w:rFonts w:eastAsia="Times New Roman" w:cs="Arial"/>
          <w:szCs w:val="22"/>
        </w:rPr>
      </w:pPr>
      <w:r w:rsidRPr="00D02884">
        <w:rPr>
          <w:rFonts w:eastAsia="Times New Roman" w:cs="Arial"/>
          <w:szCs w:val="22"/>
        </w:rPr>
        <w:t>Copyright © 2023 by Jaime Lorenzo N</w:t>
      </w:r>
      <w:r w:rsidR="001F4A37">
        <w:rPr>
          <w:rFonts w:eastAsia="Times New Roman" w:cs="Arial"/>
          <w:szCs w:val="22"/>
        </w:rPr>
        <w:t>aval</w:t>
      </w:r>
      <w:r w:rsidRPr="00D02884">
        <w:rPr>
          <w:rFonts w:eastAsia="Times New Roman" w:cs="Arial"/>
          <w:szCs w:val="22"/>
        </w:rPr>
        <w:t xml:space="preserve"> Dinglasan.</w:t>
      </w:r>
    </w:p>
    <w:p w14:paraId="7EECDEDE" w14:textId="4C833A22" w:rsidR="00A11E1F" w:rsidRPr="00D02884" w:rsidRDefault="00A11E1F" w:rsidP="00D02884">
      <w:pPr>
        <w:contextualSpacing/>
        <w:jc w:val="center"/>
        <w:rPr>
          <w:rFonts w:eastAsia="Times New Roman" w:cs="Arial"/>
          <w:szCs w:val="22"/>
        </w:rPr>
      </w:pPr>
      <w:r w:rsidRPr="00D02884">
        <w:rPr>
          <w:rFonts w:eastAsia="Times New Roman" w:cs="Arial"/>
          <w:szCs w:val="22"/>
        </w:rPr>
        <w:t>All rights reserved</w:t>
      </w:r>
    </w:p>
    <w:p w14:paraId="11CE9A3A" w14:textId="77777777" w:rsidR="00B833EA" w:rsidRPr="00A11E1F" w:rsidRDefault="00B833EA" w:rsidP="0008141D">
      <w:pPr>
        <w:contextualSpacing/>
        <w:rPr>
          <w:rFonts w:eastAsia="Times New Roman" w:cs="Arial"/>
          <w:b/>
          <w:bCs/>
          <w:color w:val="000000"/>
          <w:szCs w:val="22"/>
        </w:rPr>
      </w:pPr>
    </w:p>
    <w:p w14:paraId="0751CE6A" w14:textId="77777777" w:rsidR="00B833EA" w:rsidRPr="00A11E1F" w:rsidRDefault="00B833EA" w:rsidP="0008141D">
      <w:pPr>
        <w:contextualSpacing/>
        <w:rPr>
          <w:rFonts w:eastAsia="Times New Roman" w:cs="Arial"/>
          <w:b/>
          <w:bCs/>
          <w:color w:val="000000"/>
          <w:szCs w:val="22"/>
        </w:rPr>
      </w:pPr>
    </w:p>
    <w:p w14:paraId="0A39E641" w14:textId="0CEEC6A8" w:rsidR="00A11E1F" w:rsidRDefault="00A11E1F" w:rsidP="0008141D">
      <w:pPr>
        <w:contextualSpacing/>
        <w:rPr>
          <w:rFonts w:eastAsia="Times New Roman" w:cs="Arial"/>
          <w:b/>
          <w:bCs/>
          <w:color w:val="000000"/>
          <w:szCs w:val="22"/>
        </w:rPr>
      </w:pPr>
      <w:r>
        <w:rPr>
          <w:rFonts w:eastAsia="Times New Roman" w:cs="Arial"/>
          <w:b/>
          <w:bCs/>
          <w:color w:val="000000"/>
          <w:szCs w:val="22"/>
        </w:rPr>
        <w:br w:type="page"/>
      </w:r>
    </w:p>
    <w:p w14:paraId="3F47CB23" w14:textId="48403635" w:rsidR="00A11E1F" w:rsidRDefault="00A11E1F" w:rsidP="00D02884">
      <w:pPr>
        <w:contextualSpacing/>
        <w:jc w:val="center"/>
        <w:rPr>
          <w:rFonts w:eastAsia="Times New Roman" w:cs="Arial"/>
          <w:b/>
          <w:bCs/>
          <w:color w:val="000000"/>
          <w:sz w:val="32"/>
          <w:szCs w:val="32"/>
        </w:rPr>
      </w:pPr>
      <w:r w:rsidRPr="00E033D4">
        <w:rPr>
          <w:rFonts w:eastAsia="Times New Roman" w:cs="Arial"/>
          <w:b/>
          <w:bCs/>
          <w:color w:val="000000"/>
          <w:sz w:val="32"/>
          <w:szCs w:val="32"/>
        </w:rPr>
        <w:lastRenderedPageBreak/>
        <w:t>DEDICATION</w:t>
      </w:r>
    </w:p>
    <w:p w14:paraId="626C687E" w14:textId="39793FFD" w:rsidR="00C9210E" w:rsidRDefault="00C9210E" w:rsidP="003B2950">
      <w:pPr>
        <w:contextualSpacing/>
        <w:rPr>
          <w:rFonts w:eastAsia="Times New Roman" w:cs="Arial"/>
          <w:i/>
          <w:iCs/>
          <w:szCs w:val="22"/>
        </w:rPr>
      </w:pPr>
      <w:r>
        <w:rPr>
          <w:rFonts w:eastAsia="Times New Roman" w:cs="Arial"/>
          <w:i/>
          <w:iCs/>
          <w:szCs w:val="22"/>
        </w:rPr>
        <w:tab/>
        <w:t>I dedicate this dissertation to my family</w:t>
      </w:r>
      <w:r w:rsidR="001B184D">
        <w:rPr>
          <w:rFonts w:eastAsia="Times New Roman" w:cs="Arial"/>
          <w:i/>
          <w:iCs/>
          <w:szCs w:val="22"/>
        </w:rPr>
        <w:t xml:space="preserve">. </w:t>
      </w:r>
    </w:p>
    <w:p w14:paraId="31005050" w14:textId="56417BD2" w:rsidR="00744AE6" w:rsidRDefault="00744AE6" w:rsidP="003B2950">
      <w:pPr>
        <w:contextualSpacing/>
        <w:rPr>
          <w:rFonts w:eastAsia="Times New Roman" w:cs="Arial"/>
          <w:i/>
          <w:iCs/>
          <w:szCs w:val="22"/>
        </w:rPr>
      </w:pPr>
      <w:r>
        <w:rPr>
          <w:rFonts w:eastAsia="Times New Roman" w:cs="Arial"/>
          <w:i/>
          <w:iCs/>
          <w:szCs w:val="22"/>
        </w:rPr>
        <w:tab/>
        <w:t xml:space="preserve">To my parents, Jim and Cay, who are the best role models. Jim, you are </w:t>
      </w:r>
      <w:r w:rsidR="00A24B7C">
        <w:rPr>
          <w:rFonts w:eastAsia="Times New Roman" w:cs="Arial"/>
          <w:i/>
          <w:iCs/>
          <w:szCs w:val="22"/>
        </w:rPr>
        <w:t xml:space="preserve">the </w:t>
      </w:r>
      <w:r>
        <w:rPr>
          <w:rFonts w:eastAsia="Times New Roman" w:cs="Arial"/>
          <w:i/>
          <w:iCs/>
          <w:szCs w:val="22"/>
        </w:rPr>
        <w:t xml:space="preserve">reason I am pursuing a career in science. Cay, my grit, determination, and, most importantly, balance come from you. I hope to be as accomplished as the both of you are. </w:t>
      </w:r>
    </w:p>
    <w:p w14:paraId="3D63D3FB" w14:textId="591389D6" w:rsidR="00744AE6" w:rsidRDefault="00744AE6" w:rsidP="003B2950">
      <w:pPr>
        <w:contextualSpacing/>
        <w:rPr>
          <w:rFonts w:eastAsia="Times New Roman" w:cs="Arial"/>
          <w:i/>
          <w:iCs/>
          <w:szCs w:val="22"/>
        </w:rPr>
      </w:pPr>
      <w:r>
        <w:rPr>
          <w:rFonts w:eastAsia="Times New Roman" w:cs="Arial"/>
          <w:i/>
          <w:iCs/>
          <w:szCs w:val="22"/>
        </w:rPr>
        <w:tab/>
        <w:t xml:space="preserve">To my </w:t>
      </w:r>
      <w:r w:rsidR="003B2950">
        <w:rPr>
          <w:rFonts w:eastAsia="Times New Roman" w:cs="Arial"/>
          <w:i/>
          <w:iCs/>
          <w:szCs w:val="22"/>
        </w:rPr>
        <w:t>siblings—Marco</w:t>
      </w:r>
      <w:r>
        <w:rPr>
          <w:rFonts w:eastAsia="Times New Roman" w:cs="Arial"/>
          <w:i/>
          <w:iCs/>
          <w:szCs w:val="22"/>
        </w:rPr>
        <w:t xml:space="preserve">, </w:t>
      </w:r>
      <w:proofErr w:type="spellStart"/>
      <w:r>
        <w:rPr>
          <w:rFonts w:eastAsia="Times New Roman" w:cs="Arial"/>
          <w:i/>
          <w:iCs/>
          <w:szCs w:val="22"/>
        </w:rPr>
        <w:t>Maika</w:t>
      </w:r>
      <w:proofErr w:type="spellEnd"/>
      <w:r>
        <w:rPr>
          <w:rFonts w:eastAsia="Times New Roman" w:cs="Arial"/>
          <w:i/>
          <w:iCs/>
          <w:szCs w:val="22"/>
        </w:rPr>
        <w:t>, Justine,</w:t>
      </w:r>
      <w:r w:rsidR="003B2950">
        <w:rPr>
          <w:rFonts w:eastAsia="Times New Roman" w:cs="Arial"/>
          <w:i/>
          <w:iCs/>
          <w:szCs w:val="22"/>
        </w:rPr>
        <w:t xml:space="preserve"> and</w:t>
      </w:r>
      <w:r>
        <w:rPr>
          <w:rFonts w:eastAsia="Times New Roman" w:cs="Arial"/>
          <w:i/>
          <w:iCs/>
          <w:szCs w:val="22"/>
        </w:rPr>
        <w:t xml:space="preserve"> Elo</w:t>
      </w:r>
      <w:r w:rsidR="003B2950">
        <w:rPr>
          <w:rFonts w:eastAsia="Times New Roman" w:cs="Arial"/>
          <w:i/>
          <w:iCs/>
          <w:szCs w:val="22"/>
        </w:rPr>
        <w:t>—and to Jackson</w:t>
      </w:r>
      <w:r>
        <w:rPr>
          <w:rFonts w:eastAsia="Times New Roman" w:cs="Arial"/>
          <w:i/>
          <w:iCs/>
          <w:szCs w:val="22"/>
        </w:rPr>
        <w:t xml:space="preserve">. Marco, </w:t>
      </w:r>
      <w:r w:rsidR="00F33B4F">
        <w:rPr>
          <w:rFonts w:eastAsia="Times New Roman" w:cs="Arial"/>
          <w:i/>
          <w:iCs/>
          <w:szCs w:val="22"/>
        </w:rPr>
        <w:t>I enjoy staying curious and know how to</w:t>
      </w:r>
      <w:r>
        <w:rPr>
          <w:rFonts w:eastAsia="Times New Roman" w:cs="Arial"/>
          <w:i/>
          <w:iCs/>
          <w:szCs w:val="22"/>
        </w:rPr>
        <w:t xml:space="preserve"> think creatively and critically</w:t>
      </w:r>
      <w:r w:rsidR="00F33B4F">
        <w:rPr>
          <w:rFonts w:eastAsia="Times New Roman" w:cs="Arial"/>
          <w:i/>
          <w:iCs/>
          <w:szCs w:val="22"/>
        </w:rPr>
        <w:t xml:space="preserve"> because of you</w:t>
      </w:r>
      <w:r>
        <w:rPr>
          <w:rFonts w:eastAsia="Times New Roman" w:cs="Arial"/>
          <w:i/>
          <w:iCs/>
          <w:szCs w:val="22"/>
        </w:rPr>
        <w:t xml:space="preserve">. </w:t>
      </w:r>
      <w:proofErr w:type="spellStart"/>
      <w:r>
        <w:rPr>
          <w:rFonts w:eastAsia="Times New Roman" w:cs="Arial"/>
          <w:i/>
          <w:iCs/>
          <w:szCs w:val="22"/>
        </w:rPr>
        <w:t>Maika</w:t>
      </w:r>
      <w:proofErr w:type="spellEnd"/>
      <w:r>
        <w:rPr>
          <w:rFonts w:eastAsia="Times New Roman" w:cs="Arial"/>
          <w:i/>
          <w:iCs/>
          <w:szCs w:val="22"/>
        </w:rPr>
        <w:t xml:space="preserve">, you </w:t>
      </w:r>
      <w:r w:rsidR="00DD5F48">
        <w:rPr>
          <w:rFonts w:eastAsia="Times New Roman" w:cs="Arial"/>
          <w:i/>
          <w:iCs/>
          <w:szCs w:val="22"/>
        </w:rPr>
        <w:t>motivate</w:t>
      </w:r>
      <w:r>
        <w:rPr>
          <w:rFonts w:eastAsia="Times New Roman" w:cs="Arial"/>
          <w:i/>
          <w:iCs/>
          <w:szCs w:val="22"/>
        </w:rPr>
        <w:t xml:space="preserve"> me to strive for excellence in everything I do. </w:t>
      </w:r>
      <w:r w:rsidR="00A65E49">
        <w:rPr>
          <w:rFonts w:eastAsia="Times New Roman" w:cs="Arial"/>
          <w:i/>
          <w:iCs/>
          <w:szCs w:val="22"/>
        </w:rPr>
        <w:t>Justine</w:t>
      </w:r>
      <w:r w:rsidR="00F33B4F">
        <w:rPr>
          <w:rFonts w:eastAsia="Times New Roman" w:cs="Arial"/>
          <w:i/>
          <w:iCs/>
          <w:szCs w:val="22"/>
        </w:rPr>
        <w:t xml:space="preserve">, you are the reason I value my education and hope to use it to help others. Elo, </w:t>
      </w:r>
      <w:r w:rsidR="00DD5F48">
        <w:rPr>
          <w:rFonts w:eastAsia="Times New Roman" w:cs="Arial"/>
          <w:i/>
          <w:iCs/>
          <w:szCs w:val="22"/>
        </w:rPr>
        <w:t>you</w:t>
      </w:r>
      <w:r w:rsidR="00031341">
        <w:rPr>
          <w:rFonts w:eastAsia="Times New Roman" w:cs="Arial"/>
          <w:i/>
          <w:iCs/>
          <w:szCs w:val="22"/>
        </w:rPr>
        <w:t xml:space="preserve"> have always inspired me to follow </w:t>
      </w:r>
      <w:r w:rsidR="00DD5F48">
        <w:rPr>
          <w:rFonts w:eastAsia="Times New Roman" w:cs="Arial"/>
          <w:i/>
          <w:iCs/>
          <w:szCs w:val="22"/>
        </w:rPr>
        <w:t xml:space="preserve">my own dreams. </w:t>
      </w:r>
      <w:r w:rsidR="003B2950">
        <w:rPr>
          <w:rFonts w:eastAsia="Times New Roman" w:cs="Arial"/>
          <w:i/>
          <w:iCs/>
          <w:szCs w:val="22"/>
        </w:rPr>
        <w:t xml:space="preserve">Jackson, thank you for </w:t>
      </w:r>
      <w:r w:rsidR="00031341">
        <w:rPr>
          <w:rFonts w:eastAsia="Times New Roman" w:cs="Arial"/>
          <w:i/>
          <w:iCs/>
          <w:szCs w:val="22"/>
        </w:rPr>
        <w:t xml:space="preserve">teaching me to stay confident in my abilities. </w:t>
      </w:r>
    </w:p>
    <w:p w14:paraId="7BED9470" w14:textId="3735803E" w:rsidR="00DD5F48" w:rsidRDefault="00DD5F48" w:rsidP="003B2950">
      <w:pPr>
        <w:contextualSpacing/>
        <w:rPr>
          <w:rFonts w:eastAsia="Times New Roman" w:cs="Arial"/>
          <w:i/>
          <w:iCs/>
          <w:szCs w:val="22"/>
        </w:rPr>
      </w:pPr>
      <w:r>
        <w:rPr>
          <w:rFonts w:eastAsia="Times New Roman" w:cs="Arial"/>
          <w:i/>
          <w:iCs/>
          <w:szCs w:val="22"/>
        </w:rPr>
        <w:tab/>
        <w:t xml:space="preserve">To Lolo </w:t>
      </w:r>
      <w:proofErr w:type="spellStart"/>
      <w:r>
        <w:rPr>
          <w:rFonts w:eastAsia="Times New Roman" w:cs="Arial"/>
          <w:i/>
          <w:iCs/>
          <w:szCs w:val="22"/>
        </w:rPr>
        <w:t>Cosme</w:t>
      </w:r>
      <w:proofErr w:type="spellEnd"/>
      <w:r>
        <w:rPr>
          <w:rFonts w:eastAsia="Times New Roman" w:cs="Arial"/>
          <w:i/>
          <w:iCs/>
          <w:szCs w:val="22"/>
        </w:rPr>
        <w:t xml:space="preserve">, your memory reminds me that a successful life is led with </w:t>
      </w:r>
      <w:r w:rsidR="00E171D3">
        <w:rPr>
          <w:rFonts w:eastAsia="Times New Roman" w:cs="Arial"/>
          <w:i/>
          <w:iCs/>
          <w:szCs w:val="22"/>
        </w:rPr>
        <w:t xml:space="preserve">humility and compassion. </w:t>
      </w:r>
    </w:p>
    <w:p w14:paraId="1A859F6B" w14:textId="2E8D8D9A" w:rsidR="00DC3574" w:rsidRDefault="00DC3574" w:rsidP="003B2950">
      <w:pPr>
        <w:contextualSpacing/>
        <w:rPr>
          <w:rFonts w:eastAsia="Times New Roman" w:cs="Arial"/>
          <w:i/>
          <w:iCs/>
          <w:szCs w:val="22"/>
        </w:rPr>
      </w:pPr>
      <w:r>
        <w:rPr>
          <w:rFonts w:eastAsia="Times New Roman" w:cs="Arial"/>
          <w:i/>
          <w:iCs/>
          <w:szCs w:val="22"/>
        </w:rPr>
        <w:tab/>
        <w:t xml:space="preserve">Mahal ko kayo. </w:t>
      </w:r>
    </w:p>
    <w:p w14:paraId="1A438BD8" w14:textId="2C5899CA" w:rsidR="00744AE6" w:rsidRPr="00C9210E" w:rsidRDefault="00744AE6" w:rsidP="00C9210E">
      <w:pPr>
        <w:contextualSpacing/>
        <w:jc w:val="left"/>
        <w:rPr>
          <w:rFonts w:eastAsia="Times New Roman" w:cs="Arial"/>
          <w:i/>
          <w:iCs/>
          <w:szCs w:val="22"/>
        </w:rPr>
      </w:pPr>
      <w:r>
        <w:rPr>
          <w:rFonts w:eastAsia="Times New Roman" w:cs="Arial"/>
          <w:i/>
          <w:iCs/>
          <w:szCs w:val="22"/>
        </w:rPr>
        <w:tab/>
      </w:r>
    </w:p>
    <w:p w14:paraId="33C6DC85" w14:textId="77777777" w:rsidR="001D18C6" w:rsidRPr="00E033D4" w:rsidRDefault="001D18C6" w:rsidP="001D18C6">
      <w:pPr>
        <w:contextualSpacing/>
        <w:jc w:val="left"/>
        <w:rPr>
          <w:rFonts w:eastAsia="Times New Roman" w:cs="Arial"/>
          <w:b/>
          <w:bCs/>
          <w:color w:val="000000"/>
          <w:sz w:val="32"/>
          <w:szCs w:val="32"/>
        </w:rPr>
      </w:pPr>
    </w:p>
    <w:p w14:paraId="3FD8BE12" w14:textId="77777777" w:rsidR="00A11E1F" w:rsidRDefault="00A11E1F" w:rsidP="0008141D">
      <w:pPr>
        <w:contextualSpacing/>
        <w:rPr>
          <w:rFonts w:eastAsia="Times New Roman" w:cs="Arial"/>
          <w:b/>
          <w:bCs/>
          <w:color w:val="000000"/>
          <w:szCs w:val="22"/>
        </w:rPr>
      </w:pPr>
      <w:r>
        <w:rPr>
          <w:rFonts w:eastAsia="Times New Roman" w:cs="Arial"/>
          <w:b/>
          <w:bCs/>
          <w:color w:val="000000"/>
          <w:szCs w:val="22"/>
        </w:rPr>
        <w:br w:type="page"/>
      </w:r>
    </w:p>
    <w:p w14:paraId="2B060F9B" w14:textId="7B839942" w:rsidR="00A11E1F" w:rsidRPr="00E033D4" w:rsidRDefault="00A11E1F" w:rsidP="00D02884">
      <w:pPr>
        <w:contextualSpacing/>
        <w:jc w:val="center"/>
        <w:rPr>
          <w:rFonts w:eastAsia="Times New Roman" w:cs="Arial"/>
          <w:b/>
          <w:bCs/>
          <w:color w:val="000000"/>
          <w:sz w:val="32"/>
          <w:szCs w:val="32"/>
        </w:rPr>
      </w:pPr>
      <w:r w:rsidRPr="00E033D4">
        <w:rPr>
          <w:rFonts w:eastAsia="Times New Roman" w:cs="Arial"/>
          <w:b/>
          <w:bCs/>
          <w:color w:val="000000"/>
          <w:sz w:val="32"/>
          <w:szCs w:val="32"/>
        </w:rPr>
        <w:lastRenderedPageBreak/>
        <w:t>ACKNOWLEDGEMENTS</w:t>
      </w:r>
    </w:p>
    <w:p w14:paraId="029B633B" w14:textId="508D7957" w:rsidR="00A11E1F" w:rsidRPr="001B184D" w:rsidRDefault="001B184D" w:rsidP="003B2950">
      <w:pPr>
        <w:contextualSpacing/>
        <w:rPr>
          <w:rFonts w:eastAsia="Times New Roman" w:cs="Arial"/>
          <w:color w:val="000000"/>
          <w:szCs w:val="22"/>
        </w:rPr>
      </w:pPr>
      <w:r>
        <w:rPr>
          <w:rFonts w:eastAsia="Times New Roman" w:cs="Arial"/>
          <w:color w:val="000000"/>
          <w:szCs w:val="22"/>
        </w:rPr>
        <w:tab/>
        <w:t xml:space="preserve">I am extremely grateful for the opportunity to have </w:t>
      </w:r>
      <w:r w:rsidR="0058038E">
        <w:rPr>
          <w:rFonts w:eastAsia="Times New Roman" w:cs="Arial"/>
          <w:color w:val="000000"/>
          <w:szCs w:val="22"/>
        </w:rPr>
        <w:t xml:space="preserve">performed this work with the facilities and scientists </w:t>
      </w:r>
      <w:r>
        <w:rPr>
          <w:rFonts w:eastAsia="Times New Roman" w:cs="Arial"/>
          <w:color w:val="000000"/>
          <w:szCs w:val="22"/>
        </w:rPr>
        <w:t>at Oak Ridge National Laboratory</w:t>
      </w:r>
      <w:r w:rsidR="0058038E">
        <w:rPr>
          <w:rFonts w:eastAsia="Times New Roman" w:cs="Arial"/>
          <w:color w:val="000000"/>
          <w:szCs w:val="22"/>
        </w:rPr>
        <w:t xml:space="preserve"> and the University of Tennessee. I am most thankful for the mentorship of Dr. Mitchel J. </w:t>
      </w:r>
      <w:proofErr w:type="spellStart"/>
      <w:r w:rsidR="0058038E">
        <w:rPr>
          <w:rFonts w:eastAsia="Times New Roman" w:cs="Arial"/>
          <w:color w:val="000000"/>
          <w:szCs w:val="22"/>
        </w:rPr>
        <w:t>Doktycz</w:t>
      </w:r>
      <w:proofErr w:type="spellEnd"/>
      <w:r w:rsidR="0020096C">
        <w:rPr>
          <w:rFonts w:eastAsia="Times New Roman" w:cs="Arial"/>
          <w:color w:val="000000"/>
          <w:szCs w:val="22"/>
        </w:rPr>
        <w:t xml:space="preserve">, who has helped me grow tremendously as a scientist and as a person in the last four years. I </w:t>
      </w:r>
      <w:r w:rsidR="00970B90">
        <w:rPr>
          <w:rFonts w:eastAsia="Times New Roman" w:cs="Arial"/>
          <w:color w:val="000000"/>
          <w:szCs w:val="22"/>
        </w:rPr>
        <w:t>would also like to thank</w:t>
      </w:r>
      <w:r w:rsidR="0020096C">
        <w:rPr>
          <w:rFonts w:eastAsia="Times New Roman" w:cs="Arial"/>
          <w:color w:val="000000"/>
          <w:szCs w:val="22"/>
        </w:rPr>
        <w:t xml:space="preserve"> my committee members—Dr. Jennifer Morrell-Falvey, Dr. Constance Bailey, and Dr. Paul Abraham—for </w:t>
      </w:r>
      <w:r w:rsidR="00970B90">
        <w:rPr>
          <w:rFonts w:eastAsia="Times New Roman" w:cs="Arial"/>
          <w:color w:val="000000"/>
          <w:szCs w:val="22"/>
        </w:rPr>
        <w:t xml:space="preserve">also </w:t>
      </w:r>
      <w:r w:rsidR="0020096C">
        <w:rPr>
          <w:rFonts w:eastAsia="Times New Roman" w:cs="Arial"/>
          <w:color w:val="000000"/>
          <w:szCs w:val="22"/>
        </w:rPr>
        <w:t>being</w:t>
      </w:r>
      <w:r w:rsidR="00970B90">
        <w:rPr>
          <w:rFonts w:eastAsia="Times New Roman" w:cs="Arial"/>
          <w:color w:val="000000"/>
          <w:szCs w:val="22"/>
        </w:rPr>
        <w:t xml:space="preserve"> my mentors and for being</w:t>
      </w:r>
      <w:r w:rsidR="0020096C">
        <w:rPr>
          <w:rFonts w:eastAsia="Times New Roman" w:cs="Arial"/>
          <w:color w:val="000000"/>
          <w:szCs w:val="22"/>
        </w:rPr>
        <w:t xml:space="preserve"> so involved in </w:t>
      </w:r>
      <w:r w:rsidR="00970B90">
        <w:rPr>
          <w:rFonts w:eastAsia="Times New Roman" w:cs="Arial"/>
          <w:color w:val="000000"/>
          <w:szCs w:val="22"/>
        </w:rPr>
        <w:t>my research. I would like to acknowledge all of my collaborators</w:t>
      </w:r>
      <w:r w:rsidR="00000FED">
        <w:rPr>
          <w:rFonts w:eastAsia="Times New Roman" w:cs="Arial"/>
          <w:color w:val="000000"/>
          <w:szCs w:val="22"/>
        </w:rPr>
        <w:t xml:space="preserve"> as well</w:t>
      </w:r>
      <w:r w:rsidR="00970B90">
        <w:rPr>
          <w:rFonts w:eastAsia="Times New Roman" w:cs="Arial"/>
          <w:color w:val="000000"/>
          <w:szCs w:val="22"/>
        </w:rPr>
        <w:t xml:space="preserve"> for making this work possible. Finally, I am grateful for </w:t>
      </w:r>
      <w:r w:rsidR="00125971">
        <w:rPr>
          <w:rFonts w:eastAsia="Times New Roman" w:cs="Arial"/>
          <w:color w:val="000000"/>
          <w:szCs w:val="22"/>
        </w:rPr>
        <w:t xml:space="preserve">my friends and family in the Philippines and in America; you all are the best support system. </w:t>
      </w:r>
    </w:p>
    <w:p w14:paraId="63E05FF2" w14:textId="77777777" w:rsidR="001B184D" w:rsidRDefault="001B184D">
      <w:pPr>
        <w:spacing w:line="240" w:lineRule="auto"/>
        <w:jc w:val="left"/>
        <w:rPr>
          <w:rFonts w:eastAsia="Times New Roman" w:cs="Arial"/>
          <w:b/>
          <w:bCs/>
          <w:color w:val="000000"/>
          <w:sz w:val="32"/>
          <w:szCs w:val="32"/>
        </w:rPr>
      </w:pPr>
      <w:r>
        <w:rPr>
          <w:rFonts w:eastAsia="Times New Roman" w:cs="Arial"/>
          <w:b/>
          <w:bCs/>
          <w:color w:val="000000"/>
          <w:sz w:val="32"/>
          <w:szCs w:val="32"/>
        </w:rPr>
        <w:br w:type="page"/>
      </w:r>
    </w:p>
    <w:p w14:paraId="0BF1411D" w14:textId="2C7A1E12" w:rsidR="003B73BB" w:rsidRPr="00E033D4" w:rsidRDefault="00A11E1F" w:rsidP="00ED09E0">
      <w:pPr>
        <w:contextualSpacing/>
        <w:jc w:val="center"/>
        <w:rPr>
          <w:rFonts w:eastAsia="Times New Roman" w:cs="Arial"/>
          <w:b/>
          <w:bCs/>
          <w:color w:val="000000"/>
          <w:sz w:val="32"/>
          <w:szCs w:val="32"/>
        </w:rPr>
      </w:pPr>
      <w:r w:rsidRPr="00E033D4">
        <w:rPr>
          <w:rFonts w:eastAsia="Times New Roman" w:cs="Arial"/>
          <w:b/>
          <w:bCs/>
          <w:color w:val="000000"/>
          <w:sz w:val="32"/>
          <w:szCs w:val="32"/>
        </w:rPr>
        <w:lastRenderedPageBreak/>
        <w:t>ABSTRACT</w:t>
      </w:r>
    </w:p>
    <w:p w14:paraId="2299F8A8" w14:textId="087935B1" w:rsidR="003B73BB" w:rsidRDefault="003B73BB" w:rsidP="003B73BB">
      <w:pPr>
        <w:ind w:firstLine="720"/>
        <w:rPr>
          <w:rFonts w:cs="Arial"/>
          <w:szCs w:val="22"/>
          <w:lang w:val="en-US"/>
        </w:rPr>
      </w:pPr>
      <w:r w:rsidRPr="00F31082">
        <w:rPr>
          <w:rFonts w:cs="Arial"/>
          <w:szCs w:val="22"/>
          <w:lang w:val="en-US"/>
        </w:rPr>
        <w:t>Biomanuf</w:t>
      </w:r>
      <w:r>
        <w:rPr>
          <w:rFonts w:cs="Arial"/>
          <w:szCs w:val="22"/>
          <w:lang w:val="en-US"/>
        </w:rPr>
        <w:t>acturing propels the bioeconomy. Accelerating bioeconomic growth thus requires the expedited development of biomanufacturing processes that can expand the current bioproduct portfolio. Lysate-based cell-free systems</w:t>
      </w:r>
      <w:r w:rsidRPr="00E36C35">
        <w:rPr>
          <w:rFonts w:cs="Arial"/>
          <w:szCs w:val="22"/>
          <w:lang w:val="en-US"/>
        </w:rPr>
        <w:t xml:space="preserve"> </w:t>
      </w:r>
      <w:r>
        <w:rPr>
          <w:rFonts w:cs="Arial"/>
          <w:szCs w:val="22"/>
          <w:lang w:val="en-US"/>
        </w:rPr>
        <w:t xml:space="preserve">provide unique advantages for simplified metabolic pathway construction. Their central metabolic pathways and </w:t>
      </w:r>
      <w:r w:rsidR="002B71C7">
        <w:rPr>
          <w:rFonts w:cs="Arial"/>
          <w:szCs w:val="22"/>
          <w:lang w:val="en-US"/>
        </w:rPr>
        <w:t>transcriptional-translational (</w:t>
      </w:r>
      <w:r>
        <w:rPr>
          <w:rFonts w:cs="Arial"/>
          <w:szCs w:val="22"/>
          <w:lang w:val="en-US"/>
        </w:rPr>
        <w:t>TX-TL</w:t>
      </w:r>
      <w:r w:rsidR="002B71C7">
        <w:rPr>
          <w:rFonts w:cs="Arial"/>
          <w:szCs w:val="22"/>
          <w:lang w:val="en-US"/>
        </w:rPr>
        <w:t>)</w:t>
      </w:r>
      <w:r>
        <w:rPr>
          <w:rFonts w:cs="Arial"/>
          <w:szCs w:val="22"/>
          <w:lang w:val="en-US"/>
        </w:rPr>
        <w:t xml:space="preserve"> machineries are free from genome regulation and are amenable to direct manipulation, enabling the streamlined construction of biomanufacturing processes. While their utility as prototyping platforms for accelerating cellular metabolic engineering has been demonstrated, the potential to rapidly build commercial “cell-free factories” capable of sophisticated bioconversion has not been fully realized. Lysates with high-yield pathways are projected to enable </w:t>
      </w:r>
      <w:r w:rsidR="00ED09E0">
        <w:rPr>
          <w:rFonts w:cs="Arial"/>
          <w:szCs w:val="22"/>
          <w:lang w:val="en-US"/>
        </w:rPr>
        <w:t xml:space="preserve">commercialized </w:t>
      </w:r>
      <w:r>
        <w:rPr>
          <w:rFonts w:cs="Arial"/>
          <w:szCs w:val="22"/>
          <w:lang w:val="en-US"/>
        </w:rPr>
        <w:t>cell-free biomanufacturing of high-value chemicals. However, strategies that can be incorporated into frameworks for lysate pathway yield optimization rely on traditional cell-based metabolic engineering techniques</w:t>
      </w:r>
      <w:r w:rsidR="00E033D4">
        <w:rPr>
          <w:rFonts w:cs="Arial"/>
          <w:szCs w:val="22"/>
          <w:lang w:val="en-US"/>
        </w:rPr>
        <w:t xml:space="preserve"> that are cumbersome to extracts’ source strains (e.g., gene knockouts and cell-based overexpression) and thus lengthen design-build-test-learn </w:t>
      </w:r>
      <w:r w:rsidR="002B71C7">
        <w:rPr>
          <w:rFonts w:cs="Arial"/>
          <w:szCs w:val="22"/>
          <w:lang w:val="en-US"/>
        </w:rPr>
        <w:t xml:space="preserve">(DBTL) </w:t>
      </w:r>
      <w:r w:rsidR="00E033D4">
        <w:rPr>
          <w:rFonts w:cs="Arial"/>
          <w:szCs w:val="22"/>
          <w:lang w:val="en-US"/>
        </w:rPr>
        <w:t>cycles</w:t>
      </w:r>
      <w:r>
        <w:rPr>
          <w:rFonts w:cs="Arial"/>
          <w:szCs w:val="22"/>
          <w:lang w:val="en-US"/>
        </w:rPr>
        <w:t xml:space="preserve">. The work in this dissertation introduces new strategies for cell-free pathway engineering that can benefit conversion yields in lysates, with a focus on 1) restructuring the endogenous metabolic proteome </w:t>
      </w:r>
      <w:r w:rsidR="00E033D4">
        <w:rPr>
          <w:rFonts w:cs="Arial"/>
          <w:szCs w:val="22"/>
          <w:lang w:val="en-US"/>
        </w:rPr>
        <w:t xml:space="preserve">post-lysis </w:t>
      </w:r>
      <w:r>
        <w:rPr>
          <w:rFonts w:cs="Arial"/>
          <w:szCs w:val="22"/>
          <w:lang w:val="en-US"/>
        </w:rPr>
        <w:t xml:space="preserve">and 2) </w:t>
      </w:r>
      <w:r w:rsidR="00E033D4">
        <w:rPr>
          <w:rFonts w:cs="Arial"/>
          <w:szCs w:val="22"/>
          <w:lang w:val="en-US"/>
        </w:rPr>
        <w:t>optimizing the</w:t>
      </w:r>
      <w:r>
        <w:rPr>
          <w:rFonts w:cs="Arial"/>
          <w:szCs w:val="22"/>
          <w:lang w:val="en-US"/>
        </w:rPr>
        <w:t xml:space="preserve"> lysate </w:t>
      </w:r>
      <w:r w:rsidR="002B71C7">
        <w:rPr>
          <w:rFonts w:cs="Arial"/>
          <w:szCs w:val="22"/>
          <w:lang w:val="en-US"/>
        </w:rPr>
        <w:t>TX-TL</w:t>
      </w:r>
      <w:r>
        <w:rPr>
          <w:rFonts w:cs="Arial"/>
          <w:szCs w:val="22"/>
          <w:lang w:val="en-US"/>
        </w:rPr>
        <w:t xml:space="preserve"> machinery for </w:t>
      </w:r>
      <w:r w:rsidR="00E033D4">
        <w:rPr>
          <w:rFonts w:cs="Arial"/>
          <w:szCs w:val="22"/>
          <w:lang w:val="en-US"/>
        </w:rPr>
        <w:t>the cell-free overexpression of complex heterologous enzymes. By</w:t>
      </w:r>
      <w:r>
        <w:rPr>
          <w:rFonts w:cs="Arial"/>
          <w:szCs w:val="22"/>
          <w:lang w:val="en-US"/>
        </w:rPr>
        <w:t xml:space="preserve"> minimiz</w:t>
      </w:r>
      <w:r w:rsidR="00E033D4">
        <w:rPr>
          <w:rFonts w:cs="Arial"/>
          <w:szCs w:val="22"/>
          <w:lang w:val="en-US"/>
        </w:rPr>
        <w:t>ing</w:t>
      </w:r>
      <w:r>
        <w:rPr>
          <w:rFonts w:cs="Arial"/>
          <w:szCs w:val="22"/>
          <w:lang w:val="en-US"/>
        </w:rPr>
        <w:t xml:space="preserve"> the involvement of cell-based engineering,</w:t>
      </w:r>
      <w:r w:rsidR="00E033D4">
        <w:rPr>
          <w:rFonts w:cs="Arial"/>
          <w:szCs w:val="22"/>
          <w:lang w:val="en-US"/>
        </w:rPr>
        <w:t xml:space="preserve"> these strategies enable</w:t>
      </w:r>
      <w:r>
        <w:rPr>
          <w:rFonts w:cs="Arial"/>
          <w:szCs w:val="22"/>
          <w:lang w:val="en-US"/>
        </w:rPr>
        <w:t xml:space="preserve"> faster </w:t>
      </w:r>
      <w:r w:rsidR="00E033D4">
        <w:rPr>
          <w:rFonts w:cs="Arial"/>
          <w:szCs w:val="22"/>
          <w:lang w:val="en-US"/>
        </w:rPr>
        <w:t xml:space="preserve">endogenous and heterologous </w:t>
      </w:r>
      <w:r>
        <w:rPr>
          <w:rFonts w:cs="Arial"/>
          <w:szCs w:val="22"/>
          <w:lang w:val="en-US"/>
        </w:rPr>
        <w:t xml:space="preserve">pathway build cycles compared to previous approaches. Part one describes the development of the first lysate flux-rewiring approach that enables conversion </w:t>
      </w:r>
      <w:r w:rsidRPr="00F37A06">
        <w:rPr>
          <w:rFonts w:cs="Arial"/>
          <w:szCs w:val="22"/>
          <w:lang w:val="en-US"/>
        </w:rPr>
        <w:t xml:space="preserve">through a native pathway at 100% of the theoretical yield. Part two reports on the design and development of </w:t>
      </w:r>
      <w:r>
        <w:rPr>
          <w:rFonts w:cs="Arial"/>
          <w:szCs w:val="22"/>
          <w:lang w:val="en-US"/>
        </w:rPr>
        <w:t xml:space="preserve">a plate reader </w:t>
      </w:r>
      <w:r w:rsidRPr="00F37A06">
        <w:rPr>
          <w:rFonts w:cs="Arial"/>
          <w:szCs w:val="22"/>
          <w:lang w:val="en-US"/>
        </w:rPr>
        <w:t>assay for troubleshooting the expression of biosynthetic enzymes</w:t>
      </w:r>
      <w:r>
        <w:rPr>
          <w:rFonts w:cs="Arial"/>
          <w:szCs w:val="22"/>
          <w:lang w:val="en-US"/>
        </w:rPr>
        <w:t xml:space="preserve"> </w:t>
      </w:r>
      <w:r w:rsidRPr="00F37A06">
        <w:rPr>
          <w:rFonts w:cs="Arial"/>
          <w:szCs w:val="22"/>
          <w:lang w:val="en-US"/>
        </w:rPr>
        <w:t>in lysates.</w:t>
      </w:r>
      <w:r>
        <w:rPr>
          <w:rFonts w:cs="Arial"/>
          <w:szCs w:val="22"/>
          <w:lang w:val="en-US"/>
        </w:rPr>
        <w:t xml:space="preserve"> The assay allows the generalizable screening of cell-free expression conditions with higher throughput than previous approaches and is leveraged to improve the lysate-based expression of natural product forming </w:t>
      </w:r>
      <w:proofErr w:type="spellStart"/>
      <w:r>
        <w:rPr>
          <w:rFonts w:cs="Arial"/>
          <w:szCs w:val="22"/>
          <w:lang w:val="en-US"/>
        </w:rPr>
        <w:lastRenderedPageBreak/>
        <w:t>megasynthases</w:t>
      </w:r>
      <w:proofErr w:type="spellEnd"/>
      <w:r>
        <w:rPr>
          <w:rFonts w:cs="Arial"/>
          <w:szCs w:val="22"/>
          <w:lang w:val="en-US"/>
        </w:rPr>
        <w:t xml:space="preserve">. </w:t>
      </w:r>
      <w:r w:rsidR="00ED09E0">
        <w:rPr>
          <w:rFonts w:cs="Arial"/>
          <w:szCs w:val="22"/>
          <w:lang w:val="en-US"/>
        </w:rPr>
        <w:t>Refining and integrating these approaches into</w:t>
      </w:r>
      <w:r w:rsidR="00060FE0">
        <w:rPr>
          <w:rFonts w:cs="Arial"/>
          <w:szCs w:val="22"/>
          <w:lang w:val="en-US"/>
        </w:rPr>
        <w:t xml:space="preserve"> cost-effective</w:t>
      </w:r>
      <w:r w:rsidR="00ED09E0">
        <w:rPr>
          <w:rFonts w:cs="Arial"/>
          <w:szCs w:val="22"/>
          <w:lang w:val="en-US"/>
        </w:rPr>
        <w:t xml:space="preserve"> </w:t>
      </w:r>
      <w:r w:rsidR="002B71C7">
        <w:rPr>
          <w:rFonts w:cs="Arial"/>
          <w:szCs w:val="22"/>
          <w:lang w:val="en-US"/>
        </w:rPr>
        <w:t>cell-free metabolic engineering (</w:t>
      </w:r>
      <w:r w:rsidR="00ED09E0">
        <w:rPr>
          <w:rFonts w:cs="Arial"/>
          <w:szCs w:val="22"/>
          <w:lang w:val="en-US"/>
        </w:rPr>
        <w:t>CFME</w:t>
      </w:r>
      <w:r w:rsidR="002B71C7">
        <w:rPr>
          <w:rFonts w:cs="Arial"/>
          <w:szCs w:val="22"/>
          <w:lang w:val="en-US"/>
        </w:rPr>
        <w:t>)</w:t>
      </w:r>
      <w:r w:rsidR="00ED09E0">
        <w:rPr>
          <w:rFonts w:cs="Arial"/>
          <w:szCs w:val="22"/>
          <w:lang w:val="en-US"/>
        </w:rPr>
        <w:t xml:space="preserve"> workflows </w:t>
      </w:r>
      <w:r w:rsidR="00060FE0">
        <w:rPr>
          <w:rFonts w:cs="Arial"/>
          <w:szCs w:val="22"/>
          <w:lang w:val="en-US"/>
        </w:rPr>
        <w:t xml:space="preserve">will enable rapid high-yield metabolic pathway construction, advancing lysates as sustainable biomanufacturing platforms. </w:t>
      </w:r>
    </w:p>
    <w:p w14:paraId="3AC7EB48" w14:textId="77777777" w:rsidR="003B73BB" w:rsidRDefault="003B73BB" w:rsidP="0008141D">
      <w:pPr>
        <w:contextualSpacing/>
        <w:rPr>
          <w:rFonts w:eastAsia="Times New Roman" w:cs="Arial"/>
          <w:b/>
          <w:bCs/>
          <w:color w:val="000000"/>
          <w:sz w:val="28"/>
          <w:szCs w:val="28"/>
        </w:rPr>
      </w:pPr>
    </w:p>
    <w:p w14:paraId="2B97C442" w14:textId="77777777" w:rsidR="00A11E1F" w:rsidRDefault="00A11E1F" w:rsidP="0008141D">
      <w:pPr>
        <w:contextualSpacing/>
        <w:rPr>
          <w:rFonts w:eastAsia="Times New Roman" w:cs="Arial"/>
          <w:b/>
          <w:bCs/>
          <w:color w:val="000000"/>
          <w:sz w:val="28"/>
          <w:szCs w:val="28"/>
        </w:rPr>
      </w:pPr>
      <w:r>
        <w:rPr>
          <w:rFonts w:eastAsia="Times New Roman" w:cs="Arial"/>
          <w:b/>
          <w:bCs/>
          <w:color w:val="000000"/>
          <w:sz w:val="28"/>
          <w:szCs w:val="28"/>
        </w:rPr>
        <w:br w:type="page"/>
      </w:r>
    </w:p>
    <w:p w14:paraId="40DD7B9A" w14:textId="77777777" w:rsidR="00E033D4" w:rsidRDefault="00A11E1F" w:rsidP="00E033D4">
      <w:pPr>
        <w:spacing w:line="360" w:lineRule="auto"/>
        <w:contextualSpacing/>
        <w:jc w:val="center"/>
        <w:rPr>
          <w:rFonts w:eastAsia="Times New Roman" w:cs="Arial"/>
          <w:b/>
          <w:bCs/>
          <w:color w:val="000000"/>
          <w:sz w:val="32"/>
          <w:szCs w:val="32"/>
        </w:rPr>
      </w:pPr>
      <w:r w:rsidRPr="00E033D4">
        <w:rPr>
          <w:rFonts w:eastAsia="Times New Roman" w:cs="Arial"/>
          <w:b/>
          <w:bCs/>
          <w:color w:val="000000"/>
          <w:sz w:val="32"/>
          <w:szCs w:val="32"/>
        </w:rPr>
        <w:lastRenderedPageBreak/>
        <w:t>TABLE OF CONTENTS</w:t>
      </w:r>
    </w:p>
    <w:p w14:paraId="411B1B24" w14:textId="77777777" w:rsidR="00C25241" w:rsidRPr="008F306B" w:rsidRDefault="00C25241" w:rsidP="008F306B">
      <w:pPr>
        <w:pStyle w:val="TOC1"/>
        <w:rPr>
          <w:rFonts w:cs="Arial"/>
          <w:sz w:val="22"/>
          <w:szCs w:val="22"/>
        </w:rPr>
      </w:pPr>
    </w:p>
    <w:p w14:paraId="21A6BB0F" w14:textId="3795660E" w:rsidR="008F306B" w:rsidRPr="008F306B" w:rsidRDefault="008F306B" w:rsidP="00C243CC">
      <w:pPr>
        <w:pStyle w:val="TOC1"/>
        <w:spacing w:line="480" w:lineRule="auto"/>
        <w:rPr>
          <w:rFonts w:eastAsiaTheme="minorEastAsia" w:cs="Arial"/>
          <w:iCs w:val="0"/>
          <w:noProof/>
          <w:sz w:val="22"/>
          <w:szCs w:val="22"/>
        </w:rPr>
      </w:pPr>
      <w:r w:rsidRPr="008F306B">
        <w:rPr>
          <w:rFonts w:eastAsia="Times New Roman" w:cs="Arial"/>
          <w:bCs w:val="0"/>
          <w:iCs w:val="0"/>
          <w:color w:val="000000" w:themeColor="text1"/>
          <w:sz w:val="22"/>
          <w:szCs w:val="22"/>
        </w:rPr>
        <w:t>1.</w:t>
      </w:r>
      <w:r w:rsidRPr="008F306B">
        <w:rPr>
          <w:rFonts w:eastAsia="Times New Roman" w:cs="Arial"/>
          <w:iCs w:val="0"/>
          <w:color w:val="000000" w:themeColor="text1"/>
          <w:sz w:val="22"/>
          <w:szCs w:val="22"/>
        </w:rPr>
        <w:t xml:space="preserve"> </w:t>
      </w:r>
      <w:r w:rsidR="00E033D4" w:rsidRPr="008F306B">
        <w:rPr>
          <w:rFonts w:eastAsia="Times New Roman" w:cs="Arial"/>
          <w:i/>
          <w:color w:val="000000" w:themeColor="text1"/>
          <w:sz w:val="22"/>
          <w:szCs w:val="22"/>
        </w:rPr>
        <w:fldChar w:fldCharType="begin"/>
      </w:r>
      <w:r w:rsidR="00E033D4" w:rsidRPr="008F306B">
        <w:rPr>
          <w:rFonts w:eastAsia="Times New Roman" w:cs="Arial"/>
          <w:i/>
          <w:color w:val="000000" w:themeColor="text1"/>
          <w:sz w:val="22"/>
          <w:szCs w:val="22"/>
        </w:rPr>
        <w:instrText xml:space="preserve"> TOC \h \z \t "Chapter Title,1,Chapter Heading,2,Chapter Sub-heading,3" </w:instrText>
      </w:r>
      <w:r w:rsidR="00E033D4" w:rsidRPr="008F306B">
        <w:rPr>
          <w:rFonts w:eastAsia="Times New Roman" w:cs="Arial"/>
          <w:i/>
          <w:color w:val="000000" w:themeColor="text1"/>
          <w:sz w:val="22"/>
          <w:szCs w:val="22"/>
        </w:rPr>
        <w:fldChar w:fldCharType="separate"/>
      </w:r>
      <w:hyperlink w:anchor="_Toc129700994" w:history="1">
        <w:r>
          <w:rPr>
            <w:rStyle w:val="Hyperlink"/>
            <w:rFonts w:cs="Arial"/>
            <w:noProof/>
            <w:sz w:val="22"/>
            <w:szCs w:val="22"/>
          </w:rPr>
          <w:t>I</w:t>
        </w:r>
        <w:r w:rsidRPr="008F306B">
          <w:rPr>
            <w:rStyle w:val="Hyperlink"/>
            <w:rFonts w:cs="Arial"/>
            <w:noProof/>
            <w:sz w:val="22"/>
            <w:szCs w:val="22"/>
          </w:rPr>
          <w:t>ntroduction</w:t>
        </w:r>
        <w:r w:rsidRPr="008F306B">
          <w:rPr>
            <w:rFonts w:cs="Arial"/>
            <w:noProof/>
            <w:webHidden/>
            <w:sz w:val="22"/>
            <w:szCs w:val="22"/>
          </w:rPr>
          <w:tab/>
        </w:r>
        <w:r w:rsidRPr="008F306B">
          <w:rPr>
            <w:rFonts w:cs="Arial"/>
            <w:noProof/>
            <w:webHidden/>
            <w:sz w:val="22"/>
            <w:szCs w:val="22"/>
          </w:rPr>
          <w:fldChar w:fldCharType="begin"/>
        </w:r>
        <w:r w:rsidRPr="008F306B">
          <w:rPr>
            <w:rFonts w:cs="Arial"/>
            <w:noProof/>
            <w:webHidden/>
            <w:sz w:val="22"/>
            <w:szCs w:val="22"/>
          </w:rPr>
          <w:instrText xml:space="preserve"> PAGEREF _Toc129700994 \h </w:instrText>
        </w:r>
        <w:r w:rsidRPr="008F306B">
          <w:rPr>
            <w:rFonts w:cs="Arial"/>
            <w:noProof/>
            <w:webHidden/>
            <w:sz w:val="22"/>
            <w:szCs w:val="22"/>
          </w:rPr>
        </w:r>
        <w:r w:rsidRPr="008F306B">
          <w:rPr>
            <w:rFonts w:cs="Arial"/>
            <w:noProof/>
            <w:webHidden/>
            <w:sz w:val="22"/>
            <w:szCs w:val="22"/>
          </w:rPr>
          <w:fldChar w:fldCharType="separate"/>
        </w:r>
        <w:r w:rsidRPr="008F306B">
          <w:rPr>
            <w:rFonts w:cs="Arial"/>
            <w:noProof/>
            <w:webHidden/>
            <w:sz w:val="22"/>
            <w:szCs w:val="22"/>
          </w:rPr>
          <w:t>1</w:t>
        </w:r>
        <w:r w:rsidRPr="008F306B">
          <w:rPr>
            <w:rFonts w:cs="Arial"/>
            <w:noProof/>
            <w:webHidden/>
            <w:sz w:val="22"/>
            <w:szCs w:val="22"/>
          </w:rPr>
          <w:fldChar w:fldCharType="end"/>
        </w:r>
      </w:hyperlink>
    </w:p>
    <w:p w14:paraId="1462FA94" w14:textId="294E99EF" w:rsidR="008F306B" w:rsidRPr="008F306B" w:rsidRDefault="00176F3F" w:rsidP="00C243CC">
      <w:pPr>
        <w:pStyle w:val="TOC2"/>
        <w:rPr>
          <w:rFonts w:eastAsiaTheme="minorEastAsia" w:cs="Arial"/>
          <w:b w:val="0"/>
          <w:noProof/>
        </w:rPr>
      </w:pPr>
      <w:hyperlink w:anchor="_Toc129700995" w:history="1">
        <w:r w:rsidR="008F306B" w:rsidRPr="008F306B">
          <w:rPr>
            <w:rStyle w:val="Hyperlink"/>
            <w:rFonts w:cs="Arial"/>
            <w:b w:val="0"/>
            <w:noProof/>
          </w:rPr>
          <w:t>1.1. Biomanufacturing in a Growing Bioeconomy</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_Toc129700995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2</w:t>
        </w:r>
        <w:r w:rsidR="008F306B" w:rsidRPr="008F306B">
          <w:rPr>
            <w:rFonts w:cs="Arial"/>
            <w:b w:val="0"/>
            <w:noProof/>
            <w:webHidden/>
          </w:rPr>
          <w:fldChar w:fldCharType="end"/>
        </w:r>
      </w:hyperlink>
    </w:p>
    <w:p w14:paraId="3433C839" w14:textId="7A15C171" w:rsidR="008F306B" w:rsidRPr="008F306B" w:rsidRDefault="00176F3F" w:rsidP="00C243CC">
      <w:pPr>
        <w:pStyle w:val="TOC2"/>
        <w:rPr>
          <w:rFonts w:eastAsiaTheme="minorEastAsia" w:cs="Arial"/>
          <w:b w:val="0"/>
          <w:noProof/>
        </w:rPr>
      </w:pPr>
      <w:hyperlink w:anchor="_Toc129700996" w:history="1">
        <w:r w:rsidR="008F306B" w:rsidRPr="008F306B">
          <w:rPr>
            <w:rStyle w:val="Hyperlink"/>
            <w:rFonts w:cs="Arial"/>
            <w:b w:val="0"/>
            <w:noProof/>
          </w:rPr>
          <w:t>1.2. Rapidly Expanding Biomanufacturing Capabilities with Cell-free Metabolic Engineering</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_Toc129700996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3</w:t>
        </w:r>
        <w:r w:rsidR="008F306B" w:rsidRPr="008F306B">
          <w:rPr>
            <w:rFonts w:cs="Arial"/>
            <w:b w:val="0"/>
            <w:noProof/>
            <w:webHidden/>
          </w:rPr>
          <w:fldChar w:fldCharType="end"/>
        </w:r>
      </w:hyperlink>
    </w:p>
    <w:p w14:paraId="4194FEFC" w14:textId="55DA81EB" w:rsidR="008F306B" w:rsidRPr="008F306B" w:rsidRDefault="00176F3F" w:rsidP="00C243CC">
      <w:pPr>
        <w:pStyle w:val="TOC2"/>
        <w:rPr>
          <w:rFonts w:eastAsiaTheme="minorEastAsia" w:cs="Arial"/>
          <w:b w:val="0"/>
          <w:noProof/>
        </w:rPr>
      </w:pPr>
      <w:hyperlink w:anchor="_Toc129700997" w:history="1">
        <w:r w:rsidR="008F306B" w:rsidRPr="008F306B">
          <w:rPr>
            <w:rStyle w:val="Hyperlink"/>
            <w:rFonts w:cs="Arial"/>
            <w:b w:val="0"/>
            <w:noProof/>
          </w:rPr>
          <w:t>1.3. Efficient Tools for Engineering Efficient Lysate-based Biomanufacturing Platforms</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_Toc129700997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6</w:t>
        </w:r>
        <w:r w:rsidR="008F306B" w:rsidRPr="008F306B">
          <w:rPr>
            <w:rFonts w:cs="Arial"/>
            <w:b w:val="0"/>
            <w:noProof/>
            <w:webHidden/>
          </w:rPr>
          <w:fldChar w:fldCharType="end"/>
        </w:r>
      </w:hyperlink>
    </w:p>
    <w:p w14:paraId="0C06DFF1" w14:textId="6BB03203" w:rsidR="008F306B" w:rsidRPr="008F306B" w:rsidRDefault="00176F3F" w:rsidP="00C243CC">
      <w:pPr>
        <w:pStyle w:val="TOC2"/>
        <w:rPr>
          <w:rFonts w:eastAsiaTheme="minorEastAsia" w:cs="Arial"/>
          <w:b w:val="0"/>
          <w:noProof/>
        </w:rPr>
      </w:pPr>
      <w:hyperlink w:anchor="_Toc129700998" w:history="1">
        <w:r w:rsidR="008F306B" w:rsidRPr="008F306B">
          <w:rPr>
            <w:rStyle w:val="Hyperlink"/>
            <w:rFonts w:cs="Arial"/>
            <w:b w:val="0"/>
            <w:noProof/>
          </w:rPr>
          <w:t>1.4. Scope of Dissertation</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_Toc129700998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10</w:t>
        </w:r>
        <w:r w:rsidR="008F306B" w:rsidRPr="008F306B">
          <w:rPr>
            <w:rFonts w:cs="Arial"/>
            <w:b w:val="0"/>
            <w:noProof/>
            <w:webHidden/>
          </w:rPr>
          <w:fldChar w:fldCharType="end"/>
        </w:r>
      </w:hyperlink>
    </w:p>
    <w:p w14:paraId="7EC9E495" w14:textId="5631924D" w:rsidR="008F306B" w:rsidRPr="008F306B" w:rsidRDefault="00176F3F" w:rsidP="00C243CC">
      <w:pPr>
        <w:pStyle w:val="TOC2"/>
        <w:rPr>
          <w:rFonts w:eastAsiaTheme="minorEastAsia" w:cs="Arial"/>
          <w:b w:val="0"/>
          <w:noProof/>
        </w:rPr>
      </w:pPr>
      <w:hyperlink w:anchor="_Toc129700999" w:history="1">
        <w:r w:rsidR="008F306B" w:rsidRPr="008F306B">
          <w:rPr>
            <w:rStyle w:val="Hyperlink"/>
            <w:rFonts w:cs="Arial"/>
            <w:b w:val="0"/>
            <w:noProof/>
          </w:rPr>
          <w:t>1.5. Focusing Endogenous Metabolic Flux in Lysates Post-lysis</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_Toc129700999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10</w:t>
        </w:r>
        <w:r w:rsidR="008F306B" w:rsidRPr="008F306B">
          <w:rPr>
            <w:rFonts w:cs="Arial"/>
            <w:b w:val="0"/>
            <w:noProof/>
            <w:webHidden/>
          </w:rPr>
          <w:fldChar w:fldCharType="end"/>
        </w:r>
      </w:hyperlink>
    </w:p>
    <w:p w14:paraId="225325A3" w14:textId="4F20EECB" w:rsidR="008F306B" w:rsidRPr="008F306B" w:rsidRDefault="00176F3F" w:rsidP="00C243CC">
      <w:pPr>
        <w:pStyle w:val="TOC2"/>
        <w:rPr>
          <w:rFonts w:eastAsiaTheme="minorEastAsia" w:cs="Arial"/>
          <w:b w:val="0"/>
          <w:noProof/>
        </w:rPr>
      </w:pPr>
      <w:hyperlink w:anchor="_Toc129701000" w:history="1">
        <w:r w:rsidR="008F306B" w:rsidRPr="008F306B">
          <w:rPr>
            <w:rStyle w:val="Hyperlink"/>
            <w:rFonts w:cs="Arial"/>
            <w:b w:val="0"/>
            <w:noProof/>
          </w:rPr>
          <w:t>1.6. Improving Lysate-based CFE for Heterologous Pathway Building</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_Toc129701000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11</w:t>
        </w:r>
        <w:r w:rsidR="008F306B" w:rsidRPr="008F306B">
          <w:rPr>
            <w:rFonts w:cs="Arial"/>
            <w:b w:val="0"/>
            <w:noProof/>
            <w:webHidden/>
          </w:rPr>
          <w:fldChar w:fldCharType="end"/>
        </w:r>
      </w:hyperlink>
    </w:p>
    <w:p w14:paraId="6AD79B47" w14:textId="03AF0BBA" w:rsidR="008F306B" w:rsidRPr="008F306B" w:rsidRDefault="00176F3F" w:rsidP="00C243CC">
      <w:pPr>
        <w:pStyle w:val="TOC2"/>
        <w:rPr>
          <w:rFonts w:eastAsiaTheme="minorEastAsia" w:cs="Arial"/>
          <w:b w:val="0"/>
          <w:noProof/>
        </w:rPr>
      </w:pPr>
      <w:hyperlink w:anchor="_Toc129701001" w:history="1">
        <w:r w:rsidR="008F306B" w:rsidRPr="008F306B">
          <w:rPr>
            <w:rStyle w:val="Hyperlink"/>
            <w:rFonts w:cs="Arial"/>
            <w:b w:val="0"/>
            <w:noProof/>
          </w:rPr>
          <w:t>1.7. Organization of Dissertation</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_Toc129701001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12</w:t>
        </w:r>
        <w:r w:rsidR="008F306B" w:rsidRPr="008F306B">
          <w:rPr>
            <w:rFonts w:cs="Arial"/>
            <w:b w:val="0"/>
            <w:noProof/>
            <w:webHidden/>
          </w:rPr>
          <w:fldChar w:fldCharType="end"/>
        </w:r>
      </w:hyperlink>
    </w:p>
    <w:p w14:paraId="6C6CF46B" w14:textId="306A095E" w:rsidR="008F306B" w:rsidRPr="008F306B" w:rsidRDefault="008F306B" w:rsidP="00C243CC">
      <w:pPr>
        <w:pStyle w:val="TOC1"/>
        <w:spacing w:line="480" w:lineRule="auto"/>
        <w:rPr>
          <w:rFonts w:eastAsiaTheme="minorEastAsia" w:cs="Arial"/>
          <w:iCs w:val="0"/>
          <w:noProof/>
          <w:sz w:val="22"/>
          <w:szCs w:val="22"/>
        </w:rPr>
      </w:pPr>
      <w:r>
        <w:rPr>
          <w:rStyle w:val="Hyperlink"/>
          <w:rFonts w:cs="Arial"/>
          <w:noProof/>
          <w:sz w:val="22"/>
          <w:szCs w:val="22"/>
        </w:rPr>
        <w:t xml:space="preserve">2. </w:t>
      </w:r>
      <w:hyperlink w:anchor="_Toc129701002" w:history="1">
        <w:r w:rsidRPr="008F306B">
          <w:rPr>
            <w:rStyle w:val="Hyperlink"/>
            <w:rFonts w:cs="Arial"/>
            <w:noProof/>
            <w:sz w:val="22"/>
            <w:szCs w:val="22"/>
          </w:rPr>
          <w:t>Liquid Chromatography Coupled To Refractive Index Or Mass Spectrometric Detection For Metabolite Profiling In Lysate-Based Cell-Free Systems</w:t>
        </w:r>
        <w:r w:rsidRPr="008F306B">
          <w:rPr>
            <w:rFonts w:cs="Arial"/>
            <w:noProof/>
            <w:webHidden/>
            <w:sz w:val="22"/>
            <w:szCs w:val="22"/>
          </w:rPr>
          <w:tab/>
        </w:r>
        <w:r w:rsidRPr="008F306B">
          <w:rPr>
            <w:rFonts w:cs="Arial"/>
            <w:noProof/>
            <w:webHidden/>
            <w:sz w:val="22"/>
            <w:szCs w:val="22"/>
          </w:rPr>
          <w:fldChar w:fldCharType="begin"/>
        </w:r>
        <w:r w:rsidRPr="008F306B">
          <w:rPr>
            <w:rFonts w:cs="Arial"/>
            <w:noProof/>
            <w:webHidden/>
            <w:sz w:val="22"/>
            <w:szCs w:val="22"/>
          </w:rPr>
          <w:instrText xml:space="preserve"> PAGEREF _Toc129701002 \h </w:instrText>
        </w:r>
        <w:r w:rsidRPr="008F306B">
          <w:rPr>
            <w:rFonts w:cs="Arial"/>
            <w:noProof/>
            <w:webHidden/>
            <w:sz w:val="22"/>
            <w:szCs w:val="22"/>
          </w:rPr>
        </w:r>
        <w:r w:rsidRPr="008F306B">
          <w:rPr>
            <w:rFonts w:cs="Arial"/>
            <w:noProof/>
            <w:webHidden/>
            <w:sz w:val="22"/>
            <w:szCs w:val="22"/>
          </w:rPr>
          <w:fldChar w:fldCharType="separate"/>
        </w:r>
        <w:r w:rsidRPr="008F306B">
          <w:rPr>
            <w:rFonts w:cs="Arial"/>
            <w:noProof/>
            <w:webHidden/>
            <w:sz w:val="22"/>
            <w:szCs w:val="22"/>
          </w:rPr>
          <w:t>14</w:t>
        </w:r>
        <w:r w:rsidRPr="008F306B">
          <w:rPr>
            <w:rFonts w:cs="Arial"/>
            <w:noProof/>
            <w:webHidden/>
            <w:sz w:val="22"/>
            <w:szCs w:val="22"/>
          </w:rPr>
          <w:fldChar w:fldCharType="end"/>
        </w:r>
      </w:hyperlink>
    </w:p>
    <w:p w14:paraId="2AE99001" w14:textId="02F0F0DB" w:rsidR="008F306B" w:rsidRPr="008F306B" w:rsidRDefault="00176F3F" w:rsidP="00C243CC">
      <w:pPr>
        <w:pStyle w:val="TOC2"/>
        <w:rPr>
          <w:rFonts w:eastAsiaTheme="minorEastAsia" w:cs="Arial"/>
          <w:b w:val="0"/>
          <w:noProof/>
        </w:rPr>
      </w:pPr>
      <w:hyperlink w:anchor="_Toc129701003" w:history="1">
        <w:r w:rsidR="008F306B" w:rsidRPr="008F306B">
          <w:rPr>
            <w:rStyle w:val="Hyperlink"/>
            <w:rFonts w:cs="Arial"/>
            <w:b w:val="0"/>
            <w:noProof/>
          </w:rPr>
          <w:t>2.1. Abstract</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_Toc129701003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15</w:t>
        </w:r>
        <w:r w:rsidR="008F306B" w:rsidRPr="008F306B">
          <w:rPr>
            <w:rFonts w:cs="Arial"/>
            <w:b w:val="0"/>
            <w:noProof/>
            <w:webHidden/>
          </w:rPr>
          <w:fldChar w:fldCharType="end"/>
        </w:r>
      </w:hyperlink>
    </w:p>
    <w:p w14:paraId="5D4635D3" w14:textId="7EBA7624" w:rsidR="008F306B" w:rsidRPr="008F306B" w:rsidRDefault="00176F3F" w:rsidP="00C243CC">
      <w:pPr>
        <w:pStyle w:val="TOC2"/>
        <w:rPr>
          <w:rFonts w:eastAsiaTheme="minorEastAsia" w:cs="Arial"/>
          <w:b w:val="0"/>
          <w:noProof/>
        </w:rPr>
      </w:pPr>
      <w:hyperlink w:anchor="_Toc129701004" w:history="1">
        <w:r w:rsidR="008F306B" w:rsidRPr="008F306B">
          <w:rPr>
            <w:rStyle w:val="Hyperlink"/>
            <w:rFonts w:cs="Arial"/>
            <w:b w:val="0"/>
            <w:noProof/>
          </w:rPr>
          <w:t>2.2. Introduction</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_Toc129701004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16</w:t>
        </w:r>
        <w:r w:rsidR="008F306B" w:rsidRPr="008F306B">
          <w:rPr>
            <w:rFonts w:cs="Arial"/>
            <w:b w:val="0"/>
            <w:noProof/>
            <w:webHidden/>
          </w:rPr>
          <w:fldChar w:fldCharType="end"/>
        </w:r>
      </w:hyperlink>
    </w:p>
    <w:p w14:paraId="698BDA15" w14:textId="6D14F66C" w:rsidR="008F306B" w:rsidRPr="008F306B" w:rsidRDefault="00176F3F" w:rsidP="00C243CC">
      <w:pPr>
        <w:pStyle w:val="TOC2"/>
        <w:rPr>
          <w:rFonts w:eastAsiaTheme="minorEastAsia" w:cs="Arial"/>
          <w:b w:val="0"/>
          <w:noProof/>
        </w:rPr>
      </w:pPr>
      <w:hyperlink w:anchor="_Toc129701005" w:history="1">
        <w:r w:rsidR="008F306B" w:rsidRPr="008F306B">
          <w:rPr>
            <w:rStyle w:val="Hyperlink"/>
            <w:rFonts w:cs="Arial"/>
            <w:b w:val="0"/>
            <w:noProof/>
          </w:rPr>
          <w:t>2.3. Methods</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_Toc129701005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19</w:t>
        </w:r>
        <w:r w:rsidR="008F306B" w:rsidRPr="008F306B">
          <w:rPr>
            <w:rFonts w:cs="Arial"/>
            <w:b w:val="0"/>
            <w:noProof/>
            <w:webHidden/>
          </w:rPr>
          <w:fldChar w:fldCharType="end"/>
        </w:r>
      </w:hyperlink>
    </w:p>
    <w:p w14:paraId="353A5031" w14:textId="278F79F8" w:rsidR="008F306B" w:rsidRPr="008F306B" w:rsidRDefault="00176F3F" w:rsidP="00C243CC">
      <w:pPr>
        <w:pStyle w:val="TOC3"/>
        <w:tabs>
          <w:tab w:val="right" w:leader="dot" w:pos="9350"/>
        </w:tabs>
        <w:rPr>
          <w:rFonts w:eastAsiaTheme="minorEastAsia" w:cs="Arial"/>
          <w:bCs/>
          <w:noProof/>
          <w:sz w:val="22"/>
          <w:szCs w:val="22"/>
        </w:rPr>
      </w:pPr>
      <w:hyperlink w:anchor="_Toc129701006" w:history="1">
        <w:r w:rsidR="008F306B" w:rsidRPr="008F306B">
          <w:rPr>
            <w:rStyle w:val="Hyperlink"/>
            <w:rFonts w:cs="Arial"/>
            <w:bCs/>
            <w:noProof/>
            <w:sz w:val="22"/>
            <w:szCs w:val="22"/>
          </w:rPr>
          <w:t>2.3.1. Starting, stopping, and processing time course CFME reactions for HPLC-RID quantification</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_Toc129701006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19</w:t>
        </w:r>
        <w:r w:rsidR="008F306B" w:rsidRPr="008F306B">
          <w:rPr>
            <w:rFonts w:cs="Arial"/>
            <w:bCs/>
            <w:noProof/>
            <w:webHidden/>
            <w:sz w:val="22"/>
            <w:szCs w:val="22"/>
          </w:rPr>
          <w:fldChar w:fldCharType="end"/>
        </w:r>
      </w:hyperlink>
    </w:p>
    <w:p w14:paraId="1923253F" w14:textId="4B715819" w:rsidR="008F306B" w:rsidRPr="008F306B" w:rsidRDefault="00176F3F" w:rsidP="00C243CC">
      <w:pPr>
        <w:pStyle w:val="TOC3"/>
        <w:tabs>
          <w:tab w:val="right" w:leader="dot" w:pos="9350"/>
        </w:tabs>
        <w:rPr>
          <w:rFonts w:eastAsiaTheme="minorEastAsia" w:cs="Arial"/>
          <w:bCs/>
          <w:noProof/>
          <w:sz w:val="22"/>
          <w:szCs w:val="22"/>
        </w:rPr>
      </w:pPr>
      <w:hyperlink w:anchor="_Toc129701007" w:history="1">
        <w:r w:rsidR="008F306B" w:rsidRPr="008F306B">
          <w:rPr>
            <w:rStyle w:val="Hyperlink"/>
            <w:rFonts w:cs="Arial"/>
            <w:bCs/>
            <w:noProof/>
            <w:sz w:val="22"/>
            <w:szCs w:val="22"/>
          </w:rPr>
          <w:t>2.3.2. Preparing the HPLC system for metabolite detection</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_Toc129701007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21</w:t>
        </w:r>
        <w:r w:rsidR="008F306B" w:rsidRPr="008F306B">
          <w:rPr>
            <w:rFonts w:cs="Arial"/>
            <w:bCs/>
            <w:noProof/>
            <w:webHidden/>
            <w:sz w:val="22"/>
            <w:szCs w:val="22"/>
          </w:rPr>
          <w:fldChar w:fldCharType="end"/>
        </w:r>
      </w:hyperlink>
    </w:p>
    <w:p w14:paraId="74589343" w14:textId="66EA906D" w:rsidR="008F306B" w:rsidRPr="008F306B" w:rsidRDefault="00176F3F" w:rsidP="00C243CC">
      <w:pPr>
        <w:pStyle w:val="TOC3"/>
        <w:tabs>
          <w:tab w:val="right" w:leader="dot" w:pos="9350"/>
        </w:tabs>
        <w:rPr>
          <w:rFonts w:eastAsiaTheme="minorEastAsia" w:cs="Arial"/>
          <w:bCs/>
          <w:noProof/>
          <w:sz w:val="22"/>
          <w:szCs w:val="22"/>
        </w:rPr>
      </w:pPr>
      <w:hyperlink w:anchor="_Toc129701008" w:history="1">
        <w:r w:rsidR="008F306B" w:rsidRPr="008F306B">
          <w:rPr>
            <w:rStyle w:val="Hyperlink"/>
            <w:rFonts w:cs="Arial"/>
            <w:bCs/>
            <w:noProof/>
            <w:sz w:val="22"/>
            <w:szCs w:val="22"/>
          </w:rPr>
          <w:t>2.3.3. Creating a method for the isocratic HPLC separation of organic fermentation products in OpenLab (Online)</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_Toc129701008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23</w:t>
        </w:r>
        <w:r w:rsidR="008F306B" w:rsidRPr="008F306B">
          <w:rPr>
            <w:rFonts w:cs="Arial"/>
            <w:bCs/>
            <w:noProof/>
            <w:webHidden/>
            <w:sz w:val="22"/>
            <w:szCs w:val="22"/>
          </w:rPr>
          <w:fldChar w:fldCharType="end"/>
        </w:r>
      </w:hyperlink>
    </w:p>
    <w:p w14:paraId="05166615" w14:textId="54310095" w:rsidR="008F306B" w:rsidRPr="008F306B" w:rsidRDefault="00176F3F" w:rsidP="00C243CC">
      <w:pPr>
        <w:pStyle w:val="TOC3"/>
        <w:tabs>
          <w:tab w:val="right" w:leader="dot" w:pos="9350"/>
        </w:tabs>
        <w:rPr>
          <w:rFonts w:eastAsiaTheme="minorEastAsia" w:cs="Arial"/>
          <w:bCs/>
          <w:noProof/>
          <w:sz w:val="22"/>
          <w:szCs w:val="22"/>
        </w:rPr>
      </w:pPr>
      <w:hyperlink w:anchor="_Toc129701009" w:history="1">
        <w:r w:rsidR="008F306B" w:rsidRPr="008F306B">
          <w:rPr>
            <w:rStyle w:val="Hyperlink"/>
            <w:rFonts w:cs="Arial"/>
            <w:bCs/>
            <w:noProof/>
            <w:sz w:val="22"/>
            <w:szCs w:val="22"/>
          </w:rPr>
          <w:t>2.3.4. Creating a Sequence Table for autosampling and start the HPLC-RID system for data acquisition</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_Toc129701009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23</w:t>
        </w:r>
        <w:r w:rsidR="008F306B" w:rsidRPr="008F306B">
          <w:rPr>
            <w:rFonts w:cs="Arial"/>
            <w:bCs/>
            <w:noProof/>
            <w:webHidden/>
            <w:sz w:val="22"/>
            <w:szCs w:val="22"/>
          </w:rPr>
          <w:fldChar w:fldCharType="end"/>
        </w:r>
      </w:hyperlink>
    </w:p>
    <w:p w14:paraId="4756E71B" w14:textId="0F1B2911" w:rsidR="008F306B" w:rsidRPr="008F306B" w:rsidRDefault="00176F3F" w:rsidP="00C243CC">
      <w:pPr>
        <w:pStyle w:val="TOC3"/>
        <w:tabs>
          <w:tab w:val="right" w:leader="dot" w:pos="9350"/>
        </w:tabs>
        <w:rPr>
          <w:rFonts w:eastAsiaTheme="minorEastAsia" w:cs="Arial"/>
          <w:bCs/>
          <w:noProof/>
          <w:sz w:val="22"/>
          <w:szCs w:val="22"/>
        </w:rPr>
      </w:pPr>
      <w:hyperlink w:anchor="_Toc129701010" w:history="1">
        <w:r w:rsidR="008F306B" w:rsidRPr="008F306B">
          <w:rPr>
            <w:rStyle w:val="Hyperlink"/>
            <w:rFonts w:cs="Arial"/>
            <w:bCs/>
            <w:noProof/>
            <w:sz w:val="22"/>
            <w:szCs w:val="22"/>
          </w:rPr>
          <w:t>2.3.5. Extracting and analyzing data post-run</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_Toc129701010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24</w:t>
        </w:r>
        <w:r w:rsidR="008F306B" w:rsidRPr="008F306B">
          <w:rPr>
            <w:rFonts w:cs="Arial"/>
            <w:bCs/>
            <w:noProof/>
            <w:webHidden/>
            <w:sz w:val="22"/>
            <w:szCs w:val="22"/>
          </w:rPr>
          <w:fldChar w:fldCharType="end"/>
        </w:r>
      </w:hyperlink>
    </w:p>
    <w:p w14:paraId="6BECC87A" w14:textId="27F5575B" w:rsidR="008F306B" w:rsidRPr="008F306B" w:rsidRDefault="00176F3F" w:rsidP="00C243CC">
      <w:pPr>
        <w:pStyle w:val="TOC3"/>
        <w:tabs>
          <w:tab w:val="right" w:leader="dot" w:pos="9350"/>
        </w:tabs>
        <w:rPr>
          <w:rFonts w:eastAsiaTheme="minorEastAsia" w:cs="Arial"/>
          <w:bCs/>
          <w:noProof/>
          <w:sz w:val="22"/>
          <w:szCs w:val="22"/>
        </w:rPr>
      </w:pPr>
      <w:hyperlink w:anchor="_Toc129701011" w:history="1">
        <w:r w:rsidR="008F306B" w:rsidRPr="008F306B">
          <w:rPr>
            <w:rStyle w:val="Hyperlink"/>
            <w:rFonts w:cs="Arial"/>
            <w:bCs/>
            <w:noProof/>
            <w:sz w:val="22"/>
            <w:szCs w:val="22"/>
          </w:rPr>
          <w:t>2.3.6. Starting, stopping, and processing time course isotope tracing CFME reactions for LC-MS/MS quantification</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_Toc129701011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25</w:t>
        </w:r>
        <w:r w:rsidR="008F306B" w:rsidRPr="008F306B">
          <w:rPr>
            <w:rFonts w:cs="Arial"/>
            <w:bCs/>
            <w:noProof/>
            <w:webHidden/>
            <w:sz w:val="22"/>
            <w:szCs w:val="22"/>
          </w:rPr>
          <w:fldChar w:fldCharType="end"/>
        </w:r>
      </w:hyperlink>
    </w:p>
    <w:p w14:paraId="75D3F012" w14:textId="42224D9B" w:rsidR="008F306B" w:rsidRPr="008F306B" w:rsidRDefault="00176F3F" w:rsidP="00C243CC">
      <w:pPr>
        <w:pStyle w:val="TOC3"/>
        <w:tabs>
          <w:tab w:val="right" w:leader="dot" w:pos="9350"/>
        </w:tabs>
        <w:rPr>
          <w:rFonts w:eastAsiaTheme="minorEastAsia" w:cs="Arial"/>
          <w:bCs/>
          <w:noProof/>
          <w:sz w:val="22"/>
          <w:szCs w:val="22"/>
        </w:rPr>
      </w:pPr>
      <w:hyperlink w:anchor="_Toc129701012" w:history="1">
        <w:r w:rsidR="008F306B" w:rsidRPr="008F306B">
          <w:rPr>
            <w:rStyle w:val="Hyperlink"/>
            <w:rFonts w:cs="Arial"/>
            <w:bCs/>
            <w:noProof/>
            <w:sz w:val="22"/>
            <w:szCs w:val="22"/>
          </w:rPr>
          <w:t>2.3.7. Setting up the LC system for LC-MS/MS analysis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_Toc129701012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26</w:t>
        </w:r>
        <w:r w:rsidR="008F306B" w:rsidRPr="008F306B">
          <w:rPr>
            <w:rFonts w:cs="Arial"/>
            <w:bCs/>
            <w:noProof/>
            <w:webHidden/>
            <w:sz w:val="22"/>
            <w:szCs w:val="22"/>
          </w:rPr>
          <w:fldChar w:fldCharType="end"/>
        </w:r>
      </w:hyperlink>
    </w:p>
    <w:p w14:paraId="5EADD733" w14:textId="7D69CA60" w:rsidR="008F306B" w:rsidRPr="008F306B" w:rsidRDefault="00176F3F" w:rsidP="00C243CC">
      <w:pPr>
        <w:pStyle w:val="TOC3"/>
        <w:tabs>
          <w:tab w:val="right" w:leader="dot" w:pos="9350"/>
        </w:tabs>
        <w:rPr>
          <w:rFonts w:eastAsiaTheme="minorEastAsia" w:cs="Arial"/>
          <w:bCs/>
          <w:noProof/>
          <w:sz w:val="22"/>
          <w:szCs w:val="22"/>
        </w:rPr>
      </w:pPr>
      <w:hyperlink w:anchor="_Toc129701013" w:history="1">
        <w:r w:rsidR="008F306B" w:rsidRPr="008F306B">
          <w:rPr>
            <w:rStyle w:val="Hyperlink"/>
            <w:rFonts w:cs="Arial"/>
            <w:bCs/>
            <w:noProof/>
            <w:sz w:val="22"/>
            <w:szCs w:val="22"/>
          </w:rPr>
          <w:t>2.3.8. Creating a method on LC-MS/MS data acquisition and interpretation software for the LC system linked to Fourier Transform and Ion Trap Mass Spectrometers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_Toc129701013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27</w:t>
        </w:r>
        <w:r w:rsidR="008F306B" w:rsidRPr="008F306B">
          <w:rPr>
            <w:rFonts w:cs="Arial"/>
            <w:bCs/>
            <w:noProof/>
            <w:webHidden/>
            <w:sz w:val="22"/>
            <w:szCs w:val="22"/>
          </w:rPr>
          <w:fldChar w:fldCharType="end"/>
        </w:r>
      </w:hyperlink>
    </w:p>
    <w:p w14:paraId="4E25B8B0" w14:textId="1FEF1617" w:rsidR="008F306B" w:rsidRPr="008F306B" w:rsidRDefault="00176F3F" w:rsidP="00C243CC">
      <w:pPr>
        <w:pStyle w:val="TOC3"/>
        <w:tabs>
          <w:tab w:val="right" w:leader="dot" w:pos="9350"/>
        </w:tabs>
        <w:rPr>
          <w:rFonts w:eastAsiaTheme="minorEastAsia" w:cs="Arial"/>
          <w:bCs/>
          <w:noProof/>
          <w:sz w:val="22"/>
          <w:szCs w:val="22"/>
        </w:rPr>
      </w:pPr>
      <w:hyperlink w:anchor="_Toc129701014" w:history="1">
        <w:r w:rsidR="008F306B" w:rsidRPr="008F306B">
          <w:rPr>
            <w:rStyle w:val="Hyperlink"/>
            <w:rFonts w:cs="Arial"/>
            <w:bCs/>
            <w:noProof/>
            <w:sz w:val="22"/>
            <w:szCs w:val="22"/>
          </w:rPr>
          <w:t>2.3.9. Setting up a run sequence and starting the LC-MS/MS run</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_Toc129701014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29</w:t>
        </w:r>
        <w:r w:rsidR="008F306B" w:rsidRPr="008F306B">
          <w:rPr>
            <w:rFonts w:cs="Arial"/>
            <w:bCs/>
            <w:noProof/>
            <w:webHidden/>
            <w:sz w:val="22"/>
            <w:szCs w:val="22"/>
          </w:rPr>
          <w:fldChar w:fldCharType="end"/>
        </w:r>
      </w:hyperlink>
    </w:p>
    <w:p w14:paraId="182B06C4" w14:textId="2E2868B7" w:rsidR="008F306B" w:rsidRPr="008F306B" w:rsidRDefault="00176F3F" w:rsidP="00C243CC">
      <w:pPr>
        <w:pStyle w:val="TOC3"/>
        <w:tabs>
          <w:tab w:val="right" w:leader="dot" w:pos="9350"/>
        </w:tabs>
        <w:rPr>
          <w:rFonts w:eastAsiaTheme="minorEastAsia" w:cs="Arial"/>
          <w:bCs/>
          <w:noProof/>
          <w:sz w:val="22"/>
          <w:szCs w:val="22"/>
        </w:rPr>
      </w:pPr>
      <w:hyperlink w:anchor="_Toc129701015" w:history="1">
        <w:r w:rsidR="008F306B" w:rsidRPr="008F306B">
          <w:rPr>
            <w:rStyle w:val="Hyperlink"/>
            <w:rFonts w:cs="Arial"/>
            <w:bCs/>
            <w:noProof/>
            <w:sz w:val="22"/>
            <w:szCs w:val="22"/>
          </w:rPr>
          <w:t>2.3.10. Consolidating files and searching for tentative annotations on MZmine 2.53</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_Toc129701015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29</w:t>
        </w:r>
        <w:r w:rsidR="008F306B" w:rsidRPr="008F306B">
          <w:rPr>
            <w:rFonts w:cs="Arial"/>
            <w:bCs/>
            <w:noProof/>
            <w:webHidden/>
            <w:sz w:val="22"/>
            <w:szCs w:val="22"/>
          </w:rPr>
          <w:fldChar w:fldCharType="end"/>
        </w:r>
      </w:hyperlink>
    </w:p>
    <w:p w14:paraId="45AF43FA" w14:textId="7B5097F0" w:rsidR="008F306B" w:rsidRPr="008F306B" w:rsidRDefault="00176F3F" w:rsidP="00C243CC">
      <w:pPr>
        <w:pStyle w:val="TOC3"/>
        <w:tabs>
          <w:tab w:val="right" w:leader="dot" w:pos="9350"/>
        </w:tabs>
        <w:rPr>
          <w:rFonts w:eastAsiaTheme="minorEastAsia" w:cs="Arial"/>
          <w:bCs/>
          <w:noProof/>
          <w:sz w:val="22"/>
          <w:szCs w:val="22"/>
        </w:rPr>
      </w:pPr>
      <w:hyperlink w:anchor="_Toc129701016" w:history="1">
        <w:r w:rsidR="008F306B" w:rsidRPr="008F306B">
          <w:rPr>
            <w:rStyle w:val="Hyperlink"/>
            <w:rFonts w:cs="Arial"/>
            <w:bCs/>
            <w:noProof/>
            <w:sz w:val="22"/>
            <w:szCs w:val="22"/>
          </w:rPr>
          <w:t xml:space="preserve">2.3.11. Calculating negative mode masses of </w:t>
        </w:r>
        <w:r w:rsidR="008F306B" w:rsidRPr="008F306B">
          <w:rPr>
            <w:rStyle w:val="Hyperlink"/>
            <w:rFonts w:cs="Arial"/>
            <w:bCs/>
            <w:noProof/>
            <w:sz w:val="22"/>
            <w:szCs w:val="22"/>
            <w:vertAlign w:val="superscript"/>
          </w:rPr>
          <w:t>13</w:t>
        </w:r>
        <w:r w:rsidR="008F306B" w:rsidRPr="008F306B">
          <w:rPr>
            <w:rStyle w:val="Hyperlink"/>
            <w:rFonts w:cs="Arial"/>
            <w:bCs/>
            <w:noProof/>
            <w:sz w:val="22"/>
            <w:szCs w:val="22"/>
          </w:rPr>
          <w:t>C-labeled glucose-derived metabolites and searching for the m/z features of these analytes in filtered data</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_Toc129701016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30</w:t>
        </w:r>
        <w:r w:rsidR="008F306B" w:rsidRPr="008F306B">
          <w:rPr>
            <w:rFonts w:cs="Arial"/>
            <w:bCs/>
            <w:noProof/>
            <w:webHidden/>
            <w:sz w:val="22"/>
            <w:szCs w:val="22"/>
          </w:rPr>
          <w:fldChar w:fldCharType="end"/>
        </w:r>
      </w:hyperlink>
    </w:p>
    <w:p w14:paraId="6FCF9F31" w14:textId="5C402921" w:rsidR="008F306B" w:rsidRPr="008F306B" w:rsidRDefault="00176F3F" w:rsidP="00C243CC">
      <w:pPr>
        <w:pStyle w:val="TOC2"/>
        <w:rPr>
          <w:rFonts w:eastAsiaTheme="minorEastAsia" w:cs="Arial"/>
          <w:b w:val="0"/>
          <w:noProof/>
        </w:rPr>
      </w:pPr>
      <w:hyperlink w:anchor="_Toc129701017" w:history="1">
        <w:r w:rsidR="008F306B" w:rsidRPr="008F306B">
          <w:rPr>
            <w:rStyle w:val="Hyperlink"/>
            <w:rFonts w:cs="Arial"/>
            <w:b w:val="0"/>
            <w:noProof/>
          </w:rPr>
          <w:t>2.4. Representative Results</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_Toc129701017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31</w:t>
        </w:r>
        <w:r w:rsidR="008F306B" w:rsidRPr="008F306B">
          <w:rPr>
            <w:rFonts w:cs="Arial"/>
            <w:b w:val="0"/>
            <w:noProof/>
            <w:webHidden/>
          </w:rPr>
          <w:fldChar w:fldCharType="end"/>
        </w:r>
      </w:hyperlink>
    </w:p>
    <w:p w14:paraId="0B1AFEAF" w14:textId="346B1178" w:rsidR="008F306B" w:rsidRPr="008F306B" w:rsidRDefault="00176F3F" w:rsidP="00C243CC">
      <w:pPr>
        <w:pStyle w:val="TOC3"/>
        <w:tabs>
          <w:tab w:val="right" w:leader="dot" w:pos="9350"/>
        </w:tabs>
        <w:rPr>
          <w:rFonts w:eastAsiaTheme="minorEastAsia" w:cs="Arial"/>
          <w:bCs/>
          <w:noProof/>
          <w:sz w:val="22"/>
          <w:szCs w:val="22"/>
        </w:rPr>
      </w:pPr>
      <w:hyperlink w:anchor="_Toc129701018" w:history="1">
        <w:r w:rsidR="008F306B" w:rsidRPr="008F306B">
          <w:rPr>
            <w:rStyle w:val="Hyperlink"/>
            <w:rFonts w:cs="Arial"/>
            <w:bCs/>
            <w:noProof/>
            <w:sz w:val="22"/>
            <w:szCs w:val="22"/>
          </w:rPr>
          <w:t>2.4.1. HPLC-RID based analysis of lysate fermentative metabolism</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_Toc129701018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31</w:t>
        </w:r>
        <w:r w:rsidR="008F306B" w:rsidRPr="008F306B">
          <w:rPr>
            <w:rFonts w:cs="Arial"/>
            <w:bCs/>
            <w:noProof/>
            <w:webHidden/>
            <w:sz w:val="22"/>
            <w:szCs w:val="22"/>
          </w:rPr>
          <w:fldChar w:fldCharType="end"/>
        </w:r>
      </w:hyperlink>
    </w:p>
    <w:p w14:paraId="25A937FF" w14:textId="3299657F" w:rsidR="008F306B" w:rsidRPr="008F306B" w:rsidRDefault="00176F3F" w:rsidP="00C243CC">
      <w:pPr>
        <w:pStyle w:val="TOC3"/>
        <w:tabs>
          <w:tab w:val="right" w:leader="dot" w:pos="9350"/>
        </w:tabs>
        <w:rPr>
          <w:rFonts w:eastAsiaTheme="minorEastAsia" w:cs="Arial"/>
          <w:bCs/>
          <w:noProof/>
          <w:sz w:val="22"/>
          <w:szCs w:val="22"/>
        </w:rPr>
      </w:pPr>
      <w:hyperlink w:anchor="_Toc129701019" w:history="1">
        <w:r w:rsidR="008F306B" w:rsidRPr="008F306B">
          <w:rPr>
            <w:rStyle w:val="Hyperlink"/>
            <w:rFonts w:cs="Arial"/>
            <w:bCs/>
            <w:noProof/>
            <w:sz w:val="22"/>
            <w:szCs w:val="22"/>
          </w:rPr>
          <w:t>2.4.2. Tracing carbon metabolism in lysates via LC-MS/MS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_Toc129701019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35</w:t>
        </w:r>
        <w:r w:rsidR="008F306B" w:rsidRPr="008F306B">
          <w:rPr>
            <w:rFonts w:cs="Arial"/>
            <w:bCs/>
            <w:noProof/>
            <w:webHidden/>
            <w:sz w:val="22"/>
            <w:szCs w:val="22"/>
          </w:rPr>
          <w:fldChar w:fldCharType="end"/>
        </w:r>
      </w:hyperlink>
    </w:p>
    <w:p w14:paraId="67D602DB" w14:textId="57BF82AA" w:rsidR="008F306B" w:rsidRPr="008F306B" w:rsidRDefault="00176F3F" w:rsidP="00C243CC">
      <w:pPr>
        <w:pStyle w:val="TOC2"/>
        <w:rPr>
          <w:rFonts w:eastAsiaTheme="minorEastAsia" w:cs="Arial"/>
          <w:b w:val="0"/>
          <w:noProof/>
        </w:rPr>
      </w:pPr>
      <w:hyperlink w:anchor="_Toc129701020" w:history="1">
        <w:r w:rsidR="008F306B" w:rsidRPr="008F306B">
          <w:rPr>
            <w:rStyle w:val="Hyperlink"/>
            <w:rFonts w:cs="Arial"/>
            <w:b w:val="0"/>
            <w:noProof/>
          </w:rPr>
          <w:t>2.5. Discussion</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_Toc129701020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41</w:t>
        </w:r>
        <w:r w:rsidR="008F306B" w:rsidRPr="008F306B">
          <w:rPr>
            <w:rFonts w:cs="Arial"/>
            <w:b w:val="0"/>
            <w:noProof/>
            <w:webHidden/>
          </w:rPr>
          <w:fldChar w:fldCharType="end"/>
        </w:r>
      </w:hyperlink>
    </w:p>
    <w:p w14:paraId="183887DE" w14:textId="586DA28A" w:rsidR="008F306B" w:rsidRPr="008F306B" w:rsidRDefault="008F306B" w:rsidP="00C243CC">
      <w:pPr>
        <w:pStyle w:val="TOC1"/>
        <w:spacing w:line="480" w:lineRule="auto"/>
        <w:rPr>
          <w:rFonts w:eastAsiaTheme="minorEastAsia" w:cs="Arial"/>
          <w:iCs w:val="0"/>
          <w:noProof/>
          <w:sz w:val="22"/>
          <w:szCs w:val="22"/>
        </w:rPr>
      </w:pPr>
      <w:r>
        <w:rPr>
          <w:rStyle w:val="Hyperlink"/>
          <w:rFonts w:cs="Arial"/>
          <w:noProof/>
          <w:sz w:val="22"/>
          <w:szCs w:val="22"/>
        </w:rPr>
        <w:t xml:space="preserve">3. </w:t>
      </w:r>
      <w:hyperlink w:anchor="_Toc129701021" w:history="1">
        <w:r w:rsidRPr="008F306B">
          <w:rPr>
            <w:rStyle w:val="Hyperlink"/>
            <w:rFonts w:cs="Arial"/>
            <w:noProof/>
            <w:sz w:val="22"/>
            <w:szCs w:val="22"/>
          </w:rPr>
          <w:t>A Lysate Proteome Engineering Strategy For Enhancing Cell-Free Metabolite Production</w:t>
        </w:r>
        <w:r w:rsidRPr="008F306B">
          <w:rPr>
            <w:rFonts w:cs="Arial"/>
            <w:noProof/>
            <w:webHidden/>
            <w:sz w:val="22"/>
            <w:szCs w:val="22"/>
          </w:rPr>
          <w:tab/>
        </w:r>
        <w:r w:rsidRPr="008F306B">
          <w:rPr>
            <w:rFonts w:cs="Arial"/>
            <w:noProof/>
            <w:webHidden/>
            <w:sz w:val="22"/>
            <w:szCs w:val="22"/>
          </w:rPr>
          <w:fldChar w:fldCharType="begin"/>
        </w:r>
        <w:r w:rsidRPr="008F306B">
          <w:rPr>
            <w:rFonts w:cs="Arial"/>
            <w:noProof/>
            <w:webHidden/>
            <w:sz w:val="22"/>
            <w:szCs w:val="22"/>
          </w:rPr>
          <w:instrText xml:space="preserve"> PAGEREF _Toc129701021 \h </w:instrText>
        </w:r>
        <w:r w:rsidRPr="008F306B">
          <w:rPr>
            <w:rFonts w:cs="Arial"/>
            <w:noProof/>
            <w:webHidden/>
            <w:sz w:val="22"/>
            <w:szCs w:val="22"/>
          </w:rPr>
        </w:r>
        <w:r w:rsidRPr="008F306B">
          <w:rPr>
            <w:rFonts w:cs="Arial"/>
            <w:noProof/>
            <w:webHidden/>
            <w:sz w:val="22"/>
            <w:szCs w:val="22"/>
          </w:rPr>
          <w:fldChar w:fldCharType="separate"/>
        </w:r>
        <w:r w:rsidRPr="008F306B">
          <w:rPr>
            <w:rFonts w:cs="Arial"/>
            <w:noProof/>
            <w:webHidden/>
            <w:sz w:val="22"/>
            <w:szCs w:val="22"/>
          </w:rPr>
          <w:t>48</w:t>
        </w:r>
        <w:r w:rsidRPr="008F306B">
          <w:rPr>
            <w:rFonts w:cs="Arial"/>
            <w:noProof/>
            <w:webHidden/>
            <w:sz w:val="22"/>
            <w:szCs w:val="22"/>
          </w:rPr>
          <w:fldChar w:fldCharType="end"/>
        </w:r>
      </w:hyperlink>
    </w:p>
    <w:p w14:paraId="4BC1103C" w14:textId="549A81C0" w:rsidR="008F306B" w:rsidRPr="008F306B" w:rsidRDefault="00176F3F" w:rsidP="00C243CC">
      <w:pPr>
        <w:pStyle w:val="TOC2"/>
        <w:rPr>
          <w:rFonts w:eastAsiaTheme="minorEastAsia" w:cs="Arial"/>
          <w:b w:val="0"/>
          <w:noProof/>
        </w:rPr>
      </w:pPr>
      <w:hyperlink w:anchor="_Toc129701022" w:history="1">
        <w:r w:rsidR="008F306B" w:rsidRPr="008F306B">
          <w:rPr>
            <w:rStyle w:val="Hyperlink"/>
            <w:rFonts w:cs="Arial"/>
            <w:b w:val="0"/>
            <w:noProof/>
          </w:rPr>
          <w:t>3.1. Abstract</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_Toc129701022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49</w:t>
        </w:r>
        <w:r w:rsidR="008F306B" w:rsidRPr="008F306B">
          <w:rPr>
            <w:rFonts w:cs="Arial"/>
            <w:b w:val="0"/>
            <w:noProof/>
            <w:webHidden/>
          </w:rPr>
          <w:fldChar w:fldCharType="end"/>
        </w:r>
      </w:hyperlink>
    </w:p>
    <w:p w14:paraId="4898BDAA" w14:textId="04BD590E" w:rsidR="008F306B" w:rsidRPr="008F306B" w:rsidRDefault="00176F3F" w:rsidP="00C243CC">
      <w:pPr>
        <w:pStyle w:val="TOC2"/>
        <w:rPr>
          <w:rFonts w:eastAsiaTheme="minorEastAsia" w:cs="Arial"/>
          <w:b w:val="0"/>
          <w:noProof/>
        </w:rPr>
      </w:pPr>
      <w:hyperlink w:anchor="_Toc129701023" w:history="1">
        <w:r w:rsidR="008F306B" w:rsidRPr="008F306B">
          <w:rPr>
            <w:rStyle w:val="Hyperlink"/>
            <w:rFonts w:cs="Arial"/>
            <w:b w:val="0"/>
            <w:noProof/>
          </w:rPr>
          <w:t>3.2. Introduction</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_Toc129701023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50</w:t>
        </w:r>
        <w:r w:rsidR="008F306B" w:rsidRPr="008F306B">
          <w:rPr>
            <w:rFonts w:cs="Arial"/>
            <w:b w:val="0"/>
            <w:noProof/>
            <w:webHidden/>
          </w:rPr>
          <w:fldChar w:fldCharType="end"/>
        </w:r>
      </w:hyperlink>
    </w:p>
    <w:p w14:paraId="26B103DE" w14:textId="25AB1AC7" w:rsidR="008F306B" w:rsidRPr="008F306B" w:rsidRDefault="00176F3F" w:rsidP="00C243CC">
      <w:pPr>
        <w:pStyle w:val="TOC2"/>
        <w:rPr>
          <w:rFonts w:eastAsiaTheme="minorEastAsia" w:cs="Arial"/>
          <w:b w:val="0"/>
          <w:noProof/>
        </w:rPr>
      </w:pPr>
      <w:hyperlink w:anchor="_Toc129701024" w:history="1">
        <w:r w:rsidR="008F306B" w:rsidRPr="008F306B">
          <w:rPr>
            <w:rStyle w:val="Hyperlink"/>
            <w:rFonts w:cs="Arial"/>
            <w:b w:val="0"/>
            <w:noProof/>
          </w:rPr>
          <w:t>3.3. Methods</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_Toc129701024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53</w:t>
        </w:r>
        <w:r w:rsidR="008F306B" w:rsidRPr="008F306B">
          <w:rPr>
            <w:rFonts w:cs="Arial"/>
            <w:b w:val="0"/>
            <w:noProof/>
            <w:webHidden/>
          </w:rPr>
          <w:fldChar w:fldCharType="end"/>
        </w:r>
      </w:hyperlink>
    </w:p>
    <w:p w14:paraId="6FEE1EB5" w14:textId="32DF3FBA" w:rsidR="008F306B" w:rsidRPr="008F306B" w:rsidRDefault="00176F3F" w:rsidP="00C243CC">
      <w:pPr>
        <w:pStyle w:val="TOC3"/>
        <w:tabs>
          <w:tab w:val="right" w:leader="dot" w:pos="9350"/>
        </w:tabs>
        <w:rPr>
          <w:rFonts w:eastAsiaTheme="minorEastAsia" w:cs="Arial"/>
          <w:bCs/>
          <w:noProof/>
          <w:sz w:val="22"/>
          <w:szCs w:val="22"/>
        </w:rPr>
      </w:pPr>
      <w:hyperlink w:anchor="_Toc129701025" w:history="1">
        <w:r w:rsidR="008F306B" w:rsidRPr="008F306B">
          <w:rPr>
            <w:rStyle w:val="Hyperlink"/>
            <w:rFonts w:cs="Arial"/>
            <w:bCs/>
            <w:noProof/>
            <w:sz w:val="22"/>
            <w:szCs w:val="22"/>
          </w:rPr>
          <w:t>3.3.1. Generation and validation of genome engineered strains using MAGE</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_Toc129701025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53</w:t>
        </w:r>
        <w:r w:rsidR="008F306B" w:rsidRPr="008F306B">
          <w:rPr>
            <w:rFonts w:cs="Arial"/>
            <w:bCs/>
            <w:noProof/>
            <w:webHidden/>
            <w:sz w:val="22"/>
            <w:szCs w:val="22"/>
          </w:rPr>
          <w:fldChar w:fldCharType="end"/>
        </w:r>
      </w:hyperlink>
    </w:p>
    <w:p w14:paraId="1D1CF566" w14:textId="31B7C44C" w:rsidR="008F306B" w:rsidRPr="008F306B" w:rsidRDefault="00176F3F" w:rsidP="00C243CC">
      <w:pPr>
        <w:pStyle w:val="TOC3"/>
        <w:tabs>
          <w:tab w:val="right" w:leader="dot" w:pos="9350"/>
        </w:tabs>
        <w:rPr>
          <w:rFonts w:eastAsiaTheme="minorEastAsia" w:cs="Arial"/>
          <w:bCs/>
          <w:noProof/>
          <w:sz w:val="22"/>
          <w:szCs w:val="22"/>
        </w:rPr>
      </w:pPr>
      <w:hyperlink w:anchor="_Toc129701026" w:history="1">
        <w:r w:rsidR="008F306B" w:rsidRPr="008F306B">
          <w:rPr>
            <w:rStyle w:val="Hyperlink"/>
            <w:rFonts w:cs="Arial"/>
            <w:bCs/>
            <w:noProof/>
            <w:sz w:val="22"/>
            <w:szCs w:val="22"/>
          </w:rPr>
          <w:t>3.3.2 Cell-free extract preparation protocol</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_Toc129701026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54</w:t>
        </w:r>
        <w:r w:rsidR="008F306B" w:rsidRPr="008F306B">
          <w:rPr>
            <w:rFonts w:cs="Arial"/>
            <w:bCs/>
            <w:noProof/>
            <w:webHidden/>
            <w:sz w:val="22"/>
            <w:szCs w:val="22"/>
          </w:rPr>
          <w:fldChar w:fldCharType="end"/>
        </w:r>
      </w:hyperlink>
    </w:p>
    <w:p w14:paraId="7AFF1667" w14:textId="6F202173" w:rsidR="008F306B" w:rsidRPr="008F306B" w:rsidRDefault="00176F3F" w:rsidP="00C243CC">
      <w:pPr>
        <w:pStyle w:val="TOC3"/>
        <w:tabs>
          <w:tab w:val="right" w:leader="dot" w:pos="9350"/>
        </w:tabs>
        <w:rPr>
          <w:rFonts w:eastAsiaTheme="minorEastAsia" w:cs="Arial"/>
          <w:bCs/>
          <w:noProof/>
          <w:sz w:val="22"/>
          <w:szCs w:val="22"/>
        </w:rPr>
      </w:pPr>
      <w:hyperlink w:anchor="_Toc129701027" w:history="1">
        <w:r w:rsidR="008F306B" w:rsidRPr="008F306B">
          <w:rPr>
            <w:rStyle w:val="Hyperlink"/>
            <w:rFonts w:cs="Arial"/>
            <w:bCs/>
            <w:noProof/>
            <w:sz w:val="22"/>
            <w:szCs w:val="22"/>
          </w:rPr>
          <w:t>3.3.3 Cell-free extract depletions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_Toc129701027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55</w:t>
        </w:r>
        <w:r w:rsidR="008F306B" w:rsidRPr="008F306B">
          <w:rPr>
            <w:rFonts w:cs="Arial"/>
            <w:bCs/>
            <w:noProof/>
            <w:webHidden/>
            <w:sz w:val="22"/>
            <w:szCs w:val="22"/>
          </w:rPr>
          <w:fldChar w:fldCharType="end"/>
        </w:r>
      </w:hyperlink>
    </w:p>
    <w:p w14:paraId="270B7125" w14:textId="394C672C" w:rsidR="008F306B" w:rsidRPr="008F306B" w:rsidRDefault="00176F3F" w:rsidP="00C243CC">
      <w:pPr>
        <w:pStyle w:val="TOC3"/>
        <w:tabs>
          <w:tab w:val="right" w:leader="dot" w:pos="9350"/>
        </w:tabs>
        <w:rPr>
          <w:rFonts w:eastAsiaTheme="minorEastAsia" w:cs="Arial"/>
          <w:bCs/>
          <w:noProof/>
          <w:sz w:val="22"/>
          <w:szCs w:val="22"/>
        </w:rPr>
      </w:pPr>
      <w:hyperlink w:anchor="_Toc129701028" w:history="1">
        <w:r w:rsidR="008F306B" w:rsidRPr="008F306B">
          <w:rPr>
            <w:rStyle w:val="Hyperlink"/>
            <w:rFonts w:cs="Arial"/>
            <w:bCs/>
            <w:noProof/>
            <w:sz w:val="22"/>
            <w:szCs w:val="22"/>
          </w:rPr>
          <w:t>3.3.4 CFM</w:t>
        </w:r>
        <w:r w:rsidR="008F306B" w:rsidRPr="008F306B">
          <w:rPr>
            <w:rStyle w:val="Hyperlink"/>
            <w:rFonts w:cs="Arial"/>
            <w:bCs/>
            <w:noProof/>
            <w:sz w:val="22"/>
            <w:szCs w:val="22"/>
          </w:rPr>
          <w:t>E</w:t>
        </w:r>
        <w:r w:rsidR="008F306B" w:rsidRPr="008F306B">
          <w:rPr>
            <w:rStyle w:val="Hyperlink"/>
            <w:rFonts w:cs="Arial"/>
            <w:bCs/>
            <w:noProof/>
            <w:sz w:val="22"/>
            <w:szCs w:val="22"/>
          </w:rPr>
          <w:t xml:space="preserve"> reaction set-up</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_Toc129701028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55</w:t>
        </w:r>
        <w:r w:rsidR="008F306B" w:rsidRPr="008F306B">
          <w:rPr>
            <w:rFonts w:cs="Arial"/>
            <w:bCs/>
            <w:noProof/>
            <w:webHidden/>
            <w:sz w:val="22"/>
            <w:szCs w:val="22"/>
          </w:rPr>
          <w:fldChar w:fldCharType="end"/>
        </w:r>
      </w:hyperlink>
    </w:p>
    <w:p w14:paraId="7D005880" w14:textId="6A89846E" w:rsidR="008F306B" w:rsidRPr="008F306B" w:rsidRDefault="00176F3F" w:rsidP="00C243CC">
      <w:pPr>
        <w:pStyle w:val="TOC3"/>
        <w:tabs>
          <w:tab w:val="right" w:leader="dot" w:pos="9350"/>
        </w:tabs>
        <w:rPr>
          <w:rFonts w:eastAsiaTheme="minorEastAsia" w:cs="Arial"/>
          <w:bCs/>
          <w:noProof/>
          <w:sz w:val="22"/>
          <w:szCs w:val="22"/>
        </w:rPr>
      </w:pPr>
      <w:hyperlink w:anchor="_Toc129701029" w:history="1">
        <w:r w:rsidR="008F306B" w:rsidRPr="008F306B">
          <w:rPr>
            <w:rStyle w:val="Hyperlink"/>
            <w:rFonts w:cs="Arial"/>
            <w:bCs/>
            <w:noProof/>
            <w:sz w:val="22"/>
            <w:szCs w:val="22"/>
          </w:rPr>
          <w:t>3.3.5 Proteomics sample preparation</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_Toc129701029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56</w:t>
        </w:r>
        <w:r w:rsidR="008F306B" w:rsidRPr="008F306B">
          <w:rPr>
            <w:rFonts w:cs="Arial"/>
            <w:bCs/>
            <w:noProof/>
            <w:webHidden/>
            <w:sz w:val="22"/>
            <w:szCs w:val="22"/>
          </w:rPr>
          <w:fldChar w:fldCharType="end"/>
        </w:r>
      </w:hyperlink>
    </w:p>
    <w:p w14:paraId="11503252" w14:textId="312CB98A" w:rsidR="008F306B" w:rsidRPr="008F306B" w:rsidRDefault="00176F3F" w:rsidP="00C243CC">
      <w:pPr>
        <w:pStyle w:val="TOC3"/>
        <w:tabs>
          <w:tab w:val="right" w:leader="dot" w:pos="9350"/>
        </w:tabs>
        <w:rPr>
          <w:rFonts w:eastAsiaTheme="minorEastAsia" w:cs="Arial"/>
          <w:bCs/>
          <w:noProof/>
          <w:sz w:val="22"/>
          <w:szCs w:val="22"/>
        </w:rPr>
      </w:pPr>
      <w:hyperlink w:anchor="_Toc129701030" w:history="1">
        <w:r w:rsidR="008F306B" w:rsidRPr="008F306B">
          <w:rPr>
            <w:rStyle w:val="Hyperlink"/>
            <w:rFonts w:cs="Arial"/>
            <w:bCs/>
            <w:noProof/>
            <w:sz w:val="22"/>
            <w:szCs w:val="22"/>
          </w:rPr>
          <w:t>3.3.6 LC-MS/MS analysis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_Toc129701030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56</w:t>
        </w:r>
        <w:r w:rsidR="008F306B" w:rsidRPr="008F306B">
          <w:rPr>
            <w:rFonts w:cs="Arial"/>
            <w:bCs/>
            <w:noProof/>
            <w:webHidden/>
            <w:sz w:val="22"/>
            <w:szCs w:val="22"/>
          </w:rPr>
          <w:fldChar w:fldCharType="end"/>
        </w:r>
      </w:hyperlink>
    </w:p>
    <w:p w14:paraId="4CA7252B" w14:textId="60A2A493" w:rsidR="008F306B" w:rsidRPr="008F306B" w:rsidRDefault="00176F3F" w:rsidP="00C243CC">
      <w:pPr>
        <w:pStyle w:val="TOC3"/>
        <w:tabs>
          <w:tab w:val="right" w:leader="dot" w:pos="9350"/>
        </w:tabs>
        <w:rPr>
          <w:rFonts w:eastAsiaTheme="minorEastAsia" w:cs="Arial"/>
          <w:bCs/>
          <w:noProof/>
          <w:sz w:val="22"/>
          <w:szCs w:val="22"/>
        </w:rPr>
      </w:pPr>
      <w:hyperlink w:anchor="_Toc129701031" w:history="1">
        <w:r w:rsidR="008F306B" w:rsidRPr="008F306B">
          <w:rPr>
            <w:rStyle w:val="Hyperlink"/>
            <w:rFonts w:cs="Arial"/>
            <w:bCs/>
            <w:noProof/>
            <w:sz w:val="22"/>
            <w:szCs w:val="22"/>
          </w:rPr>
          <w:t>3.3.7 Proteome database search</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_Toc129701031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57</w:t>
        </w:r>
        <w:r w:rsidR="008F306B" w:rsidRPr="008F306B">
          <w:rPr>
            <w:rFonts w:cs="Arial"/>
            <w:bCs/>
            <w:noProof/>
            <w:webHidden/>
            <w:sz w:val="22"/>
            <w:szCs w:val="22"/>
          </w:rPr>
          <w:fldChar w:fldCharType="end"/>
        </w:r>
      </w:hyperlink>
    </w:p>
    <w:p w14:paraId="4349B0FF" w14:textId="34F7F65C" w:rsidR="008F306B" w:rsidRPr="008F306B" w:rsidRDefault="00176F3F" w:rsidP="00C243CC">
      <w:pPr>
        <w:pStyle w:val="TOC3"/>
        <w:tabs>
          <w:tab w:val="right" w:leader="dot" w:pos="9350"/>
        </w:tabs>
        <w:rPr>
          <w:rFonts w:eastAsiaTheme="minorEastAsia" w:cs="Arial"/>
          <w:bCs/>
          <w:noProof/>
          <w:sz w:val="22"/>
          <w:szCs w:val="22"/>
        </w:rPr>
      </w:pPr>
      <w:hyperlink w:anchor="_Toc129701032" w:history="1">
        <w:r w:rsidR="008F306B" w:rsidRPr="008F306B">
          <w:rPr>
            <w:rStyle w:val="Hyperlink"/>
            <w:rFonts w:cs="Arial"/>
            <w:bCs/>
            <w:noProof/>
            <w:sz w:val="22"/>
            <w:szCs w:val="22"/>
          </w:rPr>
          <w:t>3.3.8 Proteomic data analysis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_Toc129701032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57</w:t>
        </w:r>
        <w:r w:rsidR="008F306B" w:rsidRPr="008F306B">
          <w:rPr>
            <w:rFonts w:cs="Arial"/>
            <w:bCs/>
            <w:noProof/>
            <w:webHidden/>
            <w:sz w:val="22"/>
            <w:szCs w:val="22"/>
          </w:rPr>
          <w:fldChar w:fldCharType="end"/>
        </w:r>
      </w:hyperlink>
    </w:p>
    <w:p w14:paraId="7D180053" w14:textId="49102303" w:rsidR="008F306B" w:rsidRPr="008F306B" w:rsidRDefault="00176F3F" w:rsidP="00C243CC">
      <w:pPr>
        <w:pStyle w:val="TOC3"/>
        <w:tabs>
          <w:tab w:val="right" w:leader="dot" w:pos="9350"/>
        </w:tabs>
        <w:rPr>
          <w:rFonts w:eastAsiaTheme="minorEastAsia" w:cs="Arial"/>
          <w:bCs/>
          <w:noProof/>
          <w:sz w:val="22"/>
          <w:szCs w:val="22"/>
        </w:rPr>
      </w:pPr>
      <w:hyperlink w:anchor="_Toc129701033" w:history="1">
        <w:r w:rsidR="008F306B" w:rsidRPr="008F306B">
          <w:rPr>
            <w:rStyle w:val="Hyperlink"/>
            <w:rFonts w:cs="Arial"/>
            <w:bCs/>
            <w:noProof/>
            <w:sz w:val="22"/>
            <w:szCs w:val="22"/>
          </w:rPr>
          <w:t>3.3.9 Metabolite measurements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_Toc129701033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58</w:t>
        </w:r>
        <w:r w:rsidR="008F306B" w:rsidRPr="008F306B">
          <w:rPr>
            <w:rFonts w:cs="Arial"/>
            <w:bCs/>
            <w:noProof/>
            <w:webHidden/>
            <w:sz w:val="22"/>
            <w:szCs w:val="22"/>
          </w:rPr>
          <w:fldChar w:fldCharType="end"/>
        </w:r>
      </w:hyperlink>
    </w:p>
    <w:p w14:paraId="1CD15A41" w14:textId="41FAB030" w:rsidR="008F306B" w:rsidRPr="008F306B" w:rsidRDefault="00176F3F" w:rsidP="00C243CC">
      <w:pPr>
        <w:pStyle w:val="TOC2"/>
        <w:rPr>
          <w:rFonts w:eastAsiaTheme="minorEastAsia" w:cs="Arial"/>
          <w:b w:val="0"/>
          <w:noProof/>
        </w:rPr>
      </w:pPr>
      <w:hyperlink w:anchor="_Toc129701034" w:history="1">
        <w:r w:rsidR="008F306B" w:rsidRPr="008F306B">
          <w:rPr>
            <w:rStyle w:val="Hyperlink"/>
            <w:rFonts w:cs="Arial"/>
            <w:b w:val="0"/>
            <w:noProof/>
          </w:rPr>
          <w:t>3.4. Results and Discussion</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_Toc129701034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58</w:t>
        </w:r>
        <w:r w:rsidR="008F306B" w:rsidRPr="008F306B">
          <w:rPr>
            <w:rFonts w:cs="Arial"/>
            <w:b w:val="0"/>
            <w:noProof/>
            <w:webHidden/>
          </w:rPr>
          <w:fldChar w:fldCharType="end"/>
        </w:r>
      </w:hyperlink>
    </w:p>
    <w:p w14:paraId="26802AE2" w14:textId="65A0308A" w:rsidR="008F306B" w:rsidRPr="008F306B" w:rsidRDefault="00176F3F" w:rsidP="00C243CC">
      <w:pPr>
        <w:pStyle w:val="TOC3"/>
        <w:tabs>
          <w:tab w:val="right" w:leader="dot" w:pos="9350"/>
        </w:tabs>
        <w:rPr>
          <w:rFonts w:eastAsiaTheme="minorEastAsia" w:cs="Arial"/>
          <w:bCs/>
          <w:noProof/>
          <w:sz w:val="22"/>
          <w:szCs w:val="22"/>
        </w:rPr>
      </w:pPr>
      <w:hyperlink w:anchor="_Toc129701035" w:history="1">
        <w:r w:rsidR="008F306B" w:rsidRPr="008F306B">
          <w:rPr>
            <w:rStyle w:val="Hyperlink"/>
            <w:rFonts w:cs="Arial"/>
            <w:bCs/>
            <w:noProof/>
            <w:sz w:val="22"/>
            <w:szCs w:val="22"/>
          </w:rPr>
          <w:t>3.4.1. Genome engineering enabled display of 6xHis-tags on endogenous pyruvate-consuming enzymes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_Toc129701035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58</w:t>
        </w:r>
        <w:r w:rsidR="008F306B" w:rsidRPr="008F306B">
          <w:rPr>
            <w:rFonts w:cs="Arial"/>
            <w:bCs/>
            <w:noProof/>
            <w:webHidden/>
            <w:sz w:val="22"/>
            <w:szCs w:val="22"/>
          </w:rPr>
          <w:fldChar w:fldCharType="end"/>
        </w:r>
      </w:hyperlink>
    </w:p>
    <w:p w14:paraId="1DF9ED94" w14:textId="4C573EFC" w:rsidR="008F306B" w:rsidRPr="008F306B" w:rsidRDefault="00176F3F" w:rsidP="00C243CC">
      <w:pPr>
        <w:pStyle w:val="TOC3"/>
        <w:tabs>
          <w:tab w:val="right" w:leader="dot" w:pos="9350"/>
        </w:tabs>
        <w:rPr>
          <w:rFonts w:eastAsiaTheme="minorEastAsia" w:cs="Arial"/>
          <w:bCs/>
          <w:noProof/>
          <w:sz w:val="22"/>
          <w:szCs w:val="22"/>
        </w:rPr>
      </w:pPr>
      <w:hyperlink w:anchor="_Toc129701036" w:history="1">
        <w:r w:rsidR="008F306B" w:rsidRPr="008F306B">
          <w:rPr>
            <w:rStyle w:val="Hyperlink"/>
            <w:rFonts w:cs="Arial"/>
            <w:bCs/>
            <w:noProof/>
            <w:sz w:val="22"/>
            <w:szCs w:val="22"/>
          </w:rPr>
          <w:t>3.4.2. Analysis of glucose metabolism and pyruvate production in enzyme-depleted extracts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_Toc129701036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61</w:t>
        </w:r>
        <w:r w:rsidR="008F306B" w:rsidRPr="008F306B">
          <w:rPr>
            <w:rFonts w:cs="Arial"/>
            <w:bCs/>
            <w:noProof/>
            <w:webHidden/>
            <w:sz w:val="22"/>
            <w:szCs w:val="22"/>
          </w:rPr>
          <w:fldChar w:fldCharType="end"/>
        </w:r>
      </w:hyperlink>
    </w:p>
    <w:p w14:paraId="181C1990" w14:textId="7D2C12FE" w:rsidR="008F306B" w:rsidRPr="008F306B" w:rsidRDefault="00176F3F" w:rsidP="00C243CC">
      <w:pPr>
        <w:pStyle w:val="TOC3"/>
        <w:tabs>
          <w:tab w:val="right" w:leader="dot" w:pos="9350"/>
        </w:tabs>
        <w:rPr>
          <w:rFonts w:eastAsiaTheme="minorEastAsia" w:cs="Arial"/>
          <w:bCs/>
          <w:noProof/>
          <w:sz w:val="22"/>
          <w:szCs w:val="22"/>
        </w:rPr>
      </w:pPr>
      <w:hyperlink w:anchor="_Toc129701037" w:history="1">
        <w:r w:rsidR="008F306B" w:rsidRPr="008F306B">
          <w:rPr>
            <w:rStyle w:val="Hyperlink"/>
            <w:rFonts w:cs="Arial"/>
            <w:bCs/>
            <w:noProof/>
            <w:sz w:val="22"/>
            <w:szCs w:val="22"/>
          </w:rPr>
          <w:t>3.4.3. Analysis of glucose metabolism and pyruvate production in enzyme-depleted extracts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_Toc129701037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64</w:t>
        </w:r>
        <w:r w:rsidR="008F306B" w:rsidRPr="008F306B">
          <w:rPr>
            <w:rFonts w:cs="Arial"/>
            <w:bCs/>
            <w:noProof/>
            <w:webHidden/>
            <w:sz w:val="22"/>
            <w:szCs w:val="22"/>
          </w:rPr>
          <w:fldChar w:fldCharType="end"/>
        </w:r>
      </w:hyperlink>
    </w:p>
    <w:p w14:paraId="090D7824" w14:textId="2C988938" w:rsidR="008F306B" w:rsidRPr="008F306B" w:rsidRDefault="00176F3F" w:rsidP="00C243CC">
      <w:pPr>
        <w:pStyle w:val="TOC3"/>
        <w:tabs>
          <w:tab w:val="right" w:leader="dot" w:pos="9350"/>
        </w:tabs>
        <w:rPr>
          <w:rFonts w:eastAsiaTheme="minorEastAsia" w:cs="Arial"/>
          <w:bCs/>
          <w:noProof/>
          <w:sz w:val="22"/>
          <w:szCs w:val="22"/>
        </w:rPr>
      </w:pPr>
      <w:hyperlink w:anchor="_Toc129701038" w:history="1">
        <w:r w:rsidR="008F306B" w:rsidRPr="008F306B">
          <w:rPr>
            <w:rStyle w:val="Hyperlink"/>
            <w:rFonts w:cs="Arial"/>
            <w:bCs/>
            <w:noProof/>
            <w:sz w:val="22"/>
            <w:szCs w:val="22"/>
            <w:lang w:val="en-US"/>
          </w:rPr>
          <w:t>3.4.4. Evaluation of modified lysate proteomes after selective enzyme depletion</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_Toc129701038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69</w:t>
        </w:r>
        <w:r w:rsidR="008F306B" w:rsidRPr="008F306B">
          <w:rPr>
            <w:rFonts w:cs="Arial"/>
            <w:bCs/>
            <w:noProof/>
            <w:webHidden/>
            <w:sz w:val="22"/>
            <w:szCs w:val="22"/>
          </w:rPr>
          <w:fldChar w:fldCharType="end"/>
        </w:r>
      </w:hyperlink>
    </w:p>
    <w:p w14:paraId="64C6B3D9" w14:textId="48C10A95" w:rsidR="008F306B" w:rsidRPr="008F306B" w:rsidRDefault="00176F3F" w:rsidP="00C243CC">
      <w:pPr>
        <w:pStyle w:val="TOC3"/>
        <w:tabs>
          <w:tab w:val="right" w:leader="dot" w:pos="9350"/>
        </w:tabs>
        <w:rPr>
          <w:rFonts w:eastAsiaTheme="minorEastAsia" w:cs="Arial"/>
          <w:bCs/>
          <w:noProof/>
          <w:sz w:val="22"/>
          <w:szCs w:val="22"/>
        </w:rPr>
      </w:pPr>
      <w:hyperlink w:anchor="_Toc129701039" w:history="1">
        <w:r w:rsidR="008F306B" w:rsidRPr="008F306B">
          <w:rPr>
            <w:rStyle w:val="Hyperlink"/>
            <w:rFonts w:cs="Arial"/>
            <w:bCs/>
            <w:noProof/>
            <w:sz w:val="22"/>
            <w:szCs w:val="22"/>
            <w:lang w:val="en-US"/>
          </w:rPr>
          <w:t xml:space="preserve">3.4.5. Evaluating the feasibility of integrating StrepII®-tags into the genome of the model microbe </w:t>
        </w:r>
        <w:r w:rsidR="008F306B" w:rsidRPr="008F306B">
          <w:rPr>
            <w:rStyle w:val="Hyperlink"/>
            <w:rFonts w:cs="Arial"/>
            <w:bCs/>
            <w:i/>
            <w:iCs/>
            <w:noProof/>
            <w:sz w:val="22"/>
            <w:szCs w:val="22"/>
            <w:lang w:val="en-US"/>
          </w:rPr>
          <w:t>Vibrio natriegens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_Toc129701039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73</w:t>
        </w:r>
        <w:r w:rsidR="008F306B" w:rsidRPr="008F306B">
          <w:rPr>
            <w:rFonts w:cs="Arial"/>
            <w:bCs/>
            <w:noProof/>
            <w:webHidden/>
            <w:sz w:val="22"/>
            <w:szCs w:val="22"/>
          </w:rPr>
          <w:fldChar w:fldCharType="end"/>
        </w:r>
      </w:hyperlink>
    </w:p>
    <w:p w14:paraId="35EE8392" w14:textId="60F9F819" w:rsidR="008F306B" w:rsidRPr="008F306B" w:rsidRDefault="00176F3F" w:rsidP="00C243CC">
      <w:pPr>
        <w:pStyle w:val="TOC2"/>
        <w:rPr>
          <w:rFonts w:eastAsiaTheme="minorEastAsia" w:cs="Arial"/>
          <w:b w:val="0"/>
          <w:noProof/>
        </w:rPr>
      </w:pPr>
      <w:hyperlink w:anchor="_Toc129701040" w:history="1">
        <w:r w:rsidR="008F306B" w:rsidRPr="008F306B">
          <w:rPr>
            <w:rStyle w:val="Hyperlink"/>
            <w:rFonts w:cs="Arial"/>
            <w:b w:val="0"/>
            <w:noProof/>
          </w:rPr>
          <w:t>3.5. Conclusions</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_Toc129701040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74</w:t>
        </w:r>
        <w:r w:rsidR="008F306B" w:rsidRPr="008F306B">
          <w:rPr>
            <w:rFonts w:cs="Arial"/>
            <w:b w:val="0"/>
            <w:noProof/>
            <w:webHidden/>
          </w:rPr>
          <w:fldChar w:fldCharType="end"/>
        </w:r>
      </w:hyperlink>
    </w:p>
    <w:p w14:paraId="1A3A358F" w14:textId="5CA6DC0E" w:rsidR="008F306B" w:rsidRPr="008F306B" w:rsidRDefault="008F306B" w:rsidP="00C243CC">
      <w:pPr>
        <w:pStyle w:val="TOC1"/>
        <w:spacing w:line="480" w:lineRule="auto"/>
        <w:rPr>
          <w:rFonts w:eastAsiaTheme="minorEastAsia" w:cs="Arial"/>
          <w:iCs w:val="0"/>
          <w:noProof/>
          <w:sz w:val="22"/>
          <w:szCs w:val="22"/>
        </w:rPr>
      </w:pPr>
      <w:r>
        <w:rPr>
          <w:rStyle w:val="Hyperlink"/>
          <w:rFonts w:cs="Arial"/>
          <w:noProof/>
          <w:sz w:val="22"/>
          <w:szCs w:val="22"/>
        </w:rPr>
        <w:t xml:space="preserve">4. </w:t>
      </w:r>
      <w:hyperlink w:anchor="_Toc129701041" w:history="1">
        <w:r w:rsidRPr="008F306B">
          <w:rPr>
            <w:rStyle w:val="Hyperlink"/>
            <w:rFonts w:cs="Arial"/>
            <w:noProof/>
            <w:sz w:val="22"/>
            <w:szCs w:val="22"/>
          </w:rPr>
          <w:t>Rewiring Cell-Free Metabolic Flux In E. Coli Lysates Using A Block-Push-Pull Approach</w:t>
        </w:r>
        <w:r w:rsidRPr="008F306B">
          <w:rPr>
            <w:rFonts w:cs="Arial"/>
            <w:noProof/>
            <w:webHidden/>
            <w:sz w:val="22"/>
            <w:szCs w:val="22"/>
          </w:rPr>
          <w:tab/>
        </w:r>
        <w:r w:rsidRPr="008F306B">
          <w:rPr>
            <w:rFonts w:cs="Arial"/>
            <w:noProof/>
            <w:webHidden/>
            <w:sz w:val="22"/>
            <w:szCs w:val="22"/>
          </w:rPr>
          <w:fldChar w:fldCharType="begin"/>
        </w:r>
        <w:r w:rsidRPr="008F306B">
          <w:rPr>
            <w:rFonts w:cs="Arial"/>
            <w:noProof/>
            <w:webHidden/>
            <w:sz w:val="22"/>
            <w:szCs w:val="22"/>
          </w:rPr>
          <w:instrText xml:space="preserve"> PAGEREF _Toc129701041 \h </w:instrText>
        </w:r>
        <w:r w:rsidRPr="008F306B">
          <w:rPr>
            <w:rFonts w:cs="Arial"/>
            <w:noProof/>
            <w:webHidden/>
            <w:sz w:val="22"/>
            <w:szCs w:val="22"/>
          </w:rPr>
        </w:r>
        <w:r w:rsidRPr="008F306B">
          <w:rPr>
            <w:rFonts w:cs="Arial"/>
            <w:noProof/>
            <w:webHidden/>
            <w:sz w:val="22"/>
            <w:szCs w:val="22"/>
          </w:rPr>
          <w:fldChar w:fldCharType="separate"/>
        </w:r>
        <w:r w:rsidRPr="008F306B">
          <w:rPr>
            <w:rFonts w:cs="Arial"/>
            <w:noProof/>
            <w:webHidden/>
            <w:sz w:val="22"/>
            <w:szCs w:val="22"/>
          </w:rPr>
          <w:t>83</w:t>
        </w:r>
        <w:r w:rsidRPr="008F306B">
          <w:rPr>
            <w:rFonts w:cs="Arial"/>
            <w:noProof/>
            <w:webHidden/>
            <w:sz w:val="22"/>
            <w:szCs w:val="22"/>
          </w:rPr>
          <w:fldChar w:fldCharType="end"/>
        </w:r>
      </w:hyperlink>
    </w:p>
    <w:p w14:paraId="4625674C" w14:textId="7C39F463" w:rsidR="008F306B" w:rsidRPr="008F306B" w:rsidRDefault="00176F3F" w:rsidP="00C243CC">
      <w:pPr>
        <w:pStyle w:val="TOC2"/>
        <w:rPr>
          <w:rFonts w:eastAsiaTheme="minorEastAsia" w:cs="Arial"/>
          <w:b w:val="0"/>
          <w:noProof/>
        </w:rPr>
      </w:pPr>
      <w:hyperlink w:anchor="_Toc129701042" w:history="1">
        <w:r w:rsidR="008F306B" w:rsidRPr="008F306B">
          <w:rPr>
            <w:rStyle w:val="Hyperlink"/>
            <w:rFonts w:cs="Arial"/>
            <w:b w:val="0"/>
            <w:noProof/>
          </w:rPr>
          <w:t>4.1. Abstract</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_Toc129701042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84</w:t>
        </w:r>
        <w:r w:rsidR="008F306B" w:rsidRPr="008F306B">
          <w:rPr>
            <w:rFonts w:cs="Arial"/>
            <w:b w:val="0"/>
            <w:noProof/>
            <w:webHidden/>
          </w:rPr>
          <w:fldChar w:fldCharType="end"/>
        </w:r>
      </w:hyperlink>
    </w:p>
    <w:p w14:paraId="23F898DE" w14:textId="4D640F82" w:rsidR="008F306B" w:rsidRPr="008F306B" w:rsidRDefault="00176F3F" w:rsidP="00C243CC">
      <w:pPr>
        <w:pStyle w:val="TOC2"/>
        <w:rPr>
          <w:rFonts w:eastAsiaTheme="minorEastAsia" w:cs="Arial"/>
          <w:b w:val="0"/>
          <w:noProof/>
        </w:rPr>
      </w:pPr>
      <w:hyperlink w:anchor="_Toc129701043" w:history="1">
        <w:r w:rsidR="008F306B" w:rsidRPr="008F306B">
          <w:rPr>
            <w:rStyle w:val="Hyperlink"/>
            <w:rFonts w:cs="Arial"/>
            <w:b w:val="0"/>
            <w:noProof/>
          </w:rPr>
          <w:t>4.2. Introduction</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_Toc129701043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85</w:t>
        </w:r>
        <w:r w:rsidR="008F306B" w:rsidRPr="008F306B">
          <w:rPr>
            <w:rFonts w:cs="Arial"/>
            <w:b w:val="0"/>
            <w:noProof/>
            <w:webHidden/>
          </w:rPr>
          <w:fldChar w:fldCharType="end"/>
        </w:r>
      </w:hyperlink>
    </w:p>
    <w:p w14:paraId="130D305A" w14:textId="5837DCCB" w:rsidR="008F306B" w:rsidRPr="008F306B" w:rsidRDefault="00176F3F" w:rsidP="00C243CC">
      <w:pPr>
        <w:pStyle w:val="TOC2"/>
        <w:rPr>
          <w:rFonts w:eastAsiaTheme="minorEastAsia" w:cs="Arial"/>
          <w:b w:val="0"/>
          <w:noProof/>
        </w:rPr>
      </w:pPr>
      <w:hyperlink w:anchor="_Toc129701044" w:history="1">
        <w:r w:rsidR="008F306B" w:rsidRPr="008F306B">
          <w:rPr>
            <w:rStyle w:val="Hyperlink"/>
            <w:rFonts w:cs="Arial"/>
            <w:b w:val="0"/>
            <w:noProof/>
          </w:rPr>
          <w:t>4.3. Methods</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_Toc129701044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90</w:t>
        </w:r>
        <w:r w:rsidR="008F306B" w:rsidRPr="008F306B">
          <w:rPr>
            <w:rFonts w:cs="Arial"/>
            <w:b w:val="0"/>
            <w:noProof/>
            <w:webHidden/>
          </w:rPr>
          <w:fldChar w:fldCharType="end"/>
        </w:r>
      </w:hyperlink>
    </w:p>
    <w:p w14:paraId="7C04ACE8" w14:textId="7E7A39C8" w:rsidR="008F306B" w:rsidRPr="008F306B" w:rsidRDefault="00176F3F" w:rsidP="00C243CC">
      <w:pPr>
        <w:pStyle w:val="TOC3"/>
        <w:tabs>
          <w:tab w:val="right" w:leader="dot" w:pos="9350"/>
        </w:tabs>
        <w:rPr>
          <w:rFonts w:eastAsiaTheme="minorEastAsia" w:cs="Arial"/>
          <w:bCs/>
          <w:noProof/>
          <w:sz w:val="22"/>
          <w:szCs w:val="22"/>
        </w:rPr>
      </w:pPr>
      <w:hyperlink w:anchor="_Toc129701045" w:history="1">
        <w:r w:rsidR="008F306B" w:rsidRPr="008F306B">
          <w:rPr>
            <w:rStyle w:val="Hyperlink"/>
            <w:rFonts w:cs="Arial"/>
            <w:bCs/>
            <w:noProof/>
            <w:sz w:val="22"/>
            <w:szCs w:val="22"/>
          </w:rPr>
          <w:t>4.3.1. Cell Culture</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_Toc129701045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90</w:t>
        </w:r>
        <w:r w:rsidR="008F306B" w:rsidRPr="008F306B">
          <w:rPr>
            <w:rFonts w:cs="Arial"/>
            <w:bCs/>
            <w:noProof/>
            <w:webHidden/>
            <w:sz w:val="22"/>
            <w:szCs w:val="22"/>
          </w:rPr>
          <w:fldChar w:fldCharType="end"/>
        </w:r>
      </w:hyperlink>
    </w:p>
    <w:p w14:paraId="5A6A33AB" w14:textId="14BA155F" w:rsidR="008F306B" w:rsidRPr="008F306B" w:rsidRDefault="00176F3F" w:rsidP="00C243CC">
      <w:pPr>
        <w:pStyle w:val="TOC3"/>
        <w:tabs>
          <w:tab w:val="right" w:leader="dot" w:pos="9350"/>
        </w:tabs>
        <w:rPr>
          <w:rFonts w:eastAsiaTheme="minorEastAsia" w:cs="Arial"/>
          <w:bCs/>
          <w:noProof/>
          <w:sz w:val="22"/>
          <w:szCs w:val="22"/>
        </w:rPr>
      </w:pPr>
      <w:hyperlink w:anchor="_Toc129701046" w:history="1">
        <w:r w:rsidR="008F306B" w:rsidRPr="008F306B">
          <w:rPr>
            <w:rStyle w:val="Hyperlink"/>
            <w:rFonts w:cs="Arial"/>
            <w:bCs/>
            <w:noProof/>
            <w:sz w:val="22"/>
            <w:szCs w:val="22"/>
          </w:rPr>
          <w:t>4.3.2. Lysate Preparation</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_Toc129701046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90</w:t>
        </w:r>
        <w:r w:rsidR="008F306B" w:rsidRPr="008F306B">
          <w:rPr>
            <w:rFonts w:cs="Arial"/>
            <w:bCs/>
            <w:noProof/>
            <w:webHidden/>
            <w:sz w:val="22"/>
            <w:szCs w:val="22"/>
          </w:rPr>
          <w:fldChar w:fldCharType="end"/>
        </w:r>
      </w:hyperlink>
    </w:p>
    <w:p w14:paraId="374D1CD6" w14:textId="3D7089B0" w:rsidR="008F306B" w:rsidRPr="008F306B" w:rsidRDefault="00176F3F" w:rsidP="00C243CC">
      <w:pPr>
        <w:pStyle w:val="TOC3"/>
        <w:tabs>
          <w:tab w:val="right" w:leader="dot" w:pos="9350"/>
        </w:tabs>
        <w:rPr>
          <w:rFonts w:eastAsiaTheme="minorEastAsia" w:cs="Arial"/>
          <w:bCs/>
          <w:noProof/>
          <w:sz w:val="22"/>
          <w:szCs w:val="22"/>
        </w:rPr>
      </w:pPr>
      <w:hyperlink w:anchor="_Toc129701047" w:history="1">
        <w:r w:rsidR="008F306B" w:rsidRPr="008F306B">
          <w:rPr>
            <w:rStyle w:val="Hyperlink"/>
            <w:rFonts w:cs="Arial"/>
            <w:bCs/>
            <w:noProof/>
            <w:sz w:val="22"/>
            <w:szCs w:val="22"/>
          </w:rPr>
          <w:t>4.3.3. Lysate Depletion</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_Toc129701047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91</w:t>
        </w:r>
        <w:r w:rsidR="008F306B" w:rsidRPr="008F306B">
          <w:rPr>
            <w:rFonts w:cs="Arial"/>
            <w:bCs/>
            <w:noProof/>
            <w:webHidden/>
            <w:sz w:val="22"/>
            <w:szCs w:val="22"/>
          </w:rPr>
          <w:fldChar w:fldCharType="end"/>
        </w:r>
      </w:hyperlink>
    </w:p>
    <w:p w14:paraId="2457FEEF" w14:textId="72EF8FC8" w:rsidR="008F306B" w:rsidRPr="008F306B" w:rsidRDefault="00176F3F" w:rsidP="00C243CC">
      <w:pPr>
        <w:pStyle w:val="TOC3"/>
        <w:tabs>
          <w:tab w:val="right" w:leader="dot" w:pos="9350"/>
        </w:tabs>
        <w:rPr>
          <w:rFonts w:eastAsiaTheme="minorEastAsia" w:cs="Arial"/>
          <w:bCs/>
          <w:noProof/>
          <w:sz w:val="22"/>
          <w:szCs w:val="22"/>
        </w:rPr>
      </w:pPr>
      <w:hyperlink w:anchor="_Toc129701048" w:history="1">
        <w:r w:rsidR="008F306B" w:rsidRPr="008F306B">
          <w:rPr>
            <w:rStyle w:val="Hyperlink"/>
            <w:rFonts w:cs="Arial"/>
            <w:bCs/>
            <w:noProof/>
            <w:sz w:val="22"/>
            <w:szCs w:val="22"/>
          </w:rPr>
          <w:t>4.3.4. CFME Reaction Preparation</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_Toc129701048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91</w:t>
        </w:r>
        <w:r w:rsidR="008F306B" w:rsidRPr="008F306B">
          <w:rPr>
            <w:rFonts w:cs="Arial"/>
            <w:bCs/>
            <w:noProof/>
            <w:webHidden/>
            <w:sz w:val="22"/>
            <w:szCs w:val="22"/>
          </w:rPr>
          <w:fldChar w:fldCharType="end"/>
        </w:r>
      </w:hyperlink>
    </w:p>
    <w:p w14:paraId="5EDBCB59" w14:textId="664D2F97" w:rsidR="008F306B" w:rsidRPr="008F306B" w:rsidRDefault="00176F3F" w:rsidP="00C243CC">
      <w:pPr>
        <w:pStyle w:val="TOC3"/>
        <w:tabs>
          <w:tab w:val="right" w:leader="dot" w:pos="9350"/>
        </w:tabs>
        <w:rPr>
          <w:rFonts w:eastAsiaTheme="minorEastAsia" w:cs="Arial"/>
          <w:bCs/>
          <w:noProof/>
          <w:sz w:val="22"/>
          <w:szCs w:val="22"/>
        </w:rPr>
      </w:pPr>
      <w:hyperlink w:anchor="_Toc129701049" w:history="1">
        <w:r w:rsidR="008F306B" w:rsidRPr="008F306B">
          <w:rPr>
            <w:rStyle w:val="Hyperlink"/>
            <w:rFonts w:cs="Arial"/>
            <w:bCs/>
            <w:noProof/>
            <w:sz w:val="22"/>
            <w:szCs w:val="22"/>
          </w:rPr>
          <w:t>4.3.5. Metabolite Analyses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_Toc129701049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92</w:t>
        </w:r>
        <w:r w:rsidR="008F306B" w:rsidRPr="008F306B">
          <w:rPr>
            <w:rFonts w:cs="Arial"/>
            <w:bCs/>
            <w:noProof/>
            <w:webHidden/>
            <w:sz w:val="22"/>
            <w:szCs w:val="22"/>
          </w:rPr>
          <w:fldChar w:fldCharType="end"/>
        </w:r>
      </w:hyperlink>
    </w:p>
    <w:p w14:paraId="3114FBD6" w14:textId="27E2FA20" w:rsidR="008F306B" w:rsidRPr="008F306B" w:rsidRDefault="00176F3F" w:rsidP="00C243CC">
      <w:pPr>
        <w:pStyle w:val="TOC2"/>
        <w:rPr>
          <w:rFonts w:eastAsiaTheme="minorEastAsia" w:cs="Arial"/>
          <w:b w:val="0"/>
          <w:noProof/>
        </w:rPr>
      </w:pPr>
      <w:hyperlink w:anchor="_Toc129701050" w:history="1">
        <w:r w:rsidR="008F306B" w:rsidRPr="008F306B">
          <w:rPr>
            <w:rStyle w:val="Hyperlink"/>
            <w:rFonts w:cs="Arial"/>
            <w:b w:val="0"/>
            <w:noProof/>
          </w:rPr>
          <w:t>4.4. Results and Discussion</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_Toc129701050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93</w:t>
        </w:r>
        <w:r w:rsidR="008F306B" w:rsidRPr="008F306B">
          <w:rPr>
            <w:rFonts w:cs="Arial"/>
            <w:b w:val="0"/>
            <w:noProof/>
            <w:webHidden/>
          </w:rPr>
          <w:fldChar w:fldCharType="end"/>
        </w:r>
      </w:hyperlink>
    </w:p>
    <w:p w14:paraId="0D0E06CE" w14:textId="27218F40" w:rsidR="008F306B" w:rsidRPr="008F306B" w:rsidRDefault="00176F3F" w:rsidP="00C243CC">
      <w:pPr>
        <w:pStyle w:val="TOC3"/>
        <w:tabs>
          <w:tab w:val="right" w:leader="dot" w:pos="9350"/>
        </w:tabs>
        <w:rPr>
          <w:rFonts w:eastAsiaTheme="minorEastAsia" w:cs="Arial"/>
          <w:bCs/>
          <w:noProof/>
          <w:sz w:val="22"/>
          <w:szCs w:val="22"/>
        </w:rPr>
      </w:pPr>
      <w:hyperlink w:anchor="_Toc129701051" w:history="1">
        <w:r w:rsidR="008F306B" w:rsidRPr="008F306B">
          <w:rPr>
            <w:rStyle w:val="Hyperlink"/>
            <w:rFonts w:cs="Arial"/>
            <w:bCs/>
            <w:noProof/>
            <w:sz w:val="22"/>
            <w:szCs w:val="22"/>
          </w:rPr>
          <w:t>4.4.1. Blocking flux-competing pathways via selective depletion of LdhA and PflB proteins in lysates redirects carbon flow to ethanol.</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_Toc129701051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93</w:t>
        </w:r>
        <w:r w:rsidR="008F306B" w:rsidRPr="008F306B">
          <w:rPr>
            <w:rFonts w:cs="Arial"/>
            <w:bCs/>
            <w:noProof/>
            <w:webHidden/>
            <w:sz w:val="22"/>
            <w:szCs w:val="22"/>
          </w:rPr>
          <w:fldChar w:fldCharType="end"/>
        </w:r>
      </w:hyperlink>
    </w:p>
    <w:p w14:paraId="6E27B9F1" w14:textId="7B47A7F8" w:rsidR="008F306B" w:rsidRPr="008F306B" w:rsidRDefault="00176F3F" w:rsidP="00C243CC">
      <w:pPr>
        <w:pStyle w:val="TOC3"/>
        <w:tabs>
          <w:tab w:val="right" w:leader="dot" w:pos="9350"/>
        </w:tabs>
        <w:rPr>
          <w:rFonts w:eastAsiaTheme="minorEastAsia" w:cs="Arial"/>
          <w:bCs/>
          <w:noProof/>
          <w:sz w:val="22"/>
          <w:szCs w:val="22"/>
        </w:rPr>
      </w:pPr>
      <w:hyperlink w:anchor="_Toc129701052" w:history="1">
        <w:r w:rsidR="008F306B" w:rsidRPr="008F306B">
          <w:rPr>
            <w:rStyle w:val="Hyperlink"/>
            <w:rFonts w:cs="Arial"/>
            <w:bCs/>
            <w:noProof/>
            <w:sz w:val="22"/>
            <w:szCs w:val="22"/>
          </w:rPr>
          <w:t>4.4.2. Optimized reaction and cultivation conditions push and pull flux through the insulated pathway and improve ethanol yield in blocked lysates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_Toc129701052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98</w:t>
        </w:r>
        <w:r w:rsidR="008F306B" w:rsidRPr="008F306B">
          <w:rPr>
            <w:rFonts w:cs="Arial"/>
            <w:bCs/>
            <w:noProof/>
            <w:webHidden/>
            <w:sz w:val="22"/>
            <w:szCs w:val="22"/>
          </w:rPr>
          <w:fldChar w:fldCharType="end"/>
        </w:r>
      </w:hyperlink>
    </w:p>
    <w:p w14:paraId="051539BB" w14:textId="440CDAD2" w:rsidR="008F306B" w:rsidRPr="008F306B" w:rsidRDefault="00176F3F" w:rsidP="00C243CC">
      <w:pPr>
        <w:pStyle w:val="TOC3"/>
        <w:tabs>
          <w:tab w:val="right" w:leader="dot" w:pos="9350"/>
        </w:tabs>
        <w:rPr>
          <w:rFonts w:eastAsiaTheme="minorEastAsia" w:cs="Arial"/>
          <w:bCs/>
          <w:noProof/>
          <w:sz w:val="22"/>
          <w:szCs w:val="22"/>
        </w:rPr>
      </w:pPr>
      <w:hyperlink w:anchor="_Toc129701053" w:history="1">
        <w:r w:rsidR="008F306B" w:rsidRPr="008F306B">
          <w:rPr>
            <w:rStyle w:val="Hyperlink"/>
            <w:rFonts w:cs="Arial"/>
            <w:bCs/>
            <w:noProof/>
            <w:sz w:val="22"/>
            <w:szCs w:val="22"/>
          </w:rPr>
          <w:t>4.4.3. Maximum glucose-to-ethanol conversion is consistent in the optimized system</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_Toc129701053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106</w:t>
        </w:r>
        <w:r w:rsidR="008F306B" w:rsidRPr="008F306B">
          <w:rPr>
            <w:rFonts w:cs="Arial"/>
            <w:bCs/>
            <w:noProof/>
            <w:webHidden/>
            <w:sz w:val="22"/>
            <w:szCs w:val="22"/>
          </w:rPr>
          <w:fldChar w:fldCharType="end"/>
        </w:r>
      </w:hyperlink>
    </w:p>
    <w:p w14:paraId="1A54730F" w14:textId="55624C41" w:rsidR="008F306B" w:rsidRPr="008F306B" w:rsidRDefault="00176F3F" w:rsidP="00C243CC">
      <w:pPr>
        <w:pStyle w:val="TOC2"/>
        <w:rPr>
          <w:rFonts w:eastAsiaTheme="minorEastAsia" w:cs="Arial"/>
          <w:b w:val="0"/>
          <w:noProof/>
        </w:rPr>
      </w:pPr>
      <w:hyperlink w:anchor="_Toc129701054" w:history="1">
        <w:r w:rsidR="008F306B" w:rsidRPr="008F306B">
          <w:rPr>
            <w:rStyle w:val="Hyperlink"/>
            <w:rFonts w:cs="Arial"/>
            <w:b w:val="0"/>
            <w:noProof/>
          </w:rPr>
          <w:t>4.5. Conclusions</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_Toc129701054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111</w:t>
        </w:r>
        <w:r w:rsidR="008F306B" w:rsidRPr="008F306B">
          <w:rPr>
            <w:rFonts w:cs="Arial"/>
            <w:b w:val="0"/>
            <w:noProof/>
            <w:webHidden/>
          </w:rPr>
          <w:fldChar w:fldCharType="end"/>
        </w:r>
      </w:hyperlink>
    </w:p>
    <w:p w14:paraId="34CEBBCD" w14:textId="5921B2B7" w:rsidR="008F306B" w:rsidRPr="008F306B" w:rsidRDefault="008F306B" w:rsidP="00C243CC">
      <w:pPr>
        <w:pStyle w:val="TOC1"/>
        <w:spacing w:line="480" w:lineRule="auto"/>
        <w:rPr>
          <w:rFonts w:eastAsiaTheme="minorEastAsia" w:cs="Arial"/>
          <w:iCs w:val="0"/>
          <w:noProof/>
          <w:sz w:val="22"/>
          <w:szCs w:val="22"/>
        </w:rPr>
      </w:pPr>
      <w:r>
        <w:rPr>
          <w:rStyle w:val="Hyperlink"/>
          <w:rFonts w:cs="Arial"/>
          <w:noProof/>
          <w:sz w:val="22"/>
          <w:szCs w:val="22"/>
        </w:rPr>
        <w:t xml:space="preserve">5. </w:t>
      </w:r>
      <w:hyperlink w:anchor="_Toc129701055" w:history="1">
        <w:r w:rsidRPr="008F306B">
          <w:rPr>
            <w:rStyle w:val="Hyperlink"/>
            <w:rFonts w:cs="Arial"/>
            <w:noProof/>
            <w:sz w:val="22"/>
            <w:szCs w:val="22"/>
          </w:rPr>
          <w:t>Applying A Reporter System To Investigate And Optimize The Lysate-Based Cell-Free Expression Of Nonribosomal Peptide Synthetases</w:t>
        </w:r>
        <w:r w:rsidRPr="008F306B">
          <w:rPr>
            <w:rFonts w:cs="Arial"/>
            <w:noProof/>
            <w:webHidden/>
            <w:sz w:val="22"/>
            <w:szCs w:val="22"/>
          </w:rPr>
          <w:tab/>
        </w:r>
        <w:r w:rsidRPr="008F306B">
          <w:rPr>
            <w:rFonts w:cs="Arial"/>
            <w:noProof/>
            <w:webHidden/>
            <w:sz w:val="22"/>
            <w:szCs w:val="22"/>
          </w:rPr>
          <w:fldChar w:fldCharType="begin"/>
        </w:r>
        <w:r w:rsidRPr="008F306B">
          <w:rPr>
            <w:rFonts w:cs="Arial"/>
            <w:noProof/>
            <w:webHidden/>
            <w:sz w:val="22"/>
            <w:szCs w:val="22"/>
          </w:rPr>
          <w:instrText xml:space="preserve"> PAGEREF _Toc129701055 \h </w:instrText>
        </w:r>
        <w:r w:rsidRPr="008F306B">
          <w:rPr>
            <w:rFonts w:cs="Arial"/>
            <w:noProof/>
            <w:webHidden/>
            <w:sz w:val="22"/>
            <w:szCs w:val="22"/>
          </w:rPr>
        </w:r>
        <w:r w:rsidRPr="008F306B">
          <w:rPr>
            <w:rFonts w:cs="Arial"/>
            <w:noProof/>
            <w:webHidden/>
            <w:sz w:val="22"/>
            <w:szCs w:val="22"/>
          </w:rPr>
          <w:fldChar w:fldCharType="separate"/>
        </w:r>
        <w:r w:rsidRPr="008F306B">
          <w:rPr>
            <w:rFonts w:cs="Arial"/>
            <w:noProof/>
            <w:webHidden/>
            <w:sz w:val="22"/>
            <w:szCs w:val="22"/>
          </w:rPr>
          <w:t>122</w:t>
        </w:r>
        <w:r w:rsidRPr="008F306B">
          <w:rPr>
            <w:rFonts w:cs="Arial"/>
            <w:noProof/>
            <w:webHidden/>
            <w:sz w:val="22"/>
            <w:szCs w:val="22"/>
          </w:rPr>
          <w:fldChar w:fldCharType="end"/>
        </w:r>
      </w:hyperlink>
    </w:p>
    <w:p w14:paraId="7A076788" w14:textId="1B6D28A6" w:rsidR="008F306B" w:rsidRPr="008F306B" w:rsidRDefault="00176F3F" w:rsidP="00C243CC">
      <w:pPr>
        <w:pStyle w:val="TOC2"/>
        <w:rPr>
          <w:rFonts w:eastAsiaTheme="minorEastAsia" w:cs="Arial"/>
          <w:b w:val="0"/>
          <w:noProof/>
        </w:rPr>
      </w:pPr>
      <w:hyperlink w:anchor="_Toc129701056" w:history="1">
        <w:r w:rsidR="008F306B" w:rsidRPr="008F306B">
          <w:rPr>
            <w:rStyle w:val="Hyperlink"/>
            <w:rFonts w:cs="Arial"/>
            <w:b w:val="0"/>
            <w:noProof/>
          </w:rPr>
          <w:t>5.1. Abstract</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_Toc129701056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123</w:t>
        </w:r>
        <w:r w:rsidR="008F306B" w:rsidRPr="008F306B">
          <w:rPr>
            <w:rFonts w:cs="Arial"/>
            <w:b w:val="0"/>
            <w:noProof/>
            <w:webHidden/>
          </w:rPr>
          <w:fldChar w:fldCharType="end"/>
        </w:r>
      </w:hyperlink>
    </w:p>
    <w:p w14:paraId="091BD83A" w14:textId="16B38A68" w:rsidR="008F306B" w:rsidRPr="008F306B" w:rsidRDefault="00176F3F" w:rsidP="00C243CC">
      <w:pPr>
        <w:pStyle w:val="TOC2"/>
        <w:rPr>
          <w:rFonts w:eastAsiaTheme="minorEastAsia" w:cs="Arial"/>
          <w:b w:val="0"/>
          <w:noProof/>
        </w:rPr>
      </w:pPr>
      <w:hyperlink w:anchor="_Toc129701057" w:history="1">
        <w:r w:rsidR="008F306B" w:rsidRPr="008F306B">
          <w:rPr>
            <w:rStyle w:val="Hyperlink"/>
            <w:rFonts w:cs="Arial"/>
            <w:b w:val="0"/>
            <w:noProof/>
          </w:rPr>
          <w:t>5.2. Introduction</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_Toc129701057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124</w:t>
        </w:r>
        <w:r w:rsidR="008F306B" w:rsidRPr="008F306B">
          <w:rPr>
            <w:rFonts w:cs="Arial"/>
            <w:b w:val="0"/>
            <w:noProof/>
            <w:webHidden/>
          </w:rPr>
          <w:fldChar w:fldCharType="end"/>
        </w:r>
      </w:hyperlink>
    </w:p>
    <w:p w14:paraId="0C42DA74" w14:textId="393FD50F" w:rsidR="008F306B" w:rsidRPr="008F306B" w:rsidRDefault="00176F3F" w:rsidP="00C243CC">
      <w:pPr>
        <w:pStyle w:val="TOC2"/>
        <w:rPr>
          <w:rFonts w:eastAsiaTheme="minorEastAsia" w:cs="Arial"/>
          <w:b w:val="0"/>
          <w:noProof/>
        </w:rPr>
      </w:pPr>
      <w:hyperlink w:anchor="_Toc129701058" w:history="1">
        <w:r w:rsidR="008F306B" w:rsidRPr="008F306B">
          <w:rPr>
            <w:rStyle w:val="Hyperlink"/>
            <w:rFonts w:cs="Arial"/>
            <w:b w:val="0"/>
            <w:noProof/>
          </w:rPr>
          <w:t>5.3. Methods</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_Toc129701058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127</w:t>
        </w:r>
        <w:r w:rsidR="008F306B" w:rsidRPr="008F306B">
          <w:rPr>
            <w:rFonts w:cs="Arial"/>
            <w:b w:val="0"/>
            <w:noProof/>
            <w:webHidden/>
          </w:rPr>
          <w:fldChar w:fldCharType="end"/>
        </w:r>
      </w:hyperlink>
    </w:p>
    <w:p w14:paraId="7BC33C26" w14:textId="73CD63C5" w:rsidR="008F306B" w:rsidRPr="008F306B" w:rsidRDefault="00176F3F" w:rsidP="00C243CC">
      <w:pPr>
        <w:pStyle w:val="TOC3"/>
        <w:tabs>
          <w:tab w:val="right" w:leader="dot" w:pos="9350"/>
        </w:tabs>
        <w:rPr>
          <w:rFonts w:eastAsiaTheme="minorEastAsia" w:cs="Arial"/>
          <w:bCs/>
          <w:noProof/>
          <w:sz w:val="22"/>
          <w:szCs w:val="22"/>
        </w:rPr>
      </w:pPr>
      <w:hyperlink w:anchor="_Toc129701059" w:history="1">
        <w:r w:rsidR="008F306B" w:rsidRPr="008F306B">
          <w:rPr>
            <w:rStyle w:val="Hyperlink"/>
            <w:rFonts w:cs="Arial"/>
            <w:bCs/>
            <w:noProof/>
            <w:sz w:val="22"/>
            <w:szCs w:val="22"/>
          </w:rPr>
          <w:t>5.3.1. Strains and plasmids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_Toc129701059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127</w:t>
        </w:r>
        <w:r w:rsidR="008F306B" w:rsidRPr="008F306B">
          <w:rPr>
            <w:rFonts w:cs="Arial"/>
            <w:bCs/>
            <w:noProof/>
            <w:webHidden/>
            <w:sz w:val="22"/>
            <w:szCs w:val="22"/>
          </w:rPr>
          <w:fldChar w:fldCharType="end"/>
        </w:r>
      </w:hyperlink>
    </w:p>
    <w:p w14:paraId="0BE77DDC" w14:textId="6C722333" w:rsidR="008F306B" w:rsidRPr="008F306B" w:rsidRDefault="00176F3F" w:rsidP="00C243CC">
      <w:pPr>
        <w:pStyle w:val="TOC3"/>
        <w:tabs>
          <w:tab w:val="right" w:leader="dot" w:pos="9350"/>
        </w:tabs>
        <w:rPr>
          <w:rFonts w:eastAsiaTheme="minorEastAsia" w:cs="Arial"/>
          <w:bCs/>
          <w:noProof/>
          <w:sz w:val="22"/>
          <w:szCs w:val="22"/>
        </w:rPr>
      </w:pPr>
      <w:hyperlink w:anchor="_Toc129701060" w:history="1">
        <w:r w:rsidR="008F306B" w:rsidRPr="008F306B">
          <w:rPr>
            <w:rStyle w:val="Hyperlink"/>
            <w:rFonts w:cs="Arial"/>
            <w:bCs/>
            <w:noProof/>
            <w:sz w:val="22"/>
            <w:szCs w:val="22"/>
          </w:rPr>
          <w:t>5.3.2.</w:t>
        </w:r>
        <w:r w:rsidR="008F306B" w:rsidRPr="008F306B">
          <w:rPr>
            <w:rStyle w:val="Hyperlink"/>
            <w:rFonts w:cs="Arial"/>
            <w:bCs/>
            <w:i/>
            <w:iCs/>
            <w:noProof/>
            <w:sz w:val="22"/>
            <w:szCs w:val="22"/>
          </w:rPr>
          <w:t xml:space="preserve"> In vivo </w:t>
        </w:r>
        <w:r w:rsidR="008F306B" w:rsidRPr="008F306B">
          <w:rPr>
            <w:rStyle w:val="Hyperlink"/>
            <w:rFonts w:cs="Arial"/>
            <w:bCs/>
            <w:noProof/>
            <w:sz w:val="22"/>
            <w:szCs w:val="22"/>
          </w:rPr>
          <w:t>expression and purification of BpsA-TC</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_Toc129701060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128</w:t>
        </w:r>
        <w:r w:rsidR="008F306B" w:rsidRPr="008F306B">
          <w:rPr>
            <w:rFonts w:cs="Arial"/>
            <w:bCs/>
            <w:noProof/>
            <w:webHidden/>
            <w:sz w:val="22"/>
            <w:szCs w:val="22"/>
          </w:rPr>
          <w:fldChar w:fldCharType="end"/>
        </w:r>
      </w:hyperlink>
    </w:p>
    <w:p w14:paraId="4AD424BB" w14:textId="581D68CA" w:rsidR="008F306B" w:rsidRPr="008F306B" w:rsidRDefault="00176F3F" w:rsidP="00C243CC">
      <w:pPr>
        <w:pStyle w:val="TOC3"/>
        <w:tabs>
          <w:tab w:val="right" w:leader="dot" w:pos="9350"/>
        </w:tabs>
        <w:rPr>
          <w:rFonts w:eastAsiaTheme="minorEastAsia" w:cs="Arial"/>
          <w:bCs/>
          <w:noProof/>
          <w:sz w:val="22"/>
          <w:szCs w:val="22"/>
        </w:rPr>
      </w:pPr>
      <w:hyperlink w:anchor="_Toc129701061" w:history="1">
        <w:r w:rsidR="008F306B" w:rsidRPr="008F306B">
          <w:rPr>
            <w:rStyle w:val="Hyperlink"/>
            <w:rFonts w:cs="Arial"/>
            <w:bCs/>
            <w:noProof/>
            <w:sz w:val="22"/>
            <w:szCs w:val="22"/>
          </w:rPr>
          <w:t>5.3.3.</w:t>
        </w:r>
        <w:r w:rsidR="008F306B" w:rsidRPr="008F306B">
          <w:rPr>
            <w:rStyle w:val="Hyperlink"/>
            <w:rFonts w:cs="Arial"/>
            <w:bCs/>
            <w:i/>
            <w:iCs/>
            <w:noProof/>
            <w:sz w:val="22"/>
            <w:szCs w:val="22"/>
          </w:rPr>
          <w:t xml:space="preserve"> In vivo</w:t>
        </w:r>
        <w:r w:rsidR="008F306B" w:rsidRPr="008F306B">
          <w:rPr>
            <w:rStyle w:val="Hyperlink"/>
            <w:rFonts w:cs="Arial"/>
            <w:bCs/>
            <w:noProof/>
            <w:sz w:val="22"/>
            <w:szCs w:val="22"/>
          </w:rPr>
          <w:t xml:space="preserve"> indigioidine production and purification</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_Toc129701061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129</w:t>
        </w:r>
        <w:r w:rsidR="008F306B" w:rsidRPr="008F306B">
          <w:rPr>
            <w:rFonts w:cs="Arial"/>
            <w:bCs/>
            <w:noProof/>
            <w:webHidden/>
            <w:sz w:val="22"/>
            <w:szCs w:val="22"/>
          </w:rPr>
          <w:fldChar w:fldCharType="end"/>
        </w:r>
      </w:hyperlink>
    </w:p>
    <w:p w14:paraId="47920289" w14:textId="1CD5AF2C" w:rsidR="008F306B" w:rsidRPr="008F306B" w:rsidRDefault="00176F3F" w:rsidP="00C243CC">
      <w:pPr>
        <w:pStyle w:val="TOC3"/>
        <w:tabs>
          <w:tab w:val="right" w:leader="dot" w:pos="9350"/>
        </w:tabs>
        <w:rPr>
          <w:rFonts w:eastAsiaTheme="minorEastAsia" w:cs="Arial"/>
          <w:bCs/>
          <w:noProof/>
          <w:sz w:val="22"/>
          <w:szCs w:val="22"/>
        </w:rPr>
      </w:pPr>
      <w:hyperlink w:anchor="_Toc129701062" w:history="1">
        <w:r w:rsidR="008F306B" w:rsidRPr="008F306B">
          <w:rPr>
            <w:rStyle w:val="Hyperlink"/>
            <w:rFonts w:cs="Arial"/>
            <w:bCs/>
            <w:noProof/>
            <w:sz w:val="22"/>
            <w:szCs w:val="22"/>
          </w:rPr>
          <w:t>5.3.4. Cell-free extract preparation</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_Toc129701062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130</w:t>
        </w:r>
        <w:r w:rsidR="008F306B" w:rsidRPr="008F306B">
          <w:rPr>
            <w:rFonts w:cs="Arial"/>
            <w:bCs/>
            <w:noProof/>
            <w:webHidden/>
            <w:sz w:val="22"/>
            <w:szCs w:val="22"/>
          </w:rPr>
          <w:fldChar w:fldCharType="end"/>
        </w:r>
      </w:hyperlink>
    </w:p>
    <w:p w14:paraId="47780B20" w14:textId="6F8FD176" w:rsidR="008F306B" w:rsidRPr="008F306B" w:rsidRDefault="00176F3F" w:rsidP="00C243CC">
      <w:pPr>
        <w:pStyle w:val="TOC3"/>
        <w:tabs>
          <w:tab w:val="right" w:leader="dot" w:pos="9350"/>
        </w:tabs>
        <w:rPr>
          <w:rFonts w:eastAsiaTheme="minorEastAsia" w:cs="Arial"/>
          <w:bCs/>
          <w:noProof/>
          <w:sz w:val="22"/>
          <w:szCs w:val="22"/>
        </w:rPr>
      </w:pPr>
      <w:hyperlink w:anchor="_Toc129701063" w:history="1">
        <w:r w:rsidR="008F306B" w:rsidRPr="008F306B">
          <w:rPr>
            <w:rStyle w:val="Hyperlink"/>
            <w:rFonts w:cs="Arial"/>
            <w:bCs/>
            <w:noProof/>
            <w:sz w:val="22"/>
            <w:szCs w:val="22"/>
          </w:rPr>
          <w:t>5.3.5. CFE reaction preparation</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_Toc129701063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130</w:t>
        </w:r>
        <w:r w:rsidR="008F306B" w:rsidRPr="008F306B">
          <w:rPr>
            <w:rFonts w:cs="Arial"/>
            <w:bCs/>
            <w:noProof/>
            <w:webHidden/>
            <w:sz w:val="22"/>
            <w:szCs w:val="22"/>
          </w:rPr>
          <w:fldChar w:fldCharType="end"/>
        </w:r>
      </w:hyperlink>
    </w:p>
    <w:p w14:paraId="634F9DCB" w14:textId="5A1AB0FE" w:rsidR="008F306B" w:rsidRPr="008F306B" w:rsidRDefault="00176F3F" w:rsidP="00C243CC">
      <w:pPr>
        <w:pStyle w:val="TOC3"/>
        <w:tabs>
          <w:tab w:val="right" w:leader="dot" w:pos="9350"/>
        </w:tabs>
        <w:rPr>
          <w:rFonts w:eastAsiaTheme="minorEastAsia" w:cs="Arial"/>
          <w:bCs/>
          <w:noProof/>
          <w:sz w:val="22"/>
          <w:szCs w:val="22"/>
        </w:rPr>
      </w:pPr>
      <w:hyperlink w:anchor="_Toc129701064" w:history="1">
        <w:r w:rsidR="008F306B" w:rsidRPr="008F306B">
          <w:rPr>
            <w:rStyle w:val="Hyperlink"/>
            <w:rFonts w:cs="Arial"/>
            <w:bCs/>
            <w:noProof/>
            <w:sz w:val="22"/>
            <w:szCs w:val="22"/>
          </w:rPr>
          <w:t>5.3.6. Indigoidine quantitation in lysates with absorbance measurements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_Toc129701064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131</w:t>
        </w:r>
        <w:r w:rsidR="008F306B" w:rsidRPr="008F306B">
          <w:rPr>
            <w:rFonts w:cs="Arial"/>
            <w:bCs/>
            <w:noProof/>
            <w:webHidden/>
            <w:sz w:val="22"/>
            <w:szCs w:val="22"/>
          </w:rPr>
          <w:fldChar w:fldCharType="end"/>
        </w:r>
      </w:hyperlink>
    </w:p>
    <w:p w14:paraId="0065666B" w14:textId="13F0285D" w:rsidR="008F306B" w:rsidRPr="008F306B" w:rsidRDefault="00176F3F" w:rsidP="00C243CC">
      <w:pPr>
        <w:pStyle w:val="TOC3"/>
        <w:tabs>
          <w:tab w:val="right" w:leader="dot" w:pos="9350"/>
        </w:tabs>
        <w:rPr>
          <w:rFonts w:eastAsiaTheme="minorEastAsia" w:cs="Arial"/>
          <w:bCs/>
          <w:noProof/>
          <w:sz w:val="22"/>
          <w:szCs w:val="22"/>
        </w:rPr>
      </w:pPr>
      <w:hyperlink w:anchor="_Toc129701065" w:history="1">
        <w:r w:rsidR="008F306B" w:rsidRPr="008F306B">
          <w:rPr>
            <w:rStyle w:val="Hyperlink"/>
            <w:rFonts w:cs="Arial"/>
            <w:bCs/>
            <w:noProof/>
            <w:sz w:val="22"/>
            <w:szCs w:val="22"/>
          </w:rPr>
          <w:t>5.3.7. Comparative quantification of TC-based fluorescence measurements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_Toc129701065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132</w:t>
        </w:r>
        <w:r w:rsidR="008F306B" w:rsidRPr="008F306B">
          <w:rPr>
            <w:rFonts w:cs="Arial"/>
            <w:bCs/>
            <w:noProof/>
            <w:webHidden/>
            <w:sz w:val="22"/>
            <w:szCs w:val="22"/>
          </w:rPr>
          <w:fldChar w:fldCharType="end"/>
        </w:r>
      </w:hyperlink>
    </w:p>
    <w:p w14:paraId="4D16B90A" w14:textId="76D5C634" w:rsidR="008F306B" w:rsidRPr="008F306B" w:rsidRDefault="00176F3F" w:rsidP="00C243CC">
      <w:pPr>
        <w:pStyle w:val="TOC3"/>
        <w:tabs>
          <w:tab w:val="right" w:leader="dot" w:pos="9350"/>
        </w:tabs>
        <w:rPr>
          <w:rFonts w:eastAsiaTheme="minorEastAsia" w:cs="Arial"/>
          <w:bCs/>
          <w:noProof/>
          <w:sz w:val="22"/>
          <w:szCs w:val="22"/>
        </w:rPr>
      </w:pPr>
      <w:hyperlink w:anchor="_Toc129701066" w:history="1">
        <w:r w:rsidR="008F306B" w:rsidRPr="008F306B">
          <w:rPr>
            <w:rStyle w:val="Hyperlink"/>
            <w:rFonts w:cs="Arial"/>
            <w:bCs/>
            <w:noProof/>
            <w:sz w:val="22"/>
            <w:szCs w:val="22"/>
          </w:rPr>
          <w:t>5.3.8. BpsA concentration estimation using TC/FlAsH measurements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_Toc129701066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133</w:t>
        </w:r>
        <w:r w:rsidR="008F306B" w:rsidRPr="008F306B">
          <w:rPr>
            <w:rFonts w:cs="Arial"/>
            <w:bCs/>
            <w:noProof/>
            <w:webHidden/>
            <w:sz w:val="22"/>
            <w:szCs w:val="22"/>
          </w:rPr>
          <w:fldChar w:fldCharType="end"/>
        </w:r>
      </w:hyperlink>
    </w:p>
    <w:p w14:paraId="7BC587E0" w14:textId="77B1DEB8" w:rsidR="008F306B" w:rsidRPr="008F306B" w:rsidRDefault="00176F3F" w:rsidP="00C243CC">
      <w:pPr>
        <w:pStyle w:val="TOC3"/>
        <w:tabs>
          <w:tab w:val="right" w:leader="dot" w:pos="9350"/>
        </w:tabs>
        <w:rPr>
          <w:rFonts w:eastAsiaTheme="minorEastAsia" w:cs="Arial"/>
          <w:bCs/>
          <w:noProof/>
          <w:sz w:val="22"/>
          <w:szCs w:val="22"/>
        </w:rPr>
      </w:pPr>
      <w:hyperlink w:anchor="_Toc129701067" w:history="1">
        <w:r w:rsidR="008F306B" w:rsidRPr="008F306B">
          <w:rPr>
            <w:rStyle w:val="Hyperlink"/>
            <w:rFonts w:cs="Arial"/>
            <w:bCs/>
            <w:noProof/>
            <w:sz w:val="22"/>
            <w:szCs w:val="22"/>
          </w:rPr>
          <w:t>5.3.9. TycA and Pys concentration estimation</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_Toc129701067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134</w:t>
        </w:r>
        <w:r w:rsidR="008F306B" w:rsidRPr="008F306B">
          <w:rPr>
            <w:rFonts w:cs="Arial"/>
            <w:bCs/>
            <w:noProof/>
            <w:webHidden/>
            <w:sz w:val="22"/>
            <w:szCs w:val="22"/>
          </w:rPr>
          <w:fldChar w:fldCharType="end"/>
        </w:r>
      </w:hyperlink>
    </w:p>
    <w:p w14:paraId="63FAA365" w14:textId="3A66A6A0" w:rsidR="008F306B" w:rsidRPr="008F306B" w:rsidRDefault="00176F3F" w:rsidP="00C243CC">
      <w:pPr>
        <w:pStyle w:val="TOC3"/>
        <w:tabs>
          <w:tab w:val="right" w:leader="dot" w:pos="9350"/>
        </w:tabs>
        <w:rPr>
          <w:rFonts w:eastAsiaTheme="minorEastAsia" w:cs="Arial"/>
          <w:bCs/>
          <w:noProof/>
          <w:sz w:val="22"/>
          <w:szCs w:val="22"/>
        </w:rPr>
      </w:pPr>
      <w:hyperlink w:anchor="_Toc129701068" w:history="1">
        <w:r w:rsidR="008F306B" w:rsidRPr="008F306B">
          <w:rPr>
            <w:rStyle w:val="Hyperlink"/>
            <w:rFonts w:cs="Arial"/>
            <w:bCs/>
            <w:noProof/>
            <w:sz w:val="22"/>
            <w:szCs w:val="22"/>
          </w:rPr>
          <w:t>5.3.10. SDS-PAGE gel and Western Blot analyses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_Toc129701068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134</w:t>
        </w:r>
        <w:r w:rsidR="008F306B" w:rsidRPr="008F306B">
          <w:rPr>
            <w:rFonts w:cs="Arial"/>
            <w:bCs/>
            <w:noProof/>
            <w:webHidden/>
            <w:sz w:val="22"/>
            <w:szCs w:val="22"/>
          </w:rPr>
          <w:fldChar w:fldCharType="end"/>
        </w:r>
      </w:hyperlink>
    </w:p>
    <w:p w14:paraId="215B3FD2" w14:textId="60A53C7F" w:rsidR="008F306B" w:rsidRPr="008F306B" w:rsidRDefault="00176F3F" w:rsidP="00C243CC">
      <w:pPr>
        <w:pStyle w:val="TOC3"/>
        <w:tabs>
          <w:tab w:val="right" w:leader="dot" w:pos="9350"/>
        </w:tabs>
        <w:rPr>
          <w:rFonts w:eastAsiaTheme="minorEastAsia" w:cs="Arial"/>
          <w:bCs/>
          <w:noProof/>
          <w:sz w:val="22"/>
          <w:szCs w:val="22"/>
        </w:rPr>
      </w:pPr>
      <w:hyperlink w:anchor="_Toc129701069" w:history="1">
        <w:r w:rsidR="008F306B" w:rsidRPr="008F306B">
          <w:rPr>
            <w:rStyle w:val="Hyperlink"/>
            <w:rFonts w:cs="Arial"/>
            <w:bCs/>
            <w:noProof/>
            <w:sz w:val="22"/>
            <w:szCs w:val="22"/>
          </w:rPr>
          <w:t>5.3.11. Quantification of active sfGFP</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_Toc129701069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135</w:t>
        </w:r>
        <w:r w:rsidR="008F306B" w:rsidRPr="008F306B">
          <w:rPr>
            <w:rFonts w:cs="Arial"/>
            <w:bCs/>
            <w:noProof/>
            <w:webHidden/>
            <w:sz w:val="22"/>
            <w:szCs w:val="22"/>
          </w:rPr>
          <w:fldChar w:fldCharType="end"/>
        </w:r>
      </w:hyperlink>
    </w:p>
    <w:p w14:paraId="44AC24DE" w14:textId="0234F20A" w:rsidR="008F306B" w:rsidRPr="008F306B" w:rsidRDefault="00176F3F" w:rsidP="00C243CC">
      <w:pPr>
        <w:pStyle w:val="TOC2"/>
        <w:rPr>
          <w:rFonts w:eastAsiaTheme="minorEastAsia" w:cs="Arial"/>
          <w:b w:val="0"/>
          <w:noProof/>
        </w:rPr>
      </w:pPr>
      <w:hyperlink w:anchor="_Toc129701070" w:history="1">
        <w:r w:rsidR="008F306B" w:rsidRPr="008F306B">
          <w:rPr>
            <w:rStyle w:val="Hyperlink"/>
            <w:rFonts w:cs="Arial"/>
            <w:b w:val="0"/>
            <w:noProof/>
          </w:rPr>
          <w:t>5.4. Results and Discussion</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_Toc129701070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135</w:t>
        </w:r>
        <w:r w:rsidR="008F306B" w:rsidRPr="008F306B">
          <w:rPr>
            <w:rFonts w:cs="Arial"/>
            <w:b w:val="0"/>
            <w:noProof/>
            <w:webHidden/>
          </w:rPr>
          <w:fldChar w:fldCharType="end"/>
        </w:r>
      </w:hyperlink>
    </w:p>
    <w:p w14:paraId="1B0F40BA" w14:textId="3A0EB8F8" w:rsidR="008F306B" w:rsidRPr="008F306B" w:rsidRDefault="00176F3F" w:rsidP="00C243CC">
      <w:pPr>
        <w:pStyle w:val="TOC3"/>
        <w:tabs>
          <w:tab w:val="right" w:leader="dot" w:pos="9350"/>
        </w:tabs>
        <w:rPr>
          <w:rFonts w:eastAsiaTheme="minorEastAsia" w:cs="Arial"/>
          <w:bCs/>
          <w:noProof/>
          <w:sz w:val="22"/>
          <w:szCs w:val="22"/>
        </w:rPr>
      </w:pPr>
      <w:hyperlink w:anchor="_Toc129701071" w:history="1">
        <w:r w:rsidR="008F306B" w:rsidRPr="008F306B">
          <w:rPr>
            <w:rStyle w:val="Hyperlink"/>
            <w:rFonts w:cs="Arial"/>
            <w:bCs/>
            <w:noProof/>
            <w:sz w:val="22"/>
            <w:szCs w:val="22"/>
          </w:rPr>
          <w:t xml:space="preserve">5.4.1. Cell-free expression of functional BpsA-TC in </w:t>
        </w:r>
        <w:r w:rsidR="008F306B" w:rsidRPr="008F306B">
          <w:rPr>
            <w:rStyle w:val="Hyperlink"/>
            <w:rFonts w:cs="Arial"/>
            <w:bCs/>
            <w:i/>
            <w:iCs/>
            <w:noProof/>
            <w:sz w:val="22"/>
            <w:szCs w:val="22"/>
          </w:rPr>
          <w:t xml:space="preserve">E. coli </w:t>
        </w:r>
        <w:r w:rsidR="008F306B" w:rsidRPr="008F306B">
          <w:rPr>
            <w:rStyle w:val="Hyperlink"/>
            <w:rFonts w:cs="Arial"/>
            <w:bCs/>
            <w:noProof/>
            <w:sz w:val="22"/>
            <w:szCs w:val="22"/>
          </w:rPr>
          <w:t>lysates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_Toc129701071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135</w:t>
        </w:r>
        <w:r w:rsidR="008F306B" w:rsidRPr="008F306B">
          <w:rPr>
            <w:rFonts w:cs="Arial"/>
            <w:bCs/>
            <w:noProof/>
            <w:webHidden/>
            <w:sz w:val="22"/>
            <w:szCs w:val="22"/>
          </w:rPr>
          <w:fldChar w:fldCharType="end"/>
        </w:r>
      </w:hyperlink>
    </w:p>
    <w:p w14:paraId="3332DE83" w14:textId="597BB052" w:rsidR="008F306B" w:rsidRPr="008F306B" w:rsidRDefault="00176F3F" w:rsidP="00C243CC">
      <w:pPr>
        <w:pStyle w:val="TOC3"/>
        <w:tabs>
          <w:tab w:val="right" w:leader="dot" w:pos="9350"/>
        </w:tabs>
        <w:rPr>
          <w:rFonts w:eastAsiaTheme="minorEastAsia" w:cs="Arial"/>
          <w:bCs/>
          <w:noProof/>
          <w:sz w:val="22"/>
          <w:szCs w:val="22"/>
        </w:rPr>
      </w:pPr>
      <w:hyperlink w:anchor="_Toc129701072" w:history="1">
        <w:r w:rsidR="008F306B" w:rsidRPr="008F306B">
          <w:rPr>
            <w:rStyle w:val="Hyperlink"/>
            <w:rFonts w:cs="Arial"/>
            <w:bCs/>
            <w:noProof/>
            <w:sz w:val="22"/>
            <w:szCs w:val="22"/>
          </w:rPr>
          <w:t xml:space="preserve">5.4.2. Optimization of a method for TC-based fluorescence measurement in an </w:t>
        </w:r>
        <w:r w:rsidR="008F306B" w:rsidRPr="008F306B">
          <w:rPr>
            <w:rStyle w:val="Hyperlink"/>
            <w:rFonts w:cs="Arial"/>
            <w:bCs/>
            <w:i/>
            <w:iCs/>
            <w:noProof/>
            <w:sz w:val="22"/>
            <w:szCs w:val="22"/>
          </w:rPr>
          <w:t xml:space="preserve">E. coli </w:t>
        </w:r>
        <w:r w:rsidR="008F306B" w:rsidRPr="008F306B">
          <w:rPr>
            <w:rStyle w:val="Hyperlink"/>
            <w:rFonts w:cs="Arial"/>
            <w:bCs/>
            <w:noProof/>
            <w:sz w:val="22"/>
            <w:szCs w:val="22"/>
          </w:rPr>
          <w:t>lysate CFE system</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_Toc129701072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136</w:t>
        </w:r>
        <w:r w:rsidR="008F306B" w:rsidRPr="008F306B">
          <w:rPr>
            <w:rFonts w:cs="Arial"/>
            <w:bCs/>
            <w:noProof/>
            <w:webHidden/>
            <w:sz w:val="22"/>
            <w:szCs w:val="22"/>
          </w:rPr>
          <w:fldChar w:fldCharType="end"/>
        </w:r>
      </w:hyperlink>
    </w:p>
    <w:p w14:paraId="418F113F" w14:textId="124D7E4D" w:rsidR="008F306B" w:rsidRPr="008F306B" w:rsidRDefault="00176F3F" w:rsidP="00C243CC">
      <w:pPr>
        <w:pStyle w:val="TOC3"/>
        <w:tabs>
          <w:tab w:val="right" w:leader="dot" w:pos="9350"/>
        </w:tabs>
        <w:rPr>
          <w:rFonts w:eastAsiaTheme="minorEastAsia" w:cs="Arial"/>
          <w:bCs/>
          <w:noProof/>
          <w:sz w:val="22"/>
          <w:szCs w:val="22"/>
        </w:rPr>
      </w:pPr>
      <w:hyperlink w:anchor="_Toc129701073" w:history="1">
        <w:r w:rsidR="008F306B" w:rsidRPr="008F306B">
          <w:rPr>
            <w:rStyle w:val="Hyperlink"/>
            <w:rFonts w:cs="Arial"/>
            <w:bCs/>
            <w:noProof/>
            <w:sz w:val="22"/>
            <w:szCs w:val="22"/>
          </w:rPr>
          <w:t>5.4.3. Unique reaction conditions are required for the full-length synthesis of different functional proteins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_Toc129701073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144</w:t>
        </w:r>
        <w:r w:rsidR="008F306B" w:rsidRPr="008F306B">
          <w:rPr>
            <w:rFonts w:cs="Arial"/>
            <w:bCs/>
            <w:noProof/>
            <w:webHidden/>
            <w:sz w:val="22"/>
            <w:szCs w:val="22"/>
          </w:rPr>
          <w:fldChar w:fldCharType="end"/>
        </w:r>
      </w:hyperlink>
    </w:p>
    <w:p w14:paraId="28956692" w14:textId="7CC9DB3A" w:rsidR="008F306B" w:rsidRPr="008F306B" w:rsidRDefault="00176F3F" w:rsidP="00C243CC">
      <w:pPr>
        <w:pStyle w:val="TOC3"/>
        <w:tabs>
          <w:tab w:val="right" w:leader="dot" w:pos="9350"/>
        </w:tabs>
        <w:rPr>
          <w:rFonts w:eastAsiaTheme="minorEastAsia" w:cs="Arial"/>
          <w:bCs/>
          <w:noProof/>
          <w:sz w:val="22"/>
          <w:szCs w:val="22"/>
        </w:rPr>
      </w:pPr>
      <w:hyperlink w:anchor="_Toc129701074" w:history="1">
        <w:r w:rsidR="008F306B" w:rsidRPr="008F306B">
          <w:rPr>
            <w:rStyle w:val="Hyperlink"/>
            <w:rFonts w:cs="Arial"/>
            <w:bCs/>
            <w:noProof/>
            <w:sz w:val="22"/>
            <w:szCs w:val="22"/>
          </w:rPr>
          <w:t>5.4.4. Nonribosomal peptide production improves with optimized NRPS expression</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_Toc129701074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153</w:t>
        </w:r>
        <w:r w:rsidR="008F306B" w:rsidRPr="008F306B">
          <w:rPr>
            <w:rFonts w:cs="Arial"/>
            <w:bCs/>
            <w:noProof/>
            <w:webHidden/>
            <w:sz w:val="22"/>
            <w:szCs w:val="22"/>
          </w:rPr>
          <w:fldChar w:fldCharType="end"/>
        </w:r>
      </w:hyperlink>
    </w:p>
    <w:p w14:paraId="068CA9DD" w14:textId="3D53597E" w:rsidR="008F306B" w:rsidRPr="008F306B" w:rsidRDefault="00176F3F" w:rsidP="00C243CC">
      <w:pPr>
        <w:pStyle w:val="TOC3"/>
        <w:tabs>
          <w:tab w:val="right" w:leader="dot" w:pos="9350"/>
        </w:tabs>
        <w:rPr>
          <w:rFonts w:eastAsiaTheme="minorEastAsia" w:cs="Arial"/>
          <w:bCs/>
          <w:noProof/>
          <w:sz w:val="22"/>
          <w:szCs w:val="22"/>
        </w:rPr>
      </w:pPr>
      <w:hyperlink w:anchor="_Toc129701075" w:history="1">
        <w:r w:rsidR="008F306B" w:rsidRPr="008F306B">
          <w:rPr>
            <w:rStyle w:val="Hyperlink"/>
            <w:rFonts w:cs="Arial"/>
            <w:bCs/>
            <w:noProof/>
            <w:sz w:val="22"/>
            <w:szCs w:val="22"/>
          </w:rPr>
          <w:t>5.4.5. Conditions optimized for BpsA allow or improve the CFE of other single-module NRPSs</w:t>
        </w:r>
        <w:r w:rsidR="008F306B" w:rsidRPr="008F306B">
          <w:rPr>
            <w:rFonts w:cs="Arial"/>
            <w:bCs/>
            <w:noProof/>
            <w:webHidden/>
            <w:sz w:val="22"/>
            <w:szCs w:val="22"/>
          </w:rPr>
          <w:tab/>
        </w:r>
        <w:r w:rsidR="008F306B" w:rsidRPr="008F306B">
          <w:rPr>
            <w:rFonts w:cs="Arial"/>
            <w:bCs/>
            <w:noProof/>
            <w:webHidden/>
            <w:sz w:val="22"/>
            <w:szCs w:val="22"/>
          </w:rPr>
          <w:fldChar w:fldCharType="begin"/>
        </w:r>
        <w:r w:rsidR="008F306B" w:rsidRPr="008F306B">
          <w:rPr>
            <w:rFonts w:cs="Arial"/>
            <w:bCs/>
            <w:noProof/>
            <w:webHidden/>
            <w:sz w:val="22"/>
            <w:szCs w:val="22"/>
          </w:rPr>
          <w:instrText xml:space="preserve"> PAGEREF _Toc129701075 \h </w:instrText>
        </w:r>
        <w:r w:rsidR="008F306B" w:rsidRPr="008F306B">
          <w:rPr>
            <w:rFonts w:cs="Arial"/>
            <w:bCs/>
            <w:noProof/>
            <w:webHidden/>
            <w:sz w:val="22"/>
            <w:szCs w:val="22"/>
          </w:rPr>
        </w:r>
        <w:r w:rsidR="008F306B" w:rsidRPr="008F306B">
          <w:rPr>
            <w:rFonts w:cs="Arial"/>
            <w:bCs/>
            <w:noProof/>
            <w:webHidden/>
            <w:sz w:val="22"/>
            <w:szCs w:val="22"/>
          </w:rPr>
          <w:fldChar w:fldCharType="separate"/>
        </w:r>
        <w:r w:rsidR="008F306B" w:rsidRPr="008F306B">
          <w:rPr>
            <w:rFonts w:cs="Arial"/>
            <w:bCs/>
            <w:noProof/>
            <w:webHidden/>
            <w:sz w:val="22"/>
            <w:szCs w:val="22"/>
          </w:rPr>
          <w:t>154</w:t>
        </w:r>
        <w:r w:rsidR="008F306B" w:rsidRPr="008F306B">
          <w:rPr>
            <w:rFonts w:cs="Arial"/>
            <w:bCs/>
            <w:noProof/>
            <w:webHidden/>
            <w:sz w:val="22"/>
            <w:szCs w:val="22"/>
          </w:rPr>
          <w:fldChar w:fldCharType="end"/>
        </w:r>
      </w:hyperlink>
    </w:p>
    <w:p w14:paraId="5D5D26F3" w14:textId="0F81694D" w:rsidR="008F306B" w:rsidRPr="008F306B" w:rsidRDefault="00176F3F" w:rsidP="00C243CC">
      <w:pPr>
        <w:pStyle w:val="TOC2"/>
        <w:rPr>
          <w:rFonts w:eastAsiaTheme="minorEastAsia" w:cs="Arial"/>
          <w:b w:val="0"/>
          <w:noProof/>
        </w:rPr>
      </w:pPr>
      <w:hyperlink w:anchor="_Toc129701076" w:history="1">
        <w:r w:rsidR="008F306B" w:rsidRPr="008F306B">
          <w:rPr>
            <w:rStyle w:val="Hyperlink"/>
            <w:rFonts w:cs="Arial"/>
            <w:b w:val="0"/>
            <w:noProof/>
          </w:rPr>
          <w:t>5.5. Conclusions</w:t>
        </w:r>
        <w:r w:rsidR="008F306B" w:rsidRPr="008F306B">
          <w:rPr>
            <w:rFonts w:cs="Arial"/>
            <w:b w:val="0"/>
            <w:noProof/>
            <w:webHidden/>
          </w:rPr>
          <w:tab/>
        </w:r>
        <w:r w:rsidR="008F306B" w:rsidRPr="008F306B">
          <w:rPr>
            <w:rFonts w:cs="Arial"/>
            <w:b w:val="0"/>
            <w:noProof/>
            <w:webHidden/>
          </w:rPr>
          <w:fldChar w:fldCharType="begin"/>
        </w:r>
        <w:r w:rsidR="008F306B" w:rsidRPr="008F306B">
          <w:rPr>
            <w:rFonts w:cs="Arial"/>
            <w:b w:val="0"/>
            <w:noProof/>
            <w:webHidden/>
          </w:rPr>
          <w:instrText xml:space="preserve"> PAGEREF _Toc129701076 \h </w:instrText>
        </w:r>
        <w:r w:rsidR="008F306B" w:rsidRPr="008F306B">
          <w:rPr>
            <w:rFonts w:cs="Arial"/>
            <w:b w:val="0"/>
            <w:noProof/>
            <w:webHidden/>
          </w:rPr>
        </w:r>
        <w:r w:rsidR="008F306B" w:rsidRPr="008F306B">
          <w:rPr>
            <w:rFonts w:cs="Arial"/>
            <w:b w:val="0"/>
            <w:noProof/>
            <w:webHidden/>
          </w:rPr>
          <w:fldChar w:fldCharType="separate"/>
        </w:r>
        <w:r w:rsidR="008F306B" w:rsidRPr="008F306B">
          <w:rPr>
            <w:rFonts w:cs="Arial"/>
            <w:b w:val="0"/>
            <w:noProof/>
            <w:webHidden/>
          </w:rPr>
          <w:t>156</w:t>
        </w:r>
        <w:r w:rsidR="008F306B" w:rsidRPr="008F306B">
          <w:rPr>
            <w:rFonts w:cs="Arial"/>
            <w:b w:val="0"/>
            <w:noProof/>
            <w:webHidden/>
          </w:rPr>
          <w:fldChar w:fldCharType="end"/>
        </w:r>
      </w:hyperlink>
    </w:p>
    <w:p w14:paraId="59AC23CC" w14:textId="783DF519" w:rsidR="008F306B" w:rsidRPr="008F306B" w:rsidRDefault="008F306B" w:rsidP="00C243CC">
      <w:pPr>
        <w:pStyle w:val="TOC1"/>
        <w:spacing w:line="480" w:lineRule="auto"/>
        <w:rPr>
          <w:rFonts w:eastAsiaTheme="minorEastAsia" w:cs="Arial"/>
          <w:iCs w:val="0"/>
          <w:noProof/>
          <w:sz w:val="22"/>
          <w:szCs w:val="22"/>
        </w:rPr>
      </w:pPr>
      <w:r>
        <w:rPr>
          <w:rStyle w:val="Hyperlink"/>
          <w:rFonts w:cs="Arial"/>
          <w:noProof/>
          <w:sz w:val="22"/>
          <w:szCs w:val="22"/>
        </w:rPr>
        <w:t xml:space="preserve">6. </w:t>
      </w:r>
      <w:hyperlink w:anchor="_Toc129701077" w:history="1">
        <w:r w:rsidRPr="008F306B">
          <w:rPr>
            <w:rStyle w:val="Hyperlink"/>
            <w:rFonts w:cs="Arial"/>
            <w:noProof/>
            <w:sz w:val="22"/>
            <w:szCs w:val="22"/>
          </w:rPr>
          <w:t>Concluding Statements</w:t>
        </w:r>
        <w:r w:rsidRPr="008F306B">
          <w:rPr>
            <w:rFonts w:cs="Arial"/>
            <w:noProof/>
            <w:webHidden/>
            <w:sz w:val="22"/>
            <w:szCs w:val="22"/>
          </w:rPr>
          <w:tab/>
        </w:r>
        <w:r w:rsidRPr="008F306B">
          <w:rPr>
            <w:rFonts w:cs="Arial"/>
            <w:noProof/>
            <w:webHidden/>
            <w:sz w:val="22"/>
            <w:szCs w:val="22"/>
          </w:rPr>
          <w:fldChar w:fldCharType="begin"/>
        </w:r>
        <w:r w:rsidRPr="008F306B">
          <w:rPr>
            <w:rFonts w:cs="Arial"/>
            <w:noProof/>
            <w:webHidden/>
            <w:sz w:val="22"/>
            <w:szCs w:val="22"/>
          </w:rPr>
          <w:instrText xml:space="preserve"> PAGEREF _Toc129701077 \h </w:instrText>
        </w:r>
        <w:r w:rsidRPr="008F306B">
          <w:rPr>
            <w:rFonts w:cs="Arial"/>
            <w:noProof/>
            <w:webHidden/>
            <w:sz w:val="22"/>
            <w:szCs w:val="22"/>
          </w:rPr>
        </w:r>
        <w:r w:rsidRPr="008F306B">
          <w:rPr>
            <w:rFonts w:cs="Arial"/>
            <w:noProof/>
            <w:webHidden/>
            <w:sz w:val="22"/>
            <w:szCs w:val="22"/>
          </w:rPr>
          <w:fldChar w:fldCharType="separate"/>
        </w:r>
        <w:r w:rsidRPr="008F306B">
          <w:rPr>
            <w:rFonts w:cs="Arial"/>
            <w:noProof/>
            <w:webHidden/>
            <w:sz w:val="22"/>
            <w:szCs w:val="22"/>
          </w:rPr>
          <w:t>173</w:t>
        </w:r>
        <w:r w:rsidRPr="008F306B">
          <w:rPr>
            <w:rFonts w:cs="Arial"/>
            <w:noProof/>
            <w:webHidden/>
            <w:sz w:val="22"/>
            <w:szCs w:val="22"/>
          </w:rPr>
          <w:fldChar w:fldCharType="end"/>
        </w:r>
      </w:hyperlink>
    </w:p>
    <w:p w14:paraId="5C93DABD" w14:textId="3BE63C0D" w:rsidR="00064887" w:rsidRPr="005478FE" w:rsidRDefault="00E033D4" w:rsidP="00C243CC">
      <w:pPr>
        <w:contextualSpacing/>
        <w:jc w:val="center"/>
        <w:rPr>
          <w:rFonts w:eastAsia="Times New Roman" w:cs="Arial"/>
          <w:color w:val="000000" w:themeColor="text1"/>
          <w:szCs w:val="22"/>
        </w:rPr>
      </w:pPr>
      <w:r w:rsidRPr="008F306B">
        <w:rPr>
          <w:rFonts w:eastAsia="Times New Roman" w:cs="Arial"/>
          <w:bCs/>
          <w:i/>
          <w:color w:val="000000" w:themeColor="text1"/>
          <w:szCs w:val="22"/>
        </w:rPr>
        <w:fldChar w:fldCharType="end"/>
      </w:r>
    </w:p>
    <w:p w14:paraId="07E587D0" w14:textId="568B6DA4" w:rsidR="00A11E1F" w:rsidRPr="005478FE" w:rsidRDefault="004752C6" w:rsidP="00C243CC">
      <w:pPr>
        <w:contextualSpacing/>
        <w:rPr>
          <w:rFonts w:eastAsia="Times New Roman" w:cs="Arial"/>
          <w:color w:val="000000" w:themeColor="text1"/>
          <w:szCs w:val="22"/>
        </w:rPr>
      </w:pPr>
      <w:r w:rsidRPr="005478FE">
        <w:rPr>
          <w:rFonts w:eastAsia="Times New Roman" w:cs="Arial"/>
          <w:color w:val="000000" w:themeColor="text1"/>
          <w:szCs w:val="22"/>
        </w:rPr>
        <w:br w:type="page"/>
      </w:r>
    </w:p>
    <w:p w14:paraId="53CA6730" w14:textId="16BDEFDE" w:rsidR="00EA1382" w:rsidRPr="00EA1382" w:rsidRDefault="00A11E1F" w:rsidP="00C243CC">
      <w:pPr>
        <w:contextualSpacing/>
        <w:jc w:val="center"/>
        <w:rPr>
          <w:rFonts w:eastAsia="Times New Roman" w:cs="Arial"/>
          <w:b/>
          <w:bCs/>
          <w:color w:val="000000"/>
          <w:sz w:val="32"/>
          <w:szCs w:val="32"/>
        </w:rPr>
      </w:pPr>
      <w:r w:rsidRPr="00E033D4">
        <w:rPr>
          <w:rFonts w:eastAsia="Times New Roman" w:cs="Arial"/>
          <w:b/>
          <w:bCs/>
          <w:color w:val="000000"/>
          <w:sz w:val="32"/>
          <w:szCs w:val="32"/>
        </w:rPr>
        <w:lastRenderedPageBreak/>
        <w:t>LIST OF TABLES</w:t>
      </w:r>
      <w:r w:rsidR="00EA1382">
        <w:rPr>
          <w:rFonts w:eastAsia="Times New Roman" w:cs="Arial"/>
          <w:b/>
          <w:bCs/>
          <w:color w:val="000000"/>
          <w:sz w:val="32"/>
          <w:szCs w:val="32"/>
        </w:rPr>
        <w:fldChar w:fldCharType="begin"/>
      </w:r>
      <w:r w:rsidR="00EA1382">
        <w:rPr>
          <w:rFonts w:eastAsia="Times New Roman" w:cs="Arial"/>
          <w:b/>
          <w:bCs/>
          <w:color w:val="000000"/>
          <w:sz w:val="32"/>
          <w:szCs w:val="32"/>
        </w:rPr>
        <w:instrText xml:space="preserve"> TOC \f T \h \z \t "Table caption" \c </w:instrText>
      </w:r>
      <w:r w:rsidR="00EA1382">
        <w:rPr>
          <w:rFonts w:eastAsia="Times New Roman" w:cs="Arial"/>
          <w:b/>
          <w:bCs/>
          <w:color w:val="000000"/>
          <w:sz w:val="32"/>
          <w:szCs w:val="32"/>
        </w:rPr>
        <w:fldChar w:fldCharType="separate"/>
      </w:r>
    </w:p>
    <w:p w14:paraId="16E56D10" w14:textId="68B57B55" w:rsidR="00EA1382" w:rsidRDefault="00176F3F" w:rsidP="00C243CC">
      <w:pPr>
        <w:pStyle w:val="TableofFigures"/>
        <w:tabs>
          <w:tab w:val="right" w:leader="dot" w:pos="9350"/>
        </w:tabs>
        <w:rPr>
          <w:rFonts w:asciiTheme="minorHAnsi" w:eastAsiaTheme="minorEastAsia" w:hAnsiTheme="minorHAnsi"/>
          <w:noProof/>
          <w:sz w:val="24"/>
        </w:rPr>
      </w:pPr>
      <w:hyperlink w:anchor="_Toc129676391" w:history="1">
        <w:r w:rsidR="00EA1382" w:rsidRPr="00EC3D1E">
          <w:rPr>
            <w:rStyle w:val="Hyperlink"/>
            <w:bCs/>
            <w:noProof/>
          </w:rPr>
          <w:t xml:space="preserve">Table 2.1. </w:t>
        </w:r>
        <w:r w:rsidR="00EA1382" w:rsidRPr="00EC3D1E">
          <w:rPr>
            <w:rStyle w:val="Hyperlink"/>
            <w:noProof/>
          </w:rPr>
          <w:t xml:space="preserve">List of detected </w:t>
        </w:r>
        <w:r w:rsidR="00EA1382" w:rsidRPr="00EC3D1E">
          <w:rPr>
            <w:rStyle w:val="Hyperlink"/>
            <w:noProof/>
            <w:vertAlign w:val="superscript"/>
          </w:rPr>
          <w:t>13</w:t>
        </w:r>
        <w:r w:rsidR="00EA1382" w:rsidRPr="00EC3D1E">
          <w:rPr>
            <w:rStyle w:val="Hyperlink"/>
            <w:noProof/>
          </w:rPr>
          <w:t xml:space="preserve">C-labeled metabolites, retention times (aligned across samples using MZmine), theoretical fully </w:t>
        </w:r>
        <w:r w:rsidR="00EA1382" w:rsidRPr="00EC3D1E">
          <w:rPr>
            <w:rStyle w:val="Hyperlink"/>
            <w:noProof/>
            <w:vertAlign w:val="superscript"/>
          </w:rPr>
          <w:t>13</w:t>
        </w:r>
        <w:r w:rsidR="00EA1382" w:rsidRPr="00EC3D1E">
          <w:rPr>
            <w:rStyle w:val="Hyperlink"/>
            <w:noProof/>
          </w:rPr>
          <w:t>C-labeled negative mode m/z values, m/z values of detected features, and calculated mass errors.</w:t>
        </w:r>
        <w:r w:rsidR="00EA1382">
          <w:rPr>
            <w:noProof/>
            <w:webHidden/>
          </w:rPr>
          <w:tab/>
        </w:r>
        <w:r w:rsidR="00EA1382">
          <w:rPr>
            <w:noProof/>
            <w:webHidden/>
          </w:rPr>
          <w:fldChar w:fldCharType="begin"/>
        </w:r>
        <w:r w:rsidR="00EA1382">
          <w:rPr>
            <w:noProof/>
            <w:webHidden/>
          </w:rPr>
          <w:instrText xml:space="preserve"> PAGEREF _Toc129676391 \h </w:instrText>
        </w:r>
        <w:r w:rsidR="00EA1382">
          <w:rPr>
            <w:noProof/>
            <w:webHidden/>
          </w:rPr>
        </w:r>
        <w:r w:rsidR="00EA1382">
          <w:rPr>
            <w:noProof/>
            <w:webHidden/>
          </w:rPr>
          <w:fldChar w:fldCharType="separate"/>
        </w:r>
        <w:r w:rsidR="00EA1382">
          <w:rPr>
            <w:noProof/>
            <w:webHidden/>
          </w:rPr>
          <w:t>47</w:t>
        </w:r>
        <w:r w:rsidR="00EA1382">
          <w:rPr>
            <w:noProof/>
            <w:webHidden/>
          </w:rPr>
          <w:fldChar w:fldCharType="end"/>
        </w:r>
      </w:hyperlink>
    </w:p>
    <w:p w14:paraId="7A95C35E" w14:textId="7D4C4F1D" w:rsidR="00EA1382" w:rsidRDefault="00176F3F" w:rsidP="00C243CC">
      <w:pPr>
        <w:pStyle w:val="TableofFigures"/>
        <w:tabs>
          <w:tab w:val="right" w:leader="dot" w:pos="9350"/>
        </w:tabs>
        <w:rPr>
          <w:rFonts w:asciiTheme="minorHAnsi" w:eastAsiaTheme="minorEastAsia" w:hAnsiTheme="minorHAnsi"/>
          <w:noProof/>
          <w:sz w:val="24"/>
        </w:rPr>
      </w:pPr>
      <w:hyperlink w:anchor="_Toc129676392" w:history="1">
        <w:r w:rsidR="00EA1382" w:rsidRPr="00EC3D1E">
          <w:rPr>
            <w:rStyle w:val="Hyperlink"/>
            <w:bCs/>
            <w:noProof/>
          </w:rPr>
          <w:t xml:space="preserve">Table 3.1. </w:t>
        </w:r>
        <w:r w:rsidR="00EA1382" w:rsidRPr="00EC3D1E">
          <w:rPr>
            <w:rStyle w:val="Hyperlink"/>
            <w:noProof/>
          </w:rPr>
          <w:t>Gene and protein information for MAGE targets with a potential effect on pyruvate metabolism.</w:t>
        </w:r>
        <w:r w:rsidR="00EA1382">
          <w:rPr>
            <w:noProof/>
            <w:webHidden/>
          </w:rPr>
          <w:tab/>
        </w:r>
        <w:r w:rsidR="00EA1382">
          <w:rPr>
            <w:noProof/>
            <w:webHidden/>
          </w:rPr>
          <w:fldChar w:fldCharType="begin"/>
        </w:r>
        <w:r w:rsidR="00EA1382">
          <w:rPr>
            <w:noProof/>
            <w:webHidden/>
          </w:rPr>
          <w:instrText xml:space="preserve"> PAGEREF _Toc129676392 \h </w:instrText>
        </w:r>
        <w:r w:rsidR="00EA1382">
          <w:rPr>
            <w:noProof/>
            <w:webHidden/>
          </w:rPr>
        </w:r>
        <w:r w:rsidR="00EA1382">
          <w:rPr>
            <w:noProof/>
            <w:webHidden/>
          </w:rPr>
          <w:fldChar w:fldCharType="separate"/>
        </w:r>
        <w:r w:rsidR="00EA1382">
          <w:rPr>
            <w:noProof/>
            <w:webHidden/>
          </w:rPr>
          <w:t>60</w:t>
        </w:r>
        <w:r w:rsidR="00EA1382">
          <w:rPr>
            <w:noProof/>
            <w:webHidden/>
          </w:rPr>
          <w:fldChar w:fldCharType="end"/>
        </w:r>
      </w:hyperlink>
    </w:p>
    <w:p w14:paraId="5E74F511" w14:textId="66FD1C10" w:rsidR="00EA1382" w:rsidRDefault="00176F3F" w:rsidP="00C243CC">
      <w:pPr>
        <w:pStyle w:val="TableofFigures"/>
        <w:tabs>
          <w:tab w:val="right" w:leader="dot" w:pos="9350"/>
        </w:tabs>
        <w:rPr>
          <w:rFonts w:asciiTheme="minorHAnsi" w:eastAsiaTheme="minorEastAsia" w:hAnsiTheme="minorHAnsi"/>
          <w:noProof/>
          <w:sz w:val="24"/>
        </w:rPr>
      </w:pPr>
      <w:hyperlink w:anchor="_Toc129676393" w:history="1">
        <w:r w:rsidR="00EA1382" w:rsidRPr="00EC3D1E">
          <w:rPr>
            <w:rStyle w:val="Hyperlink"/>
            <w:bCs/>
            <w:noProof/>
          </w:rPr>
          <w:t xml:space="preserve">Table 3.2. </w:t>
        </w:r>
        <w:r w:rsidR="00EA1382" w:rsidRPr="00EC3D1E">
          <w:rPr>
            <w:rStyle w:val="Hyperlink"/>
            <w:noProof/>
          </w:rPr>
          <w:t>Strains created for this study.</w:t>
        </w:r>
        <w:r w:rsidR="00EA1382">
          <w:rPr>
            <w:noProof/>
            <w:webHidden/>
          </w:rPr>
          <w:tab/>
        </w:r>
        <w:r w:rsidR="00EA1382">
          <w:rPr>
            <w:noProof/>
            <w:webHidden/>
          </w:rPr>
          <w:fldChar w:fldCharType="begin"/>
        </w:r>
        <w:r w:rsidR="00EA1382">
          <w:rPr>
            <w:noProof/>
            <w:webHidden/>
          </w:rPr>
          <w:instrText xml:space="preserve"> PAGEREF _Toc129676393 \h </w:instrText>
        </w:r>
        <w:r w:rsidR="00EA1382">
          <w:rPr>
            <w:noProof/>
            <w:webHidden/>
          </w:rPr>
        </w:r>
        <w:r w:rsidR="00EA1382">
          <w:rPr>
            <w:noProof/>
            <w:webHidden/>
          </w:rPr>
          <w:fldChar w:fldCharType="separate"/>
        </w:r>
        <w:r w:rsidR="00EA1382">
          <w:rPr>
            <w:noProof/>
            <w:webHidden/>
          </w:rPr>
          <w:t>63</w:t>
        </w:r>
        <w:r w:rsidR="00EA1382">
          <w:rPr>
            <w:noProof/>
            <w:webHidden/>
          </w:rPr>
          <w:fldChar w:fldCharType="end"/>
        </w:r>
      </w:hyperlink>
    </w:p>
    <w:p w14:paraId="47EA7A32" w14:textId="4AD45093" w:rsidR="00EA1382" w:rsidRDefault="00176F3F" w:rsidP="00C243CC">
      <w:pPr>
        <w:pStyle w:val="TableofFigures"/>
        <w:tabs>
          <w:tab w:val="right" w:leader="dot" w:pos="9350"/>
        </w:tabs>
        <w:rPr>
          <w:rFonts w:asciiTheme="minorHAnsi" w:eastAsiaTheme="minorEastAsia" w:hAnsiTheme="minorHAnsi"/>
          <w:noProof/>
          <w:sz w:val="24"/>
        </w:rPr>
      </w:pPr>
      <w:hyperlink w:anchor="_Toc129676394" w:history="1">
        <w:r w:rsidR="00EA1382" w:rsidRPr="00EC3D1E">
          <w:rPr>
            <w:rStyle w:val="Hyperlink"/>
            <w:bCs/>
            <w:noProof/>
          </w:rPr>
          <w:t>Table 3</w:t>
        </w:r>
        <w:r w:rsidR="00EA1382" w:rsidRPr="00EC3D1E">
          <w:rPr>
            <w:rStyle w:val="Hyperlink"/>
            <w:bCs/>
            <w:i/>
            <w:iCs/>
            <w:noProof/>
          </w:rPr>
          <w:t>.</w:t>
        </w:r>
        <w:r w:rsidR="00EA1382" w:rsidRPr="00EC3D1E">
          <w:rPr>
            <w:rStyle w:val="Hyperlink"/>
            <w:bCs/>
            <w:noProof/>
          </w:rPr>
          <w:t>3.</w:t>
        </w:r>
        <w:r w:rsidR="00EA1382" w:rsidRPr="00EC3D1E">
          <w:rPr>
            <w:rStyle w:val="Hyperlink"/>
            <w:noProof/>
          </w:rPr>
          <w:t xml:space="preserve"> MAGE oligos use for this study. Phosphorothioated bases are noted with asterisks.</w:t>
        </w:r>
        <w:r w:rsidR="00EA1382">
          <w:rPr>
            <w:noProof/>
            <w:webHidden/>
          </w:rPr>
          <w:tab/>
        </w:r>
        <w:r w:rsidR="00EA1382">
          <w:rPr>
            <w:noProof/>
            <w:webHidden/>
          </w:rPr>
          <w:fldChar w:fldCharType="begin"/>
        </w:r>
        <w:r w:rsidR="00EA1382">
          <w:rPr>
            <w:noProof/>
            <w:webHidden/>
          </w:rPr>
          <w:instrText xml:space="preserve"> PAGEREF _Toc129676394 \h </w:instrText>
        </w:r>
        <w:r w:rsidR="00EA1382">
          <w:rPr>
            <w:noProof/>
            <w:webHidden/>
          </w:rPr>
        </w:r>
        <w:r w:rsidR="00EA1382">
          <w:rPr>
            <w:noProof/>
            <w:webHidden/>
          </w:rPr>
          <w:fldChar w:fldCharType="separate"/>
        </w:r>
        <w:r w:rsidR="00EA1382">
          <w:rPr>
            <w:noProof/>
            <w:webHidden/>
          </w:rPr>
          <w:t>78</w:t>
        </w:r>
        <w:r w:rsidR="00EA1382">
          <w:rPr>
            <w:noProof/>
            <w:webHidden/>
          </w:rPr>
          <w:fldChar w:fldCharType="end"/>
        </w:r>
      </w:hyperlink>
    </w:p>
    <w:p w14:paraId="095EB505" w14:textId="7B49DA16" w:rsidR="00EA1382" w:rsidRDefault="00176F3F" w:rsidP="00C243CC">
      <w:pPr>
        <w:pStyle w:val="TableofFigures"/>
        <w:tabs>
          <w:tab w:val="right" w:leader="dot" w:pos="9350"/>
        </w:tabs>
        <w:rPr>
          <w:rFonts w:asciiTheme="minorHAnsi" w:eastAsiaTheme="minorEastAsia" w:hAnsiTheme="minorHAnsi"/>
          <w:noProof/>
          <w:sz w:val="24"/>
        </w:rPr>
      </w:pPr>
      <w:hyperlink w:anchor="_Toc129676395" w:history="1">
        <w:r w:rsidR="00EA1382" w:rsidRPr="00EC3D1E">
          <w:rPr>
            <w:rStyle w:val="Hyperlink"/>
            <w:bCs/>
            <w:noProof/>
          </w:rPr>
          <w:t>Table 3.4.</w:t>
        </w:r>
        <w:r w:rsidR="00EA1382" w:rsidRPr="00EC3D1E">
          <w:rPr>
            <w:rStyle w:val="Hyperlink"/>
            <w:noProof/>
          </w:rPr>
          <w:t xml:space="preserve"> MASC-PCR oligos used for this study.</w:t>
        </w:r>
        <w:r w:rsidR="00EA1382">
          <w:rPr>
            <w:noProof/>
            <w:webHidden/>
          </w:rPr>
          <w:tab/>
        </w:r>
        <w:r w:rsidR="00EA1382">
          <w:rPr>
            <w:noProof/>
            <w:webHidden/>
          </w:rPr>
          <w:fldChar w:fldCharType="begin"/>
        </w:r>
        <w:r w:rsidR="00EA1382">
          <w:rPr>
            <w:noProof/>
            <w:webHidden/>
          </w:rPr>
          <w:instrText xml:space="preserve"> PAGEREF _Toc129676395 \h </w:instrText>
        </w:r>
        <w:r w:rsidR="00EA1382">
          <w:rPr>
            <w:noProof/>
            <w:webHidden/>
          </w:rPr>
        </w:r>
        <w:r w:rsidR="00EA1382">
          <w:rPr>
            <w:noProof/>
            <w:webHidden/>
          </w:rPr>
          <w:fldChar w:fldCharType="separate"/>
        </w:r>
        <w:r w:rsidR="00EA1382">
          <w:rPr>
            <w:noProof/>
            <w:webHidden/>
          </w:rPr>
          <w:t>78</w:t>
        </w:r>
        <w:r w:rsidR="00EA1382">
          <w:rPr>
            <w:noProof/>
            <w:webHidden/>
          </w:rPr>
          <w:fldChar w:fldCharType="end"/>
        </w:r>
      </w:hyperlink>
    </w:p>
    <w:p w14:paraId="11534707" w14:textId="1EF9C2BD" w:rsidR="00EA1382" w:rsidRDefault="00176F3F" w:rsidP="00C243CC">
      <w:pPr>
        <w:pStyle w:val="TableofFigures"/>
        <w:tabs>
          <w:tab w:val="right" w:leader="dot" w:pos="9350"/>
        </w:tabs>
        <w:rPr>
          <w:rFonts w:asciiTheme="minorHAnsi" w:eastAsiaTheme="minorEastAsia" w:hAnsiTheme="minorHAnsi"/>
          <w:noProof/>
          <w:sz w:val="24"/>
        </w:rPr>
      </w:pPr>
      <w:hyperlink w:anchor="_Toc129676396" w:history="1">
        <w:r w:rsidR="00EA1382" w:rsidRPr="00EC3D1E">
          <w:rPr>
            <w:rStyle w:val="Hyperlink"/>
            <w:bCs/>
            <w:noProof/>
          </w:rPr>
          <w:t xml:space="preserve">Table 4.1. </w:t>
        </w:r>
        <w:r w:rsidR="00EA1382" w:rsidRPr="00EC3D1E">
          <w:rPr>
            <w:rStyle w:val="Hyperlink"/>
            <w:noProof/>
          </w:rPr>
          <w:t>Number of cycles needed to wash ethanol off different resin suspension volumes with S30 buffer (for 200 µL lysate).</w:t>
        </w:r>
        <w:r w:rsidR="00EA1382">
          <w:rPr>
            <w:noProof/>
            <w:webHidden/>
          </w:rPr>
          <w:tab/>
        </w:r>
        <w:r w:rsidR="00EA1382">
          <w:rPr>
            <w:noProof/>
            <w:webHidden/>
          </w:rPr>
          <w:fldChar w:fldCharType="begin"/>
        </w:r>
        <w:r w:rsidR="00EA1382">
          <w:rPr>
            <w:noProof/>
            <w:webHidden/>
          </w:rPr>
          <w:instrText xml:space="preserve"> PAGEREF _Toc129676396 \h </w:instrText>
        </w:r>
        <w:r w:rsidR="00EA1382">
          <w:rPr>
            <w:noProof/>
            <w:webHidden/>
          </w:rPr>
        </w:r>
        <w:r w:rsidR="00EA1382">
          <w:rPr>
            <w:noProof/>
            <w:webHidden/>
          </w:rPr>
          <w:fldChar w:fldCharType="separate"/>
        </w:r>
        <w:r w:rsidR="00EA1382">
          <w:rPr>
            <w:noProof/>
            <w:webHidden/>
          </w:rPr>
          <w:t>111</w:t>
        </w:r>
        <w:r w:rsidR="00EA1382">
          <w:rPr>
            <w:noProof/>
            <w:webHidden/>
          </w:rPr>
          <w:fldChar w:fldCharType="end"/>
        </w:r>
      </w:hyperlink>
    </w:p>
    <w:p w14:paraId="42D89296" w14:textId="63BC1503" w:rsidR="00EA1382" w:rsidRDefault="00176F3F" w:rsidP="00C243CC">
      <w:pPr>
        <w:pStyle w:val="TableofFigures"/>
        <w:tabs>
          <w:tab w:val="right" w:leader="dot" w:pos="9350"/>
        </w:tabs>
        <w:rPr>
          <w:rFonts w:asciiTheme="minorHAnsi" w:eastAsiaTheme="minorEastAsia" w:hAnsiTheme="minorHAnsi"/>
          <w:noProof/>
          <w:sz w:val="24"/>
        </w:rPr>
      </w:pPr>
      <w:hyperlink w:anchor="_Toc129676397" w:history="1">
        <w:r w:rsidR="00EA1382" w:rsidRPr="00EC3D1E">
          <w:rPr>
            <w:rStyle w:val="Hyperlink"/>
            <w:bCs/>
            <w:noProof/>
          </w:rPr>
          <w:t>Table 5.1.</w:t>
        </w:r>
        <w:r w:rsidR="00EA1382" w:rsidRPr="00EC3D1E">
          <w:rPr>
            <w:rStyle w:val="Hyperlink"/>
            <w:i/>
            <w:iCs/>
            <w:noProof/>
          </w:rPr>
          <w:t xml:space="preserve"> </w:t>
        </w:r>
        <w:r w:rsidR="00EA1382" w:rsidRPr="00EC3D1E">
          <w:rPr>
            <w:rStyle w:val="Hyperlink"/>
            <w:noProof/>
          </w:rPr>
          <w:t>Plasmid and gene sequences used in this study.</w:t>
        </w:r>
        <w:r w:rsidR="00EA1382">
          <w:rPr>
            <w:noProof/>
            <w:webHidden/>
          </w:rPr>
          <w:tab/>
        </w:r>
        <w:r w:rsidR="00EA1382">
          <w:rPr>
            <w:noProof/>
            <w:webHidden/>
          </w:rPr>
          <w:fldChar w:fldCharType="begin"/>
        </w:r>
        <w:r w:rsidR="00EA1382">
          <w:rPr>
            <w:noProof/>
            <w:webHidden/>
          </w:rPr>
          <w:instrText xml:space="preserve"> PAGEREF _Toc129676397 \h </w:instrText>
        </w:r>
        <w:r w:rsidR="00EA1382">
          <w:rPr>
            <w:noProof/>
            <w:webHidden/>
          </w:rPr>
        </w:r>
        <w:r w:rsidR="00EA1382">
          <w:rPr>
            <w:noProof/>
            <w:webHidden/>
          </w:rPr>
          <w:fldChar w:fldCharType="separate"/>
        </w:r>
        <w:r w:rsidR="00EA1382">
          <w:rPr>
            <w:noProof/>
            <w:webHidden/>
          </w:rPr>
          <w:t>163</w:t>
        </w:r>
        <w:r w:rsidR="00EA1382">
          <w:rPr>
            <w:noProof/>
            <w:webHidden/>
          </w:rPr>
          <w:fldChar w:fldCharType="end"/>
        </w:r>
      </w:hyperlink>
    </w:p>
    <w:p w14:paraId="097C636E" w14:textId="5209DC12" w:rsidR="00EA1382" w:rsidRDefault="00176F3F" w:rsidP="00C243CC">
      <w:pPr>
        <w:pStyle w:val="TableofFigures"/>
        <w:tabs>
          <w:tab w:val="right" w:leader="dot" w:pos="9350"/>
        </w:tabs>
        <w:rPr>
          <w:rFonts w:asciiTheme="minorHAnsi" w:eastAsiaTheme="minorEastAsia" w:hAnsiTheme="minorHAnsi"/>
          <w:noProof/>
          <w:sz w:val="24"/>
        </w:rPr>
      </w:pPr>
      <w:hyperlink w:anchor="_Toc129676398" w:history="1">
        <w:r w:rsidR="00EA1382" w:rsidRPr="00EC3D1E">
          <w:rPr>
            <w:rStyle w:val="Hyperlink"/>
            <w:bCs/>
            <w:noProof/>
          </w:rPr>
          <w:t>Table 5.2.</w:t>
        </w:r>
        <w:r w:rsidR="00EA1382" w:rsidRPr="00EC3D1E">
          <w:rPr>
            <w:rStyle w:val="Hyperlink"/>
            <w:noProof/>
          </w:rPr>
          <w:t xml:space="preserve"> Primers used in this study; highlighted nucleotides are for the point mutation in the A domain: E315A.</w:t>
        </w:r>
        <w:r w:rsidR="00EA1382">
          <w:rPr>
            <w:noProof/>
            <w:webHidden/>
          </w:rPr>
          <w:tab/>
        </w:r>
        <w:r w:rsidR="00EA1382">
          <w:rPr>
            <w:noProof/>
            <w:webHidden/>
          </w:rPr>
          <w:fldChar w:fldCharType="begin"/>
        </w:r>
        <w:r w:rsidR="00EA1382">
          <w:rPr>
            <w:noProof/>
            <w:webHidden/>
          </w:rPr>
          <w:instrText xml:space="preserve"> PAGEREF _Toc129676398 \h </w:instrText>
        </w:r>
        <w:r w:rsidR="00EA1382">
          <w:rPr>
            <w:noProof/>
            <w:webHidden/>
          </w:rPr>
        </w:r>
        <w:r w:rsidR="00EA1382">
          <w:rPr>
            <w:noProof/>
            <w:webHidden/>
          </w:rPr>
          <w:fldChar w:fldCharType="separate"/>
        </w:r>
        <w:r w:rsidR="00EA1382">
          <w:rPr>
            <w:noProof/>
            <w:webHidden/>
          </w:rPr>
          <w:t>168</w:t>
        </w:r>
        <w:r w:rsidR="00EA1382">
          <w:rPr>
            <w:noProof/>
            <w:webHidden/>
          </w:rPr>
          <w:fldChar w:fldCharType="end"/>
        </w:r>
      </w:hyperlink>
    </w:p>
    <w:p w14:paraId="3BC2BCC7" w14:textId="1A5BEE1C" w:rsidR="009A5F94" w:rsidRDefault="00EA1382" w:rsidP="00C243CC">
      <w:pPr>
        <w:jc w:val="left"/>
        <w:rPr>
          <w:rFonts w:eastAsia="Times New Roman" w:cs="Arial"/>
          <w:b/>
          <w:bCs/>
          <w:color w:val="000000"/>
          <w:sz w:val="32"/>
          <w:szCs w:val="32"/>
        </w:rPr>
      </w:pPr>
      <w:r>
        <w:rPr>
          <w:rFonts w:eastAsia="Times New Roman" w:cs="Arial"/>
          <w:b/>
          <w:bCs/>
          <w:color w:val="000000"/>
          <w:sz w:val="32"/>
          <w:szCs w:val="32"/>
        </w:rPr>
        <w:fldChar w:fldCharType="end"/>
      </w:r>
    </w:p>
    <w:p w14:paraId="32734472" w14:textId="77777777" w:rsidR="00EA1382" w:rsidRDefault="00EA1382" w:rsidP="00C243CC">
      <w:pPr>
        <w:jc w:val="left"/>
        <w:rPr>
          <w:rFonts w:eastAsia="Times New Roman" w:cs="Arial"/>
          <w:b/>
          <w:bCs/>
          <w:color w:val="000000"/>
          <w:sz w:val="32"/>
          <w:szCs w:val="32"/>
        </w:rPr>
      </w:pPr>
      <w:r>
        <w:rPr>
          <w:rFonts w:eastAsia="Times New Roman" w:cs="Arial"/>
          <w:b/>
          <w:bCs/>
          <w:color w:val="000000"/>
          <w:sz w:val="32"/>
          <w:szCs w:val="32"/>
        </w:rPr>
        <w:br w:type="page"/>
      </w:r>
    </w:p>
    <w:p w14:paraId="61076B2B" w14:textId="0FA7C668" w:rsidR="00E9185A" w:rsidRDefault="00A11E1F" w:rsidP="001C508F">
      <w:pPr>
        <w:contextualSpacing/>
        <w:jc w:val="center"/>
        <w:rPr>
          <w:rFonts w:eastAsia="Times New Roman" w:cs="Arial"/>
          <w:b/>
          <w:bCs/>
          <w:color w:val="000000"/>
          <w:sz w:val="32"/>
          <w:szCs w:val="32"/>
        </w:rPr>
      </w:pPr>
      <w:r w:rsidRPr="00E033D4">
        <w:rPr>
          <w:rFonts w:eastAsia="Times New Roman" w:cs="Arial"/>
          <w:b/>
          <w:bCs/>
          <w:color w:val="000000"/>
          <w:sz w:val="32"/>
          <w:szCs w:val="32"/>
        </w:rPr>
        <w:lastRenderedPageBreak/>
        <w:t>LIST OF FIGURES</w:t>
      </w:r>
    </w:p>
    <w:p w14:paraId="4666D63B" w14:textId="0949F9EF" w:rsidR="00C243CC" w:rsidRDefault="00EA1382" w:rsidP="00C243CC">
      <w:pPr>
        <w:pStyle w:val="TableofFigures"/>
        <w:tabs>
          <w:tab w:val="right" w:leader="dot" w:pos="9350"/>
        </w:tabs>
        <w:rPr>
          <w:rFonts w:asciiTheme="minorHAnsi" w:eastAsiaTheme="minorEastAsia" w:hAnsiTheme="minorHAnsi"/>
          <w:noProof/>
          <w:sz w:val="24"/>
        </w:rPr>
      </w:pPr>
      <w:r>
        <w:rPr>
          <w:rFonts w:eastAsia="Times New Roman" w:cs="Arial"/>
          <w:b/>
          <w:bCs/>
          <w:color w:val="000000"/>
          <w:sz w:val="32"/>
          <w:szCs w:val="32"/>
        </w:rPr>
        <w:fldChar w:fldCharType="begin"/>
      </w:r>
      <w:r>
        <w:rPr>
          <w:rFonts w:eastAsia="Times New Roman" w:cs="Arial"/>
          <w:b/>
          <w:bCs/>
          <w:color w:val="000000"/>
          <w:sz w:val="32"/>
          <w:szCs w:val="32"/>
        </w:rPr>
        <w:instrText xml:space="preserve"> TOC \h \z \t "Figure caption" \c </w:instrText>
      </w:r>
      <w:r>
        <w:rPr>
          <w:rFonts w:eastAsia="Times New Roman" w:cs="Arial"/>
          <w:b/>
          <w:bCs/>
          <w:color w:val="000000"/>
          <w:sz w:val="32"/>
          <w:szCs w:val="32"/>
        </w:rPr>
        <w:fldChar w:fldCharType="separate"/>
      </w:r>
      <w:hyperlink w:anchor="_Toc129701136" w:history="1">
        <w:r w:rsidR="00C243CC" w:rsidRPr="007C0366">
          <w:rPr>
            <w:rStyle w:val="Hyperlink"/>
            <w:noProof/>
          </w:rPr>
          <w:t>Figure 2.1. A putative metabolic model of lysates derived from E. coli BL21DE3-Star growing exponentially in high glucose concentrations.</w:t>
        </w:r>
        <w:r w:rsidR="00C243CC">
          <w:rPr>
            <w:noProof/>
            <w:webHidden/>
          </w:rPr>
          <w:tab/>
        </w:r>
        <w:r w:rsidR="00C243CC">
          <w:rPr>
            <w:noProof/>
            <w:webHidden/>
          </w:rPr>
          <w:fldChar w:fldCharType="begin"/>
        </w:r>
        <w:r w:rsidR="00C243CC">
          <w:rPr>
            <w:noProof/>
            <w:webHidden/>
          </w:rPr>
          <w:instrText xml:space="preserve"> PAGEREF _Toc129701136 \h </w:instrText>
        </w:r>
        <w:r w:rsidR="00C243CC">
          <w:rPr>
            <w:noProof/>
            <w:webHidden/>
          </w:rPr>
        </w:r>
        <w:r w:rsidR="00C243CC">
          <w:rPr>
            <w:noProof/>
            <w:webHidden/>
          </w:rPr>
          <w:fldChar w:fldCharType="separate"/>
        </w:r>
        <w:r w:rsidR="00C243CC">
          <w:rPr>
            <w:noProof/>
            <w:webHidden/>
          </w:rPr>
          <w:t>33</w:t>
        </w:r>
        <w:r w:rsidR="00C243CC">
          <w:rPr>
            <w:noProof/>
            <w:webHidden/>
          </w:rPr>
          <w:fldChar w:fldCharType="end"/>
        </w:r>
      </w:hyperlink>
    </w:p>
    <w:p w14:paraId="72357A96" w14:textId="0410ADDD" w:rsidR="00C243CC" w:rsidRDefault="00176F3F" w:rsidP="00C243CC">
      <w:pPr>
        <w:pStyle w:val="TableofFigures"/>
        <w:tabs>
          <w:tab w:val="right" w:leader="dot" w:pos="9350"/>
        </w:tabs>
        <w:rPr>
          <w:rFonts w:asciiTheme="minorHAnsi" w:eastAsiaTheme="minorEastAsia" w:hAnsiTheme="minorHAnsi"/>
          <w:noProof/>
          <w:sz w:val="24"/>
        </w:rPr>
      </w:pPr>
      <w:hyperlink w:anchor="_Toc129701137" w:history="1">
        <w:r w:rsidR="00C243CC" w:rsidRPr="007C0366">
          <w:rPr>
            <w:rStyle w:val="Hyperlink"/>
            <w:noProof/>
          </w:rPr>
          <w:t>Figure 2.2. HPLC-RID data for glucose consumption and fermentative end-product synthesis in CFME reactions prepared with E. coli crude extracts.</w:t>
        </w:r>
        <w:r w:rsidR="00C243CC">
          <w:rPr>
            <w:noProof/>
            <w:webHidden/>
          </w:rPr>
          <w:tab/>
        </w:r>
        <w:r w:rsidR="00C243CC">
          <w:rPr>
            <w:noProof/>
            <w:webHidden/>
          </w:rPr>
          <w:fldChar w:fldCharType="begin"/>
        </w:r>
        <w:r w:rsidR="00C243CC">
          <w:rPr>
            <w:noProof/>
            <w:webHidden/>
          </w:rPr>
          <w:instrText xml:space="preserve"> PAGEREF _Toc129701137 \h </w:instrText>
        </w:r>
        <w:r w:rsidR="00C243CC">
          <w:rPr>
            <w:noProof/>
            <w:webHidden/>
          </w:rPr>
        </w:r>
        <w:r w:rsidR="00C243CC">
          <w:rPr>
            <w:noProof/>
            <w:webHidden/>
          </w:rPr>
          <w:fldChar w:fldCharType="separate"/>
        </w:r>
        <w:r w:rsidR="00C243CC">
          <w:rPr>
            <w:noProof/>
            <w:webHidden/>
          </w:rPr>
          <w:t>34</w:t>
        </w:r>
        <w:r w:rsidR="00C243CC">
          <w:rPr>
            <w:noProof/>
            <w:webHidden/>
          </w:rPr>
          <w:fldChar w:fldCharType="end"/>
        </w:r>
      </w:hyperlink>
    </w:p>
    <w:p w14:paraId="08ACAE94" w14:textId="0F09E41C" w:rsidR="00C243CC" w:rsidRDefault="00176F3F" w:rsidP="00C243CC">
      <w:pPr>
        <w:pStyle w:val="TableofFigures"/>
        <w:tabs>
          <w:tab w:val="right" w:leader="dot" w:pos="9350"/>
        </w:tabs>
        <w:rPr>
          <w:rFonts w:asciiTheme="minorHAnsi" w:eastAsiaTheme="minorEastAsia" w:hAnsiTheme="minorHAnsi"/>
          <w:noProof/>
          <w:sz w:val="24"/>
        </w:rPr>
      </w:pPr>
      <w:hyperlink w:anchor="_Toc129701138" w:history="1">
        <w:r w:rsidR="00C243CC" w:rsidRPr="007C0366">
          <w:rPr>
            <w:rStyle w:val="Hyperlink"/>
            <w:noProof/>
          </w:rPr>
          <w:t>Figure 2.3. Time course trends of 13C6-glucose and 13C-labeled glycolytic intermediates in E. coli lysate CFME.</w:t>
        </w:r>
        <w:r w:rsidR="00C243CC">
          <w:rPr>
            <w:noProof/>
            <w:webHidden/>
          </w:rPr>
          <w:tab/>
        </w:r>
        <w:r w:rsidR="00C243CC">
          <w:rPr>
            <w:noProof/>
            <w:webHidden/>
          </w:rPr>
          <w:fldChar w:fldCharType="begin"/>
        </w:r>
        <w:r w:rsidR="00C243CC">
          <w:rPr>
            <w:noProof/>
            <w:webHidden/>
          </w:rPr>
          <w:instrText xml:space="preserve"> PAGEREF _Toc129701138 \h </w:instrText>
        </w:r>
        <w:r w:rsidR="00C243CC">
          <w:rPr>
            <w:noProof/>
            <w:webHidden/>
          </w:rPr>
        </w:r>
        <w:r w:rsidR="00C243CC">
          <w:rPr>
            <w:noProof/>
            <w:webHidden/>
          </w:rPr>
          <w:fldChar w:fldCharType="separate"/>
        </w:r>
        <w:r w:rsidR="00C243CC">
          <w:rPr>
            <w:noProof/>
            <w:webHidden/>
          </w:rPr>
          <w:t>36</w:t>
        </w:r>
        <w:r w:rsidR="00C243CC">
          <w:rPr>
            <w:noProof/>
            <w:webHidden/>
          </w:rPr>
          <w:fldChar w:fldCharType="end"/>
        </w:r>
      </w:hyperlink>
    </w:p>
    <w:p w14:paraId="63B20E66" w14:textId="2F828EEE" w:rsidR="00C243CC" w:rsidRDefault="00176F3F" w:rsidP="00C243CC">
      <w:pPr>
        <w:pStyle w:val="TableofFigures"/>
        <w:tabs>
          <w:tab w:val="right" w:leader="dot" w:pos="9350"/>
        </w:tabs>
        <w:rPr>
          <w:rFonts w:asciiTheme="minorHAnsi" w:eastAsiaTheme="minorEastAsia" w:hAnsiTheme="minorHAnsi"/>
          <w:noProof/>
          <w:sz w:val="24"/>
        </w:rPr>
      </w:pPr>
      <w:hyperlink w:anchor="_Toc129701139" w:history="1">
        <w:r w:rsidR="00C243CC" w:rsidRPr="007C0366">
          <w:rPr>
            <w:rStyle w:val="Hyperlink"/>
            <w:noProof/>
          </w:rPr>
          <w:t>Figure 2.4. Time course trends of intermediates and end-products in 13C6-glucose fermentation in E. coli lysate CFME.</w:t>
        </w:r>
        <w:r w:rsidR="00C243CC">
          <w:rPr>
            <w:noProof/>
            <w:webHidden/>
          </w:rPr>
          <w:tab/>
        </w:r>
        <w:r w:rsidR="00C243CC">
          <w:rPr>
            <w:noProof/>
            <w:webHidden/>
          </w:rPr>
          <w:fldChar w:fldCharType="begin"/>
        </w:r>
        <w:r w:rsidR="00C243CC">
          <w:rPr>
            <w:noProof/>
            <w:webHidden/>
          </w:rPr>
          <w:instrText xml:space="preserve"> PAGEREF _Toc129701139 \h </w:instrText>
        </w:r>
        <w:r w:rsidR="00C243CC">
          <w:rPr>
            <w:noProof/>
            <w:webHidden/>
          </w:rPr>
        </w:r>
        <w:r w:rsidR="00C243CC">
          <w:rPr>
            <w:noProof/>
            <w:webHidden/>
          </w:rPr>
          <w:fldChar w:fldCharType="separate"/>
        </w:r>
        <w:r w:rsidR="00C243CC">
          <w:rPr>
            <w:noProof/>
            <w:webHidden/>
          </w:rPr>
          <w:t>37</w:t>
        </w:r>
        <w:r w:rsidR="00C243CC">
          <w:rPr>
            <w:noProof/>
            <w:webHidden/>
          </w:rPr>
          <w:fldChar w:fldCharType="end"/>
        </w:r>
      </w:hyperlink>
    </w:p>
    <w:p w14:paraId="40DF4675" w14:textId="432EAB7D" w:rsidR="00C243CC" w:rsidRDefault="00176F3F" w:rsidP="00C243CC">
      <w:pPr>
        <w:pStyle w:val="TableofFigures"/>
        <w:tabs>
          <w:tab w:val="right" w:leader="dot" w:pos="9350"/>
        </w:tabs>
        <w:rPr>
          <w:rFonts w:asciiTheme="minorHAnsi" w:eastAsiaTheme="minorEastAsia" w:hAnsiTheme="minorHAnsi"/>
          <w:noProof/>
          <w:sz w:val="24"/>
        </w:rPr>
      </w:pPr>
      <w:hyperlink w:anchor="_Toc129701140" w:history="1">
        <w:r w:rsidR="00C243CC" w:rsidRPr="007C0366">
          <w:rPr>
            <w:rStyle w:val="Hyperlink"/>
            <w:noProof/>
          </w:rPr>
          <w:t>Figure 2.5. Time course trends of 13C6-glucose derived pentose phosphate pathway intermediates in E. coli lysate CFME.</w:t>
        </w:r>
        <w:r w:rsidR="00C243CC">
          <w:rPr>
            <w:noProof/>
            <w:webHidden/>
          </w:rPr>
          <w:tab/>
        </w:r>
        <w:r w:rsidR="00C243CC">
          <w:rPr>
            <w:noProof/>
            <w:webHidden/>
          </w:rPr>
          <w:fldChar w:fldCharType="begin"/>
        </w:r>
        <w:r w:rsidR="00C243CC">
          <w:rPr>
            <w:noProof/>
            <w:webHidden/>
          </w:rPr>
          <w:instrText xml:space="preserve"> PAGEREF _Toc129701140 \h </w:instrText>
        </w:r>
        <w:r w:rsidR="00C243CC">
          <w:rPr>
            <w:noProof/>
            <w:webHidden/>
          </w:rPr>
        </w:r>
        <w:r w:rsidR="00C243CC">
          <w:rPr>
            <w:noProof/>
            <w:webHidden/>
          </w:rPr>
          <w:fldChar w:fldCharType="separate"/>
        </w:r>
        <w:r w:rsidR="00C243CC">
          <w:rPr>
            <w:noProof/>
            <w:webHidden/>
          </w:rPr>
          <w:t>39</w:t>
        </w:r>
        <w:r w:rsidR="00C243CC">
          <w:rPr>
            <w:noProof/>
            <w:webHidden/>
          </w:rPr>
          <w:fldChar w:fldCharType="end"/>
        </w:r>
      </w:hyperlink>
    </w:p>
    <w:p w14:paraId="509EC374" w14:textId="5D52CDEF" w:rsidR="00C243CC" w:rsidRDefault="00176F3F" w:rsidP="00C243CC">
      <w:pPr>
        <w:pStyle w:val="TableofFigures"/>
        <w:tabs>
          <w:tab w:val="right" w:leader="dot" w:pos="9350"/>
        </w:tabs>
        <w:rPr>
          <w:rFonts w:asciiTheme="minorHAnsi" w:eastAsiaTheme="minorEastAsia" w:hAnsiTheme="minorHAnsi"/>
          <w:noProof/>
          <w:sz w:val="24"/>
        </w:rPr>
      </w:pPr>
      <w:hyperlink w:anchor="_Toc129701141" w:history="1">
        <w:r w:rsidR="00C243CC" w:rsidRPr="007C0366">
          <w:rPr>
            <w:rStyle w:val="Hyperlink"/>
            <w:noProof/>
          </w:rPr>
          <w:t>Figure 2.6. Time course trends of detected 13C6-glucose derived amino acids in E. coli lysate CFME.</w:t>
        </w:r>
        <w:r w:rsidR="00C243CC">
          <w:rPr>
            <w:noProof/>
            <w:webHidden/>
          </w:rPr>
          <w:tab/>
        </w:r>
        <w:r w:rsidR="00C243CC">
          <w:rPr>
            <w:noProof/>
            <w:webHidden/>
          </w:rPr>
          <w:fldChar w:fldCharType="begin"/>
        </w:r>
        <w:r w:rsidR="00C243CC">
          <w:rPr>
            <w:noProof/>
            <w:webHidden/>
          </w:rPr>
          <w:instrText xml:space="preserve"> PAGEREF _Toc129701141 \h </w:instrText>
        </w:r>
        <w:r w:rsidR="00C243CC">
          <w:rPr>
            <w:noProof/>
            <w:webHidden/>
          </w:rPr>
        </w:r>
        <w:r w:rsidR="00C243CC">
          <w:rPr>
            <w:noProof/>
            <w:webHidden/>
          </w:rPr>
          <w:fldChar w:fldCharType="separate"/>
        </w:r>
        <w:r w:rsidR="00C243CC">
          <w:rPr>
            <w:noProof/>
            <w:webHidden/>
          </w:rPr>
          <w:t>40</w:t>
        </w:r>
        <w:r w:rsidR="00C243CC">
          <w:rPr>
            <w:noProof/>
            <w:webHidden/>
          </w:rPr>
          <w:fldChar w:fldCharType="end"/>
        </w:r>
      </w:hyperlink>
    </w:p>
    <w:p w14:paraId="75BD27E2" w14:textId="627CB774" w:rsidR="00C243CC" w:rsidRDefault="00176F3F" w:rsidP="00C243CC">
      <w:pPr>
        <w:pStyle w:val="TableofFigures"/>
        <w:tabs>
          <w:tab w:val="right" w:leader="dot" w:pos="9350"/>
        </w:tabs>
        <w:rPr>
          <w:rFonts w:asciiTheme="minorHAnsi" w:eastAsiaTheme="minorEastAsia" w:hAnsiTheme="minorHAnsi"/>
          <w:noProof/>
          <w:sz w:val="24"/>
        </w:rPr>
      </w:pPr>
      <w:hyperlink w:anchor="_Toc129701142" w:history="1">
        <w:r w:rsidR="00C243CC" w:rsidRPr="007C0366">
          <w:rPr>
            <w:rStyle w:val="Hyperlink"/>
            <w:noProof/>
          </w:rPr>
          <w:t>Figure 2.7. Representative HPLC-RID chromatogram showing peaks for major fermentative products in a CFME reaction incubated at 37 ˚C for 24 hrs.</w:t>
        </w:r>
        <w:r w:rsidR="00C243CC">
          <w:rPr>
            <w:noProof/>
            <w:webHidden/>
          </w:rPr>
          <w:tab/>
        </w:r>
        <w:r w:rsidR="00C243CC">
          <w:rPr>
            <w:noProof/>
            <w:webHidden/>
          </w:rPr>
          <w:fldChar w:fldCharType="begin"/>
        </w:r>
        <w:r w:rsidR="00C243CC">
          <w:rPr>
            <w:noProof/>
            <w:webHidden/>
          </w:rPr>
          <w:instrText xml:space="preserve"> PAGEREF _Toc129701142 \h </w:instrText>
        </w:r>
        <w:r w:rsidR="00C243CC">
          <w:rPr>
            <w:noProof/>
            <w:webHidden/>
          </w:rPr>
        </w:r>
        <w:r w:rsidR="00C243CC">
          <w:rPr>
            <w:noProof/>
            <w:webHidden/>
          </w:rPr>
          <w:fldChar w:fldCharType="separate"/>
        </w:r>
        <w:r w:rsidR="00C243CC">
          <w:rPr>
            <w:noProof/>
            <w:webHidden/>
          </w:rPr>
          <w:t>45</w:t>
        </w:r>
        <w:r w:rsidR="00C243CC">
          <w:rPr>
            <w:noProof/>
            <w:webHidden/>
          </w:rPr>
          <w:fldChar w:fldCharType="end"/>
        </w:r>
      </w:hyperlink>
    </w:p>
    <w:p w14:paraId="74AFF4C5" w14:textId="4BD565A7" w:rsidR="00C243CC" w:rsidRDefault="00176F3F" w:rsidP="00C243CC">
      <w:pPr>
        <w:pStyle w:val="TableofFigures"/>
        <w:tabs>
          <w:tab w:val="right" w:leader="dot" w:pos="9350"/>
        </w:tabs>
        <w:rPr>
          <w:rFonts w:asciiTheme="minorHAnsi" w:eastAsiaTheme="minorEastAsia" w:hAnsiTheme="minorHAnsi"/>
          <w:noProof/>
          <w:sz w:val="24"/>
        </w:rPr>
      </w:pPr>
      <w:hyperlink w:anchor="_Toc129701143" w:history="1">
        <w:r w:rsidR="00C243CC" w:rsidRPr="007C0366">
          <w:rPr>
            <w:rStyle w:val="Hyperlink"/>
            <w:noProof/>
          </w:rPr>
          <w:t>Figure 2.8. Representative mass spectra for 13C-labeled metabolites in a CFME reaction incubated at 37 ˚C for 1 h.</w:t>
        </w:r>
        <w:r w:rsidR="00C243CC">
          <w:rPr>
            <w:noProof/>
            <w:webHidden/>
          </w:rPr>
          <w:tab/>
        </w:r>
        <w:r w:rsidR="00C243CC">
          <w:rPr>
            <w:noProof/>
            <w:webHidden/>
          </w:rPr>
          <w:fldChar w:fldCharType="begin"/>
        </w:r>
        <w:r w:rsidR="00C243CC">
          <w:rPr>
            <w:noProof/>
            <w:webHidden/>
          </w:rPr>
          <w:instrText xml:space="preserve"> PAGEREF _Toc129701143 \h </w:instrText>
        </w:r>
        <w:r w:rsidR="00C243CC">
          <w:rPr>
            <w:noProof/>
            <w:webHidden/>
          </w:rPr>
        </w:r>
        <w:r w:rsidR="00C243CC">
          <w:rPr>
            <w:noProof/>
            <w:webHidden/>
          </w:rPr>
          <w:fldChar w:fldCharType="separate"/>
        </w:r>
        <w:r w:rsidR="00C243CC">
          <w:rPr>
            <w:noProof/>
            <w:webHidden/>
          </w:rPr>
          <w:t>46</w:t>
        </w:r>
        <w:r w:rsidR="00C243CC">
          <w:rPr>
            <w:noProof/>
            <w:webHidden/>
          </w:rPr>
          <w:fldChar w:fldCharType="end"/>
        </w:r>
      </w:hyperlink>
    </w:p>
    <w:p w14:paraId="1D4E2A85" w14:textId="58996058" w:rsidR="00C243CC" w:rsidRDefault="00176F3F" w:rsidP="00C243CC">
      <w:pPr>
        <w:pStyle w:val="TableofFigures"/>
        <w:tabs>
          <w:tab w:val="right" w:leader="dot" w:pos="9350"/>
        </w:tabs>
        <w:rPr>
          <w:rFonts w:asciiTheme="minorHAnsi" w:eastAsiaTheme="minorEastAsia" w:hAnsiTheme="minorHAnsi"/>
          <w:noProof/>
          <w:sz w:val="24"/>
        </w:rPr>
      </w:pPr>
      <w:hyperlink w:anchor="_Toc129701144" w:history="1">
        <w:r w:rsidR="00C243CC" w:rsidRPr="007C0366">
          <w:rPr>
            <w:rStyle w:val="Hyperlink"/>
            <w:noProof/>
          </w:rPr>
          <w:t>Figure 3.1 Overview of approaches to preparing lysates for cell free metabolic engineering.</w:t>
        </w:r>
        <w:r w:rsidR="00C243CC">
          <w:rPr>
            <w:noProof/>
            <w:webHidden/>
          </w:rPr>
          <w:tab/>
        </w:r>
        <w:r w:rsidR="00C243CC">
          <w:rPr>
            <w:noProof/>
            <w:webHidden/>
          </w:rPr>
          <w:fldChar w:fldCharType="begin"/>
        </w:r>
        <w:r w:rsidR="00C243CC">
          <w:rPr>
            <w:noProof/>
            <w:webHidden/>
          </w:rPr>
          <w:instrText xml:space="preserve"> PAGEREF _Toc129701144 \h </w:instrText>
        </w:r>
        <w:r w:rsidR="00C243CC">
          <w:rPr>
            <w:noProof/>
            <w:webHidden/>
          </w:rPr>
        </w:r>
        <w:r w:rsidR="00C243CC">
          <w:rPr>
            <w:noProof/>
            <w:webHidden/>
          </w:rPr>
          <w:fldChar w:fldCharType="separate"/>
        </w:r>
        <w:r w:rsidR="00C243CC">
          <w:rPr>
            <w:noProof/>
            <w:webHidden/>
          </w:rPr>
          <w:t>52</w:t>
        </w:r>
        <w:r w:rsidR="00C243CC">
          <w:rPr>
            <w:noProof/>
            <w:webHidden/>
          </w:rPr>
          <w:fldChar w:fldCharType="end"/>
        </w:r>
      </w:hyperlink>
    </w:p>
    <w:p w14:paraId="5AC1FB05" w14:textId="00348F20" w:rsidR="00C243CC" w:rsidRDefault="00176F3F" w:rsidP="00C243CC">
      <w:pPr>
        <w:pStyle w:val="TableofFigures"/>
        <w:tabs>
          <w:tab w:val="right" w:leader="dot" w:pos="9350"/>
        </w:tabs>
        <w:rPr>
          <w:rFonts w:asciiTheme="minorHAnsi" w:eastAsiaTheme="minorEastAsia" w:hAnsiTheme="minorHAnsi"/>
          <w:noProof/>
          <w:sz w:val="24"/>
        </w:rPr>
      </w:pPr>
      <w:hyperlink w:anchor="_Toc129701145" w:history="1">
        <w:r w:rsidR="00C243CC" w:rsidRPr="007C0366">
          <w:rPr>
            <w:rStyle w:val="Hyperlink"/>
            <w:noProof/>
          </w:rPr>
          <w:t>Figure 3.2. Glycolysis and engineered pathway nodes showing the location of the modified enzymes PflB, LdhA, PpsA, AceE.</w:t>
        </w:r>
        <w:r w:rsidR="00C243CC">
          <w:rPr>
            <w:noProof/>
            <w:webHidden/>
          </w:rPr>
          <w:tab/>
        </w:r>
        <w:r w:rsidR="00C243CC">
          <w:rPr>
            <w:noProof/>
            <w:webHidden/>
          </w:rPr>
          <w:fldChar w:fldCharType="begin"/>
        </w:r>
        <w:r w:rsidR="00C243CC">
          <w:rPr>
            <w:noProof/>
            <w:webHidden/>
          </w:rPr>
          <w:instrText xml:space="preserve"> PAGEREF _Toc129701145 \h </w:instrText>
        </w:r>
        <w:r w:rsidR="00C243CC">
          <w:rPr>
            <w:noProof/>
            <w:webHidden/>
          </w:rPr>
        </w:r>
        <w:r w:rsidR="00C243CC">
          <w:rPr>
            <w:noProof/>
            <w:webHidden/>
          </w:rPr>
          <w:fldChar w:fldCharType="separate"/>
        </w:r>
        <w:r w:rsidR="00C243CC">
          <w:rPr>
            <w:noProof/>
            <w:webHidden/>
          </w:rPr>
          <w:t>60</w:t>
        </w:r>
        <w:r w:rsidR="00C243CC">
          <w:rPr>
            <w:noProof/>
            <w:webHidden/>
          </w:rPr>
          <w:fldChar w:fldCharType="end"/>
        </w:r>
      </w:hyperlink>
    </w:p>
    <w:p w14:paraId="5EC7CC53" w14:textId="039FDC4D" w:rsidR="00C243CC" w:rsidRDefault="00176F3F" w:rsidP="00C243CC">
      <w:pPr>
        <w:pStyle w:val="TableofFigures"/>
        <w:tabs>
          <w:tab w:val="right" w:leader="dot" w:pos="9350"/>
        </w:tabs>
        <w:rPr>
          <w:rFonts w:asciiTheme="minorHAnsi" w:eastAsiaTheme="minorEastAsia" w:hAnsiTheme="minorHAnsi"/>
          <w:noProof/>
          <w:sz w:val="24"/>
        </w:rPr>
      </w:pPr>
      <w:hyperlink w:anchor="_Toc129701146" w:history="1">
        <w:r w:rsidR="00C243CC" w:rsidRPr="007C0366">
          <w:rPr>
            <w:rStyle w:val="Hyperlink"/>
            <w:rFonts w:eastAsia="Calibri"/>
            <w:noProof/>
            <w:lang w:val="en-US"/>
          </w:rPr>
          <w:t>Figure 3.3. Source strain multiplex genome engineering and expected metabolic phenotypes of derived lysates post-depletion.</w:t>
        </w:r>
        <w:r w:rsidR="00C243CC">
          <w:rPr>
            <w:noProof/>
            <w:webHidden/>
          </w:rPr>
          <w:tab/>
        </w:r>
        <w:r w:rsidR="00C243CC">
          <w:rPr>
            <w:noProof/>
            <w:webHidden/>
          </w:rPr>
          <w:fldChar w:fldCharType="begin"/>
        </w:r>
        <w:r w:rsidR="00C243CC">
          <w:rPr>
            <w:noProof/>
            <w:webHidden/>
          </w:rPr>
          <w:instrText xml:space="preserve"> PAGEREF _Toc129701146 \h </w:instrText>
        </w:r>
        <w:r w:rsidR="00C243CC">
          <w:rPr>
            <w:noProof/>
            <w:webHidden/>
          </w:rPr>
        </w:r>
        <w:r w:rsidR="00C243CC">
          <w:rPr>
            <w:noProof/>
            <w:webHidden/>
          </w:rPr>
          <w:fldChar w:fldCharType="separate"/>
        </w:r>
        <w:r w:rsidR="00C243CC">
          <w:rPr>
            <w:noProof/>
            <w:webHidden/>
          </w:rPr>
          <w:t>62</w:t>
        </w:r>
        <w:r w:rsidR="00C243CC">
          <w:rPr>
            <w:noProof/>
            <w:webHidden/>
          </w:rPr>
          <w:fldChar w:fldCharType="end"/>
        </w:r>
      </w:hyperlink>
    </w:p>
    <w:p w14:paraId="31F6805E" w14:textId="7C199C2D" w:rsidR="00C243CC" w:rsidRDefault="00176F3F" w:rsidP="00C243CC">
      <w:pPr>
        <w:pStyle w:val="TableofFigures"/>
        <w:tabs>
          <w:tab w:val="right" w:leader="dot" w:pos="9350"/>
        </w:tabs>
        <w:rPr>
          <w:rFonts w:asciiTheme="minorHAnsi" w:eastAsiaTheme="minorEastAsia" w:hAnsiTheme="minorHAnsi"/>
          <w:noProof/>
          <w:sz w:val="24"/>
        </w:rPr>
      </w:pPr>
      <w:hyperlink w:anchor="_Toc129701147" w:history="1">
        <w:r w:rsidR="00C243CC" w:rsidRPr="007C0366">
          <w:rPr>
            <w:rStyle w:val="Hyperlink"/>
            <w:rFonts w:eastAsia="Calibri"/>
            <w:noProof/>
            <w:lang w:val="en-US"/>
          </w:rPr>
          <w:t>Figure 3.4. Relative changes between nondepleted and depleted versions of the lysates.</w:t>
        </w:r>
        <w:r w:rsidR="00C243CC">
          <w:rPr>
            <w:noProof/>
            <w:webHidden/>
          </w:rPr>
          <w:tab/>
        </w:r>
        <w:r w:rsidR="00C243CC">
          <w:rPr>
            <w:noProof/>
            <w:webHidden/>
          </w:rPr>
          <w:fldChar w:fldCharType="begin"/>
        </w:r>
        <w:r w:rsidR="00C243CC">
          <w:rPr>
            <w:noProof/>
            <w:webHidden/>
          </w:rPr>
          <w:instrText xml:space="preserve"> PAGEREF _Toc129701147 \h </w:instrText>
        </w:r>
        <w:r w:rsidR="00C243CC">
          <w:rPr>
            <w:noProof/>
            <w:webHidden/>
          </w:rPr>
        </w:r>
        <w:r w:rsidR="00C243CC">
          <w:rPr>
            <w:noProof/>
            <w:webHidden/>
          </w:rPr>
          <w:fldChar w:fldCharType="separate"/>
        </w:r>
        <w:r w:rsidR="00C243CC">
          <w:rPr>
            <w:noProof/>
            <w:webHidden/>
          </w:rPr>
          <w:t>68</w:t>
        </w:r>
        <w:r w:rsidR="00C243CC">
          <w:rPr>
            <w:noProof/>
            <w:webHidden/>
          </w:rPr>
          <w:fldChar w:fldCharType="end"/>
        </w:r>
      </w:hyperlink>
    </w:p>
    <w:p w14:paraId="58A7656C" w14:textId="447AB52F" w:rsidR="00C243CC" w:rsidRDefault="00176F3F" w:rsidP="00C243CC">
      <w:pPr>
        <w:pStyle w:val="TableofFigures"/>
        <w:tabs>
          <w:tab w:val="right" w:leader="dot" w:pos="9350"/>
        </w:tabs>
        <w:rPr>
          <w:rFonts w:asciiTheme="minorHAnsi" w:eastAsiaTheme="minorEastAsia" w:hAnsiTheme="minorHAnsi"/>
          <w:noProof/>
          <w:sz w:val="24"/>
        </w:rPr>
      </w:pPr>
      <w:hyperlink w:anchor="_Toc129701148" w:history="1">
        <w:r w:rsidR="00C243CC" w:rsidRPr="007C0366">
          <w:rPr>
            <w:rStyle w:val="Hyperlink"/>
            <w:noProof/>
          </w:rPr>
          <w:t>Figure 3.5. Proteomic analysis of  control cell-free extracts without depletion (blue), and a depleted cell-free extract (orange), and the elutions from the depleted extracts (gray).</w:t>
        </w:r>
        <w:r w:rsidR="00C243CC">
          <w:rPr>
            <w:noProof/>
            <w:webHidden/>
          </w:rPr>
          <w:tab/>
        </w:r>
        <w:r w:rsidR="00C243CC">
          <w:rPr>
            <w:noProof/>
            <w:webHidden/>
          </w:rPr>
          <w:fldChar w:fldCharType="begin"/>
        </w:r>
        <w:r w:rsidR="00C243CC">
          <w:rPr>
            <w:noProof/>
            <w:webHidden/>
          </w:rPr>
          <w:instrText xml:space="preserve"> PAGEREF _Toc129701148 \h </w:instrText>
        </w:r>
        <w:r w:rsidR="00C243CC">
          <w:rPr>
            <w:noProof/>
            <w:webHidden/>
          </w:rPr>
        </w:r>
        <w:r w:rsidR="00C243CC">
          <w:rPr>
            <w:noProof/>
            <w:webHidden/>
          </w:rPr>
          <w:fldChar w:fldCharType="separate"/>
        </w:r>
        <w:r w:rsidR="00C243CC">
          <w:rPr>
            <w:noProof/>
            <w:webHidden/>
          </w:rPr>
          <w:t>70</w:t>
        </w:r>
        <w:r w:rsidR="00C243CC">
          <w:rPr>
            <w:noProof/>
            <w:webHidden/>
          </w:rPr>
          <w:fldChar w:fldCharType="end"/>
        </w:r>
      </w:hyperlink>
    </w:p>
    <w:p w14:paraId="28EAC0D2" w14:textId="26BE7F4C" w:rsidR="00C243CC" w:rsidRDefault="00176F3F" w:rsidP="00C243CC">
      <w:pPr>
        <w:pStyle w:val="TableofFigures"/>
        <w:tabs>
          <w:tab w:val="right" w:leader="dot" w:pos="9350"/>
        </w:tabs>
        <w:rPr>
          <w:rFonts w:asciiTheme="minorHAnsi" w:eastAsiaTheme="minorEastAsia" w:hAnsiTheme="minorHAnsi"/>
          <w:noProof/>
          <w:sz w:val="24"/>
        </w:rPr>
      </w:pPr>
      <w:hyperlink w:anchor="_Toc129701149" w:history="1">
        <w:r w:rsidR="00C243CC" w:rsidRPr="007C0366">
          <w:rPr>
            <w:rStyle w:val="Hyperlink"/>
            <w:noProof/>
          </w:rPr>
          <w:t>Figure 3.6. Growth rate and terminal OD600 as measured using a WPA CO 8000 Cell Density Meter (Biochrom Ltd., Cambridge, UK) for each of the four main strains generated in this study.</w:t>
        </w:r>
        <w:r w:rsidR="00C243CC">
          <w:rPr>
            <w:noProof/>
            <w:webHidden/>
          </w:rPr>
          <w:tab/>
        </w:r>
        <w:r w:rsidR="00C243CC">
          <w:rPr>
            <w:noProof/>
            <w:webHidden/>
          </w:rPr>
          <w:fldChar w:fldCharType="begin"/>
        </w:r>
        <w:r w:rsidR="00C243CC">
          <w:rPr>
            <w:noProof/>
            <w:webHidden/>
          </w:rPr>
          <w:instrText xml:space="preserve"> PAGEREF _Toc129701149 \h </w:instrText>
        </w:r>
        <w:r w:rsidR="00C243CC">
          <w:rPr>
            <w:noProof/>
            <w:webHidden/>
          </w:rPr>
        </w:r>
        <w:r w:rsidR="00C243CC">
          <w:rPr>
            <w:noProof/>
            <w:webHidden/>
          </w:rPr>
          <w:fldChar w:fldCharType="separate"/>
        </w:r>
        <w:r w:rsidR="00C243CC">
          <w:rPr>
            <w:noProof/>
            <w:webHidden/>
          </w:rPr>
          <w:t>75</w:t>
        </w:r>
        <w:r w:rsidR="00C243CC">
          <w:rPr>
            <w:noProof/>
            <w:webHidden/>
          </w:rPr>
          <w:fldChar w:fldCharType="end"/>
        </w:r>
      </w:hyperlink>
    </w:p>
    <w:p w14:paraId="50F3F0EF" w14:textId="277F70EA" w:rsidR="00C243CC" w:rsidRDefault="00176F3F" w:rsidP="00C243CC">
      <w:pPr>
        <w:pStyle w:val="TableofFigures"/>
        <w:tabs>
          <w:tab w:val="right" w:leader="dot" w:pos="9350"/>
        </w:tabs>
        <w:rPr>
          <w:rFonts w:asciiTheme="minorHAnsi" w:eastAsiaTheme="minorEastAsia" w:hAnsiTheme="minorHAnsi"/>
          <w:noProof/>
          <w:sz w:val="24"/>
        </w:rPr>
      </w:pPr>
      <w:hyperlink w:anchor="_Toc129701150" w:history="1">
        <w:r w:rsidR="00C243CC" w:rsidRPr="007C0366">
          <w:rPr>
            <w:rStyle w:val="Hyperlink"/>
            <w:rFonts w:eastAsia="Calibri"/>
            <w:noProof/>
            <w:lang w:val="en-US"/>
          </w:rPr>
          <w:t>Figure 3.7. Glucose consumption and fermentation product concentrations over time in modified lysates.</w:t>
        </w:r>
        <w:r w:rsidR="00C243CC">
          <w:rPr>
            <w:noProof/>
            <w:webHidden/>
          </w:rPr>
          <w:tab/>
        </w:r>
        <w:r w:rsidR="00C243CC">
          <w:rPr>
            <w:noProof/>
            <w:webHidden/>
          </w:rPr>
          <w:fldChar w:fldCharType="begin"/>
        </w:r>
        <w:r w:rsidR="00C243CC">
          <w:rPr>
            <w:noProof/>
            <w:webHidden/>
          </w:rPr>
          <w:instrText xml:space="preserve"> PAGEREF _Toc129701150 \h </w:instrText>
        </w:r>
        <w:r w:rsidR="00C243CC">
          <w:rPr>
            <w:noProof/>
            <w:webHidden/>
          </w:rPr>
        </w:r>
        <w:r w:rsidR="00C243CC">
          <w:rPr>
            <w:noProof/>
            <w:webHidden/>
          </w:rPr>
          <w:fldChar w:fldCharType="separate"/>
        </w:r>
        <w:r w:rsidR="00C243CC">
          <w:rPr>
            <w:noProof/>
            <w:webHidden/>
          </w:rPr>
          <w:t>76</w:t>
        </w:r>
        <w:r w:rsidR="00C243CC">
          <w:rPr>
            <w:noProof/>
            <w:webHidden/>
          </w:rPr>
          <w:fldChar w:fldCharType="end"/>
        </w:r>
      </w:hyperlink>
    </w:p>
    <w:p w14:paraId="396EE6F4" w14:textId="73656519" w:rsidR="00C243CC" w:rsidRDefault="00176F3F" w:rsidP="00C243CC">
      <w:pPr>
        <w:pStyle w:val="TableofFigures"/>
        <w:tabs>
          <w:tab w:val="right" w:leader="dot" w:pos="9350"/>
        </w:tabs>
        <w:rPr>
          <w:rFonts w:asciiTheme="minorHAnsi" w:eastAsiaTheme="minorEastAsia" w:hAnsiTheme="minorHAnsi"/>
          <w:noProof/>
          <w:sz w:val="24"/>
        </w:rPr>
      </w:pPr>
      <w:hyperlink w:anchor="_Toc129701151" w:history="1">
        <w:r w:rsidR="00C243CC" w:rsidRPr="007C0366">
          <w:rPr>
            <w:rStyle w:val="Hyperlink"/>
            <w:noProof/>
          </w:rPr>
          <w:t>Figure 3.8. Comparison of pyruvate consumption using depleted WT and Δ4 extracts.</w:t>
        </w:r>
        <w:r w:rsidR="00C243CC">
          <w:rPr>
            <w:noProof/>
            <w:webHidden/>
          </w:rPr>
          <w:tab/>
        </w:r>
        <w:r w:rsidR="00C243CC">
          <w:rPr>
            <w:noProof/>
            <w:webHidden/>
          </w:rPr>
          <w:fldChar w:fldCharType="begin"/>
        </w:r>
        <w:r w:rsidR="00C243CC">
          <w:rPr>
            <w:noProof/>
            <w:webHidden/>
          </w:rPr>
          <w:instrText xml:space="preserve"> PAGEREF _Toc129701151 \h </w:instrText>
        </w:r>
        <w:r w:rsidR="00C243CC">
          <w:rPr>
            <w:noProof/>
            <w:webHidden/>
          </w:rPr>
        </w:r>
        <w:r w:rsidR="00C243CC">
          <w:rPr>
            <w:noProof/>
            <w:webHidden/>
          </w:rPr>
          <w:fldChar w:fldCharType="separate"/>
        </w:r>
        <w:r w:rsidR="00C243CC">
          <w:rPr>
            <w:noProof/>
            <w:webHidden/>
          </w:rPr>
          <w:t>77</w:t>
        </w:r>
        <w:r w:rsidR="00C243CC">
          <w:rPr>
            <w:noProof/>
            <w:webHidden/>
          </w:rPr>
          <w:fldChar w:fldCharType="end"/>
        </w:r>
      </w:hyperlink>
    </w:p>
    <w:p w14:paraId="6E9EE838" w14:textId="10E3B0FC" w:rsidR="00C243CC" w:rsidRDefault="00176F3F" w:rsidP="00C243CC">
      <w:pPr>
        <w:pStyle w:val="TableofFigures"/>
        <w:tabs>
          <w:tab w:val="right" w:leader="dot" w:pos="9350"/>
        </w:tabs>
        <w:rPr>
          <w:rFonts w:asciiTheme="minorHAnsi" w:eastAsiaTheme="minorEastAsia" w:hAnsiTheme="minorHAnsi"/>
          <w:noProof/>
          <w:sz w:val="24"/>
        </w:rPr>
      </w:pPr>
      <w:hyperlink w:anchor="_Toc129701152" w:history="1">
        <w:r w:rsidR="00C243CC" w:rsidRPr="007C0366">
          <w:rPr>
            <w:rStyle w:val="Hyperlink"/>
            <w:noProof/>
          </w:rPr>
          <w:t>Figure 3.9. Anti-6xHis western blot showing successful pull-downs of target proteins.</w:t>
        </w:r>
        <w:r w:rsidR="00C243CC">
          <w:rPr>
            <w:noProof/>
            <w:webHidden/>
          </w:rPr>
          <w:tab/>
        </w:r>
        <w:r w:rsidR="00C243CC">
          <w:rPr>
            <w:noProof/>
            <w:webHidden/>
          </w:rPr>
          <w:fldChar w:fldCharType="begin"/>
        </w:r>
        <w:r w:rsidR="00C243CC">
          <w:rPr>
            <w:noProof/>
            <w:webHidden/>
          </w:rPr>
          <w:instrText xml:space="preserve"> PAGEREF _Toc129701152 \h </w:instrText>
        </w:r>
        <w:r w:rsidR="00C243CC">
          <w:rPr>
            <w:noProof/>
            <w:webHidden/>
          </w:rPr>
        </w:r>
        <w:r w:rsidR="00C243CC">
          <w:rPr>
            <w:noProof/>
            <w:webHidden/>
          </w:rPr>
          <w:fldChar w:fldCharType="separate"/>
        </w:r>
        <w:r w:rsidR="00C243CC">
          <w:rPr>
            <w:noProof/>
            <w:webHidden/>
          </w:rPr>
          <w:t>78</w:t>
        </w:r>
        <w:r w:rsidR="00C243CC">
          <w:rPr>
            <w:noProof/>
            <w:webHidden/>
          </w:rPr>
          <w:fldChar w:fldCharType="end"/>
        </w:r>
      </w:hyperlink>
    </w:p>
    <w:p w14:paraId="613F946B" w14:textId="71C56826" w:rsidR="00C243CC" w:rsidRDefault="00176F3F" w:rsidP="00C243CC">
      <w:pPr>
        <w:pStyle w:val="TableofFigures"/>
        <w:tabs>
          <w:tab w:val="right" w:leader="dot" w:pos="9350"/>
        </w:tabs>
        <w:rPr>
          <w:rFonts w:asciiTheme="minorHAnsi" w:eastAsiaTheme="minorEastAsia" w:hAnsiTheme="minorHAnsi"/>
          <w:noProof/>
          <w:sz w:val="24"/>
        </w:rPr>
      </w:pPr>
      <w:hyperlink w:anchor="_Toc129701153" w:history="1">
        <w:r w:rsidR="00C243CC" w:rsidRPr="007C0366">
          <w:rPr>
            <w:rStyle w:val="Hyperlink"/>
            <w:noProof/>
          </w:rPr>
          <w:t>Figure 3.10. StrepII®-tagged glycolytic enzymes in modified V. natriegens.strain, ST11.</w:t>
        </w:r>
        <w:r w:rsidR="00C243CC">
          <w:rPr>
            <w:noProof/>
            <w:webHidden/>
          </w:rPr>
          <w:tab/>
        </w:r>
        <w:r w:rsidR="00C243CC">
          <w:rPr>
            <w:noProof/>
            <w:webHidden/>
          </w:rPr>
          <w:fldChar w:fldCharType="begin"/>
        </w:r>
        <w:r w:rsidR="00C243CC">
          <w:rPr>
            <w:noProof/>
            <w:webHidden/>
          </w:rPr>
          <w:instrText xml:space="preserve"> PAGEREF _Toc129701153 \h </w:instrText>
        </w:r>
        <w:r w:rsidR="00C243CC">
          <w:rPr>
            <w:noProof/>
            <w:webHidden/>
          </w:rPr>
        </w:r>
        <w:r w:rsidR="00C243CC">
          <w:rPr>
            <w:noProof/>
            <w:webHidden/>
          </w:rPr>
          <w:fldChar w:fldCharType="separate"/>
        </w:r>
        <w:r w:rsidR="00C243CC">
          <w:rPr>
            <w:noProof/>
            <w:webHidden/>
          </w:rPr>
          <w:t>79</w:t>
        </w:r>
        <w:r w:rsidR="00C243CC">
          <w:rPr>
            <w:noProof/>
            <w:webHidden/>
          </w:rPr>
          <w:fldChar w:fldCharType="end"/>
        </w:r>
      </w:hyperlink>
    </w:p>
    <w:p w14:paraId="5F2DB23F" w14:textId="1A6A9D0C" w:rsidR="00C243CC" w:rsidRDefault="00176F3F" w:rsidP="00C243CC">
      <w:pPr>
        <w:pStyle w:val="TableofFigures"/>
        <w:tabs>
          <w:tab w:val="right" w:leader="dot" w:pos="9350"/>
        </w:tabs>
        <w:rPr>
          <w:rFonts w:asciiTheme="minorHAnsi" w:eastAsiaTheme="minorEastAsia" w:hAnsiTheme="minorHAnsi"/>
          <w:noProof/>
          <w:sz w:val="24"/>
        </w:rPr>
      </w:pPr>
      <w:hyperlink w:anchor="_Toc129701154" w:history="1">
        <w:r w:rsidR="00C243CC" w:rsidRPr="007C0366">
          <w:rPr>
            <w:rStyle w:val="Hyperlink"/>
            <w:noProof/>
          </w:rPr>
          <w:t>Figure 3.11. Growth curves and metabolite data of strain ST11.</w:t>
        </w:r>
        <w:r w:rsidR="00C243CC">
          <w:rPr>
            <w:noProof/>
            <w:webHidden/>
          </w:rPr>
          <w:tab/>
        </w:r>
        <w:r w:rsidR="00C243CC">
          <w:rPr>
            <w:noProof/>
            <w:webHidden/>
          </w:rPr>
          <w:fldChar w:fldCharType="begin"/>
        </w:r>
        <w:r w:rsidR="00C243CC">
          <w:rPr>
            <w:noProof/>
            <w:webHidden/>
          </w:rPr>
          <w:instrText xml:space="preserve"> PAGEREF _Toc129701154 \h </w:instrText>
        </w:r>
        <w:r w:rsidR="00C243CC">
          <w:rPr>
            <w:noProof/>
            <w:webHidden/>
          </w:rPr>
        </w:r>
        <w:r w:rsidR="00C243CC">
          <w:rPr>
            <w:noProof/>
            <w:webHidden/>
          </w:rPr>
          <w:fldChar w:fldCharType="separate"/>
        </w:r>
        <w:r w:rsidR="00C243CC">
          <w:rPr>
            <w:noProof/>
            <w:webHidden/>
          </w:rPr>
          <w:t>80</w:t>
        </w:r>
        <w:r w:rsidR="00C243CC">
          <w:rPr>
            <w:noProof/>
            <w:webHidden/>
          </w:rPr>
          <w:fldChar w:fldCharType="end"/>
        </w:r>
      </w:hyperlink>
    </w:p>
    <w:p w14:paraId="771C11DF" w14:textId="7DCB8997" w:rsidR="00C243CC" w:rsidRDefault="00176F3F" w:rsidP="00C243CC">
      <w:pPr>
        <w:pStyle w:val="TableofFigures"/>
        <w:tabs>
          <w:tab w:val="right" w:leader="dot" w:pos="9350"/>
        </w:tabs>
        <w:rPr>
          <w:rFonts w:asciiTheme="minorHAnsi" w:eastAsiaTheme="minorEastAsia" w:hAnsiTheme="minorHAnsi"/>
          <w:noProof/>
          <w:sz w:val="24"/>
        </w:rPr>
      </w:pPr>
      <w:hyperlink w:anchor="_Toc129701155" w:history="1">
        <w:r w:rsidR="00C243CC" w:rsidRPr="007C0366">
          <w:rPr>
            <w:rStyle w:val="Hyperlink"/>
            <w:noProof/>
          </w:rPr>
          <w:t>Figure 4.1. Target pathway and workflow for flux optimization.</w:t>
        </w:r>
        <w:r w:rsidR="00C243CC">
          <w:rPr>
            <w:noProof/>
            <w:webHidden/>
          </w:rPr>
          <w:tab/>
        </w:r>
        <w:r w:rsidR="00C243CC">
          <w:rPr>
            <w:noProof/>
            <w:webHidden/>
          </w:rPr>
          <w:fldChar w:fldCharType="begin"/>
        </w:r>
        <w:r w:rsidR="00C243CC">
          <w:rPr>
            <w:noProof/>
            <w:webHidden/>
          </w:rPr>
          <w:instrText xml:space="preserve"> PAGEREF _Toc129701155 \h </w:instrText>
        </w:r>
        <w:r w:rsidR="00C243CC">
          <w:rPr>
            <w:noProof/>
            <w:webHidden/>
          </w:rPr>
        </w:r>
        <w:r w:rsidR="00C243CC">
          <w:rPr>
            <w:noProof/>
            <w:webHidden/>
          </w:rPr>
          <w:fldChar w:fldCharType="separate"/>
        </w:r>
        <w:r w:rsidR="00C243CC">
          <w:rPr>
            <w:noProof/>
            <w:webHidden/>
          </w:rPr>
          <w:t>89</w:t>
        </w:r>
        <w:r w:rsidR="00C243CC">
          <w:rPr>
            <w:noProof/>
            <w:webHidden/>
          </w:rPr>
          <w:fldChar w:fldCharType="end"/>
        </w:r>
      </w:hyperlink>
    </w:p>
    <w:p w14:paraId="0AE682F0" w14:textId="5C44BD23" w:rsidR="00C243CC" w:rsidRDefault="00176F3F" w:rsidP="00C243CC">
      <w:pPr>
        <w:pStyle w:val="TableofFigures"/>
        <w:tabs>
          <w:tab w:val="right" w:leader="dot" w:pos="9350"/>
        </w:tabs>
        <w:rPr>
          <w:rFonts w:asciiTheme="minorHAnsi" w:eastAsiaTheme="minorEastAsia" w:hAnsiTheme="minorHAnsi"/>
          <w:noProof/>
          <w:sz w:val="24"/>
        </w:rPr>
      </w:pPr>
      <w:hyperlink w:anchor="_Toc129701156" w:history="1">
        <w:r w:rsidR="00C243CC" w:rsidRPr="007C0366">
          <w:rPr>
            <w:rStyle w:val="Hyperlink"/>
            <w:noProof/>
          </w:rPr>
          <w:t>Figure 4.2. Optimization of the post-lysis lysate depletion method to selectively remove 6xHis-tagged PflB and LdhA and redirect lysate metabolic flux to ethanol.</w:t>
        </w:r>
        <w:r w:rsidR="00C243CC">
          <w:rPr>
            <w:noProof/>
            <w:webHidden/>
          </w:rPr>
          <w:tab/>
        </w:r>
        <w:r w:rsidR="00C243CC">
          <w:rPr>
            <w:noProof/>
            <w:webHidden/>
          </w:rPr>
          <w:fldChar w:fldCharType="begin"/>
        </w:r>
        <w:r w:rsidR="00C243CC">
          <w:rPr>
            <w:noProof/>
            <w:webHidden/>
          </w:rPr>
          <w:instrText xml:space="preserve"> PAGEREF _Toc129701156 \h </w:instrText>
        </w:r>
        <w:r w:rsidR="00C243CC">
          <w:rPr>
            <w:noProof/>
            <w:webHidden/>
          </w:rPr>
        </w:r>
        <w:r w:rsidR="00C243CC">
          <w:rPr>
            <w:noProof/>
            <w:webHidden/>
          </w:rPr>
          <w:fldChar w:fldCharType="separate"/>
        </w:r>
        <w:r w:rsidR="00C243CC">
          <w:rPr>
            <w:noProof/>
            <w:webHidden/>
          </w:rPr>
          <w:t>96</w:t>
        </w:r>
        <w:r w:rsidR="00C243CC">
          <w:rPr>
            <w:noProof/>
            <w:webHidden/>
          </w:rPr>
          <w:fldChar w:fldCharType="end"/>
        </w:r>
      </w:hyperlink>
    </w:p>
    <w:p w14:paraId="4839EC75" w14:textId="33805539" w:rsidR="00C243CC" w:rsidRDefault="00176F3F" w:rsidP="00C243CC">
      <w:pPr>
        <w:pStyle w:val="TableofFigures"/>
        <w:tabs>
          <w:tab w:val="right" w:leader="dot" w:pos="9350"/>
        </w:tabs>
        <w:rPr>
          <w:rFonts w:asciiTheme="minorHAnsi" w:eastAsiaTheme="minorEastAsia" w:hAnsiTheme="minorHAnsi"/>
          <w:noProof/>
          <w:sz w:val="24"/>
        </w:rPr>
      </w:pPr>
      <w:hyperlink w:anchor="_Toc129701157" w:history="1">
        <w:r w:rsidR="00C243CC" w:rsidRPr="007C0366">
          <w:rPr>
            <w:rStyle w:val="Hyperlink"/>
            <w:noProof/>
          </w:rPr>
          <w:t>Figure 4.3. Optimization of cofactor concentrations in reactions prepared with blocked lysate to drive carbon flux towards ethanol.</w:t>
        </w:r>
        <w:r w:rsidR="00C243CC">
          <w:rPr>
            <w:noProof/>
            <w:webHidden/>
          </w:rPr>
          <w:tab/>
        </w:r>
        <w:r w:rsidR="00C243CC">
          <w:rPr>
            <w:noProof/>
            <w:webHidden/>
          </w:rPr>
          <w:fldChar w:fldCharType="begin"/>
        </w:r>
        <w:r w:rsidR="00C243CC">
          <w:rPr>
            <w:noProof/>
            <w:webHidden/>
          </w:rPr>
          <w:instrText xml:space="preserve"> PAGEREF _Toc129701157 \h </w:instrText>
        </w:r>
        <w:r w:rsidR="00C243CC">
          <w:rPr>
            <w:noProof/>
            <w:webHidden/>
          </w:rPr>
        </w:r>
        <w:r w:rsidR="00C243CC">
          <w:rPr>
            <w:noProof/>
            <w:webHidden/>
          </w:rPr>
          <w:fldChar w:fldCharType="separate"/>
        </w:r>
        <w:r w:rsidR="00C243CC">
          <w:rPr>
            <w:noProof/>
            <w:webHidden/>
          </w:rPr>
          <w:t>100</w:t>
        </w:r>
        <w:r w:rsidR="00C243CC">
          <w:rPr>
            <w:noProof/>
            <w:webHidden/>
          </w:rPr>
          <w:fldChar w:fldCharType="end"/>
        </w:r>
      </w:hyperlink>
    </w:p>
    <w:p w14:paraId="713111FA" w14:textId="2F0DEB60" w:rsidR="00C243CC" w:rsidRDefault="00176F3F" w:rsidP="00C243CC">
      <w:pPr>
        <w:pStyle w:val="TableofFigures"/>
        <w:tabs>
          <w:tab w:val="right" w:leader="dot" w:pos="9350"/>
        </w:tabs>
        <w:rPr>
          <w:rFonts w:asciiTheme="minorHAnsi" w:eastAsiaTheme="minorEastAsia" w:hAnsiTheme="minorHAnsi"/>
          <w:noProof/>
          <w:sz w:val="24"/>
        </w:rPr>
      </w:pPr>
      <w:hyperlink w:anchor="_Toc129701158" w:history="1">
        <w:r w:rsidR="00C243CC" w:rsidRPr="007C0366">
          <w:rPr>
            <w:rStyle w:val="Hyperlink"/>
            <w:noProof/>
          </w:rPr>
          <w:t>Figure 4.4. Optimization of reaction vessel and initial reaction pH to drive carbon flux towards ethanol in blocked lysates.</w:t>
        </w:r>
        <w:r w:rsidR="00C243CC">
          <w:rPr>
            <w:noProof/>
            <w:webHidden/>
          </w:rPr>
          <w:tab/>
        </w:r>
        <w:r w:rsidR="00C243CC">
          <w:rPr>
            <w:noProof/>
            <w:webHidden/>
          </w:rPr>
          <w:fldChar w:fldCharType="begin"/>
        </w:r>
        <w:r w:rsidR="00C243CC">
          <w:rPr>
            <w:noProof/>
            <w:webHidden/>
          </w:rPr>
          <w:instrText xml:space="preserve"> PAGEREF _Toc129701158 \h </w:instrText>
        </w:r>
        <w:r w:rsidR="00C243CC">
          <w:rPr>
            <w:noProof/>
            <w:webHidden/>
          </w:rPr>
        </w:r>
        <w:r w:rsidR="00C243CC">
          <w:rPr>
            <w:noProof/>
            <w:webHidden/>
          </w:rPr>
          <w:fldChar w:fldCharType="separate"/>
        </w:r>
        <w:r w:rsidR="00C243CC">
          <w:rPr>
            <w:noProof/>
            <w:webHidden/>
          </w:rPr>
          <w:t>103</w:t>
        </w:r>
        <w:r w:rsidR="00C243CC">
          <w:rPr>
            <w:noProof/>
            <w:webHidden/>
          </w:rPr>
          <w:fldChar w:fldCharType="end"/>
        </w:r>
      </w:hyperlink>
    </w:p>
    <w:p w14:paraId="028B9CFC" w14:textId="063706A5" w:rsidR="00C243CC" w:rsidRDefault="00176F3F" w:rsidP="00C243CC">
      <w:pPr>
        <w:pStyle w:val="TableofFigures"/>
        <w:tabs>
          <w:tab w:val="right" w:leader="dot" w:pos="9350"/>
        </w:tabs>
        <w:rPr>
          <w:rFonts w:asciiTheme="minorHAnsi" w:eastAsiaTheme="minorEastAsia" w:hAnsiTheme="minorHAnsi"/>
          <w:noProof/>
          <w:sz w:val="24"/>
        </w:rPr>
      </w:pPr>
      <w:hyperlink w:anchor="_Toc129701159" w:history="1">
        <w:r w:rsidR="00C243CC" w:rsidRPr="007C0366">
          <w:rPr>
            <w:rStyle w:val="Hyperlink"/>
            <w:noProof/>
          </w:rPr>
          <w:t>Figure 4.5. Optimization of source strain cultivation conditions to drive carbon flux towards ethanol in resulting lysate proteomes.</w:t>
        </w:r>
        <w:r w:rsidR="00C243CC">
          <w:rPr>
            <w:noProof/>
            <w:webHidden/>
          </w:rPr>
          <w:tab/>
        </w:r>
        <w:r w:rsidR="00C243CC">
          <w:rPr>
            <w:noProof/>
            <w:webHidden/>
          </w:rPr>
          <w:fldChar w:fldCharType="begin"/>
        </w:r>
        <w:r w:rsidR="00C243CC">
          <w:rPr>
            <w:noProof/>
            <w:webHidden/>
          </w:rPr>
          <w:instrText xml:space="preserve"> PAGEREF _Toc129701159 \h </w:instrText>
        </w:r>
        <w:r w:rsidR="00C243CC">
          <w:rPr>
            <w:noProof/>
            <w:webHidden/>
          </w:rPr>
        </w:r>
        <w:r w:rsidR="00C243CC">
          <w:rPr>
            <w:noProof/>
            <w:webHidden/>
          </w:rPr>
          <w:fldChar w:fldCharType="separate"/>
        </w:r>
        <w:r w:rsidR="00C243CC">
          <w:rPr>
            <w:noProof/>
            <w:webHidden/>
          </w:rPr>
          <w:t>105</w:t>
        </w:r>
        <w:r w:rsidR="00C243CC">
          <w:rPr>
            <w:noProof/>
            <w:webHidden/>
          </w:rPr>
          <w:fldChar w:fldCharType="end"/>
        </w:r>
      </w:hyperlink>
    </w:p>
    <w:p w14:paraId="41121815" w14:textId="656F8A65" w:rsidR="00C243CC" w:rsidRDefault="00176F3F" w:rsidP="00C243CC">
      <w:pPr>
        <w:pStyle w:val="TableofFigures"/>
        <w:tabs>
          <w:tab w:val="right" w:leader="dot" w:pos="9350"/>
        </w:tabs>
        <w:rPr>
          <w:rFonts w:asciiTheme="minorHAnsi" w:eastAsiaTheme="minorEastAsia" w:hAnsiTheme="minorHAnsi"/>
          <w:noProof/>
          <w:sz w:val="24"/>
        </w:rPr>
      </w:pPr>
      <w:hyperlink w:anchor="_Toc129701160" w:history="1">
        <w:r w:rsidR="00C243CC" w:rsidRPr="007C0366">
          <w:rPr>
            <w:rStyle w:val="Hyperlink"/>
            <w:noProof/>
          </w:rPr>
          <w:t>Figure 4.6. Summary of the additive improvements to % ethanol yield in the system due to conditions that optimally block, push, and pull flux.</w:t>
        </w:r>
        <w:r w:rsidR="00C243CC">
          <w:rPr>
            <w:noProof/>
            <w:webHidden/>
          </w:rPr>
          <w:tab/>
        </w:r>
        <w:r w:rsidR="00C243CC">
          <w:rPr>
            <w:noProof/>
            <w:webHidden/>
          </w:rPr>
          <w:fldChar w:fldCharType="begin"/>
        </w:r>
        <w:r w:rsidR="00C243CC">
          <w:rPr>
            <w:noProof/>
            <w:webHidden/>
          </w:rPr>
          <w:instrText xml:space="preserve"> PAGEREF _Toc129701160 \h </w:instrText>
        </w:r>
        <w:r w:rsidR="00C243CC">
          <w:rPr>
            <w:noProof/>
            <w:webHidden/>
          </w:rPr>
        </w:r>
        <w:r w:rsidR="00C243CC">
          <w:rPr>
            <w:noProof/>
            <w:webHidden/>
          </w:rPr>
          <w:fldChar w:fldCharType="separate"/>
        </w:r>
        <w:r w:rsidR="00C243CC">
          <w:rPr>
            <w:noProof/>
            <w:webHidden/>
          </w:rPr>
          <w:t>107</w:t>
        </w:r>
        <w:r w:rsidR="00C243CC">
          <w:rPr>
            <w:noProof/>
            <w:webHidden/>
          </w:rPr>
          <w:fldChar w:fldCharType="end"/>
        </w:r>
      </w:hyperlink>
    </w:p>
    <w:p w14:paraId="6E32C1BC" w14:textId="4CA7EE25" w:rsidR="00C243CC" w:rsidRDefault="00176F3F" w:rsidP="00C243CC">
      <w:pPr>
        <w:pStyle w:val="TableofFigures"/>
        <w:tabs>
          <w:tab w:val="right" w:leader="dot" w:pos="9350"/>
        </w:tabs>
        <w:rPr>
          <w:rFonts w:asciiTheme="minorHAnsi" w:eastAsiaTheme="minorEastAsia" w:hAnsiTheme="minorHAnsi"/>
          <w:noProof/>
          <w:sz w:val="24"/>
        </w:rPr>
      </w:pPr>
      <w:hyperlink w:anchor="_Toc129701161" w:history="1">
        <w:r w:rsidR="00C243CC" w:rsidRPr="007C0366">
          <w:rPr>
            <w:rStyle w:val="Hyperlink"/>
            <w:noProof/>
          </w:rPr>
          <w:t>Figure 4.7. Evaluation of maximal glucose to ethanol conversion efficiency in the optimized system.</w:t>
        </w:r>
        <w:r w:rsidR="00C243CC">
          <w:rPr>
            <w:noProof/>
            <w:webHidden/>
          </w:rPr>
          <w:tab/>
        </w:r>
        <w:r w:rsidR="00C243CC">
          <w:rPr>
            <w:noProof/>
            <w:webHidden/>
          </w:rPr>
          <w:fldChar w:fldCharType="begin"/>
        </w:r>
        <w:r w:rsidR="00C243CC">
          <w:rPr>
            <w:noProof/>
            <w:webHidden/>
          </w:rPr>
          <w:instrText xml:space="preserve"> PAGEREF _Toc129701161 \h </w:instrText>
        </w:r>
        <w:r w:rsidR="00C243CC">
          <w:rPr>
            <w:noProof/>
            <w:webHidden/>
          </w:rPr>
        </w:r>
        <w:r w:rsidR="00C243CC">
          <w:rPr>
            <w:noProof/>
            <w:webHidden/>
          </w:rPr>
          <w:fldChar w:fldCharType="separate"/>
        </w:r>
        <w:r w:rsidR="00C243CC">
          <w:rPr>
            <w:noProof/>
            <w:webHidden/>
          </w:rPr>
          <w:t>109</w:t>
        </w:r>
        <w:r w:rsidR="00C243CC">
          <w:rPr>
            <w:noProof/>
            <w:webHidden/>
          </w:rPr>
          <w:fldChar w:fldCharType="end"/>
        </w:r>
      </w:hyperlink>
    </w:p>
    <w:p w14:paraId="2C3F2D8D" w14:textId="2A14FEF6" w:rsidR="00C243CC" w:rsidRDefault="00176F3F" w:rsidP="00C243CC">
      <w:pPr>
        <w:pStyle w:val="TableofFigures"/>
        <w:tabs>
          <w:tab w:val="right" w:leader="dot" w:pos="9350"/>
        </w:tabs>
        <w:rPr>
          <w:rFonts w:asciiTheme="minorHAnsi" w:eastAsiaTheme="minorEastAsia" w:hAnsiTheme="minorHAnsi"/>
          <w:noProof/>
          <w:sz w:val="24"/>
        </w:rPr>
      </w:pPr>
      <w:hyperlink w:anchor="_Toc129701162" w:history="1">
        <w:r w:rsidR="00C243CC" w:rsidRPr="007C0366">
          <w:rPr>
            <w:rStyle w:val="Hyperlink"/>
            <w:noProof/>
          </w:rPr>
          <w:t>Figure 4.8. Residual ethanol from resin suspension storage buffer carried over to time zero lysate reaction set-ups.</w:t>
        </w:r>
        <w:r w:rsidR="00C243CC">
          <w:rPr>
            <w:noProof/>
            <w:webHidden/>
          </w:rPr>
          <w:tab/>
        </w:r>
        <w:r w:rsidR="00C243CC">
          <w:rPr>
            <w:noProof/>
            <w:webHidden/>
          </w:rPr>
          <w:fldChar w:fldCharType="begin"/>
        </w:r>
        <w:r w:rsidR="00C243CC">
          <w:rPr>
            <w:noProof/>
            <w:webHidden/>
          </w:rPr>
          <w:instrText xml:space="preserve"> PAGEREF _Toc129701162 \h </w:instrText>
        </w:r>
        <w:r w:rsidR="00C243CC">
          <w:rPr>
            <w:noProof/>
            <w:webHidden/>
          </w:rPr>
        </w:r>
        <w:r w:rsidR="00C243CC">
          <w:rPr>
            <w:noProof/>
            <w:webHidden/>
          </w:rPr>
          <w:fldChar w:fldCharType="separate"/>
        </w:r>
        <w:r w:rsidR="00C243CC">
          <w:rPr>
            <w:noProof/>
            <w:webHidden/>
          </w:rPr>
          <w:t>115</w:t>
        </w:r>
        <w:r w:rsidR="00C243CC">
          <w:rPr>
            <w:noProof/>
            <w:webHidden/>
          </w:rPr>
          <w:fldChar w:fldCharType="end"/>
        </w:r>
      </w:hyperlink>
    </w:p>
    <w:p w14:paraId="0EC35590" w14:textId="27829078" w:rsidR="00C243CC" w:rsidRDefault="00176F3F" w:rsidP="00C243CC">
      <w:pPr>
        <w:pStyle w:val="TableofFigures"/>
        <w:tabs>
          <w:tab w:val="right" w:leader="dot" w:pos="9350"/>
        </w:tabs>
        <w:rPr>
          <w:rFonts w:asciiTheme="minorHAnsi" w:eastAsiaTheme="minorEastAsia" w:hAnsiTheme="minorHAnsi"/>
          <w:noProof/>
          <w:sz w:val="24"/>
        </w:rPr>
      </w:pPr>
      <w:hyperlink w:anchor="_Toc129701163" w:history="1">
        <w:r w:rsidR="00C243CC" w:rsidRPr="007C0366">
          <w:rPr>
            <w:rStyle w:val="Hyperlink"/>
            <w:noProof/>
          </w:rPr>
          <w:t>Figure 4.9. Contribution of PflB depletion to the improvement of ethanol yield in LdhA depleted lysates.</w:t>
        </w:r>
        <w:r w:rsidR="00C243CC">
          <w:rPr>
            <w:noProof/>
            <w:webHidden/>
          </w:rPr>
          <w:tab/>
        </w:r>
        <w:r w:rsidR="00C243CC">
          <w:rPr>
            <w:noProof/>
            <w:webHidden/>
          </w:rPr>
          <w:fldChar w:fldCharType="begin"/>
        </w:r>
        <w:r w:rsidR="00C243CC">
          <w:rPr>
            <w:noProof/>
            <w:webHidden/>
          </w:rPr>
          <w:instrText xml:space="preserve"> PAGEREF _Toc129701163 \h </w:instrText>
        </w:r>
        <w:r w:rsidR="00C243CC">
          <w:rPr>
            <w:noProof/>
            <w:webHidden/>
          </w:rPr>
        </w:r>
        <w:r w:rsidR="00C243CC">
          <w:rPr>
            <w:noProof/>
            <w:webHidden/>
          </w:rPr>
          <w:fldChar w:fldCharType="separate"/>
        </w:r>
        <w:r w:rsidR="00C243CC">
          <w:rPr>
            <w:noProof/>
            <w:webHidden/>
          </w:rPr>
          <w:t>116</w:t>
        </w:r>
        <w:r w:rsidR="00C243CC">
          <w:rPr>
            <w:noProof/>
            <w:webHidden/>
          </w:rPr>
          <w:fldChar w:fldCharType="end"/>
        </w:r>
      </w:hyperlink>
    </w:p>
    <w:p w14:paraId="76B638E5" w14:textId="24141FE5" w:rsidR="00C243CC" w:rsidRDefault="00176F3F" w:rsidP="00C243CC">
      <w:pPr>
        <w:pStyle w:val="TableofFigures"/>
        <w:tabs>
          <w:tab w:val="right" w:leader="dot" w:pos="9350"/>
        </w:tabs>
        <w:rPr>
          <w:rFonts w:asciiTheme="minorHAnsi" w:eastAsiaTheme="minorEastAsia" w:hAnsiTheme="minorHAnsi"/>
          <w:noProof/>
          <w:sz w:val="24"/>
        </w:rPr>
      </w:pPr>
      <w:hyperlink w:anchor="_Toc129701164" w:history="1">
        <w:r w:rsidR="00C243CC" w:rsidRPr="007C0366">
          <w:rPr>
            <w:rStyle w:val="Hyperlink"/>
            <w:noProof/>
          </w:rPr>
          <w:t>Figure 4.10. Additional NAD+ was supplemented to reactions prepared with blocked lysate, 100 mM Glucose, 0 mM CoA and ATP, but had no improvement or significant effect on % ethanol yield from glucose beyond 2 mM NAD+.</w:t>
        </w:r>
        <w:r w:rsidR="00C243CC">
          <w:rPr>
            <w:noProof/>
            <w:webHidden/>
          </w:rPr>
          <w:tab/>
        </w:r>
        <w:r w:rsidR="00C243CC">
          <w:rPr>
            <w:noProof/>
            <w:webHidden/>
          </w:rPr>
          <w:fldChar w:fldCharType="begin"/>
        </w:r>
        <w:r w:rsidR="00C243CC">
          <w:rPr>
            <w:noProof/>
            <w:webHidden/>
          </w:rPr>
          <w:instrText xml:space="preserve"> PAGEREF _Toc129701164 \h </w:instrText>
        </w:r>
        <w:r w:rsidR="00C243CC">
          <w:rPr>
            <w:noProof/>
            <w:webHidden/>
          </w:rPr>
        </w:r>
        <w:r w:rsidR="00C243CC">
          <w:rPr>
            <w:noProof/>
            <w:webHidden/>
          </w:rPr>
          <w:fldChar w:fldCharType="separate"/>
        </w:r>
        <w:r w:rsidR="00C243CC">
          <w:rPr>
            <w:noProof/>
            <w:webHidden/>
          </w:rPr>
          <w:t>117</w:t>
        </w:r>
        <w:r w:rsidR="00C243CC">
          <w:rPr>
            <w:noProof/>
            <w:webHidden/>
          </w:rPr>
          <w:fldChar w:fldCharType="end"/>
        </w:r>
      </w:hyperlink>
    </w:p>
    <w:p w14:paraId="47B1A340" w14:textId="7E9F1C6E" w:rsidR="00C243CC" w:rsidRDefault="00176F3F" w:rsidP="00C243CC">
      <w:pPr>
        <w:pStyle w:val="TableofFigures"/>
        <w:tabs>
          <w:tab w:val="right" w:leader="dot" w:pos="9350"/>
        </w:tabs>
        <w:rPr>
          <w:rFonts w:asciiTheme="minorHAnsi" w:eastAsiaTheme="minorEastAsia" w:hAnsiTheme="minorHAnsi"/>
          <w:noProof/>
          <w:sz w:val="24"/>
        </w:rPr>
      </w:pPr>
      <w:hyperlink w:anchor="_Toc129701165" w:history="1">
        <w:r w:rsidR="00C243CC" w:rsidRPr="007C0366">
          <w:rPr>
            <w:rStyle w:val="Hyperlink"/>
            <w:noProof/>
          </w:rPr>
          <w:t>Figure 4.11. Acetate production or consumption in reactions.</w:t>
        </w:r>
        <w:r w:rsidR="00C243CC">
          <w:rPr>
            <w:noProof/>
            <w:webHidden/>
          </w:rPr>
          <w:tab/>
        </w:r>
        <w:r w:rsidR="00C243CC">
          <w:rPr>
            <w:noProof/>
            <w:webHidden/>
          </w:rPr>
          <w:fldChar w:fldCharType="begin"/>
        </w:r>
        <w:r w:rsidR="00C243CC">
          <w:rPr>
            <w:noProof/>
            <w:webHidden/>
          </w:rPr>
          <w:instrText xml:space="preserve"> PAGEREF _Toc129701165 \h </w:instrText>
        </w:r>
        <w:r w:rsidR="00C243CC">
          <w:rPr>
            <w:noProof/>
            <w:webHidden/>
          </w:rPr>
        </w:r>
        <w:r w:rsidR="00C243CC">
          <w:rPr>
            <w:noProof/>
            <w:webHidden/>
          </w:rPr>
          <w:fldChar w:fldCharType="separate"/>
        </w:r>
        <w:r w:rsidR="00C243CC">
          <w:rPr>
            <w:noProof/>
            <w:webHidden/>
          </w:rPr>
          <w:t>118</w:t>
        </w:r>
        <w:r w:rsidR="00C243CC">
          <w:rPr>
            <w:noProof/>
            <w:webHidden/>
          </w:rPr>
          <w:fldChar w:fldCharType="end"/>
        </w:r>
      </w:hyperlink>
    </w:p>
    <w:p w14:paraId="04D0A40C" w14:textId="349FEADE" w:rsidR="00C243CC" w:rsidRDefault="00176F3F" w:rsidP="00C243CC">
      <w:pPr>
        <w:pStyle w:val="TableofFigures"/>
        <w:tabs>
          <w:tab w:val="right" w:leader="dot" w:pos="9350"/>
        </w:tabs>
        <w:rPr>
          <w:rFonts w:asciiTheme="minorHAnsi" w:eastAsiaTheme="minorEastAsia" w:hAnsiTheme="minorHAnsi"/>
          <w:noProof/>
          <w:sz w:val="24"/>
        </w:rPr>
      </w:pPr>
      <w:hyperlink w:anchor="_Toc129701166" w:history="1">
        <w:r w:rsidR="00C243CC" w:rsidRPr="007C0366">
          <w:rPr>
            <w:rStyle w:val="Hyperlink"/>
            <w:noProof/>
          </w:rPr>
          <w:t>Figure 4.12. Acetate production or consumption in the optimized system and its non-depleted lysate counterpart, calculated as the difference between acetate concentrations at a particular timepoint and at time zero reactions.</w:t>
        </w:r>
        <w:r w:rsidR="00C243CC">
          <w:rPr>
            <w:noProof/>
            <w:webHidden/>
          </w:rPr>
          <w:tab/>
        </w:r>
        <w:r w:rsidR="00C243CC">
          <w:rPr>
            <w:noProof/>
            <w:webHidden/>
          </w:rPr>
          <w:fldChar w:fldCharType="begin"/>
        </w:r>
        <w:r w:rsidR="00C243CC">
          <w:rPr>
            <w:noProof/>
            <w:webHidden/>
          </w:rPr>
          <w:instrText xml:space="preserve"> PAGEREF _Toc129701166 \h </w:instrText>
        </w:r>
        <w:r w:rsidR="00C243CC">
          <w:rPr>
            <w:noProof/>
            <w:webHidden/>
          </w:rPr>
        </w:r>
        <w:r w:rsidR="00C243CC">
          <w:rPr>
            <w:noProof/>
            <w:webHidden/>
          </w:rPr>
          <w:fldChar w:fldCharType="separate"/>
        </w:r>
        <w:r w:rsidR="00C243CC">
          <w:rPr>
            <w:noProof/>
            <w:webHidden/>
          </w:rPr>
          <w:t>119</w:t>
        </w:r>
        <w:r w:rsidR="00C243CC">
          <w:rPr>
            <w:noProof/>
            <w:webHidden/>
          </w:rPr>
          <w:fldChar w:fldCharType="end"/>
        </w:r>
      </w:hyperlink>
    </w:p>
    <w:p w14:paraId="53321303" w14:textId="68DB05DE" w:rsidR="00C243CC" w:rsidRDefault="00176F3F" w:rsidP="00C243CC">
      <w:pPr>
        <w:pStyle w:val="TableofFigures"/>
        <w:tabs>
          <w:tab w:val="right" w:leader="dot" w:pos="9350"/>
        </w:tabs>
        <w:rPr>
          <w:rFonts w:asciiTheme="minorHAnsi" w:eastAsiaTheme="minorEastAsia" w:hAnsiTheme="minorHAnsi"/>
          <w:noProof/>
          <w:sz w:val="24"/>
        </w:rPr>
      </w:pPr>
      <w:hyperlink w:anchor="_Toc129701167" w:history="1">
        <w:r w:rsidR="00C243CC" w:rsidRPr="007C0366">
          <w:rPr>
            <w:rStyle w:val="Hyperlink"/>
            <w:noProof/>
          </w:rPr>
          <w:t>Figure 5.1. Indigoidine production via BpsA in CFE reactions.</w:t>
        </w:r>
        <w:r w:rsidR="00C243CC">
          <w:rPr>
            <w:noProof/>
            <w:webHidden/>
          </w:rPr>
          <w:tab/>
        </w:r>
        <w:r w:rsidR="00C243CC">
          <w:rPr>
            <w:noProof/>
            <w:webHidden/>
          </w:rPr>
          <w:fldChar w:fldCharType="begin"/>
        </w:r>
        <w:r w:rsidR="00C243CC">
          <w:rPr>
            <w:noProof/>
            <w:webHidden/>
          </w:rPr>
          <w:instrText xml:space="preserve"> PAGEREF _Toc129701167 \h </w:instrText>
        </w:r>
        <w:r w:rsidR="00C243CC">
          <w:rPr>
            <w:noProof/>
            <w:webHidden/>
          </w:rPr>
        </w:r>
        <w:r w:rsidR="00C243CC">
          <w:rPr>
            <w:noProof/>
            <w:webHidden/>
          </w:rPr>
          <w:fldChar w:fldCharType="separate"/>
        </w:r>
        <w:r w:rsidR="00C243CC">
          <w:rPr>
            <w:noProof/>
            <w:webHidden/>
          </w:rPr>
          <w:t>138</w:t>
        </w:r>
        <w:r w:rsidR="00C243CC">
          <w:rPr>
            <w:noProof/>
            <w:webHidden/>
          </w:rPr>
          <w:fldChar w:fldCharType="end"/>
        </w:r>
      </w:hyperlink>
    </w:p>
    <w:p w14:paraId="43102BD6" w14:textId="46CF8E7A" w:rsidR="00C243CC" w:rsidRDefault="00176F3F" w:rsidP="00C243CC">
      <w:pPr>
        <w:pStyle w:val="TableofFigures"/>
        <w:tabs>
          <w:tab w:val="right" w:leader="dot" w:pos="9350"/>
        </w:tabs>
        <w:rPr>
          <w:rFonts w:asciiTheme="minorHAnsi" w:eastAsiaTheme="minorEastAsia" w:hAnsiTheme="minorHAnsi"/>
          <w:noProof/>
          <w:sz w:val="24"/>
        </w:rPr>
      </w:pPr>
      <w:hyperlink w:anchor="_Toc129701168" w:history="1">
        <w:r w:rsidR="00C243CC" w:rsidRPr="007C0366">
          <w:rPr>
            <w:rStyle w:val="Hyperlink"/>
            <w:noProof/>
          </w:rPr>
          <w:t>Figure 5.2. Optimization of TC/FlAsH complex measurements in E. coli lysate-based CFE reactions.</w:t>
        </w:r>
        <w:r w:rsidR="00C243CC">
          <w:rPr>
            <w:noProof/>
            <w:webHidden/>
          </w:rPr>
          <w:tab/>
        </w:r>
        <w:r w:rsidR="00C243CC">
          <w:rPr>
            <w:noProof/>
            <w:webHidden/>
          </w:rPr>
          <w:fldChar w:fldCharType="begin"/>
        </w:r>
        <w:r w:rsidR="00C243CC">
          <w:rPr>
            <w:noProof/>
            <w:webHidden/>
          </w:rPr>
          <w:instrText xml:space="preserve"> PAGEREF _Toc129701168 \h </w:instrText>
        </w:r>
        <w:r w:rsidR="00C243CC">
          <w:rPr>
            <w:noProof/>
            <w:webHidden/>
          </w:rPr>
        </w:r>
        <w:r w:rsidR="00C243CC">
          <w:rPr>
            <w:noProof/>
            <w:webHidden/>
          </w:rPr>
          <w:fldChar w:fldCharType="separate"/>
        </w:r>
        <w:r w:rsidR="00C243CC">
          <w:rPr>
            <w:noProof/>
            <w:webHidden/>
          </w:rPr>
          <w:t>142</w:t>
        </w:r>
        <w:r w:rsidR="00C243CC">
          <w:rPr>
            <w:noProof/>
            <w:webHidden/>
          </w:rPr>
          <w:fldChar w:fldCharType="end"/>
        </w:r>
      </w:hyperlink>
    </w:p>
    <w:p w14:paraId="5E6E9119" w14:textId="55D71EF2" w:rsidR="00C243CC" w:rsidRDefault="00176F3F" w:rsidP="00C243CC">
      <w:pPr>
        <w:pStyle w:val="TableofFigures"/>
        <w:tabs>
          <w:tab w:val="right" w:leader="dot" w:pos="9350"/>
        </w:tabs>
        <w:rPr>
          <w:rFonts w:asciiTheme="minorHAnsi" w:eastAsiaTheme="minorEastAsia" w:hAnsiTheme="minorHAnsi"/>
          <w:noProof/>
          <w:sz w:val="24"/>
        </w:rPr>
      </w:pPr>
      <w:hyperlink w:anchor="_Toc129701169" w:history="1">
        <w:r w:rsidR="00C243CC" w:rsidRPr="007C0366">
          <w:rPr>
            <w:rStyle w:val="Hyperlink"/>
            <w:noProof/>
          </w:rPr>
          <w:t>Figure 5.3. TC/FlAsH analysis of energy substrate requirements in NRPS CFE using BpsA as a model.</w:t>
        </w:r>
        <w:r w:rsidR="00C243CC">
          <w:rPr>
            <w:noProof/>
            <w:webHidden/>
          </w:rPr>
          <w:tab/>
        </w:r>
        <w:r w:rsidR="00C243CC">
          <w:rPr>
            <w:noProof/>
            <w:webHidden/>
          </w:rPr>
          <w:fldChar w:fldCharType="begin"/>
        </w:r>
        <w:r w:rsidR="00C243CC">
          <w:rPr>
            <w:noProof/>
            <w:webHidden/>
          </w:rPr>
          <w:instrText xml:space="preserve"> PAGEREF _Toc129701169 \h </w:instrText>
        </w:r>
        <w:r w:rsidR="00C243CC">
          <w:rPr>
            <w:noProof/>
            <w:webHidden/>
          </w:rPr>
        </w:r>
        <w:r w:rsidR="00C243CC">
          <w:rPr>
            <w:noProof/>
            <w:webHidden/>
          </w:rPr>
          <w:fldChar w:fldCharType="separate"/>
        </w:r>
        <w:r w:rsidR="00C243CC">
          <w:rPr>
            <w:noProof/>
            <w:webHidden/>
          </w:rPr>
          <w:t>147</w:t>
        </w:r>
        <w:r w:rsidR="00C243CC">
          <w:rPr>
            <w:noProof/>
            <w:webHidden/>
          </w:rPr>
          <w:fldChar w:fldCharType="end"/>
        </w:r>
      </w:hyperlink>
    </w:p>
    <w:p w14:paraId="52C15C8C" w14:textId="7E91A0CE" w:rsidR="00C243CC" w:rsidRDefault="00176F3F" w:rsidP="00C243CC">
      <w:pPr>
        <w:pStyle w:val="TableofFigures"/>
        <w:tabs>
          <w:tab w:val="right" w:leader="dot" w:pos="9350"/>
        </w:tabs>
        <w:rPr>
          <w:rFonts w:asciiTheme="minorHAnsi" w:eastAsiaTheme="minorEastAsia" w:hAnsiTheme="minorHAnsi"/>
          <w:noProof/>
          <w:sz w:val="24"/>
        </w:rPr>
      </w:pPr>
      <w:hyperlink w:anchor="_Toc129701170" w:history="1">
        <w:r w:rsidR="00C243CC" w:rsidRPr="007C0366">
          <w:rPr>
            <w:rStyle w:val="Hyperlink"/>
            <w:noProof/>
          </w:rPr>
          <w:t>Figure 5.4. TC/FlAsH analysis of magnesium requirements in NRPS CFE using BpsA as a model.</w:t>
        </w:r>
        <w:r w:rsidR="00C243CC">
          <w:rPr>
            <w:noProof/>
            <w:webHidden/>
          </w:rPr>
          <w:tab/>
        </w:r>
        <w:r w:rsidR="00C243CC">
          <w:rPr>
            <w:noProof/>
            <w:webHidden/>
          </w:rPr>
          <w:fldChar w:fldCharType="begin"/>
        </w:r>
        <w:r w:rsidR="00C243CC">
          <w:rPr>
            <w:noProof/>
            <w:webHidden/>
          </w:rPr>
          <w:instrText xml:space="preserve"> PAGEREF _Toc129701170 \h </w:instrText>
        </w:r>
        <w:r w:rsidR="00C243CC">
          <w:rPr>
            <w:noProof/>
            <w:webHidden/>
          </w:rPr>
        </w:r>
        <w:r w:rsidR="00C243CC">
          <w:rPr>
            <w:noProof/>
            <w:webHidden/>
          </w:rPr>
          <w:fldChar w:fldCharType="separate"/>
        </w:r>
        <w:r w:rsidR="00C243CC">
          <w:rPr>
            <w:noProof/>
            <w:webHidden/>
          </w:rPr>
          <w:t>149</w:t>
        </w:r>
        <w:r w:rsidR="00C243CC">
          <w:rPr>
            <w:noProof/>
            <w:webHidden/>
          </w:rPr>
          <w:fldChar w:fldCharType="end"/>
        </w:r>
      </w:hyperlink>
    </w:p>
    <w:p w14:paraId="5F085959" w14:textId="29B5EA14" w:rsidR="00C243CC" w:rsidRDefault="00176F3F" w:rsidP="00C243CC">
      <w:pPr>
        <w:pStyle w:val="TableofFigures"/>
        <w:tabs>
          <w:tab w:val="right" w:leader="dot" w:pos="9350"/>
        </w:tabs>
        <w:rPr>
          <w:rFonts w:asciiTheme="minorHAnsi" w:eastAsiaTheme="minorEastAsia" w:hAnsiTheme="minorHAnsi"/>
          <w:noProof/>
          <w:sz w:val="24"/>
        </w:rPr>
      </w:pPr>
      <w:hyperlink w:anchor="_Toc129701171" w:history="1">
        <w:r w:rsidR="00C243CC" w:rsidRPr="007C0366">
          <w:rPr>
            <w:rStyle w:val="Hyperlink"/>
            <w:noProof/>
          </w:rPr>
          <w:t>Figure 5.5. TC/FlAsH analysis of amino acid (AA) requirements in NRPS CFE using BpsA as a model.</w:t>
        </w:r>
        <w:r w:rsidR="00C243CC">
          <w:rPr>
            <w:noProof/>
            <w:webHidden/>
          </w:rPr>
          <w:tab/>
        </w:r>
        <w:r w:rsidR="00C243CC">
          <w:rPr>
            <w:noProof/>
            <w:webHidden/>
          </w:rPr>
          <w:fldChar w:fldCharType="begin"/>
        </w:r>
        <w:r w:rsidR="00C243CC">
          <w:rPr>
            <w:noProof/>
            <w:webHidden/>
          </w:rPr>
          <w:instrText xml:space="preserve"> PAGEREF _Toc129701171 \h </w:instrText>
        </w:r>
        <w:r w:rsidR="00C243CC">
          <w:rPr>
            <w:noProof/>
            <w:webHidden/>
          </w:rPr>
        </w:r>
        <w:r w:rsidR="00C243CC">
          <w:rPr>
            <w:noProof/>
            <w:webHidden/>
          </w:rPr>
          <w:fldChar w:fldCharType="separate"/>
        </w:r>
        <w:r w:rsidR="00C243CC">
          <w:rPr>
            <w:noProof/>
            <w:webHidden/>
          </w:rPr>
          <w:t>152</w:t>
        </w:r>
        <w:r w:rsidR="00C243CC">
          <w:rPr>
            <w:noProof/>
            <w:webHidden/>
          </w:rPr>
          <w:fldChar w:fldCharType="end"/>
        </w:r>
      </w:hyperlink>
    </w:p>
    <w:p w14:paraId="5E589A26" w14:textId="4338D442" w:rsidR="00C243CC" w:rsidRDefault="00176F3F" w:rsidP="00C243CC">
      <w:pPr>
        <w:pStyle w:val="TableofFigures"/>
        <w:tabs>
          <w:tab w:val="right" w:leader="dot" w:pos="9350"/>
        </w:tabs>
        <w:rPr>
          <w:rFonts w:asciiTheme="minorHAnsi" w:eastAsiaTheme="minorEastAsia" w:hAnsiTheme="minorHAnsi"/>
          <w:noProof/>
          <w:sz w:val="24"/>
        </w:rPr>
      </w:pPr>
      <w:hyperlink w:anchor="_Toc129701172" w:history="1">
        <w:r w:rsidR="00C243CC" w:rsidRPr="007C0366">
          <w:rPr>
            <w:rStyle w:val="Hyperlink"/>
            <w:noProof/>
          </w:rPr>
          <w:t>Figure 5.6. Conditions optimized for BpsA improve indigoidine production and the expression of similar NRPSs in lysates.</w:t>
        </w:r>
        <w:r w:rsidR="00C243CC">
          <w:rPr>
            <w:noProof/>
            <w:webHidden/>
          </w:rPr>
          <w:tab/>
        </w:r>
        <w:r w:rsidR="00C243CC">
          <w:rPr>
            <w:noProof/>
            <w:webHidden/>
          </w:rPr>
          <w:fldChar w:fldCharType="begin"/>
        </w:r>
        <w:r w:rsidR="00C243CC">
          <w:rPr>
            <w:noProof/>
            <w:webHidden/>
          </w:rPr>
          <w:instrText xml:space="preserve"> PAGEREF _Toc129701172 \h </w:instrText>
        </w:r>
        <w:r w:rsidR="00C243CC">
          <w:rPr>
            <w:noProof/>
            <w:webHidden/>
          </w:rPr>
        </w:r>
        <w:r w:rsidR="00C243CC">
          <w:rPr>
            <w:noProof/>
            <w:webHidden/>
          </w:rPr>
          <w:fldChar w:fldCharType="separate"/>
        </w:r>
        <w:r w:rsidR="00C243CC">
          <w:rPr>
            <w:noProof/>
            <w:webHidden/>
          </w:rPr>
          <w:t>155</w:t>
        </w:r>
        <w:r w:rsidR="00C243CC">
          <w:rPr>
            <w:noProof/>
            <w:webHidden/>
          </w:rPr>
          <w:fldChar w:fldCharType="end"/>
        </w:r>
      </w:hyperlink>
    </w:p>
    <w:p w14:paraId="081E9673" w14:textId="355B3042" w:rsidR="00C243CC" w:rsidRDefault="00176F3F" w:rsidP="00C243CC">
      <w:pPr>
        <w:pStyle w:val="TableofFigures"/>
        <w:tabs>
          <w:tab w:val="right" w:leader="dot" w:pos="9350"/>
        </w:tabs>
        <w:rPr>
          <w:rFonts w:asciiTheme="minorHAnsi" w:eastAsiaTheme="minorEastAsia" w:hAnsiTheme="minorHAnsi"/>
          <w:noProof/>
          <w:sz w:val="24"/>
        </w:rPr>
      </w:pPr>
      <w:hyperlink w:anchor="_Toc129701173" w:history="1">
        <w:r w:rsidR="00C243CC" w:rsidRPr="007C0366">
          <w:rPr>
            <w:rStyle w:val="Hyperlink"/>
            <w:noProof/>
          </w:rPr>
          <w:t>Figure 5.7. Standard curves of indigoidine from purified indigoidine in BAP1 lysate mock reactions.</w:t>
        </w:r>
        <w:r w:rsidR="00C243CC">
          <w:rPr>
            <w:noProof/>
            <w:webHidden/>
          </w:rPr>
          <w:tab/>
        </w:r>
        <w:r w:rsidR="00C243CC">
          <w:rPr>
            <w:noProof/>
            <w:webHidden/>
          </w:rPr>
          <w:fldChar w:fldCharType="begin"/>
        </w:r>
        <w:r w:rsidR="00C243CC">
          <w:rPr>
            <w:noProof/>
            <w:webHidden/>
          </w:rPr>
          <w:instrText xml:space="preserve"> PAGEREF _Toc129701173 \h </w:instrText>
        </w:r>
        <w:r w:rsidR="00C243CC">
          <w:rPr>
            <w:noProof/>
            <w:webHidden/>
          </w:rPr>
        </w:r>
        <w:r w:rsidR="00C243CC">
          <w:rPr>
            <w:noProof/>
            <w:webHidden/>
          </w:rPr>
          <w:fldChar w:fldCharType="separate"/>
        </w:r>
        <w:r w:rsidR="00C243CC">
          <w:rPr>
            <w:noProof/>
            <w:webHidden/>
          </w:rPr>
          <w:t>159</w:t>
        </w:r>
        <w:r w:rsidR="00C243CC">
          <w:rPr>
            <w:noProof/>
            <w:webHidden/>
          </w:rPr>
          <w:fldChar w:fldCharType="end"/>
        </w:r>
      </w:hyperlink>
    </w:p>
    <w:p w14:paraId="187E69CF" w14:textId="0E9AF50D" w:rsidR="00C243CC" w:rsidRDefault="00176F3F" w:rsidP="00C243CC">
      <w:pPr>
        <w:pStyle w:val="TableofFigures"/>
        <w:tabs>
          <w:tab w:val="right" w:leader="dot" w:pos="9350"/>
        </w:tabs>
        <w:rPr>
          <w:rFonts w:asciiTheme="minorHAnsi" w:eastAsiaTheme="minorEastAsia" w:hAnsiTheme="minorHAnsi"/>
          <w:noProof/>
          <w:sz w:val="24"/>
        </w:rPr>
      </w:pPr>
      <w:hyperlink w:anchor="_Toc129701174" w:history="1">
        <w:r w:rsidR="00C243CC" w:rsidRPr="007C0366">
          <w:rPr>
            <w:rStyle w:val="Hyperlink"/>
            <w:noProof/>
          </w:rPr>
          <w:t xml:space="preserve">Figure 5.8. SDS-PAGE gel of purified BpsA-TC expressed heterologously in </w:t>
        </w:r>
        <w:r w:rsidR="00C243CC" w:rsidRPr="007C0366">
          <w:rPr>
            <w:rStyle w:val="Hyperlink"/>
            <w:i/>
            <w:iCs/>
            <w:noProof/>
          </w:rPr>
          <w:t xml:space="preserve">E. coli </w:t>
        </w:r>
        <w:r w:rsidR="00C243CC" w:rsidRPr="007C0366">
          <w:rPr>
            <w:rStyle w:val="Hyperlink"/>
            <w:noProof/>
          </w:rPr>
          <w:t>BAP1</w:t>
        </w:r>
        <w:r w:rsidR="00C243CC" w:rsidRPr="007C0366">
          <w:rPr>
            <w:rStyle w:val="Hyperlink"/>
            <w:i/>
            <w:iCs/>
            <w:noProof/>
          </w:rPr>
          <w:t>.</w:t>
        </w:r>
        <w:r w:rsidR="00C243CC">
          <w:rPr>
            <w:noProof/>
            <w:webHidden/>
          </w:rPr>
          <w:tab/>
        </w:r>
        <w:r w:rsidR="00C243CC">
          <w:rPr>
            <w:noProof/>
            <w:webHidden/>
          </w:rPr>
          <w:fldChar w:fldCharType="begin"/>
        </w:r>
        <w:r w:rsidR="00C243CC">
          <w:rPr>
            <w:noProof/>
            <w:webHidden/>
          </w:rPr>
          <w:instrText xml:space="preserve"> PAGEREF _Toc129701174 \h </w:instrText>
        </w:r>
        <w:r w:rsidR="00C243CC">
          <w:rPr>
            <w:noProof/>
            <w:webHidden/>
          </w:rPr>
        </w:r>
        <w:r w:rsidR="00C243CC">
          <w:rPr>
            <w:noProof/>
            <w:webHidden/>
          </w:rPr>
          <w:fldChar w:fldCharType="separate"/>
        </w:r>
        <w:r w:rsidR="00C243CC">
          <w:rPr>
            <w:noProof/>
            <w:webHidden/>
          </w:rPr>
          <w:t>160</w:t>
        </w:r>
        <w:r w:rsidR="00C243CC">
          <w:rPr>
            <w:noProof/>
            <w:webHidden/>
          </w:rPr>
          <w:fldChar w:fldCharType="end"/>
        </w:r>
      </w:hyperlink>
    </w:p>
    <w:p w14:paraId="44ADEE3C" w14:textId="3FCBFA6E" w:rsidR="00C243CC" w:rsidRDefault="00176F3F" w:rsidP="00C243CC">
      <w:pPr>
        <w:pStyle w:val="TableofFigures"/>
        <w:tabs>
          <w:tab w:val="right" w:leader="dot" w:pos="9350"/>
        </w:tabs>
        <w:rPr>
          <w:rFonts w:asciiTheme="minorHAnsi" w:eastAsiaTheme="minorEastAsia" w:hAnsiTheme="minorHAnsi"/>
          <w:noProof/>
          <w:sz w:val="24"/>
        </w:rPr>
      </w:pPr>
      <w:hyperlink w:anchor="_Toc129701175" w:history="1">
        <w:r w:rsidR="00C243CC" w:rsidRPr="007C0366">
          <w:rPr>
            <w:rStyle w:val="Hyperlink"/>
            <w:noProof/>
          </w:rPr>
          <w:t>Figure 5.9. Optimization of FlAsH concentration for TC/FlAsH measurement and validation in E. coli lysate-based reactions.</w:t>
        </w:r>
        <w:r w:rsidR="00C243CC">
          <w:rPr>
            <w:noProof/>
            <w:webHidden/>
          </w:rPr>
          <w:tab/>
        </w:r>
        <w:r w:rsidR="00C243CC">
          <w:rPr>
            <w:noProof/>
            <w:webHidden/>
          </w:rPr>
          <w:fldChar w:fldCharType="begin"/>
        </w:r>
        <w:r w:rsidR="00C243CC">
          <w:rPr>
            <w:noProof/>
            <w:webHidden/>
          </w:rPr>
          <w:instrText xml:space="preserve"> PAGEREF _Toc129701175 \h </w:instrText>
        </w:r>
        <w:r w:rsidR="00C243CC">
          <w:rPr>
            <w:noProof/>
            <w:webHidden/>
          </w:rPr>
        </w:r>
        <w:r w:rsidR="00C243CC">
          <w:rPr>
            <w:noProof/>
            <w:webHidden/>
          </w:rPr>
          <w:fldChar w:fldCharType="separate"/>
        </w:r>
        <w:r w:rsidR="00C243CC">
          <w:rPr>
            <w:noProof/>
            <w:webHidden/>
          </w:rPr>
          <w:t>160</w:t>
        </w:r>
        <w:r w:rsidR="00C243CC">
          <w:rPr>
            <w:noProof/>
            <w:webHidden/>
          </w:rPr>
          <w:fldChar w:fldCharType="end"/>
        </w:r>
      </w:hyperlink>
    </w:p>
    <w:p w14:paraId="5F994AF0" w14:textId="31FA97A7" w:rsidR="00C243CC" w:rsidRDefault="00176F3F" w:rsidP="00C243CC">
      <w:pPr>
        <w:pStyle w:val="TableofFigures"/>
        <w:tabs>
          <w:tab w:val="right" w:leader="dot" w:pos="9350"/>
        </w:tabs>
        <w:rPr>
          <w:rFonts w:asciiTheme="minorHAnsi" w:eastAsiaTheme="minorEastAsia" w:hAnsiTheme="minorHAnsi"/>
          <w:noProof/>
          <w:sz w:val="24"/>
        </w:rPr>
      </w:pPr>
      <w:hyperlink w:anchor="_Toc129701176" w:history="1">
        <w:r w:rsidR="00C243CC" w:rsidRPr="007C0366">
          <w:rPr>
            <w:rStyle w:val="Hyperlink"/>
            <w:noProof/>
          </w:rPr>
          <w:t>Figure 5.10. BpsA-TC CFE in different temperatures and E. coli lysates.</w:t>
        </w:r>
        <w:r w:rsidR="00C243CC">
          <w:rPr>
            <w:noProof/>
            <w:webHidden/>
          </w:rPr>
          <w:tab/>
        </w:r>
        <w:r w:rsidR="00C243CC">
          <w:rPr>
            <w:noProof/>
            <w:webHidden/>
          </w:rPr>
          <w:fldChar w:fldCharType="begin"/>
        </w:r>
        <w:r w:rsidR="00C243CC">
          <w:rPr>
            <w:noProof/>
            <w:webHidden/>
          </w:rPr>
          <w:instrText xml:space="preserve"> PAGEREF _Toc129701176 \h </w:instrText>
        </w:r>
        <w:r w:rsidR="00C243CC">
          <w:rPr>
            <w:noProof/>
            <w:webHidden/>
          </w:rPr>
        </w:r>
        <w:r w:rsidR="00C243CC">
          <w:rPr>
            <w:noProof/>
            <w:webHidden/>
          </w:rPr>
          <w:fldChar w:fldCharType="separate"/>
        </w:r>
        <w:r w:rsidR="00C243CC">
          <w:rPr>
            <w:noProof/>
            <w:webHidden/>
          </w:rPr>
          <w:t>161</w:t>
        </w:r>
        <w:r w:rsidR="00C243CC">
          <w:rPr>
            <w:noProof/>
            <w:webHidden/>
          </w:rPr>
          <w:fldChar w:fldCharType="end"/>
        </w:r>
      </w:hyperlink>
    </w:p>
    <w:p w14:paraId="16DCBC8C" w14:textId="35B88135" w:rsidR="00C243CC" w:rsidRDefault="00176F3F" w:rsidP="00C243CC">
      <w:pPr>
        <w:pStyle w:val="TableofFigures"/>
        <w:tabs>
          <w:tab w:val="right" w:leader="dot" w:pos="9350"/>
        </w:tabs>
        <w:rPr>
          <w:rFonts w:asciiTheme="minorHAnsi" w:eastAsiaTheme="minorEastAsia" w:hAnsiTheme="minorHAnsi"/>
          <w:noProof/>
          <w:sz w:val="24"/>
        </w:rPr>
      </w:pPr>
      <w:hyperlink w:anchor="_Toc129701177" w:history="1">
        <w:r w:rsidR="00C243CC" w:rsidRPr="007C0366">
          <w:rPr>
            <w:rStyle w:val="Hyperlink"/>
            <w:noProof/>
          </w:rPr>
          <w:t>Figure 5.11. TC/FlAsH measurements in different reaction backgrounds.</w:t>
        </w:r>
        <w:r w:rsidR="00C243CC">
          <w:rPr>
            <w:noProof/>
            <w:webHidden/>
          </w:rPr>
          <w:tab/>
        </w:r>
        <w:r w:rsidR="00C243CC">
          <w:rPr>
            <w:noProof/>
            <w:webHidden/>
          </w:rPr>
          <w:fldChar w:fldCharType="begin"/>
        </w:r>
        <w:r w:rsidR="00C243CC">
          <w:rPr>
            <w:noProof/>
            <w:webHidden/>
          </w:rPr>
          <w:instrText xml:space="preserve"> PAGEREF _Toc129701177 \h </w:instrText>
        </w:r>
        <w:r w:rsidR="00C243CC">
          <w:rPr>
            <w:noProof/>
            <w:webHidden/>
          </w:rPr>
        </w:r>
        <w:r w:rsidR="00C243CC">
          <w:rPr>
            <w:noProof/>
            <w:webHidden/>
          </w:rPr>
          <w:fldChar w:fldCharType="separate"/>
        </w:r>
        <w:r w:rsidR="00C243CC">
          <w:rPr>
            <w:noProof/>
            <w:webHidden/>
          </w:rPr>
          <w:t>162</w:t>
        </w:r>
        <w:r w:rsidR="00C243CC">
          <w:rPr>
            <w:noProof/>
            <w:webHidden/>
          </w:rPr>
          <w:fldChar w:fldCharType="end"/>
        </w:r>
      </w:hyperlink>
    </w:p>
    <w:p w14:paraId="2D39F4CB" w14:textId="6E9CE84C" w:rsidR="00C243CC" w:rsidRDefault="00176F3F" w:rsidP="00C243CC">
      <w:pPr>
        <w:pStyle w:val="TableofFigures"/>
        <w:tabs>
          <w:tab w:val="right" w:leader="dot" w:pos="9350"/>
        </w:tabs>
        <w:rPr>
          <w:rFonts w:asciiTheme="minorHAnsi" w:eastAsiaTheme="minorEastAsia" w:hAnsiTheme="minorHAnsi"/>
          <w:noProof/>
          <w:sz w:val="24"/>
        </w:rPr>
      </w:pPr>
      <w:hyperlink w:anchor="_Toc129701178" w:history="1">
        <w:r w:rsidR="00C243CC" w:rsidRPr="007C0366">
          <w:rPr>
            <w:rStyle w:val="Hyperlink"/>
            <w:noProof/>
          </w:rPr>
          <w:t>Figure 5.12.  Sequence alignment of BpsA indicating the conserved glutamine involved in the ATP binding motif.</w:t>
        </w:r>
        <w:r w:rsidR="00C243CC">
          <w:rPr>
            <w:noProof/>
            <w:webHidden/>
          </w:rPr>
          <w:tab/>
        </w:r>
        <w:r w:rsidR="00C243CC">
          <w:rPr>
            <w:noProof/>
            <w:webHidden/>
          </w:rPr>
          <w:fldChar w:fldCharType="begin"/>
        </w:r>
        <w:r w:rsidR="00C243CC">
          <w:rPr>
            <w:noProof/>
            <w:webHidden/>
          </w:rPr>
          <w:instrText xml:space="preserve"> PAGEREF _Toc129701178 \h </w:instrText>
        </w:r>
        <w:r w:rsidR="00C243CC">
          <w:rPr>
            <w:noProof/>
            <w:webHidden/>
          </w:rPr>
        </w:r>
        <w:r w:rsidR="00C243CC">
          <w:rPr>
            <w:noProof/>
            <w:webHidden/>
          </w:rPr>
          <w:fldChar w:fldCharType="separate"/>
        </w:r>
        <w:r w:rsidR="00C243CC">
          <w:rPr>
            <w:noProof/>
            <w:webHidden/>
          </w:rPr>
          <w:t>163</w:t>
        </w:r>
        <w:r w:rsidR="00C243CC">
          <w:rPr>
            <w:noProof/>
            <w:webHidden/>
          </w:rPr>
          <w:fldChar w:fldCharType="end"/>
        </w:r>
      </w:hyperlink>
    </w:p>
    <w:p w14:paraId="2370D07C" w14:textId="76CB7B5B" w:rsidR="00C243CC" w:rsidRDefault="00176F3F" w:rsidP="00C243CC">
      <w:pPr>
        <w:pStyle w:val="TableofFigures"/>
        <w:tabs>
          <w:tab w:val="right" w:leader="dot" w:pos="9350"/>
        </w:tabs>
        <w:rPr>
          <w:rFonts w:asciiTheme="minorHAnsi" w:eastAsiaTheme="minorEastAsia" w:hAnsiTheme="minorHAnsi"/>
          <w:noProof/>
          <w:sz w:val="24"/>
        </w:rPr>
      </w:pPr>
      <w:hyperlink w:anchor="_Toc129701179" w:history="1">
        <w:r w:rsidR="00C243CC" w:rsidRPr="007C0366">
          <w:rPr>
            <w:rStyle w:val="Hyperlink"/>
            <w:noProof/>
          </w:rPr>
          <w:t>Figure 5.13. Effects of A domain activity on BpsA’s PEP usage and expression.</w:t>
        </w:r>
        <w:r w:rsidR="00C243CC">
          <w:rPr>
            <w:noProof/>
            <w:webHidden/>
          </w:rPr>
          <w:tab/>
        </w:r>
        <w:r w:rsidR="00C243CC">
          <w:rPr>
            <w:noProof/>
            <w:webHidden/>
          </w:rPr>
          <w:fldChar w:fldCharType="begin"/>
        </w:r>
        <w:r w:rsidR="00C243CC">
          <w:rPr>
            <w:noProof/>
            <w:webHidden/>
          </w:rPr>
          <w:instrText xml:space="preserve"> PAGEREF _Toc129701179 \h </w:instrText>
        </w:r>
        <w:r w:rsidR="00C243CC">
          <w:rPr>
            <w:noProof/>
            <w:webHidden/>
          </w:rPr>
        </w:r>
        <w:r w:rsidR="00C243CC">
          <w:rPr>
            <w:noProof/>
            <w:webHidden/>
          </w:rPr>
          <w:fldChar w:fldCharType="separate"/>
        </w:r>
        <w:r w:rsidR="00C243CC">
          <w:rPr>
            <w:noProof/>
            <w:webHidden/>
          </w:rPr>
          <w:t>164</w:t>
        </w:r>
        <w:r w:rsidR="00C243CC">
          <w:rPr>
            <w:noProof/>
            <w:webHidden/>
          </w:rPr>
          <w:fldChar w:fldCharType="end"/>
        </w:r>
      </w:hyperlink>
    </w:p>
    <w:p w14:paraId="39FAFC7D" w14:textId="0989B622" w:rsidR="00C243CC" w:rsidRDefault="00176F3F" w:rsidP="00C243CC">
      <w:pPr>
        <w:pStyle w:val="TableofFigures"/>
        <w:tabs>
          <w:tab w:val="right" w:leader="dot" w:pos="9350"/>
        </w:tabs>
        <w:rPr>
          <w:rFonts w:asciiTheme="minorHAnsi" w:eastAsiaTheme="minorEastAsia" w:hAnsiTheme="minorHAnsi"/>
          <w:noProof/>
          <w:sz w:val="24"/>
        </w:rPr>
      </w:pPr>
      <w:hyperlink w:anchor="_Toc129701180" w:history="1">
        <w:r w:rsidR="00C243CC" w:rsidRPr="007C0366">
          <w:rPr>
            <w:rStyle w:val="Hyperlink"/>
            <w:noProof/>
          </w:rPr>
          <w:t>Figure 5.14. SDS-PAGE validation of magnesium concentration effects on BpsA expression.</w:t>
        </w:r>
        <w:r w:rsidR="00C243CC">
          <w:rPr>
            <w:noProof/>
            <w:webHidden/>
          </w:rPr>
          <w:tab/>
        </w:r>
        <w:r w:rsidR="00C243CC">
          <w:rPr>
            <w:noProof/>
            <w:webHidden/>
          </w:rPr>
          <w:fldChar w:fldCharType="begin"/>
        </w:r>
        <w:r w:rsidR="00C243CC">
          <w:rPr>
            <w:noProof/>
            <w:webHidden/>
          </w:rPr>
          <w:instrText xml:space="preserve"> PAGEREF _Toc129701180 \h </w:instrText>
        </w:r>
        <w:r w:rsidR="00C243CC">
          <w:rPr>
            <w:noProof/>
            <w:webHidden/>
          </w:rPr>
        </w:r>
        <w:r w:rsidR="00C243CC">
          <w:rPr>
            <w:noProof/>
            <w:webHidden/>
          </w:rPr>
          <w:fldChar w:fldCharType="separate"/>
        </w:r>
        <w:r w:rsidR="00C243CC">
          <w:rPr>
            <w:noProof/>
            <w:webHidden/>
          </w:rPr>
          <w:t>165</w:t>
        </w:r>
        <w:r w:rsidR="00C243CC">
          <w:rPr>
            <w:noProof/>
            <w:webHidden/>
          </w:rPr>
          <w:fldChar w:fldCharType="end"/>
        </w:r>
      </w:hyperlink>
    </w:p>
    <w:p w14:paraId="6CB52046" w14:textId="495326F3" w:rsidR="00C243CC" w:rsidRDefault="00176F3F" w:rsidP="00C243CC">
      <w:pPr>
        <w:pStyle w:val="TableofFigures"/>
        <w:tabs>
          <w:tab w:val="right" w:leader="dot" w:pos="9350"/>
        </w:tabs>
        <w:rPr>
          <w:rFonts w:asciiTheme="minorHAnsi" w:eastAsiaTheme="minorEastAsia" w:hAnsiTheme="minorHAnsi"/>
          <w:noProof/>
          <w:sz w:val="24"/>
        </w:rPr>
      </w:pPr>
      <w:hyperlink w:anchor="_Toc129701181" w:history="1">
        <w:r w:rsidR="00C243CC" w:rsidRPr="007C0366">
          <w:rPr>
            <w:rStyle w:val="Hyperlink"/>
            <w:noProof/>
          </w:rPr>
          <w:t>Figure 5.15. SDS-PAGE validation of amino acid concentration effects on BpsA expression.</w:t>
        </w:r>
        <w:r w:rsidR="00C243CC">
          <w:rPr>
            <w:noProof/>
            <w:webHidden/>
          </w:rPr>
          <w:tab/>
        </w:r>
        <w:r w:rsidR="00C243CC">
          <w:rPr>
            <w:noProof/>
            <w:webHidden/>
          </w:rPr>
          <w:fldChar w:fldCharType="begin"/>
        </w:r>
        <w:r w:rsidR="00C243CC">
          <w:rPr>
            <w:noProof/>
            <w:webHidden/>
          </w:rPr>
          <w:instrText xml:space="preserve"> PAGEREF _Toc129701181 \h </w:instrText>
        </w:r>
        <w:r w:rsidR="00C243CC">
          <w:rPr>
            <w:noProof/>
            <w:webHidden/>
          </w:rPr>
        </w:r>
        <w:r w:rsidR="00C243CC">
          <w:rPr>
            <w:noProof/>
            <w:webHidden/>
          </w:rPr>
          <w:fldChar w:fldCharType="separate"/>
        </w:r>
        <w:r w:rsidR="00C243CC">
          <w:rPr>
            <w:noProof/>
            <w:webHidden/>
          </w:rPr>
          <w:t>165</w:t>
        </w:r>
        <w:r w:rsidR="00C243CC">
          <w:rPr>
            <w:noProof/>
            <w:webHidden/>
          </w:rPr>
          <w:fldChar w:fldCharType="end"/>
        </w:r>
      </w:hyperlink>
    </w:p>
    <w:p w14:paraId="7BA4079A" w14:textId="218D0F80" w:rsidR="00C243CC" w:rsidRDefault="00176F3F" w:rsidP="00C243CC">
      <w:pPr>
        <w:pStyle w:val="TableofFigures"/>
        <w:tabs>
          <w:tab w:val="right" w:leader="dot" w:pos="9350"/>
        </w:tabs>
        <w:rPr>
          <w:rFonts w:asciiTheme="minorHAnsi" w:eastAsiaTheme="minorEastAsia" w:hAnsiTheme="minorHAnsi"/>
          <w:noProof/>
          <w:sz w:val="24"/>
        </w:rPr>
      </w:pPr>
      <w:hyperlink w:anchor="_Toc129701182" w:history="1">
        <w:r w:rsidR="00C243CC" w:rsidRPr="007C0366">
          <w:rPr>
            <w:rStyle w:val="Hyperlink"/>
            <w:noProof/>
          </w:rPr>
          <w:t>Figure 5.16. SDS-PAGE gel of elutions from the StrepII-tag purification of TycA.</w:t>
        </w:r>
        <w:r w:rsidR="00C243CC">
          <w:rPr>
            <w:noProof/>
            <w:webHidden/>
          </w:rPr>
          <w:tab/>
        </w:r>
        <w:r w:rsidR="00C243CC">
          <w:rPr>
            <w:noProof/>
            <w:webHidden/>
          </w:rPr>
          <w:fldChar w:fldCharType="begin"/>
        </w:r>
        <w:r w:rsidR="00C243CC">
          <w:rPr>
            <w:noProof/>
            <w:webHidden/>
          </w:rPr>
          <w:instrText xml:space="preserve"> PAGEREF _Toc129701182 \h </w:instrText>
        </w:r>
        <w:r w:rsidR="00C243CC">
          <w:rPr>
            <w:noProof/>
            <w:webHidden/>
          </w:rPr>
        </w:r>
        <w:r w:rsidR="00C243CC">
          <w:rPr>
            <w:noProof/>
            <w:webHidden/>
          </w:rPr>
          <w:fldChar w:fldCharType="separate"/>
        </w:r>
        <w:r w:rsidR="00C243CC">
          <w:rPr>
            <w:noProof/>
            <w:webHidden/>
          </w:rPr>
          <w:t>166</w:t>
        </w:r>
        <w:r w:rsidR="00C243CC">
          <w:rPr>
            <w:noProof/>
            <w:webHidden/>
          </w:rPr>
          <w:fldChar w:fldCharType="end"/>
        </w:r>
      </w:hyperlink>
    </w:p>
    <w:p w14:paraId="365E9881" w14:textId="5EC4879E" w:rsidR="009E54F8" w:rsidRPr="00E033D4" w:rsidRDefault="00EA1382" w:rsidP="00C243CC">
      <w:pPr>
        <w:contextualSpacing/>
        <w:jc w:val="left"/>
        <w:rPr>
          <w:rFonts w:eastAsia="Times New Roman" w:cs="Arial"/>
          <w:b/>
          <w:bCs/>
          <w:color w:val="000000"/>
          <w:sz w:val="32"/>
          <w:szCs w:val="32"/>
        </w:rPr>
      </w:pPr>
      <w:r>
        <w:rPr>
          <w:rFonts w:eastAsia="Times New Roman" w:cs="Arial"/>
          <w:b/>
          <w:bCs/>
          <w:color w:val="000000"/>
          <w:sz w:val="32"/>
          <w:szCs w:val="32"/>
        </w:rPr>
        <w:fldChar w:fldCharType="end"/>
      </w:r>
    </w:p>
    <w:p w14:paraId="40A676FF" w14:textId="684015CB" w:rsidR="001C508F" w:rsidRDefault="001C508F" w:rsidP="001C508F">
      <w:pPr>
        <w:contextualSpacing/>
        <w:jc w:val="center"/>
        <w:rPr>
          <w:rFonts w:eastAsia="Times New Roman" w:cs="Arial"/>
          <w:b/>
          <w:bCs/>
          <w:color w:val="000000"/>
          <w:sz w:val="28"/>
          <w:szCs w:val="28"/>
        </w:rPr>
        <w:sectPr w:rsidR="001C508F" w:rsidSect="00D02884">
          <w:footerReference w:type="even" r:id="rId8"/>
          <w:footerReference w:type="default" r:id="rId9"/>
          <w:pgSz w:w="12240" w:h="15840"/>
          <w:pgMar w:top="1440" w:right="1440" w:bottom="1440" w:left="1440" w:header="708" w:footer="708" w:gutter="0"/>
          <w:pgNumType w:fmt="lowerRoman" w:start="1"/>
          <w:cols w:space="708"/>
          <w:titlePg/>
          <w:docGrid w:linePitch="360"/>
        </w:sectPr>
      </w:pPr>
    </w:p>
    <w:p w14:paraId="61058792" w14:textId="2B3B377A" w:rsidR="0085259B" w:rsidRPr="0085259B" w:rsidRDefault="0038757A" w:rsidP="00EA1382">
      <w:pPr>
        <w:jc w:val="center"/>
        <w:rPr>
          <w:rFonts w:cs="Arial"/>
          <w:b/>
          <w:bCs/>
          <w:sz w:val="32"/>
          <w:szCs w:val="32"/>
        </w:rPr>
      </w:pPr>
      <w:r w:rsidRPr="0038757A">
        <w:rPr>
          <w:rFonts w:cs="Arial"/>
          <w:b/>
          <w:bCs/>
          <w:sz w:val="32"/>
          <w:szCs w:val="32"/>
        </w:rPr>
        <w:lastRenderedPageBreak/>
        <w:t xml:space="preserve">CHAPTER </w:t>
      </w:r>
      <w:r w:rsidR="001C508F" w:rsidRPr="0038757A">
        <w:rPr>
          <w:rFonts w:cs="Arial"/>
          <w:b/>
          <w:bCs/>
          <w:sz w:val="32"/>
          <w:szCs w:val="32"/>
        </w:rPr>
        <w:t>1</w:t>
      </w:r>
    </w:p>
    <w:p w14:paraId="0C6BAF58" w14:textId="3FF3320A" w:rsidR="001C508F" w:rsidRPr="0038757A" w:rsidRDefault="0038757A" w:rsidP="0038757A">
      <w:pPr>
        <w:pStyle w:val="ChapterTitle"/>
      </w:pPr>
      <w:bookmarkStart w:id="0" w:name="_Toc129700994"/>
      <w:r w:rsidRPr="0038757A">
        <w:t>INTRODUCTION</w:t>
      </w:r>
      <w:bookmarkEnd w:id="0"/>
    </w:p>
    <w:p w14:paraId="54808B53" w14:textId="77777777" w:rsidR="001C508F" w:rsidRDefault="001C508F">
      <w:pPr>
        <w:rPr>
          <w:rFonts w:eastAsia="Times New Roman" w:cs="Arial"/>
          <w:b/>
          <w:bCs/>
          <w:color w:val="000000"/>
          <w:sz w:val="28"/>
          <w:szCs w:val="28"/>
          <w:lang w:val="en-US"/>
        </w:rPr>
      </w:pPr>
      <w:r>
        <w:br w:type="page"/>
      </w:r>
    </w:p>
    <w:p w14:paraId="445AD24B" w14:textId="34F92155" w:rsidR="00491EAC" w:rsidRPr="001C508F" w:rsidRDefault="008E289D" w:rsidP="001C508F">
      <w:pPr>
        <w:pStyle w:val="ChapterHeading"/>
      </w:pPr>
      <w:bookmarkStart w:id="1" w:name="_Toc129700995"/>
      <w:r w:rsidRPr="008E289D">
        <w:lastRenderedPageBreak/>
        <w:t>1.1. B</w:t>
      </w:r>
      <w:r w:rsidR="00935195" w:rsidRPr="008E289D">
        <w:t>iomanufacturing in a Growing Bioeconomy</w:t>
      </w:r>
      <w:bookmarkEnd w:id="1"/>
    </w:p>
    <w:p w14:paraId="7D467264" w14:textId="404CD2A4" w:rsidR="00E43B04" w:rsidRPr="00E43B04" w:rsidRDefault="00E43B04" w:rsidP="0008141D">
      <w:pPr>
        <w:ind w:firstLine="720"/>
        <w:contextualSpacing/>
        <w:rPr>
          <w:rFonts w:eastAsia="Times New Roman" w:cs="Arial"/>
          <w:szCs w:val="22"/>
        </w:rPr>
      </w:pPr>
      <w:r w:rsidRPr="00E43B04">
        <w:rPr>
          <w:rFonts w:eastAsia="Times New Roman" w:cs="Arial"/>
          <w:color w:val="000000"/>
          <w:szCs w:val="22"/>
        </w:rPr>
        <w:t>Biotechnology is revolutionizing various industries (e.g., healthcare, agriculture, plastics, food, and energy), and is emerging in others (e.g., textiles and aquaculture)</w:t>
      </w:r>
      <w:r w:rsidR="00651A3C" w:rsidRPr="00A71FCF">
        <w:rPr>
          <w:rFonts w:eastAsia="Times New Roman" w:cs="Arial"/>
          <w:color w:val="000000"/>
          <w:szCs w:val="22"/>
        </w:rPr>
        <w:fldChar w:fldCharType="begin" w:fldLock="1"/>
      </w:r>
      <w:r w:rsidR="00764759" w:rsidRPr="00A71FCF">
        <w:rPr>
          <w:rFonts w:eastAsia="Times New Roman" w:cs="Arial"/>
          <w:color w:val="000000"/>
          <w:szCs w:val="22"/>
        </w:rPr>
        <w:instrText>ADDIN CSL_CITATION {"citationItems":[{"id":"ITEM-1","itemData":{"DOI":"10.17226/25525","ISBN":"978-0-309-49567-7","abstract":"Research and innovation in the life sciences is driving rapid growth in agriculture, biomedical science, information science and computing, energy, and other sectors of the U.S. economy. This economic activity, conceptually referred to as the bioeconomy, presents many opportunities to create jobs, improve the quality of life, and continue to drive economic growth. While the United States has been a leader in advancements in the biological sciences, other countries are also actively investing in and expanding their capabilities in this area. Maintaining competitiveness in the bioeconomy is key to maintaining the economic health and security of the United States and other nations. Safeguarding the Bioeconomy evaluates preexisting and potential approaches for assessing the value of the bioeconomy and identifies intangible assets not sufficiently captured or that are missing from U.S. assessments. This study considers strategies for safeguarding and sustaining the economic activity driven by research and innovation in the life sciences. It also presents ideas for horizon scanning mechanisms to identify new technologies, markets, and data sources that have the potential to drive future development of the bioeconomy.","author":[{"dropping-particle":"","family":"National Academies of Sciences","given":"Engineering, and Medicine","non-dropping-particle":"","parse-names":false,"suffix":""}],"container-title":"Safeguarding the Bioeconomy","id":"ITEM-1","issued":{"date-parts":[["2020","1","14"]]},"publisher":"National Academies Press","title":"Safeguarding the Bioeconomy","type":"report"},"uris":["http://www.mendeley.com/documents/?uuid=dac149cd-d180-3cc0-82f9-90ac491da5a1"]}],"mendeley":{"formattedCitation":"&lt;sup&gt;1&lt;/sup&gt;","plainTextFormattedCitation":"1","previouslyFormattedCitation":"&lt;sup&gt;1&lt;/sup&gt;"},"properties":{"noteIndex":0},"schema":"https://github.com/citation-style-language/schema/raw/master/csl-citation.json"}</w:instrText>
      </w:r>
      <w:r w:rsidR="00651A3C" w:rsidRPr="00A71FCF">
        <w:rPr>
          <w:rFonts w:eastAsia="Times New Roman" w:cs="Arial"/>
          <w:color w:val="000000"/>
          <w:szCs w:val="22"/>
        </w:rPr>
        <w:fldChar w:fldCharType="separate"/>
      </w:r>
      <w:r w:rsidR="00764759" w:rsidRPr="00A71FCF">
        <w:rPr>
          <w:rFonts w:eastAsia="Times New Roman" w:cs="Arial"/>
          <w:noProof/>
          <w:color w:val="000000"/>
          <w:szCs w:val="22"/>
          <w:vertAlign w:val="superscript"/>
        </w:rPr>
        <w:t>1</w:t>
      </w:r>
      <w:r w:rsidR="00651A3C" w:rsidRPr="00A71FCF">
        <w:rPr>
          <w:rFonts w:eastAsia="Times New Roman" w:cs="Arial"/>
          <w:color w:val="000000"/>
          <w:szCs w:val="22"/>
        </w:rPr>
        <w:fldChar w:fldCharType="end"/>
      </w:r>
      <w:r w:rsidR="00764759" w:rsidRPr="00A71FCF">
        <w:rPr>
          <w:rFonts w:eastAsia="Times New Roman" w:cs="Arial"/>
          <w:color w:val="000000"/>
          <w:szCs w:val="22"/>
        </w:rPr>
        <w:t>.</w:t>
      </w:r>
      <w:r w:rsidR="00651A3C" w:rsidRPr="00A71FCF">
        <w:rPr>
          <w:rFonts w:eastAsia="Times New Roman" w:cs="Arial"/>
          <w:color w:val="000000"/>
          <w:szCs w:val="22"/>
        </w:rPr>
        <w:t xml:space="preserve"> </w:t>
      </w:r>
      <w:r w:rsidRPr="00E43B04">
        <w:rPr>
          <w:rFonts w:eastAsia="Times New Roman" w:cs="Arial"/>
          <w:color w:val="000000"/>
          <w:szCs w:val="22"/>
        </w:rPr>
        <w:t>As a result, the bioeconomy–which encompasses these economic sectors that are impacted by biologically derived products, services, and processes–is growing and positively influencing overall economic development</w:t>
      </w:r>
      <w:r w:rsidR="00764759" w:rsidRPr="00A71FCF">
        <w:rPr>
          <w:rFonts w:eastAsia="Times New Roman" w:cs="Arial"/>
          <w:color w:val="000000"/>
          <w:szCs w:val="22"/>
        </w:rPr>
        <w:fldChar w:fldCharType="begin" w:fldLock="1"/>
      </w:r>
      <w:r w:rsidR="009E1B58" w:rsidRPr="00A71FCF">
        <w:rPr>
          <w:rFonts w:eastAsia="Times New Roman" w:cs="Arial"/>
          <w:color w:val="000000"/>
          <w:szCs w:val="22"/>
        </w:rPr>
        <w:instrText>ADDIN CSL_CITATION {"citationItems":[{"id":"ITEM-1","itemData":{"abstract":"The term bioeconomy refers to the share of the economy based on products, services, and processes derived from biological resources (e.g., plants and microorganisms). The bioeconomy is crosscutting, encompassing multiple sectors, in whole or in part (e.g., agriculture, textiles, chemicals, and energy). Many predict that the bioeconomy will be a key component of the future economy. Specifically, many view the development of and transition to predominantly a bioeconomy as a means to address grand challenges such as climate change, food security, energy independence, and environmental sustainability. Advancing the bioeconomy is also viewed as an opportunity to create new jobs and industries, improve human health through the development of new drugs and diagnostics, and boost rural development. Some experts estimate the direct economic impact of bio-based products, services, and processes at up to $4 trillion per year globally over the next 10 years. U.S. competitiveness and leadership in the future global bioeconomy is uncertain. In 2012, the Office of Science and Technology Policy (OSTP) released a comprehensive vision for the U.S. bioeconomy. Progress on the goals and objectives outlined in the report remains unclear. Since 2016, the U.S. Department of Agriculture and the Department of Energy have led federal efforts on development of the U.S. bioeconomy. However, according to the International Advisory Council on Global Bioeconomy, such agencies have a \"more agricultural and bioresources-based vision\" than the crosscutting and comprehensive vision proposed by OSTP in 2012 (e.g., biomedicine, health, and biodefense are not emphasized). Organizations, including the National Academies of Sciences, Engineering, and Medicine, have recommended that the federal government develop and regularly update a comprehensive bioeconomy strategy to sustain and grow the U.S. bioeconomy. On September 12, 2022, the Biden Administration issued an executive order creating the National Biotechnology and Biomanufacturing Initiative with the goal of accelerating biotechnology innovation and growing the U.S bioeconomy across multiple sectors. Other countries are adopting and implementing comprehensive policies and strategies to advance their bioeconomies. Such efforts have the potential to challenge U.S. leadership in biotechnology and other bioeconomy-related sectors that many view as critical to national security and economic competitiveness. Congress may consider a number of …","author":[{"dropping-particle":"","family":"Gallo","given":"Marcy E","non-dropping-particle":"","parse-names":false,"suffix":""}],"id":"ITEM-1","issued":{"date-parts":[["2022"]]},"title":"The Bioeconomy: A Primer","type":"report"},"uris":["http://www.mendeley.com/documents/?uuid=ba3620b3-e89d-3e48-8812-28c20cf51d15"]},{"id":"ITEM-2","itemData":{"DOI":"10.1002/BBB.1728","ISSN":"1932-1031","abstract":"This paper is the summation of several analyses to assess the size and benefits of a Billion Ton Bioeconomy, a vision to enable a sustainable market for producing and converting a billion tons of US biomass to bio-based energy, fuels, and products by 2030. Two alternative biomass availability scenarios in 2030, defined as the (i) Business-as-usual (598 million dry tons) and (ii) Billion Ton (1042 million dry tons), establish a range of possible outcomes for the future bioeconomy. The biomass utilized in the current (2014) (365 million dry tons) economy is estimated to displace approximately 2.4% of fossil energy consumption and avoid 116 million tons of CO2-equivalent (CO2e) emissions, whereas the Billion Ton bioeconomy of 2030 could displace 9.5% of fossil energy consumption and avoid as much as 446 million tons of CO2equivalent emissions annually. Developing the integrated systems, supply chains, and infrastructure to efficiently grow, harvest, transport, and convert large quantities of biomass in a sustainable way could support the transition to a low-carbon economy. Bio-based activities in the current (2014) economy are estimated to have directly generated more than $48 billion in revenue and 285 000 jobs. Our estimates show that developing biomass resources and addressing current limitations to achieve a Billion Ton bioeconomy could expand direct bioeconomy revenue by a factor of 5 to contribute nearly $259 billion and 1.1 million jobs to the US economy by 2030. © 2016 Society of Chemical Industry and John Wiley &amp; Sons, Ltd.","author":[{"dropping-particle":"","family":"Rogers","given":"Jonathan N.","non-dropping-particle":"","parse-names":false,"suffix":""},{"dropping-particle":"","family":"Stokes","given":"Bryce","non-dropping-particle":"","parse-names":false,"suffix":""},{"dropping-particle":"","family":"Dunn","given":"Jennifer","non-dropping-particle":"","parse-names":false,"suffix":""},{"dropping-particle":"","family":"Cai","given":"Hao","non-dropping-particle":"","parse-names":false,"suffix":""},{"dropping-particle":"","family":"Wu","given":"May","non-dropping-particle":"","parse-names":false,"suffix":""},{"dropping-particle":"","family":"Haq","given":"Zia","non-dropping-particle":"","parse-names":false,"suffix":""},{"dropping-particle":"","family":"Baumes","given":"Harry","non-dropping-particle":"","parse-names":false,"suffix":""}],"container-title":"Biofuels, Bioproducts and Biorefining","id":"ITEM-2","issue":"1","issued":{"date-parts":[["2017","1","1"]]},"page":"110-128","publisher":"John Wiley &amp; Sons, Ltd","title":"An assessment of the potential products and economic and environmental impacts resulting from a billion ton bioeconomy","type":"article-journal","volume":"11"},"uris":["http://www.mendeley.com/documents/?uuid=2d4db7ed-dbb0-3b93-b28c-8817dabd14d4"]}],"mendeley":{"formattedCitation":"&lt;sup&gt;2,3&lt;/sup&gt;","plainTextFormattedCitation":"2,3","previouslyFormattedCitation":"&lt;sup&gt;2,3&lt;/sup&gt;"},"properties":{"noteIndex":0},"schema":"https://github.com/citation-style-language/schema/raw/master/csl-citation.json"}</w:instrText>
      </w:r>
      <w:r w:rsidR="00764759" w:rsidRPr="00A71FCF">
        <w:rPr>
          <w:rFonts w:eastAsia="Times New Roman" w:cs="Arial"/>
          <w:color w:val="000000"/>
          <w:szCs w:val="22"/>
        </w:rPr>
        <w:fldChar w:fldCharType="separate"/>
      </w:r>
      <w:r w:rsidR="00DC26C3" w:rsidRPr="00A71FCF">
        <w:rPr>
          <w:rFonts w:eastAsia="Times New Roman" w:cs="Arial"/>
          <w:noProof/>
          <w:color w:val="000000"/>
          <w:szCs w:val="22"/>
          <w:vertAlign w:val="superscript"/>
        </w:rPr>
        <w:t>2,3</w:t>
      </w:r>
      <w:r w:rsidR="00764759" w:rsidRPr="00A71FCF">
        <w:rPr>
          <w:rFonts w:eastAsia="Times New Roman" w:cs="Arial"/>
          <w:color w:val="000000"/>
          <w:szCs w:val="22"/>
        </w:rPr>
        <w:fldChar w:fldCharType="end"/>
      </w:r>
      <w:r w:rsidR="00764759" w:rsidRPr="00A71FCF">
        <w:rPr>
          <w:rFonts w:eastAsia="Times New Roman" w:cs="Arial"/>
          <w:color w:val="000000"/>
          <w:szCs w:val="22"/>
        </w:rPr>
        <w:t>.</w:t>
      </w:r>
      <w:r w:rsidRPr="00E43B04">
        <w:rPr>
          <w:rFonts w:eastAsia="Times New Roman" w:cs="Arial"/>
          <w:color w:val="000000"/>
          <w:szCs w:val="22"/>
        </w:rPr>
        <w:t xml:space="preserve"> The United States bioeconomy accounted for about 5% of gross domestic product in 2016, and </w:t>
      </w:r>
      <w:r w:rsidR="007A7F7A" w:rsidRPr="00A71FCF">
        <w:rPr>
          <w:rFonts w:eastAsia="Times New Roman" w:cs="Arial"/>
          <w:color w:val="000000"/>
          <w:szCs w:val="22"/>
        </w:rPr>
        <w:t xml:space="preserve">is </w:t>
      </w:r>
      <w:r w:rsidRPr="00E43B04">
        <w:rPr>
          <w:rFonts w:eastAsia="Times New Roman" w:cs="Arial"/>
          <w:color w:val="000000"/>
          <w:szCs w:val="22"/>
        </w:rPr>
        <w:t>projected to provide more than 1 million job opportunities by 2030</w:t>
      </w:r>
      <w:r w:rsidR="00764759" w:rsidRPr="00A71FCF">
        <w:rPr>
          <w:rFonts w:eastAsia="Times New Roman" w:cs="Arial"/>
          <w:color w:val="000000"/>
          <w:szCs w:val="22"/>
        </w:rPr>
        <w:fldChar w:fldCharType="begin" w:fldLock="1"/>
      </w:r>
      <w:r w:rsidR="00FA31CC" w:rsidRPr="00A71FCF">
        <w:rPr>
          <w:rFonts w:eastAsia="Times New Roman" w:cs="Arial"/>
          <w:color w:val="000000"/>
          <w:szCs w:val="22"/>
        </w:rPr>
        <w:instrText>ADDIN CSL_CITATION {"citationItems":[{"id":"ITEM-1","itemData":{"URL":"https://ebrc.org/actions-to-enable-an-equitable-and-innovative-us-bioeconomy/","accessed":{"date-parts":[["2023","2","9"]]},"author":[{"dropping-particle":"","family":"Hinman","given":"Albert W.","non-dropping-particle":"","parse-names":false,"suffix":""},{"dropping-particle":"","family":"Friedman","given":"Douglas","non-dropping-particle":"","parse-names":false,"suffix":""}],"container-title":"Ebrc","id":"ITEM-1","issued":{"date-parts":[["2022"]]},"page":"doi.org/10.25498/E4X59D","title":"Actions to Enable an Equitable and Innovative","type":"webpage"},"uris":["http://www.mendeley.com/documents/?uuid=e8220d5f-35e9-3112-93eb-98a1b1a9eca0"]},{"id":"ITEM-2","itemData":{"DOI":"10.1002/BBB.1728","ISSN":"1932-1031","abstract":"This paper is the summation of several analyses to assess the size and benefits of a Billion Ton Bioeconomy, a vision to enable a sustainable market for producing and converting a billion tons of US biomass to bio-based energy, fuels, and products by 2030. Two alternative biomass availability scenarios in 2030, defined as the (i) Business-as-usual (598 million dry tons) and (ii) Billion Ton (1042 million dry tons), establish a range of possible outcomes for the future bioeconomy. The biomass utilized in the current (2014) (365 million dry tons) economy is estimated to displace approximately 2.4% of fossil energy consumption and avoid 116 million tons of CO2-equivalent (CO2e) emissions, whereas the Billion Ton bioeconomy of 2030 could displace 9.5% of fossil energy consumption and avoid as much as 446 million tons of CO2equivalent emissions annually. Developing the integrated systems, supply chains, and infrastructure to efficiently grow, harvest, transport, and convert large quantities of biomass in a sustainable way could support the transition to a low-carbon economy. Bio-based activities in the current (2014) economy are estimated to have directly generated more than $48 billion in revenue and 285 000 jobs. Our estimates show that developing biomass resources and addressing current limitations to achieve a Billion Ton bioeconomy could expand direct bioeconomy revenue by a factor of 5 to contribute nearly $259 billion and 1.1 million jobs to the US economy by 2030. © 2016 Society of Chemical Industry and John Wiley &amp; Sons, Ltd.","author":[{"dropping-particle":"","family":"Rogers","given":"Jonathan N.","non-dropping-particle":"","parse-names":false,"suffix":""},{"dropping-particle":"","family":"Stokes","given":"Bryce","non-dropping-particle":"","parse-names":false,"suffix":""},{"dropping-particle":"","family":"Dunn","given":"Jennifer","non-dropping-particle":"","parse-names":false,"suffix":""},{"dropping-particle":"","family":"Cai","given":"Hao","non-dropping-particle":"","parse-names":false,"suffix":""},{"dropping-particle":"","family":"Wu","given":"May","non-dropping-particle":"","parse-names":false,"suffix":""},{"dropping-particle":"","family":"Haq","given":"Zia","non-dropping-particle":"","parse-names":false,"suffix":""},{"dropping-particle":"","family":"Baumes","given":"Harry","non-dropping-particle":"","parse-names":false,"suffix":""}],"container-title":"Biofuels, Bioproducts and Biorefining","id":"ITEM-2","issue":"1","issued":{"date-parts":[["2017","1","1"]]},"page":"110-128","publisher":"John Wiley &amp; Sons, Ltd","title":"An assessment of the potential products and economic and environmental impacts resulting from a billion ton bioeconomy","type":"article-journal","volume":"11"},"uris":["http://www.mendeley.com/documents/?uuid=2d4db7ed-dbb0-3b93-b28c-8817dabd14d4"]}],"mendeley":{"formattedCitation":"&lt;sup&gt;3,4&lt;/sup&gt;","plainTextFormattedCitation":"3,4","previouslyFormattedCitation":"&lt;sup&gt;3,4&lt;/sup&gt;"},"properties":{"noteIndex":0},"schema":"https://github.com/citation-style-language/schema/raw/master/csl-citation.json"}</w:instrText>
      </w:r>
      <w:r w:rsidR="00764759" w:rsidRPr="00A71FCF">
        <w:rPr>
          <w:rFonts w:eastAsia="Times New Roman" w:cs="Arial"/>
          <w:color w:val="000000"/>
          <w:szCs w:val="22"/>
        </w:rPr>
        <w:fldChar w:fldCharType="separate"/>
      </w:r>
      <w:r w:rsidR="00FA31CC" w:rsidRPr="00A71FCF">
        <w:rPr>
          <w:rFonts w:eastAsia="Times New Roman" w:cs="Arial"/>
          <w:noProof/>
          <w:color w:val="000000"/>
          <w:szCs w:val="22"/>
          <w:vertAlign w:val="superscript"/>
        </w:rPr>
        <w:t>3,4</w:t>
      </w:r>
      <w:r w:rsidR="00764759" w:rsidRPr="00A71FCF">
        <w:rPr>
          <w:rFonts w:eastAsia="Times New Roman" w:cs="Arial"/>
          <w:color w:val="000000"/>
          <w:szCs w:val="22"/>
        </w:rPr>
        <w:fldChar w:fldCharType="end"/>
      </w:r>
      <w:r w:rsidR="00FA31CC" w:rsidRPr="00A71FCF">
        <w:rPr>
          <w:rFonts w:eastAsia="Times New Roman" w:cs="Arial"/>
          <w:color w:val="000000"/>
          <w:szCs w:val="22"/>
        </w:rPr>
        <w:t>.</w:t>
      </w:r>
      <w:r w:rsidRPr="00E43B04">
        <w:rPr>
          <w:rFonts w:eastAsia="Times New Roman" w:cs="Arial"/>
          <w:color w:val="000000"/>
          <w:szCs w:val="22"/>
        </w:rPr>
        <w:t xml:space="preserve"> Globally, biologically derived products, services, and processes are estimated to have a direct economic impact of $4 trillion annually over the next 10-20 years</w:t>
      </w:r>
      <w:r w:rsidR="00FA31CC" w:rsidRPr="00A71FCF">
        <w:rPr>
          <w:rFonts w:eastAsia="Times New Roman" w:cs="Arial"/>
          <w:color w:val="000000"/>
          <w:szCs w:val="22"/>
        </w:rPr>
        <w:fldChar w:fldCharType="begin" w:fldLock="1"/>
      </w:r>
      <w:r w:rsidR="00FA31CC" w:rsidRPr="00A71FCF">
        <w:rPr>
          <w:rFonts w:eastAsia="Times New Roman" w:cs="Arial"/>
          <w:color w:val="000000"/>
          <w:szCs w:val="22"/>
        </w:rPr>
        <w:instrText>ADDIN CSL_CITATION {"citationItems":[{"id":"ITEM-1","itemData":{"abstract":"This report describes the potential scope and scale of this wave of innovation and highlights the profound risks that will need to be managed. We conclude with a look at the potential implications for a range of stakeholders. The research began in early 2019, many months before the novel coronavirus SARS-CoV-2 causing the COVID-19 infection appeared and triggered a global pandemic in the first quarter of 2020. The early response to COVID-19 illustrated the substantial advances in biological science in just the past few years. The speed with which scientists sequenced the virus’s genome—weeks rather than months—bore witness to the new world of biology we describe in this report. Sequencing is just the start: bio innovations are enabling the rapid introduction of clinical trials of vaccines, the search for effective therapies, and a deep investigation of both the origins and the transmission patterns of the virus. While this report does not explore the relevance of ongoing bio innovation to tackling COVID-19 in depth, we do believe that the pandemic makes this research even more acutely relevant. The","author":[{"dropping-particle":"","family":"Chui","given":"Michael","non-dropping-particle":"","parse-names":false,"suffix":""},{"dropping-particle":"","family":"Evers","given":"Matthias","non-dropping-particle":"","parse-names":false,"suffix":""},{"dropping-particle":"","family":"Manyika","given":"James","non-dropping-particle":"","parse-names":false,"suffix":""},{"dropping-particle":"","family":"Zheng","given":"Alice","non-dropping-particle":"","parse-names":false,"suffix":""},{"dropping-particle":"","family":"Nisbet","given":"Travers","non-dropping-particle":"","parse-names":false,"suffix":""}],"container-title":"McKinsey Global Institute","id":"ITEM-1","issue":"May","issued":{"date-parts":[["2020"]]},"number-of-pages":"200","title":"The Bio Revolution Innovations transforming economies, societies, and our lives","type":"report"},"uris":["http://www.mendeley.com/documents/?uuid=bf32bc37-17ba-33c9-b31b-60db2fdfa289"]}],"mendeley":{"formattedCitation":"&lt;sup&gt;5&lt;/sup&gt;","plainTextFormattedCitation":"5","previouslyFormattedCitation":"&lt;sup&gt;5&lt;/sup&gt;"},"properties":{"noteIndex":0},"schema":"https://github.com/citation-style-language/schema/raw/master/csl-citation.json"}</w:instrText>
      </w:r>
      <w:r w:rsidR="00FA31CC" w:rsidRPr="00A71FCF">
        <w:rPr>
          <w:rFonts w:eastAsia="Times New Roman" w:cs="Arial"/>
          <w:color w:val="000000"/>
          <w:szCs w:val="22"/>
        </w:rPr>
        <w:fldChar w:fldCharType="separate"/>
      </w:r>
      <w:r w:rsidR="00FA31CC" w:rsidRPr="00A71FCF">
        <w:rPr>
          <w:rFonts w:eastAsia="Times New Roman" w:cs="Arial"/>
          <w:noProof/>
          <w:color w:val="000000"/>
          <w:szCs w:val="22"/>
          <w:vertAlign w:val="superscript"/>
        </w:rPr>
        <w:t>5</w:t>
      </w:r>
      <w:r w:rsidR="00FA31CC" w:rsidRPr="00A71FCF">
        <w:rPr>
          <w:rFonts w:eastAsia="Times New Roman" w:cs="Arial"/>
          <w:color w:val="000000"/>
          <w:szCs w:val="22"/>
        </w:rPr>
        <w:fldChar w:fldCharType="end"/>
      </w:r>
      <w:r w:rsidRPr="00E43B04">
        <w:rPr>
          <w:rFonts w:eastAsia="Times New Roman" w:cs="Arial"/>
          <w:color w:val="000000"/>
          <w:szCs w:val="22"/>
        </w:rPr>
        <w:t>. Further, the development of the bioeconomy is agreed to be sustainable since biological resources are renewable and can therefore reduce the global reliance on oil and gas</w:t>
      </w:r>
      <w:r w:rsidR="00FA31CC" w:rsidRPr="00A71FCF">
        <w:rPr>
          <w:rFonts w:eastAsia="Times New Roman" w:cs="Arial"/>
          <w:color w:val="000000"/>
          <w:szCs w:val="22"/>
        </w:rPr>
        <w:fldChar w:fldCharType="begin" w:fldLock="1"/>
      </w:r>
      <w:r w:rsidR="00FA31CC" w:rsidRPr="00A71FCF">
        <w:rPr>
          <w:rFonts w:eastAsia="Times New Roman" w:cs="Arial"/>
          <w:color w:val="000000"/>
          <w:szCs w:val="22"/>
        </w:rPr>
        <w:instrText>ADDIN CSL_CITATION {"citationItems":[{"id":"ITEM-1","itemData":{"DOI":"10.1016/J.TIBTECH.2022.09.004","ISSN":"0167-7799","PMID":"36192249","abstract":"Biomanufacturing has the potential to reduce demand for petrochemicals and mitigate climate change. Recent studies have also suggested that some of these products can be net carbon negative, effectively removing CO2 from the atmosphere and locking it up in products. This review explores the magnitude of carbon removal achievable through biomanufacturing and discusses the likely fate of carbon in a range of target molecules. Solvents, cleaning agents, or food and pharmaceutical additives will likely re-release their carbon as CO2 at the end of their functional lives, while carbon incorporated into non-compostable polymers can result in long-term sequestration. Future research can maximize its impact by focusing on reducing emissions, achieving performance advantages, and enabling a more circular carbon economy.","author":[{"dropping-particle":"","family":"Scown","given":"Corinne D.","non-dropping-particle":"","parse-names":false,"suffix":""}],"container-title":"Trends in Biotechnology","id":"ITEM-1","issue":"12","issued":{"date-parts":[["2022","12","1"]]},"page":"1415-1424","publisher":"Elsevier Current Trends","title":"Prospects for carbon-negative biomanufacturing","type":"article-journal","volume":"40"},"uris":["http://www.mendeley.com/documents/?uuid=a626f208-b1ec-3594-b0ac-70531e9c4cf0"]},{"id":"ITEM-2","itemData":{"DOI":"10.1038/s41587-022-01248-8","ISSN":"1546-1696","PMID":"35190687","abstract":"Producing commodity chemicals in bacteria that live on industrial air pollution captures more greenhouse gases than it emits.","author":[{"dropping-particle":"","family":"Scown","given":"Corinne D.","non-dropping-particle":"","parse-names":false,"suffix":""},{"dropping-particle":"","family":"Keasling","given":"Jay D.","non-dropping-particle":"","parse-names":false,"suffix":""}],"container-title":"Nature Biotechnology 2022 40:3","id":"ITEM-2","issue":"3","issued":{"date-parts":[["2022","2","21"]]},"page":"304-307","publisher":"Nature Publishing Group","title":"Sustainable manufacturing with synthetic biology","type":"article-journal","volume":"40"},"uris":["http://www.mendeley.com/documents/?uuid=caae6903-30b1-367f-8670-49f192548388"]}],"mendeley":{"formattedCitation":"&lt;sup&gt;6,7&lt;/sup&gt;","plainTextFormattedCitation":"6,7","previouslyFormattedCitation":"&lt;sup&gt;6,7&lt;/sup&gt;"},"properties":{"noteIndex":0},"schema":"https://github.com/citation-style-language/schema/raw/master/csl-citation.json"}</w:instrText>
      </w:r>
      <w:r w:rsidR="00FA31CC" w:rsidRPr="00A71FCF">
        <w:rPr>
          <w:rFonts w:eastAsia="Times New Roman" w:cs="Arial"/>
          <w:color w:val="000000"/>
          <w:szCs w:val="22"/>
        </w:rPr>
        <w:fldChar w:fldCharType="separate"/>
      </w:r>
      <w:r w:rsidR="00FA31CC" w:rsidRPr="00A71FCF">
        <w:rPr>
          <w:rFonts w:eastAsia="Times New Roman" w:cs="Arial"/>
          <w:noProof/>
          <w:color w:val="000000"/>
          <w:szCs w:val="22"/>
          <w:vertAlign w:val="superscript"/>
        </w:rPr>
        <w:t>6,7</w:t>
      </w:r>
      <w:r w:rsidR="00FA31CC" w:rsidRPr="00A71FCF">
        <w:rPr>
          <w:rFonts w:eastAsia="Times New Roman" w:cs="Arial"/>
          <w:color w:val="000000"/>
          <w:szCs w:val="22"/>
        </w:rPr>
        <w:fldChar w:fldCharType="end"/>
      </w:r>
      <w:r w:rsidR="00FA31CC" w:rsidRPr="00A71FCF">
        <w:rPr>
          <w:rFonts w:eastAsia="Times New Roman" w:cs="Arial"/>
          <w:color w:val="000000"/>
          <w:szCs w:val="22"/>
        </w:rPr>
        <w:t xml:space="preserve">. </w:t>
      </w:r>
      <w:r w:rsidRPr="00E43B04">
        <w:rPr>
          <w:rFonts w:eastAsia="Times New Roman" w:cs="Arial"/>
          <w:color w:val="000000"/>
          <w:szCs w:val="22"/>
        </w:rPr>
        <w:t>Biotechnological advances are thus positioned to enable a future global “circular bioeconomy” in which unsustainable harvesting practices (e.g., mining) are eliminated, and renewable resources serve as inputs in closed material resource loops</w:t>
      </w:r>
      <w:r w:rsidR="00FA31CC" w:rsidRPr="00A71FCF">
        <w:rPr>
          <w:rFonts w:eastAsia="Times New Roman" w:cs="Arial"/>
          <w:color w:val="000000"/>
          <w:szCs w:val="22"/>
        </w:rPr>
        <w:fldChar w:fldCharType="begin" w:fldLock="1"/>
      </w:r>
      <w:r w:rsidR="00FA31CC" w:rsidRPr="00A71FCF">
        <w:rPr>
          <w:rFonts w:eastAsia="Times New Roman" w:cs="Arial"/>
          <w:color w:val="000000"/>
          <w:szCs w:val="22"/>
        </w:rPr>
        <w:instrText>ADDIN CSL_CITATION {"citationItems":[{"id":"ITEM-1","itemData":{"DOI":"10.3389/FRSUS.2021.701509","ISSN":"2673-4524","abstract":"Circular economy concepts—including a circular bioeconomy—aim to transition the current, essentially linear, economic system to a more sustainable one. However, organizations and researchers currently define the circular economy concept differently, resulting in inconsistencies and difficulty in effectively implementing the framework. In this paper, we provide our perspective on the conceptual definitions of the circular economy, bioeconomy, and circular bioeconomy, outlining potential overlaps and differences and proposing a harmonized interpretation that stresses the importance of the carbon cycle. We conclude that the key goal of a circular economy is to slow down and close material resource loops, built on the foundation of renewable energy and non-toxic materials. Further, a sustainable bioeconomy goes beyond simply switching fossil resources with renewable, biological resources. It requires low-carbon energy inputs, sustainable supply chains, and promising disruptive biorefining technologies for the sustainable transformation of renewable bioresources to high-value bio</w:instrText>
      </w:r>
      <w:r w:rsidR="00FA31CC" w:rsidRPr="00A71FCF">
        <w:rPr>
          <w:rFonts w:ascii="Cambria Math" w:eastAsia="Times New Roman" w:hAnsi="Cambria Math" w:cs="Cambria Math"/>
          <w:color w:val="000000"/>
          <w:szCs w:val="22"/>
        </w:rPr>
        <w:instrText>‐</w:instrText>
      </w:r>
      <w:r w:rsidR="00FA31CC" w:rsidRPr="00A71FCF">
        <w:rPr>
          <w:rFonts w:eastAsia="Times New Roman" w:cs="Arial"/>
          <w:color w:val="000000"/>
          <w:szCs w:val="22"/>
        </w:rPr>
        <w:instrText>based products, materials, and fuels. The bio-based circular carbon economy, in particular, stresses capturing atmospheric carbon via photosynthesis and exploiting this unique feature to the fullest extent possible. It sits at the intersection between the circular economy and the bioeconomy concept, resulting in a framework that focuses on closing the carbon cycle and stressing the opportunity to create an additional carbon sink capability in the technosphere by utilizing biogenic carbon for products and materials that are circulated in same or improved use cycles. Lastly, a sustainable circular bioeconomy transition will necessitate a set of consistent metrics that fit all products and industries.","author":[{"dropping-particle":"","family":"Tan","given":"Eric C. D.","non-dropping-particle":"","parse-names":false,"suffix":""},{"dropping-particle":"","family":"Lamers","given":"Patrick","non-dropping-particle":"","parse-names":false,"suffix":""}],"container-title":"Frontiers in Sustainability","id":"ITEM-1","issued":{"date-parts":[["2021","7","12"]]},"page":"53","publisher":"Frontiers","title":"Circular Bioeconomy Concepts—A Perspective","type":"article-journal","volume":"2"},"uris":["http://www.mendeley.com/documents/?uuid=c255f182-61d1-3275-ae75-3819d54298e1"]},{"id":"ITEM-2","itemData":{"id":"ITEM-2","issued":{"date-parts":[["2018"]]},"title":"Fourth Industrial Revolution for the Earth Series Harnessing the Fourth Industrial Revolution for Life on Land","type":"article"},"uris":["http://www.mendeley.com/documents/?uuid=07e98c47-8150-3138-bf06-dde2dcb4d065"]}],"mendeley":{"formattedCitation":"&lt;sup&gt;8,9&lt;/sup&gt;","plainTextFormattedCitation":"8,9","previouslyFormattedCitation":"&lt;sup&gt;8,9&lt;/sup&gt;"},"properties":{"noteIndex":0},"schema":"https://github.com/citation-style-language/schema/raw/master/csl-citation.json"}</w:instrText>
      </w:r>
      <w:r w:rsidR="00FA31CC" w:rsidRPr="00A71FCF">
        <w:rPr>
          <w:rFonts w:eastAsia="Times New Roman" w:cs="Arial"/>
          <w:color w:val="000000"/>
          <w:szCs w:val="22"/>
        </w:rPr>
        <w:fldChar w:fldCharType="separate"/>
      </w:r>
      <w:r w:rsidR="00FA31CC" w:rsidRPr="00A71FCF">
        <w:rPr>
          <w:rFonts w:eastAsia="Times New Roman" w:cs="Arial"/>
          <w:noProof/>
          <w:color w:val="000000"/>
          <w:szCs w:val="22"/>
          <w:vertAlign w:val="superscript"/>
        </w:rPr>
        <w:t>8,9</w:t>
      </w:r>
      <w:r w:rsidR="00FA31CC" w:rsidRPr="00A71FCF">
        <w:rPr>
          <w:rFonts w:eastAsia="Times New Roman" w:cs="Arial"/>
          <w:color w:val="000000"/>
          <w:szCs w:val="22"/>
        </w:rPr>
        <w:fldChar w:fldCharType="end"/>
      </w:r>
      <w:r w:rsidR="00FA31CC" w:rsidRPr="00A71FCF">
        <w:rPr>
          <w:rFonts w:eastAsia="Times New Roman" w:cs="Arial"/>
          <w:color w:val="000000"/>
          <w:szCs w:val="22"/>
        </w:rPr>
        <w:t xml:space="preserve">. </w:t>
      </w:r>
      <w:r w:rsidRPr="00E43B04">
        <w:rPr>
          <w:rFonts w:eastAsia="Times New Roman" w:cs="Arial"/>
          <w:color w:val="000000"/>
          <w:szCs w:val="22"/>
        </w:rPr>
        <w:t>Given the benefits of the bioeconomy, nations are issuing strategies to</w:t>
      </w:r>
      <w:r w:rsidR="003E335F" w:rsidRPr="00A71FCF">
        <w:rPr>
          <w:rFonts w:eastAsia="Times New Roman" w:cs="Arial"/>
          <w:color w:val="000000"/>
          <w:szCs w:val="22"/>
        </w:rPr>
        <w:t xml:space="preserve"> support</w:t>
      </w:r>
      <w:r w:rsidRPr="00E43B04">
        <w:rPr>
          <w:rFonts w:eastAsia="Times New Roman" w:cs="Arial"/>
          <w:color w:val="000000"/>
          <w:szCs w:val="22"/>
        </w:rPr>
        <w:t xml:space="preserve"> its growth like the United States’ National Biotechnology and Biomanufacturing Initiative</w:t>
      </w:r>
      <w:r w:rsidR="00FA31CC" w:rsidRPr="00A71FCF">
        <w:rPr>
          <w:rFonts w:eastAsia="Times New Roman" w:cs="Arial"/>
          <w:color w:val="000000"/>
          <w:szCs w:val="22"/>
        </w:rPr>
        <w:fldChar w:fldCharType="begin" w:fldLock="1"/>
      </w:r>
      <w:r w:rsidR="00FA31CC" w:rsidRPr="00A71FCF">
        <w:rPr>
          <w:rFonts w:eastAsia="Times New Roman" w:cs="Arial"/>
          <w:color w:val="000000"/>
          <w:szCs w:val="22"/>
        </w:rPr>
        <w:instrText>ADDIN CSL_CITATION {"citationItems":[{"id":"ITEM-1","itemData":{"abstract":"The term bioeconomy refers to the share of the economy based on products, services, and processes derived from biological resources (e.g., plants and microorganisms). The bioeconomy is crosscutting, encompassing multiple sectors, in whole or in part (e.g., agriculture, textiles, chemicals, and energy). Many predict that the bioeconomy will be a key component of the future economy. Specifically, many view the development of and transition to predominantly a bioeconomy as a means to address grand challenges such as climate change, food security, energy independence, and environmental sustainability. Advancing the bioeconomy is also viewed as an opportunity to create new jobs and industries, improve human health through the development of new drugs and diagnostics, and boost rural development. Some experts estimate the direct economic impact of bio-based products, services, and processes at up to $4 trillion per year globally over the next 10 years. U.S. competitiveness and leadership in the future global bioeconomy is uncertain. In 2012, the Office of Science and Technology Policy (OSTP) released a comprehensive vision for the U.S. bioeconomy. Progress on the goals and objectives outlined in the report remains unclear. Since 2016, the U.S. Department of Agriculture and the Department of Energy have led federal efforts on development of the U.S. bioeconomy. However, according to the International Advisory Council on Global Bioeconomy, such agencies have a \"more agricultural and bioresources-based vision\" than the crosscutting and comprehensive vision proposed by OSTP in 2012 (e.g., biomedicine, health, and biodefense are not emphasized). Organizations, including the National Academies of Sciences, Engineering, and Medicine, have recommended that the federal government develop and regularly update a comprehensive bioeconomy strategy to sustain and grow the U.S. bioeconomy. On September 12, 2022, the Biden Administration issued an executive order creating the National Biotechnology and Biomanufacturing Initiative with the goal of accelerating biotechnology innovation and growing the U.S bioeconomy across multiple sectors. Other countries are adopting and implementing comprehensive policies and strategies to advance their bioeconomies. Such efforts have the potential to challenge U.S. leadership in biotechnology and other bioeconomy-related sectors that many view as critical to national security and economic competitiveness. Congress may consider a number of …","author":[{"dropping-particle":"","family":"Gallo","given":"Marcy E","non-dropping-particle":"","parse-names":false,"suffix":""}],"id":"ITEM-1","issued":{"date-parts":[["2022"]]},"title":"The Bioeconomy: A Primer","type":"report"},"uris":["http://www.mendeley.com/documents/?uuid=ba3620b3-e89d-3e48-8812-28c20cf51d15"]}],"mendeley":{"formattedCitation":"&lt;sup&gt;2&lt;/sup&gt;","plainTextFormattedCitation":"2","previouslyFormattedCitation":"&lt;sup&gt;2&lt;/sup&gt;"},"properties":{"noteIndex":0},"schema":"https://github.com/citation-style-language/schema/raw/master/csl-citation.json"}</w:instrText>
      </w:r>
      <w:r w:rsidR="00FA31CC" w:rsidRPr="00A71FCF">
        <w:rPr>
          <w:rFonts w:eastAsia="Times New Roman" w:cs="Arial"/>
          <w:color w:val="000000"/>
          <w:szCs w:val="22"/>
        </w:rPr>
        <w:fldChar w:fldCharType="separate"/>
      </w:r>
      <w:r w:rsidR="00FA31CC" w:rsidRPr="00A71FCF">
        <w:rPr>
          <w:rFonts w:eastAsia="Times New Roman" w:cs="Arial"/>
          <w:noProof/>
          <w:color w:val="000000"/>
          <w:szCs w:val="22"/>
          <w:vertAlign w:val="superscript"/>
        </w:rPr>
        <w:t>2</w:t>
      </w:r>
      <w:r w:rsidR="00FA31CC" w:rsidRPr="00A71FCF">
        <w:rPr>
          <w:rFonts w:eastAsia="Times New Roman" w:cs="Arial"/>
          <w:color w:val="000000"/>
          <w:szCs w:val="22"/>
        </w:rPr>
        <w:fldChar w:fldCharType="end"/>
      </w:r>
      <w:r w:rsidRPr="00E43B04">
        <w:rPr>
          <w:rFonts w:eastAsia="Times New Roman" w:cs="Arial"/>
          <w:color w:val="000000"/>
          <w:szCs w:val="22"/>
        </w:rPr>
        <w:t>. At the core of such strategies is the accelerated development of industrial biomanufacturing platforms</w:t>
      </w:r>
      <w:r w:rsidR="00FA31CC" w:rsidRPr="00A71FCF">
        <w:rPr>
          <w:rFonts w:eastAsia="Times New Roman" w:cs="Arial"/>
          <w:color w:val="000000"/>
          <w:szCs w:val="22"/>
        </w:rPr>
        <w:fldChar w:fldCharType="begin" w:fldLock="1"/>
      </w:r>
      <w:r w:rsidR="009E1B58" w:rsidRPr="00A71FCF">
        <w:rPr>
          <w:rFonts w:eastAsia="Times New Roman" w:cs="Arial"/>
          <w:color w:val="000000"/>
          <w:szCs w:val="22"/>
        </w:rPr>
        <w:instrText>ADDIN CSL_CITATION {"citationItems":[{"id":"ITEM-1","itemData":{"abstract":"The term bioeconomy refers to the share of the economy based on products, services, and processes derived from biological resources (e.g., plants and microorganisms). The bioeconomy is crosscutting, encompassing multiple sectors, in whole or in part (e.g., agriculture, textiles, chemicals, and energy). Many predict that the bioeconomy will be a key component of the future economy. Specifically, many view the development of and transition to predominantly a bioeconomy as a means to address grand challenges such as climate change, food security, energy independence, and environmental sustainability. Advancing the bioeconomy is also viewed as an opportunity to create new jobs and industries, improve human health through the development of new drugs and diagnostics, and boost rural development. Some experts estimate the direct economic impact of bio-based products, services, and processes at up to $4 trillion per year globally over the next 10 years. U.S. competitiveness and leadership in the future global bioeconomy is uncertain. In 2012, the Office of Science and Technology Policy (OSTP) released a comprehensive vision for the U.S. bioeconomy. Progress on the goals and objectives outlined in the report remains unclear. Since 2016, the U.S. Department of Agriculture and the Department of Energy have led federal efforts on development of the U.S. bioeconomy. However, according to the International Advisory Council on Global Bioeconomy, such agencies have a \"more agricultural and bioresources-based vision\" than the crosscutting and comprehensive vision proposed by OSTP in 2012 (e.g., biomedicine, health, and biodefense are not emphasized). Organizations, including the National Academies of Sciences, Engineering, and Medicine, have recommended that the federal government develop and regularly update a comprehensive bioeconomy strategy to sustain and grow the U.S. bioeconomy. On September 12, 2022, the Biden Administration issued an executive order creating the National Biotechnology and Biomanufacturing Initiative with the goal of accelerating biotechnology innovation and growing the U.S bioeconomy across multiple sectors. Other countries are adopting and implementing comprehensive policies and strategies to advance their bioeconomies. Such efforts have the potential to challenge U.S. leadership in biotechnology and other bioeconomy-related sectors that many view as critical to national security and economic competitiveness. Congress may consider a number of …","author":[{"dropping-particle":"","family":"Gallo","given":"Marcy E","non-dropping-particle":"","parse-names":false,"suffix":""}],"id":"ITEM-1","issued":{"date-parts":[["2022"]]},"title":"The Bioeconomy: A Primer","type":"report"},"uris":["http://www.mendeley.com/documents/?uuid=ba3620b3-e89d-3e48-8812-28c20cf51d15"]},{"id":"ITEM-2","itemData":{"DOI":"10.1007/s10295-016-1863-2","ISSN":"14765535","abstract":"Biomanufacturing is a type of manufacturing that utilizes biological systems (e.g., living microorganisms, resting cells, animal cells, plant cells, tissues, enzymes, or in vitro synthetic (enzymatic) systems) to produce commercially important biomolecules for use in the agricultural, food, material, energy, and pharmaceutical industries. History of biomanufacturing could be classified into the three revolutions in terms of respective product types (mainly), production platforms, and research technologies. Biomanufacturing 1.0 focuses on the production of primary metabolites (e.g., butanol, acetone, ethanol, citric acid) by using mono-culture fermentation; biomanufacturing 2.0 focuses on the production of secondary metabolites (e.g., penicillin, streptomycin) by using a dedicated mutant and aerobic submerged liquid fermentation; and biomanufacturing 3.0 focuses on the production of large-size biomolecules—proteins and enzymes (e.g., erythropoietin, insulin, growth hormone, amylase, DNA polymerase) by using recombinant DNA technology and advanced cell culture. Biomanufacturing 4.0 could focus on new products, for example, human tissues or cells made by regenerative medicine, artificial starch made by in vitro synthetic biosystems, isobutanol fermented by metabolic engineering, and synthetic biology-driven microorganisms, as well as exiting products produced by far better approaches. Biomanufacturing 4.0 would help address some of the most important challenges of humankind, such as food security, energy security and sustainability, water crisis, climate change, health issues, and conflict related to the energy, food, and water nexus.","author":[{"dropping-particle":"","family":"Zhang","given":"Yi Heng Percival","non-dropping-particle":"","parse-names":false,"suffix":""},{"dropping-particle":"","family":"Sun","given":"Jibin","non-dropping-particle":"","parse-names":false,"suffix":""},{"dropping-particle":"","family":"Ma","given":"Yanhe","non-dropping-particle":"","parse-names":false,"suffix":""}],"container-title":"Journal of Industrial Microbiology and Biotechnology","id":"ITEM-2","issue":"4-5","issued":{"date-parts":[["2017","5","1"]]},"page":"773-784","publisher":"Springer Verlag","title":"Biomanufacturing: history and perspective","type":"article","volume":"44"},"uris":["http://www.mendeley.com/documents/?uuid=4f19c6ff-b9bd-3db8-9e9c-a237aa114695"]},{"id":"ITEM-3","itemData":{"URL":"https://ebrc.org/actions-to-enable-an-equitable-and-innovative-us-bioeconomy/","accessed":{"date-parts":[["2023","2","9"]]},"author":[{"dropping-particle":"","family":"Hinman","given":"Albert W.","non-dropping-particle":"","parse-names":false,"suffix":""},{"dropping-particle":"","family":"Friedman","given":"Douglas","non-dropping-particle":"","parse-names":false,"suffix":""}],"container-title":"Ebrc","id":"ITEM-3","issued":{"date-parts":[["2022"]]},"page":"doi.org/10.25498/E4X59D","title":"Actions to Enable an Equitable and Innovative","type":"webpage"},"uris":["http://www.mendeley.com/documents/?uuid=e8220d5f-35e9-3112-93eb-98a1b1a9eca0"]}],"mendeley":{"formattedCitation":"&lt;sup&gt;2,4,10&lt;/sup&gt;","plainTextFormattedCitation":"2,4,10","previouslyFormattedCitation":"&lt;sup&gt;2,4,10&lt;/sup&gt;"},"properties":{"noteIndex":0},"schema":"https://github.com/citation-style-language/schema/raw/master/csl-citation.json"}</w:instrText>
      </w:r>
      <w:r w:rsidR="00FA31CC" w:rsidRPr="00A71FCF">
        <w:rPr>
          <w:rFonts w:eastAsia="Times New Roman" w:cs="Arial"/>
          <w:color w:val="000000"/>
          <w:szCs w:val="22"/>
        </w:rPr>
        <w:fldChar w:fldCharType="separate"/>
      </w:r>
      <w:r w:rsidR="00DC26C3" w:rsidRPr="00A71FCF">
        <w:rPr>
          <w:rFonts w:eastAsia="Times New Roman" w:cs="Arial"/>
          <w:noProof/>
          <w:color w:val="000000"/>
          <w:szCs w:val="22"/>
          <w:vertAlign w:val="superscript"/>
        </w:rPr>
        <w:t>2,4,10</w:t>
      </w:r>
      <w:r w:rsidR="00FA31CC" w:rsidRPr="00A71FCF">
        <w:rPr>
          <w:rFonts w:eastAsia="Times New Roman" w:cs="Arial"/>
          <w:color w:val="000000"/>
          <w:szCs w:val="22"/>
        </w:rPr>
        <w:fldChar w:fldCharType="end"/>
      </w:r>
      <w:r w:rsidRPr="00E43B04">
        <w:rPr>
          <w:rFonts w:eastAsia="Times New Roman" w:cs="Arial"/>
          <w:color w:val="000000"/>
          <w:szCs w:val="22"/>
        </w:rPr>
        <w:t>.</w:t>
      </w:r>
    </w:p>
    <w:p w14:paraId="231798AC" w14:textId="10588B1A" w:rsidR="00786690" w:rsidRDefault="00E43B04" w:rsidP="00786690">
      <w:pPr>
        <w:ind w:firstLine="720"/>
        <w:contextualSpacing/>
        <w:rPr>
          <w:rFonts w:eastAsia="Times New Roman" w:cs="Arial"/>
          <w:color w:val="000000"/>
          <w:szCs w:val="22"/>
        </w:rPr>
      </w:pPr>
      <w:r w:rsidRPr="00E43B04">
        <w:rPr>
          <w:rFonts w:eastAsia="Times New Roman" w:cs="Arial"/>
          <w:color w:val="000000"/>
          <w:szCs w:val="22"/>
        </w:rPr>
        <w:t>Biomanufacturing is defined as the synthesis of commercially relevant molecules in biological systems such as cells and enzymes</w:t>
      </w:r>
      <w:r w:rsidR="00B843CA" w:rsidRPr="00A71FCF">
        <w:rPr>
          <w:rFonts w:eastAsia="Times New Roman" w:cs="Arial"/>
          <w:color w:val="000000"/>
          <w:szCs w:val="22"/>
        </w:rPr>
        <w:fldChar w:fldCharType="begin" w:fldLock="1"/>
      </w:r>
      <w:r w:rsidR="00B843CA" w:rsidRPr="00A71FCF">
        <w:rPr>
          <w:rFonts w:eastAsia="Times New Roman" w:cs="Arial"/>
          <w:color w:val="000000"/>
          <w:szCs w:val="22"/>
        </w:rPr>
        <w:instrText>ADDIN CSL_CITATION {"citationItems":[{"id":"ITEM-1","itemData":{"DOI":"10.1016/J.TIBTECH.2022.09.004","ISSN":"0167-7799","PMID":"36192249","abstract":"Biomanufacturing has the potential to reduce demand for petrochemicals and mitigate climate change. Recent studies have also suggested that some of these products can be net carbon negative, effectively removing CO2 from the atmosphere and locking it up in products. This review explores the magnitude of carbon removal achievable through biomanufacturing and discusses the likely fate of carbon in a range of target molecules. Solvents, cleaning agents, or food and pharmaceutical additives will likely re-release their carbon as CO2 at the end of their functional lives, while carbon incorporated into non-compostable polymers can result in long-term sequestration. Future research can maximize its impact by focusing on reducing emissions, achieving performance advantages, and enabling a more circular carbon economy.","author":[{"dropping-particle":"","family":"Scown","given":"Corinne D.","non-dropping-particle":"","parse-names":false,"suffix":""}],"container-title":"Trends in Biotechnology","id":"ITEM-1","issue":"12","issued":{"date-parts":[["2022","12","1"]]},"page":"1415-1424","publisher":"Elsevier Current Trends","title":"Prospects for carbon-negative biomanufacturing","type":"article-journal","volume":"40"},"uris":["http://www.mendeley.com/documents/?uuid=a626f208-b1ec-3594-b0ac-70531e9c4cf0"]}],"mendeley":{"formattedCitation":"&lt;sup&gt;6&lt;/sup&gt;","plainTextFormattedCitation":"6","previouslyFormattedCitation":"&lt;sup&gt;6&lt;/sup&gt;"},"properties":{"noteIndex":0},"schema":"https://github.com/citation-style-language/schema/raw/master/csl-citation.json"}</w:instrText>
      </w:r>
      <w:r w:rsidR="00B843CA" w:rsidRPr="00A71FCF">
        <w:rPr>
          <w:rFonts w:eastAsia="Times New Roman" w:cs="Arial"/>
          <w:color w:val="000000"/>
          <w:szCs w:val="22"/>
        </w:rPr>
        <w:fldChar w:fldCharType="separate"/>
      </w:r>
      <w:r w:rsidR="00B843CA" w:rsidRPr="00A71FCF">
        <w:rPr>
          <w:rFonts w:eastAsia="Times New Roman" w:cs="Arial"/>
          <w:noProof/>
          <w:color w:val="000000"/>
          <w:szCs w:val="22"/>
          <w:vertAlign w:val="superscript"/>
        </w:rPr>
        <w:t>6</w:t>
      </w:r>
      <w:r w:rsidR="00B843CA" w:rsidRPr="00A71FCF">
        <w:rPr>
          <w:rFonts w:eastAsia="Times New Roman" w:cs="Arial"/>
          <w:color w:val="000000"/>
          <w:szCs w:val="22"/>
        </w:rPr>
        <w:fldChar w:fldCharType="end"/>
      </w:r>
      <w:r w:rsidRPr="00E43B04">
        <w:rPr>
          <w:rFonts w:eastAsia="Times New Roman" w:cs="Arial"/>
          <w:color w:val="000000"/>
          <w:szCs w:val="22"/>
        </w:rPr>
        <w:t>. Historically, microbes have been commonly considered suitable for bioproduction because they are easy to cultivate and can metabolically convert inexpensive substrates (e.g., gases and sugars) to higher value chemicals and materials</w:t>
      </w:r>
      <w:r w:rsidR="00B843CA" w:rsidRPr="00A71FCF">
        <w:rPr>
          <w:rFonts w:eastAsia="Times New Roman" w:cs="Arial"/>
          <w:color w:val="000000"/>
          <w:szCs w:val="22"/>
        </w:rPr>
        <w:fldChar w:fldCharType="begin" w:fldLock="1"/>
      </w:r>
      <w:r w:rsidR="00B71BD8" w:rsidRPr="00A71FCF">
        <w:rPr>
          <w:rFonts w:eastAsia="Times New Roman" w:cs="Arial"/>
          <w:color w:val="000000"/>
          <w:szCs w:val="22"/>
        </w:rPr>
        <w:instrText>ADDIN CSL_CITATION {"citationItems":[{"id":"ITEM-1","itemData":{"DOI":"10.1016/J.COPBIO.2020.12.012","ISSN":"0958-1669","PMID":"33453438","abstract":"Industrial biotechnology is an attractive approach to address the need for low-cost fuels and products from sustainable resources. Unfortunately, cells impose inherent limitations on the effective synthesis and release of target products. One key constraint is that cellular survival objectives often work against the production objectives of biochemical engineers. Additionally, industrial strains release CO2 and struggle to utilize sustainable, potentially profitable feedstocks. Cell-free biotechnology, which uses biological machinery harvested from cells, can address these challenges with advantages including: (i) shorter development times, (ii) higher volumetric production rates, and (iii) tolerance to otherwise toxic molecules. In this review, we highlight recent advances in cell-free technologies toward the production of non-protein products beyond lab-scale demonstrations and describe guiding principles for designing cell-free systems. Specifically, we discuss carbon and energy sources, reaction homeostasis, and scale-up. Expanding the scope of cell-free biomanufacturing practice could enable innovative approaches for the industrial production of green chemicals.","author":[{"dropping-particle":"","family":"Rasor","given":"Blake J.","non-dropping-particle":"","parse-names":false,"suffix":""},{"dropping-particle":"","family":"Vögeli","given":"Bastian","non-dropping-particle":"","parse-names":false,"suffix":""},{"dropping-particle":"","family":"Landwehr","given":"Grant M.","non-dropping-particle":"","parse-names":false,"suffix":""},{"dropping-particle":"","family":"Bogart","given":"Jonathan W.","non-dropping-particle":"","parse-names":false,"suffix":""},{"dropping-particle":"","family":"Karim","given":"Ashty S.","non-dropping-particle":"","parse-names":false,"suffix":""},{"dropping-particle":"","family":"Jewett","given":"Michael C.","non-dropping-particle":"","parse-names":false,"suffix":""}],"container-title":"Current Opinion in Biotechnology","id":"ITEM-1","issued":{"date-parts":[["2021","6","1"]]},"page":"136-144","publisher":"Elsevier Current Trends","title":"Toward sustainable, cell-free biomanufacturing","type":"article-journal","volume":"69"},"uris":["http://www.mendeley.com/documents/?uuid=7f479995-6171-3f2e-bb99-2b784934562a"]},{"id":"ITEM-2","itemData":{"DOI":"10.1016/J.TIBTECH.2022.09.004","ISSN":"0167-7799","PMID":"36192249","abstract":"Biomanufacturing has the potential to reduce demand for petrochemicals and mitigate climate change. Recent studies have also suggested that some of these products can be net carbon negative, effectively removing CO2 from the atmosphere and locking it up in products. This review explores the magnitude of carbon removal achievable through biomanufacturing and discusses the likely fate of carbon in a range of target molecules. Solvents, cleaning agents, or food and pharmaceutical additives will likely re-release their carbon as CO2 at the end of their functional lives, while carbon incorporated into non-compostable polymers can result in long-term sequestration. Future research can maximize its impact by focusing on reducing emissions, achieving performance advantages, and enabling a more circular carbon economy.","author":[{"dropping-particle":"","family":"Scown","given":"Corinne D.","non-dropping-particle":"","parse-names":false,"suffix":""}],"container-title":"Trends in Biotechnology","id":"ITEM-2","issue":"12","issued":{"date-parts":[["2022","12","1"]]},"page":"1415-1424","publisher":"Elsevier Current Trends","title":"Prospects for carbon-negative biomanufacturing","type":"article-journal","volume":"40"},"uris":["http://www.mendeley.com/documents/?uuid=a626f208-b1ec-3594-b0ac-70531e9c4cf0"]},{"id":"ITEM-3","itemData":{"DOI":"10.1007/S10295-011-0970-3","ISSN":"13675435","PMID":"21526386","abstract":"Microorganisms have become an increasingly important platform for the production of drugs, chemicals, and biofuels from renewable resources. Advances in protein engineering, metabolic engineering, and synthetic biology enable redesigning microbial cellular networks and fine-tuning physiological capabilities, thus generating industrially viable strains for the production of natural and unnatural value-added compounds. In this review, we describe the recent progress on engineering microbial factories for synthesis of valued-added products including alkaloids, terpenoids, flavonoids, polyketides, non-ribosomal peptides, biofuels, and chemicals. Related topics on lignocellulose degradation, sugar utilization, and microbial tolerance improvement will also be discussed. © 2011 Society for Industrial Microbiology.","author":[{"dropping-particle":"","family":"Du","given":"Jing","non-dropping-particle":"","parse-names":false,"suffix":""},{"dropping-particle":"","family":"Shao","given":"Zengyi","non-dropping-particle":"","parse-names":false,"suffix":""},{"dropping-particle":"","family":"Zhao","given":"Huimin","non-dropping-particle":"","parse-names":false,"suffix":""}],"container-title":"Journal of industrial microbiology &amp; biotechnology","id":"ITEM-3","issue":"8","issued":{"date-parts":[["2011","8"]]},"page":"873","publisher":"NIH Public Access","title":"Engineering microbial factories for synthesis of value-added products","type":"article-journal","volume":"38"},"uris":["http://www.mendeley.com/documents/?uuid=84468720-cc68-3d36-96d5-dd86483da571"]}],"mendeley":{"formattedCitation":"&lt;sup&gt;6,11,12&lt;/sup&gt;","plainTextFormattedCitation":"6,11,12","previouslyFormattedCitation":"&lt;sup&gt;6,11,12&lt;/sup&gt;"},"properties":{"noteIndex":0},"schema":"https://github.com/citation-style-language/schema/raw/master/csl-citation.json"}</w:instrText>
      </w:r>
      <w:r w:rsidR="00B843CA" w:rsidRPr="00A71FCF">
        <w:rPr>
          <w:rFonts w:eastAsia="Times New Roman" w:cs="Arial"/>
          <w:color w:val="000000"/>
          <w:szCs w:val="22"/>
        </w:rPr>
        <w:fldChar w:fldCharType="separate"/>
      </w:r>
      <w:r w:rsidR="00E2562B" w:rsidRPr="00A71FCF">
        <w:rPr>
          <w:rFonts w:eastAsia="Times New Roman" w:cs="Arial"/>
          <w:noProof/>
          <w:color w:val="000000"/>
          <w:szCs w:val="22"/>
          <w:vertAlign w:val="superscript"/>
        </w:rPr>
        <w:t>6,11,12</w:t>
      </w:r>
      <w:r w:rsidR="00B843CA" w:rsidRPr="00A71FCF">
        <w:rPr>
          <w:rFonts w:eastAsia="Times New Roman" w:cs="Arial"/>
          <w:color w:val="000000"/>
          <w:szCs w:val="22"/>
        </w:rPr>
        <w:fldChar w:fldCharType="end"/>
      </w:r>
      <w:r w:rsidR="00B843CA" w:rsidRPr="00A71FCF">
        <w:rPr>
          <w:rFonts w:eastAsia="Times New Roman" w:cs="Arial"/>
          <w:color w:val="000000"/>
          <w:szCs w:val="22"/>
        </w:rPr>
        <w:t xml:space="preserve">. </w:t>
      </w:r>
      <w:r w:rsidRPr="00E43B04">
        <w:rPr>
          <w:rFonts w:eastAsia="Times New Roman" w:cs="Arial"/>
          <w:color w:val="000000"/>
          <w:szCs w:val="22"/>
        </w:rPr>
        <w:t>Although the use of mixed microbial processes to carry out such conversions dates back thousands of years, the application of dedicated mono-cultures towards commercialized production only began in the early 1900s</w:t>
      </w:r>
      <w:r w:rsidR="00E2562B" w:rsidRPr="00A71FCF">
        <w:rPr>
          <w:rFonts w:eastAsia="Times New Roman" w:cs="Arial"/>
          <w:color w:val="000000"/>
          <w:szCs w:val="22"/>
        </w:rPr>
        <w:fldChar w:fldCharType="begin" w:fldLock="1"/>
      </w:r>
      <w:r w:rsidR="00E2562B" w:rsidRPr="00A71FCF">
        <w:rPr>
          <w:rFonts w:eastAsia="Times New Roman" w:cs="Arial"/>
          <w:color w:val="000000"/>
          <w:szCs w:val="22"/>
        </w:rPr>
        <w:instrText>ADDIN CSL_CITATION {"citationItems":[{"id":"ITEM-1","itemData":{"DOI":"10.1007/s10295-016-1863-2","ISSN":"14765535","abstract":"Biomanufacturing is a type of manufacturing that utilizes biological systems (e.g., living microorganisms, resting cells, animal cells, plant cells, tissues, enzymes, or in vitro synthetic (enzymatic) systems) to produce commercially important biomolecules for use in the agricultural, food, material, energy, and pharmaceutical industries. History of biomanufacturing could be classified into the three revolutions in terms of respective product types (mainly), production platforms, and research technologies. Biomanufacturing 1.0 focuses on the production of primary metabolites (e.g., butanol, acetone, ethanol, citric acid) by using mono-culture fermentation; biomanufacturing 2.0 focuses on the production of secondary metabolites (e.g., penicillin, streptomycin) by using a dedicated mutant and aerobic submerged liquid fermentation; and biomanufacturing 3.0 focuses on the production of large-size biomolecules—proteins and enzymes (e.g., erythropoietin, insulin, growth hormone, amylase, DNA polymerase) by using recombinant DNA technology and advanced cell culture. Biomanufacturing 4.0 could focus on new products, for example, human tissues or cells made by regenerative medicine, artificial starch made by in vitro synthetic biosystems, isobutanol fermented by metabolic engineering, and synthetic biology-driven microorganisms, as well as exiting products produced by far better approaches. Biomanufacturing 4.0 would help address some of the most important challenges of humankind, such as food security, energy security and sustainability, water crisis, climate change, health issues, and conflict related to the energy, food, and water nexus.","author":[{"dropping-particle":"","family":"Zhang","given":"Yi Heng Percival","non-dropping-particle":"","parse-names":false,"suffix":""},{"dropping-particle":"","family":"Sun","given":"Jibin","non-dropping-particle":"","parse-names":false,"suffix":""},{"dropping-particle":"","family":"Ma","given":"Yanhe","non-dropping-particle":"","parse-names":false,"suffix":""}],"container-title":"Journal of Industrial Microbiology and Biotechnology","id":"ITEM-1","issue":"4-5","issued":{"date-parts":[["2017","5","1"]]},"page":"773-784","publisher":"Springer Verlag","title":"Biomanufacturing: history and perspective","type":"article","volume":"44"},"uris":["http://www.mendeley.com/documents/?uuid=4f19c6ff-b9bd-3db8-9e9c-a237aa114695"]}],"mendeley":{"formattedCitation":"&lt;sup&gt;10&lt;/sup&gt;","plainTextFormattedCitation":"10","previouslyFormattedCitation":"&lt;sup&gt;10&lt;/sup&gt;"},"properties":{"noteIndex":0},"schema":"https://github.com/citation-style-language/schema/raw/master/csl-citation.json"}</w:instrText>
      </w:r>
      <w:r w:rsidR="00E2562B" w:rsidRPr="00A71FCF">
        <w:rPr>
          <w:rFonts w:eastAsia="Times New Roman" w:cs="Arial"/>
          <w:color w:val="000000"/>
          <w:szCs w:val="22"/>
        </w:rPr>
        <w:fldChar w:fldCharType="separate"/>
      </w:r>
      <w:r w:rsidR="00E2562B" w:rsidRPr="00A71FCF">
        <w:rPr>
          <w:rFonts w:eastAsia="Times New Roman" w:cs="Arial"/>
          <w:noProof/>
          <w:color w:val="000000"/>
          <w:szCs w:val="22"/>
          <w:vertAlign w:val="superscript"/>
        </w:rPr>
        <w:t>10</w:t>
      </w:r>
      <w:r w:rsidR="00E2562B" w:rsidRPr="00A71FCF">
        <w:rPr>
          <w:rFonts w:eastAsia="Times New Roman" w:cs="Arial"/>
          <w:color w:val="000000"/>
          <w:szCs w:val="22"/>
        </w:rPr>
        <w:fldChar w:fldCharType="end"/>
      </w:r>
      <w:r w:rsidRPr="00E43B04">
        <w:rPr>
          <w:rFonts w:eastAsia="Times New Roman" w:cs="Arial"/>
          <w:color w:val="000000"/>
          <w:szCs w:val="22"/>
        </w:rPr>
        <w:t>. This was then rapidly scaled up through the mid 1900s due to high demands for certain metabolites (e.g., citric acid, penicillin) during war times</w:t>
      </w:r>
      <w:r w:rsidR="00B71BD8" w:rsidRPr="00A71FCF">
        <w:rPr>
          <w:rFonts w:eastAsia="Times New Roman" w:cs="Arial"/>
          <w:color w:val="000000"/>
          <w:szCs w:val="22"/>
        </w:rPr>
        <w:fldChar w:fldCharType="begin" w:fldLock="1"/>
      </w:r>
      <w:r w:rsidR="00B71BD8" w:rsidRPr="00A71FCF">
        <w:rPr>
          <w:rFonts w:eastAsia="Times New Roman" w:cs="Arial"/>
          <w:color w:val="000000"/>
          <w:szCs w:val="22"/>
        </w:rPr>
        <w:instrText>ADDIN CSL_CITATION {"citationItems":[{"id":"ITEM-1","itemData":{"DOI":"10.1007/s10295-016-1863-2","ISSN":"14765535","abstract":"Biomanufacturing is a type of manufacturing that utilizes biological systems (e.g., living microorganisms, resting cells, animal cells, plant cells, tissues, enzymes, or in vitro synthetic (enzymatic) systems) to produce commercially important biomolecules for use in the agricultural, food, material, energy, and pharmaceutical industries. History of biomanufacturing could be classified into the three revolutions in terms of respective product types (mainly), production platforms, and research technologies. Biomanufacturing 1.0 focuses on the production of primary metabolites (e.g., butanol, acetone, ethanol, citric acid) by using mono-culture fermentation; biomanufacturing 2.0 focuses on the production of secondary metabolites (e.g., penicillin, streptomycin) by using a dedicated mutant and aerobic submerged liquid fermentation; and biomanufacturing 3.0 focuses on the production of large-size biomolecules—proteins and enzymes (e.g., erythropoietin, insulin, growth hormone, amylase, DNA polymerase) by using recombinant DNA technology and advanced cell culture. Biomanufacturing 4.0 could focus on new products, for example, human tissues or cells made by regenerative medicine, artificial starch made by in vitro synthetic biosystems, isobutanol fermented by metabolic engineering, and synthetic biology-driven microorganisms, as well as exiting products produced by far better approaches. Biomanufacturing 4.0 would help address some of the most important challenges of humankind, such as food security, energy security and sustainability, water crisis, climate change, health issues, and conflict related to the energy, food, and water nexus.","author":[{"dropping-particle":"","family":"Zhang","given":"Yi Heng Percival","non-dropping-particle":"","parse-names":false,"suffix":""},{"dropping-particle":"","family":"Sun","given":"Jibin","non-dropping-particle":"","parse-names":false,"suffix":""},{"dropping-particle":"","family":"Ma","given":"Yanhe","non-dropping-particle":"","parse-names":false,"suffix":""}],"container-title":"Journal of Industrial Microbiology and Biotechnology","id":"ITEM-1","issue":"4-5","issued":{"date-parts":[["2017","5","1"]]},"page":"773-784","publisher":"Springer Verlag","title":"Biomanufacturing: history and perspective","type":"article","volume":"44"},"uris":["http://www.mendeley.com/documents/?uuid=4f19c6ff-b9bd-3db8-9e9c-a237aa114695"]}],"mendeley":{"formattedCitation":"&lt;sup&gt;10&lt;/sup&gt;","plainTextFormattedCitation":"10","previouslyFormattedCitation":"&lt;sup&gt;10&lt;/sup&gt;"},"properties":{"noteIndex":0},"schema":"https://github.com/citation-style-language/schema/raw/master/csl-citation.json"}</w:instrText>
      </w:r>
      <w:r w:rsidR="00B71BD8" w:rsidRPr="00A71FCF">
        <w:rPr>
          <w:rFonts w:eastAsia="Times New Roman" w:cs="Arial"/>
          <w:color w:val="000000"/>
          <w:szCs w:val="22"/>
        </w:rPr>
        <w:fldChar w:fldCharType="separate"/>
      </w:r>
      <w:r w:rsidR="00B71BD8" w:rsidRPr="00A71FCF">
        <w:rPr>
          <w:rFonts w:eastAsia="Times New Roman" w:cs="Arial"/>
          <w:noProof/>
          <w:color w:val="000000"/>
          <w:szCs w:val="22"/>
          <w:vertAlign w:val="superscript"/>
        </w:rPr>
        <w:t>10</w:t>
      </w:r>
      <w:r w:rsidR="00B71BD8" w:rsidRPr="00A71FCF">
        <w:rPr>
          <w:rFonts w:eastAsia="Times New Roman" w:cs="Arial"/>
          <w:color w:val="000000"/>
          <w:szCs w:val="22"/>
        </w:rPr>
        <w:fldChar w:fldCharType="end"/>
      </w:r>
      <w:r w:rsidRPr="00E43B04">
        <w:rPr>
          <w:rFonts w:eastAsia="Times New Roman" w:cs="Arial"/>
          <w:color w:val="000000"/>
          <w:szCs w:val="22"/>
        </w:rPr>
        <w:t xml:space="preserve">. To </w:t>
      </w:r>
      <w:r w:rsidRPr="00E43B04">
        <w:rPr>
          <w:rFonts w:eastAsia="Times New Roman" w:cs="Arial"/>
          <w:color w:val="000000"/>
          <w:szCs w:val="22"/>
        </w:rPr>
        <w:lastRenderedPageBreak/>
        <w:t>help realize biomanufacturing’s feasibility as a replacement to industrial petrochemical based processes, the late 1900s saw the emergence of the field of Metabolic Engineering</w:t>
      </w:r>
      <w:r w:rsidR="00B71BD8" w:rsidRPr="00A71FCF">
        <w:rPr>
          <w:rFonts w:eastAsia="Times New Roman" w:cs="Arial"/>
          <w:color w:val="000000"/>
          <w:szCs w:val="22"/>
        </w:rPr>
        <w:fldChar w:fldCharType="begin" w:fldLock="1"/>
      </w:r>
      <w:r w:rsidR="009E4FF0" w:rsidRPr="00A71FCF">
        <w:rPr>
          <w:rFonts w:eastAsia="Times New Roman" w:cs="Arial"/>
          <w:color w:val="000000"/>
          <w:szCs w:val="22"/>
        </w:rPr>
        <w:instrText>ADDIN CSL_CITATION {"citationItems":[{"id":"ITEM-1","itemData":{"DOI":"10.1007/s10295-016-1863-2","ISSN":"14765535","abstract":"Biomanufacturing is a type of manufacturing that utilizes biological systems (e.g., living microorganisms, resting cells, animal cells, plant cells, tissues, enzymes, or in vitro synthetic (enzymatic) systems) to produce commercially important biomolecules for use in the agricultural, food, material, energy, and pharmaceutical industries. History of biomanufacturing could be classified into the three revolutions in terms of respective product types (mainly), production platforms, and research technologies. Biomanufacturing 1.0 focuses on the production of primary metabolites (e.g., butanol, acetone, ethanol, citric acid) by using mono-culture fermentation; biomanufacturing 2.0 focuses on the production of secondary metabolites (e.g., penicillin, streptomycin) by using a dedicated mutant and aerobic submerged liquid fermentation; and biomanufacturing 3.0 focuses on the production of large-size biomolecules—proteins and enzymes (e.g., erythropoietin, insulin, growth hormone, amylase, DNA polymerase) by using recombinant DNA technology and advanced cell culture. Biomanufacturing 4.0 could focus on new products, for example, human tissues or cells made by regenerative medicine, artificial starch made by in vitro synthetic biosystems, isobutanol fermented by metabolic engineering, and synthetic biology-driven microorganisms, as well as exiting products produced by far better approaches. Biomanufacturing 4.0 would help address some of the most important challenges of humankind, such as food security, energy security and sustainability, water crisis, climate change, health issues, and conflict related to the energy, food, and water nexus.","author":[{"dropping-particle":"","family":"Zhang","given":"Yi Heng Percival","non-dropping-particle":"","parse-names":false,"suffix":""},{"dropping-particle":"","family":"Sun","given":"Jibin","non-dropping-particle":"","parse-names":false,"suffix":""},{"dropping-particle":"","family":"Ma","given":"Yanhe","non-dropping-particle":"","parse-names":false,"suffix":""}],"container-title":"Journal of Industrial Microbiology and Biotechnology","id":"ITEM-1","issue":"4-5","issued":{"date-parts":[["2017","5","1"]]},"page":"773-784","publisher":"Springer Verlag","title":"Biomanufacturing: history and perspective","type":"article","volume":"44"},"uris":["http://www.mendeley.com/documents/?uuid=4f19c6ff-b9bd-3db8-9e9c-a237aa114695"]}],"mendeley":{"formattedCitation":"&lt;sup&gt;10&lt;/sup&gt;","plainTextFormattedCitation":"10","previouslyFormattedCitation":"&lt;sup&gt;10&lt;/sup&gt;"},"properties":{"noteIndex":0},"schema":"https://github.com/citation-style-language/schema/raw/master/csl-citation.json"}</w:instrText>
      </w:r>
      <w:r w:rsidR="00B71BD8" w:rsidRPr="00A71FCF">
        <w:rPr>
          <w:rFonts w:eastAsia="Times New Roman" w:cs="Arial"/>
          <w:color w:val="000000"/>
          <w:szCs w:val="22"/>
        </w:rPr>
        <w:fldChar w:fldCharType="separate"/>
      </w:r>
      <w:r w:rsidR="00B71BD8" w:rsidRPr="00A71FCF">
        <w:rPr>
          <w:rFonts w:eastAsia="Times New Roman" w:cs="Arial"/>
          <w:noProof/>
          <w:color w:val="000000"/>
          <w:szCs w:val="22"/>
          <w:vertAlign w:val="superscript"/>
        </w:rPr>
        <w:t>10</w:t>
      </w:r>
      <w:r w:rsidR="00B71BD8" w:rsidRPr="00A71FCF">
        <w:rPr>
          <w:rFonts w:eastAsia="Times New Roman" w:cs="Arial"/>
          <w:color w:val="000000"/>
          <w:szCs w:val="22"/>
        </w:rPr>
        <w:fldChar w:fldCharType="end"/>
      </w:r>
      <w:r w:rsidRPr="00E43B04">
        <w:rPr>
          <w:rFonts w:eastAsia="Times New Roman" w:cs="Arial"/>
          <w:color w:val="000000"/>
          <w:szCs w:val="22"/>
        </w:rPr>
        <w:t>. Leveraging recombinant DNA technology and cell culture techniques, the goal of Metabolic Engineering is to transform a microbe into a “cell factory” that can carry out targeted conversions</w:t>
      </w:r>
      <w:r w:rsidR="009E4FF0" w:rsidRPr="00A71FCF">
        <w:rPr>
          <w:rFonts w:eastAsia="Times New Roman" w:cs="Arial"/>
          <w:color w:val="000000"/>
          <w:szCs w:val="22"/>
        </w:rPr>
        <w:fldChar w:fldCharType="begin" w:fldLock="1"/>
      </w:r>
      <w:r w:rsidR="00613629" w:rsidRPr="00A71FCF">
        <w:rPr>
          <w:rFonts w:eastAsia="Times New Roman" w:cs="Arial"/>
          <w:color w:val="000000"/>
          <w:szCs w:val="22"/>
        </w:rPr>
        <w:instrText>ADDIN CSL_CITATION {"citationItems":[{"id":"ITEM-1","itemData":{"DOI":"10.1146/annurev-chembioeng-061312-103312","ISSN":"1947-5438","abstract":"We present here a broad overview of the field of metabolic engineering, describing in the first section the key fundamental principles that define and distinguish it, as well as the technological and intellectual developments over the past approximately 20 years that have led to the current state of the art. Discussion of concepts such as metabolic flux analysis, metabolic control analysis, and rational and combinatorial methods is facilitated by illustrative examples of their application drawn from the extensive metabolic engineering literature. In the second section, we present some of the rapidly emerging technologies that we think will play pivotal roles in the continued growth of the field, from improving production metrics to expanding the range of attainable compounds. Expected final online publication date for the Annual Review of Chemical and Biomolecular Engineering Volume 4 is June 07, 2013. Please see http://www.annualreviews.org/catalog/pubdates.aspx for revised estimates.","author":[{"dropping-particle":"","family":"Woolston","given":"Benjamin M.","non-dropping-particle":"","parse-names":false,"suffix":""},{"dropping-particle":"","family":"Edgar","given":"Steven","non-dropping-particle":"","parse-names":false,"suffix":""},{"dropping-particle":"","family":"Stephanopoulos","given":"Gregory","non-dropping-particle":"","parse-names":false,"suffix":""}],"container-title":"Annual Review of Chemical and Biomolecular Engineering","id":"ITEM-1","issue":"1","issued":{"date-parts":[["2013","6","7"]]},"page":"259-288","publisher":"Annual Reviews","title":"Metabolic Engineering: Past and Future","type":"article-journal","volume":"4"},"uris":["http://www.mendeley.com/documents/?uuid=53a9df93-ae7e-398c-8ec2-88534a6bd011"]},{"id":"ITEM-2","itemData":{"DOI":"10.1016/j.coche.2012.09.003","ISSN":"22113398","abstract":"Concerns about future oil supplies and climate change are fueling interest in sustainable alternative sources of energy and chemicals. Biomass is a renewable feedstock that has the potential to replace a significant fraction of petroleum used today. Advances in metabolic engineering and biotechnology have made it possible to engineer microorganisms capable of converting simple sugars derived from various sources including cellulosic feedstocks into a diverse range of products. We highlight the potential of this approach to produce cost effective biosynthetic routes to fuels, chemicals and pharmaceuticals in an envisioned future bio-based economy. © 2012 Elsevier Ltd. All rights reserved.","author":[{"dropping-particle":"","family":"Zhang","given":"Jie","non-dropping-particle":"","parse-names":false,"suffix":""},{"dropping-particle":"","family":"Babtie","given":"Ann","non-dropping-particle":"","parse-names":false,"suffix":""},{"dropping-particle":"","family":"Stephanopoulos","given":"Gregory","non-dropping-particle":"","parse-names":false,"suffix":""}],"container-title":"Current Opinion in Chemical Engineering","id":"ITEM-2","issue":"4","issued":{"date-parts":[["2012","11","1"]]},"page":"355-362","publisher":"Elsevier Ltd","title":"Metabolic engineering: Enabling technology of a bio-based economy","type":"article","volume":"1"},"uris":["http://www.mendeley.com/documents/?uuid=c1496770-cd70-3ec8-921c-1d60914d7911"]}],"mendeley":{"formattedCitation":"&lt;sup&gt;13,14&lt;/sup&gt;","plainTextFormattedCitation":"13,14","previouslyFormattedCitation":"&lt;sup&gt;13,14&lt;/sup&gt;"},"properties":{"noteIndex":0},"schema":"https://github.com/citation-style-language/schema/raw/master/csl-citation.json"}</w:instrText>
      </w:r>
      <w:r w:rsidR="009E4FF0" w:rsidRPr="00A71FCF">
        <w:rPr>
          <w:rFonts w:eastAsia="Times New Roman" w:cs="Arial"/>
          <w:color w:val="000000"/>
          <w:szCs w:val="22"/>
        </w:rPr>
        <w:fldChar w:fldCharType="separate"/>
      </w:r>
      <w:r w:rsidR="005014CE" w:rsidRPr="00A71FCF">
        <w:rPr>
          <w:rFonts w:eastAsia="Times New Roman" w:cs="Arial"/>
          <w:noProof/>
          <w:color w:val="000000"/>
          <w:szCs w:val="22"/>
          <w:vertAlign w:val="superscript"/>
        </w:rPr>
        <w:t>13,14</w:t>
      </w:r>
      <w:r w:rsidR="009E4FF0" w:rsidRPr="00A71FCF">
        <w:rPr>
          <w:rFonts w:eastAsia="Times New Roman" w:cs="Arial"/>
          <w:color w:val="000000"/>
          <w:szCs w:val="22"/>
        </w:rPr>
        <w:fldChar w:fldCharType="end"/>
      </w:r>
      <w:r w:rsidRPr="00E43B04">
        <w:rPr>
          <w:rFonts w:eastAsia="Times New Roman" w:cs="Arial"/>
          <w:color w:val="000000"/>
          <w:szCs w:val="22"/>
        </w:rPr>
        <w:t>. Contingent to a cell factory’s adoption for commercial manufacturing is its ability to form a desired molecule at a titer (amount of product per unit volume), productivity (rate of product formation per unit volume), and yield (amount of product formed per amount of substrate consumed) that is industrially relevant</w:t>
      </w:r>
      <w:r w:rsidR="009E4FF0" w:rsidRPr="00A71FCF">
        <w:rPr>
          <w:rFonts w:eastAsia="Times New Roman" w:cs="Arial"/>
          <w:color w:val="000000"/>
          <w:szCs w:val="22"/>
        </w:rPr>
        <w:fldChar w:fldCharType="begin" w:fldLock="1"/>
      </w:r>
      <w:r w:rsidR="00613629" w:rsidRPr="00A71FCF">
        <w:rPr>
          <w:rFonts w:eastAsia="Times New Roman" w:cs="Arial"/>
          <w:color w:val="000000"/>
          <w:szCs w:val="22"/>
        </w:rPr>
        <w:instrText>ADDIN CSL_CITATION {"citationItems":[{"id":"ITEM-1","itemData":{"DOI":"10.1146/annurev-chembioeng-061312-103312","ISSN":"1947-5438","abstract":"We present here a broad overview of the field of metabolic engineering, describing in the first section the key fundamental principles that define and distinguish it, as well as the technological and intellectual developments over the past approximately 20 years that have led to the current state of the art. Discussion of concepts such as metabolic flux analysis, metabolic control analysis, and rational and combinatorial methods is facilitated by illustrative examples of their application drawn from the extensive metabolic engineering literature. In the second section, we present some of the rapidly emerging technologies that we think will play pivotal roles in the continued growth of the field, from improving production metrics to expanding the range of attainable compounds. Expected final online publication date for the Annual Review of Chemical and Biomolecular Engineering Volume 4 is June 07, 2013. Please see http://www.annualreviews.org/catalog/pubdates.aspx for revised estimates.","author":[{"dropping-particle":"","family":"Woolston","given":"Benjamin M.","non-dropping-particle":"","parse-names":false,"suffix":""},{"dropping-particle":"","family":"Edgar","given":"Steven","non-dropping-particle":"","parse-names":false,"suffix":""},{"dropping-particle":"","family":"Stephanopoulos","given":"Gregory","non-dropping-particle":"","parse-names":false,"suffix":""}],"container-title":"Annual Review of Chemical and Biomolecular Engineering","id":"ITEM-1","issue":"1","issued":{"date-parts":[["2013","6","7"]]},"page":"259-288","publisher":"Annual Reviews","title":"Metabolic Engineering: Past and Future","type":"article-journal","volume":"4"},"uris":["http://www.mendeley.com/documents/?uuid=53a9df93-ae7e-398c-8ec2-88534a6bd011"]},{"id":"ITEM-2","itemData":{"DOI":"10.3389/FBIOE.2019.00036/BIBTEX","ISSN":"22964185","abstract":"The \"-omics\" era has brought a new set of tools and methods that have created a significant impact on the development of Metabolic Engineering and Synthetic Biology. These fields, rather than working separately, depend on each other to prosper and achieve their individual goals. Synthetic Biology aims to design libraries of genetic components (promoters, coding sequences, terminators, transcriptional factors and their binding sequences, and more), the assembly of devices, genetic circuits and even organism; in addition to obtaining quantitative information for the creation of models that can predict the behavior of biological systems (Cameron et al., 2014). Metabolic engineering seeks for the optimization of cellular processes, endemic to a specific organism, to produce a compound of interest from a substrate, preferably cheap and simple. It uses different databases, libraries of components and conditions to generate the maximum production rate of a desired chemical compound and avoiding inhibitors and conditions that affect the growth rate and other vital functions in the specific organism to achieve these goals; metabolic fluxes manipulation represents an important alternative (Stephanopoulos, 2012).","author":[{"dropping-particle":"","family":"García-Granados","given":"Raúl","non-dropping-particle":"","parse-names":false,"suffix":""},{"dropping-particle":"","family":"Lerma-Escalera","given":"Jordy Alexis","non-dropping-particle":"","parse-names":false,"suffix":""},{"dropping-particle":"","family":"Morones-Ramírez","given":"José R.","non-dropping-particle":"","parse-names":false,"suffix":""}],"container-title":"Frontiers in Bioengineering and Biotechnology","id":"ITEM-2","issue":"MAR","issued":{"date-parts":[["2019","3","4"]]},"page":"36","publisher":"Frontiers Media S.A.","title":"Metabolic engineering and synthetic biology: Synergies, future, and challenges","type":"article-journal","volume":"7"},"uris":["http://www.mendeley.com/documents/?uuid=1d9ca075-6f25-336f-afa0-199c11497ac3"]}],"mendeley":{"formattedCitation":"&lt;sup&gt;13,15&lt;/sup&gt;","plainTextFormattedCitation":"13,15","previouslyFormattedCitation":"&lt;sup&gt;13,15&lt;/sup&gt;"},"properties":{"noteIndex":0},"schema":"https://github.com/citation-style-language/schema/raw/master/csl-citation.json"}</w:instrText>
      </w:r>
      <w:r w:rsidR="009E4FF0" w:rsidRPr="00A71FCF">
        <w:rPr>
          <w:rFonts w:eastAsia="Times New Roman" w:cs="Arial"/>
          <w:color w:val="000000"/>
          <w:szCs w:val="22"/>
        </w:rPr>
        <w:fldChar w:fldCharType="separate"/>
      </w:r>
      <w:r w:rsidR="005014CE" w:rsidRPr="00A71FCF">
        <w:rPr>
          <w:rFonts w:eastAsia="Times New Roman" w:cs="Arial"/>
          <w:noProof/>
          <w:color w:val="000000"/>
          <w:szCs w:val="22"/>
          <w:vertAlign w:val="superscript"/>
        </w:rPr>
        <w:t>13,15</w:t>
      </w:r>
      <w:r w:rsidR="009E4FF0" w:rsidRPr="00A71FCF">
        <w:rPr>
          <w:rFonts w:eastAsia="Times New Roman" w:cs="Arial"/>
          <w:color w:val="000000"/>
          <w:szCs w:val="22"/>
        </w:rPr>
        <w:fldChar w:fldCharType="end"/>
      </w:r>
      <w:r w:rsidR="009E4FF0" w:rsidRPr="00A71FCF">
        <w:rPr>
          <w:rFonts w:eastAsia="Times New Roman" w:cs="Arial"/>
          <w:color w:val="000000"/>
          <w:szCs w:val="22"/>
        </w:rPr>
        <w:t xml:space="preserve">. </w:t>
      </w:r>
      <w:r w:rsidRPr="00E43B04">
        <w:rPr>
          <w:rFonts w:eastAsia="Times New Roman" w:cs="Arial"/>
          <w:color w:val="000000"/>
          <w:szCs w:val="22"/>
        </w:rPr>
        <w:t xml:space="preserve">Today, a few producer strains have been engineered with high </w:t>
      </w:r>
      <w:r w:rsidR="0037660E">
        <w:rPr>
          <w:rFonts w:eastAsia="Times New Roman" w:cs="Arial"/>
          <w:color w:val="000000"/>
          <w:szCs w:val="22"/>
        </w:rPr>
        <w:t>productivities, titers, and yields</w:t>
      </w:r>
      <w:r w:rsidRPr="00E43B04">
        <w:rPr>
          <w:rFonts w:eastAsia="Times New Roman" w:cs="Arial"/>
          <w:color w:val="000000"/>
          <w:szCs w:val="22"/>
        </w:rPr>
        <w:t>, and are hence being applied towards the commercial-scale production of certain fine chemicals (e.g., pharmaceuticals and fragrances)</w:t>
      </w:r>
      <w:r w:rsidR="009E4FF0" w:rsidRPr="00A71FCF">
        <w:rPr>
          <w:rFonts w:eastAsia="Times New Roman" w:cs="Arial"/>
          <w:color w:val="000000"/>
          <w:szCs w:val="22"/>
        </w:rPr>
        <w:fldChar w:fldCharType="begin" w:fldLock="1"/>
      </w:r>
      <w:r w:rsidR="00613629" w:rsidRPr="00A71FCF">
        <w:rPr>
          <w:rFonts w:eastAsia="Times New Roman" w:cs="Arial"/>
          <w:color w:val="000000"/>
          <w:szCs w:val="22"/>
        </w:rPr>
        <w:instrText>ADDIN CSL_CITATION {"citationItems":[{"id":"ITEM-1","itemData":{"DOI":"10.1016/J.BIOTECHADV.2015.02.011","ISSN":"0734-9750","PMID":"25728067","abstract":"Industrial bio-processes for fine chemical production are increasingly relying on cell factories developed through metabolic engineering and synthetic biology. The use of high throughput techniques and automation for the design of cell factories, and especially platform strains, has played an important role in the transition from laboratory research to industrial production. Model organisms such as Saccharomyces cerevisiae and Escherichia coli remain widely used host strains for industrial production due to their robust and desirable traits. This review describes some of the bio-based fine chemicals that have reached the market, key metabolic engineering tools that have allowed this to happen and some of the companies that are currently utilizing these technologies for developing industrial production processes.","author":[{"dropping-particle":"","family":"Jullesson","given":"David","non-dropping-particle":"","parse-names":false,"suffix":""},{"dropping-particle":"","family":"David","given":"Florian","non-dropping-particle":"","parse-names":false,"suffix":""},{"dropping-particle":"","family":"Pfleger","given":"Brian","non-dropping-particle":"","parse-names":false,"suffix":""},{"dropping-particle":"","family":"Nielsen","given":"Jens","non-dropping-particle":"","parse-names":false,"suffix":""}],"container-title":"Biotechnology Advances","id":"ITEM-1","issue":"7","issued":{"date-parts":[["2015","11","15"]]},"page":"1395-1402","publisher":"Elsevier","title":"Impact of synthetic biology and metabolic engineering on industrial production of fine chemicals","type":"article-journal","volume":"33"},"uris":["http://www.mendeley.com/documents/?uuid=8980d319-4bbc-3307-ae5b-177c8f61f733"]}],"mendeley":{"formattedCitation":"&lt;sup&gt;16&lt;/sup&gt;","plainTextFormattedCitation":"16","previouslyFormattedCitation":"&lt;sup&gt;16&lt;/sup&gt;"},"properties":{"noteIndex":0},"schema":"https://github.com/citation-style-language/schema/raw/master/csl-citation.json"}</w:instrText>
      </w:r>
      <w:r w:rsidR="009E4FF0" w:rsidRPr="00A71FCF">
        <w:rPr>
          <w:rFonts w:eastAsia="Times New Roman" w:cs="Arial"/>
          <w:color w:val="000000"/>
          <w:szCs w:val="22"/>
        </w:rPr>
        <w:fldChar w:fldCharType="separate"/>
      </w:r>
      <w:r w:rsidR="005014CE" w:rsidRPr="00A71FCF">
        <w:rPr>
          <w:rFonts w:eastAsia="Times New Roman" w:cs="Arial"/>
          <w:noProof/>
          <w:color w:val="000000"/>
          <w:szCs w:val="22"/>
          <w:vertAlign w:val="superscript"/>
        </w:rPr>
        <w:t>16</w:t>
      </w:r>
      <w:r w:rsidR="009E4FF0" w:rsidRPr="00A71FCF">
        <w:rPr>
          <w:rFonts w:eastAsia="Times New Roman" w:cs="Arial"/>
          <w:color w:val="000000"/>
          <w:szCs w:val="22"/>
        </w:rPr>
        <w:fldChar w:fldCharType="end"/>
      </w:r>
      <w:r w:rsidRPr="00E43B04">
        <w:rPr>
          <w:rFonts w:eastAsia="Times New Roman" w:cs="Arial"/>
          <w:color w:val="000000"/>
          <w:szCs w:val="22"/>
        </w:rPr>
        <w:t xml:space="preserve"> and commodity chemicals (e.g., biofuels)</w:t>
      </w:r>
      <w:r w:rsidR="009E4FF0" w:rsidRPr="00A71FCF">
        <w:rPr>
          <w:rFonts w:eastAsia="Times New Roman" w:cs="Arial"/>
          <w:color w:val="000000"/>
          <w:szCs w:val="22"/>
        </w:rPr>
        <w:fldChar w:fldCharType="begin" w:fldLock="1"/>
      </w:r>
      <w:r w:rsidR="00494BB5" w:rsidRPr="00A71FCF">
        <w:rPr>
          <w:rFonts w:eastAsia="Times New Roman" w:cs="Arial"/>
          <w:color w:val="000000"/>
          <w:szCs w:val="22"/>
        </w:rPr>
        <w:instrText>ADDIN CSL_CITATION {"citationItems":[{"id":"ITEM-1","itemData":{"DOI":"10.1038/s41587-022-01248-8","ISSN":"1546-1696","PMID":"35190687","abstract":"Producing commodity chemicals in bacteria that live on industrial air pollution captures more greenhouse gases than it emits.","author":[{"dropping-particle":"","family":"Scown","given":"Corinne D.","non-dropping-particle":"","parse-names":false,"suffix":""},{"dropping-particle":"","family":"Keasling","given":"Jay D.","non-dropping-particle":"","parse-names":false,"suffix":""}],"container-title":"Nature Biotechnology 2022 40:3","id":"ITEM-1","issue":"3","issued":{"date-parts":[["2022","2","21"]]},"page":"304-307","publisher":"Nature Publishing Group","title":"Sustainable manufacturing with synthetic biology","type":"article-journal","volume":"40"},"uris":["http://www.mendeley.com/documents/?uuid=caae6903-30b1-367f-8670-49f192548388"]}],"mendeley":{"formattedCitation":"&lt;sup&gt;7&lt;/sup&gt;","plainTextFormattedCitation":"7","previouslyFormattedCitation":"&lt;sup&gt;7&lt;/sup&gt;"},"properties":{"noteIndex":0},"schema":"https://github.com/citation-style-language/schema/raw/master/csl-citation.json"}</w:instrText>
      </w:r>
      <w:r w:rsidR="009E4FF0" w:rsidRPr="00A71FCF">
        <w:rPr>
          <w:rFonts w:eastAsia="Times New Roman" w:cs="Arial"/>
          <w:color w:val="000000"/>
          <w:szCs w:val="22"/>
        </w:rPr>
        <w:fldChar w:fldCharType="separate"/>
      </w:r>
      <w:r w:rsidR="009E4FF0" w:rsidRPr="00A71FCF">
        <w:rPr>
          <w:rFonts w:eastAsia="Times New Roman" w:cs="Arial"/>
          <w:noProof/>
          <w:color w:val="000000"/>
          <w:szCs w:val="22"/>
          <w:vertAlign w:val="superscript"/>
        </w:rPr>
        <w:t>7</w:t>
      </w:r>
      <w:r w:rsidR="009E4FF0" w:rsidRPr="00A71FCF">
        <w:rPr>
          <w:rFonts w:eastAsia="Times New Roman" w:cs="Arial"/>
          <w:color w:val="000000"/>
          <w:szCs w:val="22"/>
        </w:rPr>
        <w:fldChar w:fldCharType="end"/>
      </w:r>
      <w:r w:rsidR="009E4FF0" w:rsidRPr="00A71FCF">
        <w:rPr>
          <w:rFonts w:eastAsia="Times New Roman" w:cs="Arial"/>
          <w:color w:val="000000"/>
          <w:szCs w:val="22"/>
        </w:rPr>
        <w:t xml:space="preserve">. </w:t>
      </w:r>
    </w:p>
    <w:p w14:paraId="2FDD14B3" w14:textId="77777777" w:rsidR="00786690" w:rsidRDefault="00786690" w:rsidP="00786690">
      <w:pPr>
        <w:ind w:firstLine="720"/>
        <w:contextualSpacing/>
        <w:rPr>
          <w:rFonts w:eastAsia="Times New Roman" w:cs="Arial"/>
          <w:color w:val="000000"/>
          <w:szCs w:val="22"/>
        </w:rPr>
      </w:pPr>
    </w:p>
    <w:p w14:paraId="42A52C7D" w14:textId="6562F80E" w:rsidR="00501BC8" w:rsidRPr="00E033D4" w:rsidRDefault="00935195" w:rsidP="00E033D4">
      <w:pPr>
        <w:pStyle w:val="ChapterHeading"/>
      </w:pPr>
      <w:bookmarkStart w:id="2" w:name="_Toc129700996"/>
      <w:r>
        <w:t>1.2</w:t>
      </w:r>
      <w:r w:rsidR="008E289D">
        <w:t>.</w:t>
      </w:r>
      <w:r>
        <w:t xml:space="preserve"> </w:t>
      </w:r>
      <w:r w:rsidR="00CA6C8D">
        <w:t>Rapidly E</w:t>
      </w:r>
      <w:r w:rsidR="006B1192">
        <w:t>xpanding Biomanufacturing Capabilities with</w:t>
      </w:r>
      <w:r w:rsidR="00786690">
        <w:t xml:space="preserve"> </w:t>
      </w:r>
      <w:r w:rsidR="006B1192">
        <w:t>Cell-free Metabolic Engineering</w:t>
      </w:r>
      <w:bookmarkEnd w:id="2"/>
    </w:p>
    <w:p w14:paraId="3C9B6148" w14:textId="6B0BCA33" w:rsidR="00E43B04" w:rsidRPr="00E43B04" w:rsidRDefault="00E43B04" w:rsidP="00786690">
      <w:pPr>
        <w:ind w:firstLine="720"/>
        <w:contextualSpacing/>
        <w:rPr>
          <w:rFonts w:eastAsia="Times New Roman" w:cs="Arial"/>
          <w:szCs w:val="22"/>
        </w:rPr>
      </w:pPr>
      <w:r w:rsidRPr="00E43B04">
        <w:rPr>
          <w:rFonts w:eastAsia="Times New Roman" w:cs="Arial"/>
          <w:color w:val="000000"/>
          <w:szCs w:val="22"/>
        </w:rPr>
        <w:t>In principle, a much larger variety of chemicals and materials can be made by bioindustries. According to the McKinsey Global Institute, up to 60% of the global economy’s factors of production could be biologically derived, the majority of which (e.g., bio-plastics) will have to be biomanufactured</w:t>
      </w:r>
      <w:r w:rsidR="00494BB5" w:rsidRPr="00A71FCF">
        <w:rPr>
          <w:rFonts w:eastAsia="Times New Roman" w:cs="Arial"/>
          <w:color w:val="000000"/>
          <w:szCs w:val="22"/>
        </w:rPr>
        <w:fldChar w:fldCharType="begin" w:fldLock="1"/>
      </w:r>
      <w:r w:rsidR="006031D5" w:rsidRPr="00A71FCF">
        <w:rPr>
          <w:rFonts w:eastAsia="Times New Roman" w:cs="Arial"/>
          <w:color w:val="000000"/>
          <w:szCs w:val="22"/>
        </w:rPr>
        <w:instrText>ADDIN CSL_CITATION {"citationItems":[{"id":"ITEM-1","itemData":{"abstract":"This report describes the potential scope and scale of this wave of innovation and highlights the profound risks that will need to be managed. We conclude with a look at the potential implications for a range of stakeholders. The research began in early 2019, many months before the novel coronavirus SARS-CoV-2 causing the COVID-19 infection appeared and triggered a global pandemic in the first quarter of 2020. The early response to COVID-19 illustrated the substantial advances in biological science in just the past few years. The speed with which scientists sequenced the virus’s genome—weeks rather than months—bore witness to the new world of biology we describe in this report. Sequencing is just the start: bio innovations are enabling the rapid introduction of clinical trials of vaccines, the search for effective therapies, and a deep investigation of both the origins and the transmission patterns of the virus. While this report does not explore the relevance of ongoing bio innovation to tackling COVID-19 in depth, we do believe that the pandemic makes this research even more acutely relevant. The","author":[{"dropping-particle":"","family":"Chui","given":"Michael","non-dropping-particle":"","parse-names":false,"suffix":""},{"dropping-particle":"","family":"Evers","given":"Matthias","non-dropping-particle":"","parse-names":false,"suffix":""},{"dropping-particle":"","family":"Manyika","given":"James","non-dropping-particle":"","parse-names":false,"suffix":""},{"dropping-particle":"","family":"Zheng","given":"Alice","non-dropping-particle":"","parse-names":false,"suffix":""},{"dropping-particle":"","family":"Nisbet","given":"Travers","non-dropping-particle":"","parse-names":false,"suffix":""}],"container-title":"McKinsey Global Institute","id":"ITEM-1","issue":"May","issued":{"date-parts":[["2020"]]},"number-of-pages":"200","title":"The Bio Revolution Innovations transforming economies, societies, and our lives","type":"report"},"uris":["http://www.mendeley.com/documents/?uuid=bf32bc37-17ba-33c9-b31b-60db2fdfa289"]}],"mendeley":{"formattedCitation":"&lt;sup&gt;5&lt;/sup&gt;","plainTextFormattedCitation":"5","previouslyFormattedCitation":"&lt;sup&gt;5&lt;/sup&gt;"},"properties":{"noteIndex":0},"schema":"https://github.com/citation-style-language/schema/raw/master/csl-citation.json"}</w:instrText>
      </w:r>
      <w:r w:rsidR="00494BB5" w:rsidRPr="00A71FCF">
        <w:rPr>
          <w:rFonts w:eastAsia="Times New Roman" w:cs="Arial"/>
          <w:color w:val="000000"/>
          <w:szCs w:val="22"/>
        </w:rPr>
        <w:fldChar w:fldCharType="separate"/>
      </w:r>
      <w:r w:rsidR="00494BB5" w:rsidRPr="00A71FCF">
        <w:rPr>
          <w:rFonts w:eastAsia="Times New Roman" w:cs="Arial"/>
          <w:noProof/>
          <w:color w:val="000000"/>
          <w:szCs w:val="22"/>
          <w:vertAlign w:val="superscript"/>
        </w:rPr>
        <w:t>5</w:t>
      </w:r>
      <w:r w:rsidR="00494BB5" w:rsidRPr="00A71FCF">
        <w:rPr>
          <w:rFonts w:eastAsia="Times New Roman" w:cs="Arial"/>
          <w:color w:val="000000"/>
          <w:szCs w:val="22"/>
        </w:rPr>
        <w:fldChar w:fldCharType="end"/>
      </w:r>
      <w:r w:rsidRPr="00E43B04">
        <w:rPr>
          <w:rFonts w:eastAsia="Times New Roman" w:cs="Arial"/>
          <w:color w:val="000000"/>
          <w:szCs w:val="22"/>
        </w:rPr>
        <w:t>. However, the deployment of producer strains that will broaden the range of industrial bioproducts is delayed by limitations that are inherent to engineering living systems</w:t>
      </w:r>
      <w:r w:rsidR="006031D5" w:rsidRPr="00A71FCF">
        <w:rPr>
          <w:rFonts w:eastAsia="Times New Roman" w:cs="Arial"/>
          <w:color w:val="000000"/>
          <w:szCs w:val="22"/>
        </w:rPr>
        <w:fldChar w:fldCharType="begin" w:fldLock="1"/>
      </w:r>
      <w:r w:rsidR="00613629" w:rsidRPr="00A71FCF">
        <w:rPr>
          <w:rFonts w:eastAsia="Times New Roman" w:cs="Arial"/>
          <w:color w:val="000000"/>
          <w:szCs w:val="22"/>
        </w:rPr>
        <w:instrText>ADDIN CSL_CITATION {"citationItems":[{"id":"ITEM-1","itemData":{"DOI":"10.3390/MPS2020033","ISSN":"2409-9279","abstract":"Due to the ongoing crises of fossil fuel depletion, climate change, and environmental pollution, microbial processes are increasingly considered as a potential alternative for cleaner and more efficient production of the diverse chemicals required for modern civilization. However, many issues, including low efficiency of raw material conversion and unintended release of genetically modified microorganisms into the environment, have limited the use of bioprocesses that rely on recombinant microorganisms. Cell-free metabolic engineering is emerging as a new approach that overcomes the limitations of existing cell-based systems. Instead of relying on metabolic processes carried out by living cells, cell-free metabolic engineering harnesses the metabolic activities of cell lysates in vitro. Such approaches offer several potential benefits, including operational simplicity, high conversion yield and productivity, and prevention of environmental release of microorganisms. In this article, we review the recent progress in this field and discuss the prospects of this technique as a next-generation bioconversion platform for the chemical industry.","author":[{"dropping-particle":"","family":"Lim","given":"Hye Jin","non-dropping-particle":"","parse-names":false,"suffix":""},{"dropping-particle":"","family":"Kim","given":"Dong Myung","non-dropping-particle":"","parse-names":false,"suffix":""}],"container-title":"Methods and Protocols 2019, Vol. 2, Page 33","id":"ITEM-1","issue":"2","issued":{"date-parts":[["2019","4","30"]]},"page":"33","publisher":"Multidisciplinary Digital Publishing Institute","title":"Cell-Free Metabolic Engineering: Recent Developments and Future Prospects","type":"article-journal","volume":"2"},"uris":["http://www.mendeley.com/documents/?uuid=ba4f51c7-f7a4-3531-be0e-7634b4d1a798"]},{"id":"ITEM-2","itemData":{"DOI":"10.1016/j.csbj.2017.01.006","ISSN":"20010370","PMID":"28179978","abstract":"With the breakthroughs in biomolecular engineering and synthetic biology, many valuable biologically active compound and commodity chemicals have been successfully manufactured using cell-based approaches in the past decade. However, because of the high complexity of cell metabolism, the identification and optimization of rate-limiting metabolic pathways for improving the product yield is often difficult, which represents a significant and unavoidable barrier of traditional in vivo metabolic engineering. Recently, some in vitro engineering approaches were proposed as alternative strategies to solve this problem. In brief, by reconstituting a biosynthetic pathway in a cell-free environment with the supplement of cofactors and substrates, the performance of each biosynthetic pathway could be evaluated and optimized systematically. Several value-added products, including chemicals, nutraceuticals, and drug precursors, have been biosynthesized as proof-of-concept demonstrations of in vitro metabolic engineering. This mini-review summarizes the recent progresses on the emerging topic of in vitro metabolic engineering and comments on the potential application of cell-free technology to speed up the “design-build-test” cycles of biomanufacturing.","author":[{"dropping-particle":"","family":"Guo","given":"Weihua","non-dropping-particle":"","parse-names":false,"suffix":""},{"dropping-particle":"","family":"Sheng","given":"Jiayuan","non-dropping-particle":"","parse-names":false,"suffix":""},{"dropping-particle":"","family":"Feng","given":"Xueyang","non-dropping-particle":"","parse-names":false,"suffix":""}],"container-title":"Computational and Structural Biotechnology Journal","id":"ITEM-2","issued":{"date-parts":[["2017","1","1"]]},"page":"161-167","publisher":"Elsevier B.V.","title":"Mini-review: In vitro Metabolic Engineering for Biomanufacturing of High-value Products","type":"article","volume":"15"},"uris":["http://www.mendeley.com/documents/?uuid=8dd364d8-64f4-34a9-9365-7026bb960e30"]},{"id":"ITEM-3","itemData":{"DOI":"10.1016/j.ymben.2018.09.011","ISSN":"10967184","abstract":"Expanding the concept of cell-free biology, implemented both with purified components and crude extracts, is continuing to deepen our appreciation of biological fundamentals while enlarging the range of applications. We are no longer intimidated by the complexity of crude extracts and complicated reaction systems with hundreds of active components, and, instead, coordinately activate and inactivate metabolic processes to focus and expand the capabilities of natural biological processes. This, in turn, dramatically increases the range of benefits offered by new products, both natural and supernatural, that were previously infeasible and/or unimaginable. This overview of cell-free metabolic engineering provides a broad range of examples and insights to guide and motivate continued research that will further expand fundamental understanding and beneficial applications. However, this survey also reveals how far we are from fully unlocking the potential offered by natural and engineered biological components and systems. This is an exciting conclusion, but metabolic engineering by itself is not sufficient. Going forward, innovative metabolic engineering must be intimately combined with creative process engineering to fully realize potential contributions toward a sustainable global civilization.","author":[{"dropping-particle":"","family":"Swartz","given":"James R.","non-dropping-particle":"","parse-names":false,"suffix":""}],"container-title":"Metabolic Engineering","id":"ITEM-3","issued":{"date-parts":[["2018"]]},"title":"Expanding biological applications using cell-free metabolic engineering: An overview","type":"article","volume":"50"},"uris":["http://www.mendeley.com/documents/?uuid=3d7b36e7-9d5b-3968-a2f9-9724c9ff971e"]},{"id":"ITEM-4","itemData":{"DOI":"10.1016/j.tibtech.2019.12.024","ISSN":"18793096","abstract":"Metabolic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Biotechnology","id":"ITEM-4","issued":{"date-parts":[["2020","1","23"]]},"publisher":"Elsevier Ltd","title":"Synthetic Biochemistry: The Bio-inspired Cell-Free Approach to Commodity Chemical Production","type":"article"},"uris":["http://www.mendeley.com/documents/?uuid=2e6836a8-603b-33f3-ac63-5bc4a65d2485"]}],"mendeley":{"formattedCitation":"&lt;sup&gt;17–20&lt;/sup&gt;","plainTextFormattedCitation":"17–20","previouslyFormattedCitation":"&lt;sup&gt;17–20&lt;/sup&gt;"},"properties":{"noteIndex":0},"schema":"https://github.com/citation-style-language/schema/raw/master/csl-citation.json"}</w:instrText>
      </w:r>
      <w:r w:rsidR="006031D5" w:rsidRPr="00A71FCF">
        <w:rPr>
          <w:rFonts w:eastAsia="Times New Roman" w:cs="Arial"/>
          <w:color w:val="000000"/>
          <w:szCs w:val="22"/>
        </w:rPr>
        <w:fldChar w:fldCharType="separate"/>
      </w:r>
      <w:r w:rsidR="005014CE" w:rsidRPr="00A71FCF">
        <w:rPr>
          <w:rFonts w:eastAsia="Times New Roman" w:cs="Arial"/>
          <w:noProof/>
          <w:color w:val="000000"/>
          <w:szCs w:val="22"/>
          <w:vertAlign w:val="superscript"/>
        </w:rPr>
        <w:t>17–20</w:t>
      </w:r>
      <w:r w:rsidR="006031D5" w:rsidRPr="00A71FCF">
        <w:rPr>
          <w:rFonts w:eastAsia="Times New Roman" w:cs="Arial"/>
          <w:color w:val="000000"/>
          <w:szCs w:val="22"/>
        </w:rPr>
        <w:fldChar w:fldCharType="end"/>
      </w:r>
      <w:r w:rsidR="006031D5" w:rsidRPr="00A71FCF">
        <w:rPr>
          <w:rFonts w:eastAsia="Times New Roman" w:cs="Arial"/>
          <w:color w:val="000000"/>
          <w:szCs w:val="22"/>
        </w:rPr>
        <w:t>.</w:t>
      </w:r>
      <w:r w:rsidRPr="00E43B04">
        <w:rPr>
          <w:rFonts w:eastAsia="Times New Roman" w:cs="Arial"/>
          <w:color w:val="000000"/>
          <w:szCs w:val="22"/>
        </w:rPr>
        <w:t xml:space="preserve"> That is, </w:t>
      </w:r>
      <w:r w:rsidR="00CF6B68">
        <w:rPr>
          <w:rFonts w:eastAsia="Times New Roman" w:cs="Arial"/>
          <w:color w:val="000000"/>
          <w:szCs w:val="22"/>
        </w:rPr>
        <w:t xml:space="preserve">rationally </w:t>
      </w:r>
      <w:r w:rsidRPr="00E43B04">
        <w:rPr>
          <w:rFonts w:eastAsia="Times New Roman" w:cs="Arial"/>
          <w:color w:val="000000"/>
          <w:szCs w:val="22"/>
        </w:rPr>
        <w:t>developing a high-performing microbial host that sustains target metabolite production while remaining viable requires numerous design, build, test, and learn (DBTL) cycles</w:t>
      </w:r>
      <w:r w:rsidR="009E1B58" w:rsidRPr="00A71FCF">
        <w:rPr>
          <w:rFonts w:eastAsia="Times New Roman" w:cs="Arial"/>
          <w:color w:val="000000"/>
          <w:szCs w:val="22"/>
        </w:rPr>
        <w:fldChar w:fldCharType="begin" w:fldLock="1"/>
      </w:r>
      <w:r w:rsidR="00613629" w:rsidRPr="00A71FCF">
        <w:rPr>
          <w:rFonts w:eastAsia="Times New Roman" w:cs="Arial"/>
          <w:color w:val="000000"/>
          <w:szCs w:val="22"/>
        </w:rPr>
        <w:instrText>ADDIN CSL_CITATION {"citationItems":[{"id":"ITEM-1","itemData":{"DOI":"10.1002/BIOT.201400330","PMID":"25319678","author":[{"dropping-particle":"","family":"Dudley","given":"Quentin M.","non-dropping-particle":"","parse-names":false,"suffix":""},{"dropping-particle":"","family":"Karim","given":"Ashty S.","non-dropping-particle":"","parse-names":false,"suffix":""},{"dropping-particle":"","family":"Jewett","given":"Michael C.","non-dropping-particle":"","parse-names":false,"suffix":""}],"container-title":"Biotechnology journal","id":"ITEM-1","issue":"1","issued":{"date-parts":[["2015"]]},"page":"69","publisher":"NIH Public Access","title":"Cell-Free Metabolic Engineering: Biomanufacturing beyond the cell","type":"article-journal","volume":"10"},"uris":["http://www.mendeley.com/documents/?uuid=03ea16c3-fc9f-335d-9127-7f15cc4340d4"]},{"id":"ITEM-2","itemData":{"DOI":"10.1016/bs.mie.2018.04.029","ISBN":"9780128151488","ISSN":"15577988","abstract":"Engineering biological systems for the production of biofuels and bioproducts holds great potential to transform the bioeconomy, but often requires laborious, time-consuming design-build-test cycles. For decades cell-free systems have offered quick and facile approaches to study enzymes with hopes of informing cellular processes, mainly in the form of purified single-enzyme activity assays. Over the past 20 years, cell-free systems have grown to include multienzymatic systems, both purified and crude. By decoupling cellular growth objectives from enzyme pathway engineering objectives, cell-free systems provide a controllable environment to direct substrates toward a single, desired product. Cell-free approaches are being developed for prototyping and for biomanufacturing. In prototyping applications, the idea is to use cell-free systems to test and optimize biosynthetic pathways before implementation in live cells and scale-up. We present a detailed method for the generation of crude lysates for cell-free pathway prototyping, mix-and-match cell-free metabolic engineering using preenriched lysates, and cell-free protein synthesis driven cell-free metabolic engineering. The cell-free synthetic biology methods described herein are generalizable to any biosynthetic pathway of interest and provide a powerful approach to building pathways in crude lysates for the purpose of prototyping. The foundational principle of the presented approach is that we can construct discrete metabolic pathways through modular assembly of cell-free lysates containing enzyme components produced by overexpression in the lysate chassis strain or by cell-free protein synthesis (in vitro production). Overall, the modular and cell-free nature of our pathway prototyping framework is poised to facilitate multiplexed, automated study of biosynthetic pathways to inform systems-level cellular design.","author":[{"dropping-particle":"","family":"Karim","given":"Ashty S.","non-dropping-particle":"","parse-names":false,"suffix":""},{"dropping-particle":"","family":"Jewett","given":"Michael C.","non-dropping-particle":"","parse-names":false,"suffix":""}],"container-title":"Methods in Enzymology","id":"ITEM-2","issued":{"date-parts":[["2018","1","1"]]},"page":"31-57","publisher":"Academic Press Inc.","title":"Cell-Free Synthetic Biology for Pathway Prototyping","type":"chapter","volume":"608"},"uris":["http://www.mendeley.com/documents/?uuid=2ee231d6-cf3f-3340-bed1-c04dac8a4127"]}],"mendeley":{"formattedCitation":"&lt;sup&gt;21,22&lt;/sup&gt;","plainTextFormattedCitation":"21,22","previouslyFormattedCitation":"&lt;sup&gt;21,22&lt;/sup&gt;"},"properties":{"noteIndex":0},"schema":"https://github.com/citation-style-language/schema/raw/master/csl-citation.json"}</w:instrText>
      </w:r>
      <w:r w:rsidR="009E1B58" w:rsidRPr="00A71FCF">
        <w:rPr>
          <w:rFonts w:eastAsia="Times New Roman" w:cs="Arial"/>
          <w:color w:val="000000"/>
          <w:szCs w:val="22"/>
        </w:rPr>
        <w:fldChar w:fldCharType="separate"/>
      </w:r>
      <w:r w:rsidR="005014CE" w:rsidRPr="00A71FCF">
        <w:rPr>
          <w:rFonts w:eastAsia="Times New Roman" w:cs="Arial"/>
          <w:noProof/>
          <w:color w:val="000000"/>
          <w:szCs w:val="22"/>
          <w:vertAlign w:val="superscript"/>
        </w:rPr>
        <w:t>21,22</w:t>
      </w:r>
      <w:r w:rsidR="009E1B58" w:rsidRPr="00A71FCF">
        <w:rPr>
          <w:rFonts w:eastAsia="Times New Roman" w:cs="Arial"/>
          <w:color w:val="000000"/>
          <w:szCs w:val="22"/>
        </w:rPr>
        <w:fldChar w:fldCharType="end"/>
      </w:r>
      <w:r w:rsidRPr="00E43B04">
        <w:rPr>
          <w:rFonts w:eastAsia="Times New Roman" w:cs="Arial"/>
          <w:color w:val="000000"/>
          <w:szCs w:val="22"/>
        </w:rPr>
        <w:t>. Iterations of the build step, where a pathway design is constructed into a chassis, are particularly rate-limiting</w:t>
      </w:r>
      <w:r w:rsidR="009E1B58" w:rsidRPr="00A71FCF">
        <w:rPr>
          <w:rFonts w:eastAsia="Times New Roman" w:cs="Arial"/>
          <w:color w:val="000000"/>
          <w:szCs w:val="22"/>
        </w:rPr>
        <w:t xml:space="preserve"> in rational metabolic engineering</w:t>
      </w:r>
      <w:r w:rsidR="00613629" w:rsidRPr="00A71FCF">
        <w:rPr>
          <w:rFonts w:eastAsia="Times New Roman" w:cs="Arial"/>
          <w:color w:val="000000"/>
          <w:szCs w:val="22"/>
        </w:rPr>
        <w:fldChar w:fldCharType="begin" w:fldLock="1"/>
      </w:r>
      <w:r w:rsidR="00691934" w:rsidRPr="00A71FCF">
        <w:rPr>
          <w:rFonts w:eastAsia="Times New Roman" w:cs="Arial"/>
          <w:color w:val="000000"/>
          <w:szCs w:val="22"/>
        </w:rPr>
        <w:instrText>ADDIN CSL_CITATION {"citationItems":[{"id":"ITEM-1","itemData":{"DOI":"10.1038/s41589-020-0559-0","ISSN":"1552-4469","PMID":"32541965","abstract":"The design and optimization of biosynthetic pathways for industrially relevant, non-model organisms is challenging due to transformation idiosyncrasies, reduced numbers of validated genetic parts and a lack of high-throughput workflows. Here we describe a platform for in vitro prototyping and rapid optimization of biosynthetic enzymes (iPROBE) to accelerate this process. In iPROBE, cell lysates are enriched with biosynthetic enzymes by cell-free protein synthesis and then metabolic pathways are assembled in a mix-and-match fashion to assess pathway performance. We demonstrate iPROBE by screening 54 different cell-free pathways for 3-hydroxybutyrate production and optimizing a six-step butanol pathway across 205 permutations using data-driven design. Observing a strong correlation (r = 0.79) between cell-free and cellular performance, we then scaled up our highest-performing pathway, which improved in vivo 3-HB production in Clostridium by 20-fold to 14.63 ± 0.48 g l−1. We expect iPROBE to accelerate design–build–test cycles for industrial biotechnology. The iPROBE platform accelerates the design and optimization of engineered biosynthetic pathways using a combination of cell-free protein synthesis, in vitro pathway assembly and a scoring system to identify high-performing combinations.","author":[{"dropping-particle":"","family":"Karim","given":"Ashty S.","non-dropping-particle":"","parse-names":false,"suffix":""},{"dropping-particle":"","family":"Dudley","given":"Quentin M.","non-dropping-particle":"","parse-names":false,"suffix":""},{"dropping-particle":"","family":"Juminaga","given":"Alex","non-dropping-particle":"","parse-names":false,"suffix":""},{"dropping-particle":"","family":"Yuan","given":"Yongbo","non-dropping-particle":"","parse-names":false,"suffix":""},{"dropping-particle":"","family":"Crowe","given":"Samantha A.","non-dropping-particle":"","parse-names":false,"suffix":""},{"dropping-particle":"","family":"Heggestad","given":"Jacob T.","non-dropping-particle":"","parse-names":false,"suffix":""},{"dropping-particle":"","family":"Garg","given":"Shivani","non-dropping-particle":"","parse-names":false,"suffix":""},{"dropping-particle":"","family":"Abdalla","given":"Tanus","non-dropping-particle":"","parse-names":false,"suffix":""},{"dropping-particle":"","family":"Grubbe","given":"William S.","non-dropping-particle":"","parse-names":false,"suffix":""},{"dropping-particle":"","family":"Rasor","given":"Blake J.","non-dropping-particle":"","parse-names":false,"suffix":""},{"dropping-particle":"","family":"Coar","given":"David N.","non-dropping-particle":"","parse-names":false,"suffix":""},{"dropping-particle":"","family":"Torculas","given":"Maria","non-dropping-particle":"","parse-names":false,"suffix":""},{"dropping-particle":"","family":"Krein","given":"Michael","non-dropping-particle":"","parse-names":false,"suffix":""},{"dropping-particle":"","family":"Liew","given":"Fung Min (Eric)","non-dropping-particle":"","parse-names":false,"suffix":""},{"dropping-particle":"","family":"Quattlebaum","given":"Amy","non-dropping-particle":"","parse-names":false,"suffix":""},{"dropping-particle":"","family":"Jensen","given":"Rasmus O.","non-dropping-particle":"","parse-names":false,"suffix":""},{"dropping-particle":"","family":"Stuart","given":"Jeffrey A.","non-dropping-particle":"","parse-names":false,"suffix":""},{"dropping-particle":"","family":"Simpson","given":"Sean D.","non-dropping-particle":"","parse-names":false,"suffix":""},{"dropping-particle":"","family":"Köpke","given":"Michael","non-dropping-particle":"","parse-names":false,"suffix":""},{"dropping-particle":"","family":"Jewett","given":"Michael C.","non-dropping-particle":"","parse-names":false,"suffix":""}],"container-title":"Nature Chemical Biology 2020 16:8","id":"ITEM-1","issue":"8","issued":{"date-parts":[["2020","6","15"]]},"page":"912-919","publisher":"Nature Publishing Group","title":"In vitro prototyping and rapid optimization of biosynthetic enzymes for cell design","type":"article-journal","volume":"16"},"uris":["http://www.mendeley.com/documents/?uuid=ea324de2-b505-3c8c-9eb3-a32744b0e992"]},{"id":"ITEM-2","itemData":{"DOI":"10.1016/J.YMBEN.2020.05.006","ISSN":"1096-7184","PMID":"32464283","abstract":"Metabolic engineering of microorganisms to produce sustainable chemicals has emerged as an important part of the global bioeconomy. Unfortunately, efforts to design and engineer microbial cell factories are challenging because design-build-test cycles, iterations of re-engineering organisms to test and optimize new sets of enzymes, are slow. To alleviate this challenge, we demonstrate a cell-free approach termed in vitro Prototyping and Rapid Optimization of Biosynthetic Enzymes (or iPROBE). In iPROBE, a large number of pathway combinations can be rapidly built and optimized. The key idea is to use cell-free protein synthesis (CFPS) to manufacture pathway enzymes in separate reactions that are then mixed to modularly assemble multiple, distinct biosynthetic pathways. As a model, we apply our approach to the 9-step heterologous enzyme pathway to limonene in extracts from Escherichia coli. In iterative cycles of design, we studied the impact of 54 enzyme homologs, multiple enzyme levels, and cofactor concentrations on pathway performance. In total, we screened over 150 unique sets of enzymes in 580 unique pathway conditions to increase limonene production in 24 h from 0.2 to 4.5 mM (23–610 mg/L). Finally, to demonstrate the modularity of this pathway, we also synthesized the biofuel precursors pinene and bisabolene. We anticipate that iPROBE will accelerate design-build-test cycles for metabolic engineering, enabling data-driven multiplexed cell-free methods for testing large combinations of biosynthetic enzymes to inform cellular design.","author":[{"dropping-particle":"","family":"Dudley","given":"Quentin M.","non-dropping-particle":"","parse-names":false,"suffix":""},{"dropping-particle":"","family":"Karim","given":"Ashty S.","non-dropping-particle":"","parse-names":false,"suffix":""},{"dropping-particle":"","family":"Nash","given":"Connor J.","non-dropping-particle":"","parse-names":false,"suffix":""},{"dropping-particle":"","family":"Jewett","given":"Michael C.","non-dropping-particle":"","parse-names":false,"suffix":""}],"container-title":"Metabolic engineering","id":"ITEM-2","issued":{"date-parts":[["2020","9","1"]]},"page":"251-260","publisher":"Metab Eng","title":"In vitro prototyping of limonene biosynthesis using cell-free protein synthesis","type":"article-journal","volume":"61"},"uris":["http://www.mendeley.com/documents/?uuid=7d7b987c-1e82-3450-b6a7-7724d3b6a8e1"]}],"mendeley":{"formattedCitation":"&lt;sup&gt;23,24&lt;/sup&gt;","plainTextFormattedCitation":"23,24","previouslyFormattedCitation":"&lt;sup&gt;23,24&lt;/sup&gt;"},"properties":{"noteIndex":0},"schema":"https://github.com/citation-style-language/schema/raw/master/csl-citation.json"}</w:instrText>
      </w:r>
      <w:r w:rsidR="00613629" w:rsidRPr="00A71FCF">
        <w:rPr>
          <w:rFonts w:eastAsia="Times New Roman" w:cs="Arial"/>
          <w:color w:val="000000"/>
          <w:szCs w:val="22"/>
        </w:rPr>
        <w:fldChar w:fldCharType="separate"/>
      </w:r>
      <w:r w:rsidR="00613629" w:rsidRPr="00A71FCF">
        <w:rPr>
          <w:rFonts w:eastAsia="Times New Roman" w:cs="Arial"/>
          <w:noProof/>
          <w:color w:val="000000"/>
          <w:szCs w:val="22"/>
          <w:vertAlign w:val="superscript"/>
        </w:rPr>
        <w:t>23,24</w:t>
      </w:r>
      <w:r w:rsidR="00613629" w:rsidRPr="00A71FCF">
        <w:rPr>
          <w:rFonts w:eastAsia="Times New Roman" w:cs="Arial"/>
          <w:color w:val="000000"/>
          <w:szCs w:val="22"/>
        </w:rPr>
        <w:fldChar w:fldCharType="end"/>
      </w:r>
      <w:r w:rsidRPr="00E43B04">
        <w:rPr>
          <w:rFonts w:eastAsia="Times New Roman" w:cs="Arial"/>
          <w:color w:val="000000"/>
          <w:szCs w:val="22"/>
        </w:rPr>
        <w:t xml:space="preserve">. This typically involves 1) rewiring endogenous metabolism via knockouts or gene regulation to redirect flux, and 2) expressing heterologous enzymes to overcome bottlenecks or to build in heterologous </w:t>
      </w:r>
      <w:r w:rsidRPr="00E43B04">
        <w:rPr>
          <w:rFonts w:eastAsia="Times New Roman" w:cs="Arial"/>
          <w:color w:val="000000"/>
          <w:szCs w:val="22"/>
        </w:rPr>
        <w:lastRenderedPageBreak/>
        <w:t>pathways</w:t>
      </w:r>
      <w:r w:rsidR="005014CE" w:rsidRPr="00A71FCF">
        <w:rPr>
          <w:rFonts w:eastAsia="Times New Roman" w:cs="Arial"/>
          <w:color w:val="000000"/>
          <w:szCs w:val="22"/>
        </w:rPr>
        <w:fldChar w:fldCharType="begin" w:fldLock="1"/>
      </w:r>
      <w:r w:rsidR="005014CE" w:rsidRPr="00A71FCF">
        <w:rPr>
          <w:rFonts w:eastAsia="Times New Roman" w:cs="Arial"/>
          <w:color w:val="000000"/>
          <w:szCs w:val="22"/>
        </w:rPr>
        <w:instrText>ADDIN CSL_CITATION {"citationItems":[{"id":"ITEM-1","itemData":{"DOI":"10.1146/annurev-chembioeng-061312-103312","ISSN":"1947-5438","abstract":"We present here a broad overview of the field of metabolic engineering, describing in the first section the key fundamental principles that define and distinguish it, as well as the technological and intellectual developments over the past approximately 20 years that have led to the current state of the art. Discussion of concepts such as metabolic flux analysis, metabolic control analysis, and rational and combinatorial methods is facilitated by illustrative examples of their application drawn from the extensive metabolic engineering literature. In the second section, we present some of the rapidly emerging technologies that we think will play pivotal roles in the continued growth of the field, from improving production metrics to expanding the range of attainable compounds. Expected final online publication date for the Annual Review of Chemical and Biomolecular Engineering Volume 4 is June 07, 2013. Please see http://www.annualreviews.org/catalog/pubdates.aspx for revised estimates.","author":[{"dropping-particle":"","family":"Woolston","given":"Benjamin M.","non-dropping-particle":"","parse-names":false,"suffix":""},{"dropping-particle":"","family":"Edgar","given":"Steven","non-dropping-particle":"","parse-names":false,"suffix":""},{"dropping-particle":"","family":"Stephanopoulos","given":"Gregory","non-dropping-particle":"","parse-names":false,"suffix":""}],"container-title":"Annual Review of Chemical and Biomolecular Engineering","id":"ITEM-1","issue":"1","issued":{"date-parts":[["2013","6","7"]]},"page":"259-288","publisher":"Annual Reviews","title":"Metabolic Engineering: Past and Future","type":"article-journal","volume":"4"},"uris":["http://www.mendeley.com/documents/?uuid=53a9df93-ae7e-398c-8ec2-88534a6bd011"]}],"mendeley":{"formattedCitation":"&lt;sup&gt;13&lt;/sup&gt;","plainTextFormattedCitation":"13","previouslyFormattedCitation":"&lt;sup&gt;13&lt;/sup&gt;"},"properties":{"noteIndex":0},"schema":"https://github.com/citation-style-language/schema/raw/master/csl-citation.json"}</w:instrText>
      </w:r>
      <w:r w:rsidR="005014CE" w:rsidRPr="00A71FCF">
        <w:rPr>
          <w:rFonts w:eastAsia="Times New Roman" w:cs="Arial"/>
          <w:color w:val="000000"/>
          <w:szCs w:val="22"/>
        </w:rPr>
        <w:fldChar w:fldCharType="separate"/>
      </w:r>
      <w:r w:rsidR="005014CE" w:rsidRPr="00A71FCF">
        <w:rPr>
          <w:rFonts w:eastAsia="Times New Roman" w:cs="Arial"/>
          <w:noProof/>
          <w:color w:val="000000"/>
          <w:szCs w:val="22"/>
          <w:vertAlign w:val="superscript"/>
        </w:rPr>
        <w:t>13</w:t>
      </w:r>
      <w:r w:rsidR="005014CE" w:rsidRPr="00A71FCF">
        <w:rPr>
          <w:rFonts w:eastAsia="Times New Roman" w:cs="Arial"/>
          <w:color w:val="000000"/>
          <w:szCs w:val="22"/>
        </w:rPr>
        <w:fldChar w:fldCharType="end"/>
      </w:r>
      <w:r w:rsidRPr="00E43B04">
        <w:rPr>
          <w:rFonts w:eastAsia="Times New Roman" w:cs="Arial"/>
          <w:color w:val="000000"/>
          <w:szCs w:val="22"/>
        </w:rPr>
        <w:t>. Such unnatural tasks are likely to result in metabolic burden or product cytotoxicity, among other phenomena, that can be deleterious to cell viability</w:t>
      </w:r>
      <w:r w:rsidR="00691934" w:rsidRPr="00A71FCF">
        <w:rPr>
          <w:rFonts w:eastAsia="Times New Roman" w:cs="Arial"/>
          <w:color w:val="000000"/>
          <w:szCs w:val="22"/>
        </w:rPr>
        <w:t xml:space="preserve"> and performance</w:t>
      </w:r>
      <w:r w:rsidR="00691934" w:rsidRPr="00A71FCF">
        <w:rPr>
          <w:rFonts w:eastAsia="Times New Roman" w:cs="Arial"/>
          <w:color w:val="000000"/>
          <w:szCs w:val="22"/>
        </w:rPr>
        <w:fldChar w:fldCharType="begin" w:fldLock="1"/>
      </w:r>
      <w:r w:rsidR="00691934" w:rsidRPr="00A71FCF">
        <w:rPr>
          <w:rFonts w:eastAsia="Times New Roman" w:cs="Arial"/>
          <w:color w:val="000000"/>
          <w:szCs w:val="22"/>
        </w:rPr>
        <w:instrText>ADDIN CSL_CITATION {"citationItems":[{"id":"ITEM-1","itemData":{"DOI":"10.1016/J.TIBTECH.2016.02.010","ISSN":"0167-7799","PMID":"26996613","abstract":"Engineering cell metabolism for bioproduction not only consumes building blocks and energy molecules (e.g., ATP) but also triggers energetic inefficiency inside the cell. The metabolic burdens on microbial workhorses lead to undesirable physiological changes, placing hidden constraints on host productivity. We discuss cell physiological responses to metabolic burdens, as well as strategies to identify and resolve the carbon and energy burden problems, including metabolic balancing, enhancing respiration, dynamic regulatory systems, chromosomal engineering, decoupling cell growth with production phases, and co-utilization of nutrient resources. To design robust strains with high chances of success in industrial settings, novel genome-scale models (GSMs), 13C-metabolic flux analysis (MFA), and machine-learning approaches are needed for weighting, standardizing, and predicting metabolic costs.","author":[{"dropping-particle":"","family":"Wu","given":"Gang","non-dropping-particle":"","parse-names":false,"suffix":""},{"dropping-particle":"","family":"Yan","given":"Qiang","non-dropping-particle":"","parse-names":false,"suffix":""},{"dropping-particle":"","family":"Jones","given":"J. Andrew","non-dropping-particle":"","parse-names":false,"suffix":""},{"dropping-particle":"","family":"Tang","given":"Yinjie J.","non-dropping-particle":"","parse-names":false,"suffix":""},{"dropping-particle":"","family":"Fong","given":"Stephen S.","non-dropping-particle":"","parse-names":false,"suffix":""},{"dropping-particle":"","family":"Koffas","given":"Mattheos A.G.","non-dropping-particle":"","parse-names":false,"suffix":""}],"container-title":"Trends in Biotechnology","id":"ITEM-1","issue":"8","issued":{"date-parts":[["2016","8","1"]]},"page":"652-664","publisher":"Elsevier Current Trends","title":"Metabolic Burden: Cornerstones in Synthetic Biology and Metabolic Engineering Applications","type":"article-journal","volume":"34"},"uris":["http://www.mendeley.com/documents/?uuid=6cff7243-7aa4-32ae-8c5e-010eef5fbb54"]}],"mendeley":{"formattedCitation":"&lt;sup&gt;25&lt;/sup&gt;","plainTextFormattedCitation":"25","previouslyFormattedCitation":"&lt;sup&gt;25&lt;/sup&gt;"},"properties":{"noteIndex":0},"schema":"https://github.com/citation-style-language/schema/raw/master/csl-citation.json"}</w:instrText>
      </w:r>
      <w:r w:rsidR="00691934" w:rsidRPr="00A71FCF">
        <w:rPr>
          <w:rFonts w:eastAsia="Times New Roman" w:cs="Arial"/>
          <w:color w:val="000000"/>
          <w:szCs w:val="22"/>
        </w:rPr>
        <w:fldChar w:fldCharType="separate"/>
      </w:r>
      <w:r w:rsidR="00691934" w:rsidRPr="00A71FCF">
        <w:rPr>
          <w:rFonts w:eastAsia="Times New Roman" w:cs="Arial"/>
          <w:noProof/>
          <w:color w:val="000000"/>
          <w:szCs w:val="22"/>
          <w:vertAlign w:val="superscript"/>
        </w:rPr>
        <w:t>25</w:t>
      </w:r>
      <w:r w:rsidR="00691934" w:rsidRPr="00A71FCF">
        <w:rPr>
          <w:rFonts w:eastAsia="Times New Roman" w:cs="Arial"/>
          <w:color w:val="000000"/>
          <w:szCs w:val="22"/>
        </w:rPr>
        <w:fldChar w:fldCharType="end"/>
      </w:r>
      <w:r w:rsidRPr="00E43B04">
        <w:rPr>
          <w:rFonts w:eastAsia="Times New Roman" w:cs="Arial"/>
          <w:color w:val="000000"/>
          <w:szCs w:val="22"/>
        </w:rPr>
        <w:t xml:space="preserve">. Constructing a producer strain with insignificantly compromised health phenotypes thus requires laborious </w:t>
      </w:r>
      <w:r w:rsidR="00691934" w:rsidRPr="00A71FCF">
        <w:rPr>
          <w:rFonts w:eastAsia="Times New Roman" w:cs="Arial"/>
          <w:color w:val="000000"/>
          <w:szCs w:val="22"/>
        </w:rPr>
        <w:t xml:space="preserve">strain </w:t>
      </w:r>
      <w:r w:rsidRPr="00E43B04">
        <w:rPr>
          <w:rFonts w:eastAsia="Times New Roman" w:cs="Arial"/>
          <w:color w:val="000000"/>
          <w:szCs w:val="22"/>
        </w:rPr>
        <w:t>optimization</w:t>
      </w:r>
      <w:r w:rsidR="009E3C44" w:rsidRPr="00A71FCF">
        <w:rPr>
          <w:rFonts w:eastAsia="Times New Roman" w:cs="Arial"/>
          <w:color w:val="000000"/>
          <w:szCs w:val="22"/>
        </w:rPr>
        <w:t xml:space="preserve"> </w:t>
      </w:r>
      <w:r w:rsidR="00691934" w:rsidRPr="00A71FCF">
        <w:rPr>
          <w:rFonts w:eastAsia="Times New Roman" w:cs="Arial"/>
          <w:color w:val="000000"/>
          <w:szCs w:val="22"/>
        </w:rPr>
        <w:t xml:space="preserve">to </w:t>
      </w:r>
      <w:r w:rsidRPr="00E43B04">
        <w:rPr>
          <w:rFonts w:eastAsia="Times New Roman" w:cs="Arial"/>
          <w:color w:val="000000"/>
          <w:szCs w:val="22"/>
        </w:rPr>
        <w:t>balance cell growth with biomanufacturing objectives</w:t>
      </w:r>
      <w:r w:rsidR="00691934" w:rsidRPr="00A71FCF">
        <w:rPr>
          <w:rFonts w:eastAsia="Times New Roman" w:cs="Arial"/>
          <w:color w:val="000000"/>
          <w:szCs w:val="22"/>
        </w:rPr>
        <w:fldChar w:fldCharType="begin" w:fldLock="1"/>
      </w:r>
      <w:r w:rsidR="00E27602" w:rsidRPr="00A71FCF">
        <w:rPr>
          <w:rFonts w:eastAsia="Times New Roman" w:cs="Arial"/>
          <w:color w:val="000000"/>
          <w:szCs w:val="22"/>
        </w:rPr>
        <w:instrText>ADDIN CSL_CITATION {"citationItems":[{"id":"ITEM-1","itemData":{"DOI":"10.1016/J.TIBTECH.2016.02.010","ISSN":"0167-7799","PMID":"26996613","abstract":"Engineering cell metabolism for bioproduction not only consumes building blocks and energy molecules (e.g., ATP) but also triggers energetic inefficiency inside the cell. The metabolic burdens on microbial workhorses lead to undesirable physiological changes, placing hidden constraints on host productivity. We discuss cell physiological responses to metabolic burdens, as well as strategies to identify and resolve the carbon and energy burden problems, including metabolic balancing, enhancing respiration, dynamic regulatory systems, chromosomal engineering, decoupling cell growth with production phases, and co-utilization of nutrient resources. To design robust strains with high chances of success in industrial settings, novel genome-scale models (GSMs), 13C-metabolic flux analysis (MFA), and machine-learning approaches are needed for weighting, standardizing, and predicting metabolic costs.","author":[{"dropping-particle":"","family":"Wu","given":"Gang","non-dropping-particle":"","parse-names":false,"suffix":""},{"dropping-particle":"","family":"Yan","given":"Qiang","non-dropping-particle":"","parse-names":false,"suffix":""},{"dropping-particle":"","family":"Jones","given":"J. Andrew","non-dropping-particle":"","parse-names":false,"suffix":""},{"dropping-particle":"","family":"Tang","given":"Yinjie J.","non-dropping-particle":"","parse-names":false,"suffix":""},{"dropping-particle":"","family":"Fong","given":"Stephen S.","non-dropping-particle":"","parse-names":false,"suffix":""},{"dropping-particle":"","family":"Koffas","given":"Mattheos A.G.","non-dropping-particle":"","parse-names":false,"suffix":""}],"container-title":"Trends in Biotechnology","id":"ITEM-1","issue":"8","issued":{"date-parts":[["2016","8","1"]]},"page":"652-664","publisher":"Elsevier Current Trends","title":"Metabolic Burden: Cornerstones in Synthetic Biology and Metabolic Engineering Applications","type":"article-journal","volume":"34"},"uris":["http://www.mendeley.com/documents/?uuid=6cff7243-7aa4-32ae-8c5e-010eef5fbb54"]}],"mendeley":{"formattedCitation":"&lt;sup&gt;25&lt;/sup&gt;","plainTextFormattedCitation":"25","previouslyFormattedCitation":"&lt;sup&gt;25&lt;/sup&gt;"},"properties":{"noteIndex":0},"schema":"https://github.com/citation-style-language/schema/raw/master/csl-citation.json"}</w:instrText>
      </w:r>
      <w:r w:rsidR="00691934" w:rsidRPr="00A71FCF">
        <w:rPr>
          <w:rFonts w:eastAsia="Times New Roman" w:cs="Arial"/>
          <w:color w:val="000000"/>
          <w:szCs w:val="22"/>
        </w:rPr>
        <w:fldChar w:fldCharType="separate"/>
      </w:r>
      <w:r w:rsidR="00691934" w:rsidRPr="00A71FCF">
        <w:rPr>
          <w:rFonts w:eastAsia="Times New Roman" w:cs="Arial"/>
          <w:noProof/>
          <w:color w:val="000000"/>
          <w:szCs w:val="22"/>
          <w:vertAlign w:val="superscript"/>
        </w:rPr>
        <w:t>25</w:t>
      </w:r>
      <w:r w:rsidR="00691934" w:rsidRPr="00A71FCF">
        <w:rPr>
          <w:rFonts w:eastAsia="Times New Roman" w:cs="Arial"/>
          <w:color w:val="000000"/>
          <w:szCs w:val="22"/>
        </w:rPr>
        <w:fldChar w:fldCharType="end"/>
      </w:r>
      <w:r w:rsidR="009E3C44" w:rsidRPr="00A71FCF">
        <w:rPr>
          <w:rFonts w:eastAsia="Times New Roman" w:cs="Arial"/>
          <w:color w:val="000000"/>
          <w:szCs w:val="22"/>
        </w:rPr>
        <w:t xml:space="preserve">. </w:t>
      </w:r>
      <w:r w:rsidRPr="00E43B04">
        <w:rPr>
          <w:rFonts w:eastAsia="Times New Roman" w:cs="Arial"/>
          <w:color w:val="000000"/>
          <w:szCs w:val="22"/>
        </w:rPr>
        <w:t xml:space="preserve">This is a lengthy process even </w:t>
      </w:r>
      <w:r w:rsidR="00691934" w:rsidRPr="00A71FCF">
        <w:rPr>
          <w:rFonts w:eastAsia="Times New Roman" w:cs="Arial"/>
          <w:color w:val="000000"/>
          <w:szCs w:val="22"/>
        </w:rPr>
        <w:t xml:space="preserve">in </w:t>
      </w:r>
      <w:r w:rsidRPr="00E43B04">
        <w:rPr>
          <w:rFonts w:eastAsia="Times New Roman" w:cs="Arial"/>
          <w:color w:val="000000"/>
          <w:szCs w:val="22"/>
        </w:rPr>
        <w:t>model microbes, whose current engineering toolkits have been developed over decades</w:t>
      </w:r>
      <w:r w:rsidR="00E27602" w:rsidRPr="00A71FCF">
        <w:rPr>
          <w:rFonts w:eastAsia="Times New Roman" w:cs="Arial"/>
          <w:color w:val="000000"/>
          <w:szCs w:val="22"/>
        </w:rPr>
        <w:fldChar w:fldCharType="begin" w:fldLock="1"/>
      </w:r>
      <w:r w:rsidR="00E27602" w:rsidRPr="00A71FCF">
        <w:rPr>
          <w:rFonts w:eastAsia="Times New Roman" w:cs="Arial"/>
          <w:color w:val="000000"/>
          <w:szCs w:val="22"/>
        </w:rPr>
        <w:instrText>ADDIN CSL_CITATION {"citationItems":[{"id":"ITEM-1","itemData":{"DOI":"10.1038/s41467-022-30571-6","ISSN":"2041-1723","PMID":"35650184","abstract":"Carbon-negative synthesis of biochemical products has the potential to mitigate global CO2 emissions. An attractive route to do this is the reverse β-oxidation (r-BOX) pathway coupled to the Wood-Ljungdahl pathway. Here, we optimize and implement r-BOX for the synthesis of C4-C6 acids and alcohols. With a high-throughput in vitro prototyping workflow, we screen 762 unique pathway combinations using cell-free extracts tailored for r-BOX to identify enzyme sets for enhanced product selectivity. Implementation of these pathways into Escherichia coli generates designer strains for the selective production of butanoic acid (4.9 ± 0.1 gL−1), as well as hexanoic acid (3.06 ± 0.03 gL−1) and 1-hexanol (1.0 ± 0.1 gL−1) at the best performance reported to date in this bacterium. We also generate Clostridium autoethanogenum strains able to produce 1-hexanol from syngas, achieving a titer of 0.26 gL−1 in a 1.5 L continuous fermentation. Our strategy enables optimization of r-BOX derived products for biomanufacturing and industrial biotechnology. An attractive route for carbon-negative synthesis of biochemical products is the reverse β-oxidation pathway coupled to the Wood-Ljungdahl pathway. Here the authors use&amp;nbsp;a high-throughput in vitro prototyping workflow to screen 762 unique pathway combinations using cell-free extracts tailored for r-BOX to identify enzyme sets for enhanced product selectivity.","author":[{"dropping-particle":"","family":"Vögeli","given":"Bastian","non-dropping-particle":"","parse-names":false,"suffix":""},{"dropping-particle":"","family":"Schulz","given":"Luca","non-dropping-particle":"","parse-names":false,"suffix":""},{"dropping-particle":"","family":"Garg","given":"Shivani","non-dropping-particle":"","parse-names":false,"suffix":""},{"dropping-particle":"","family":"Tarasava","given":"Katia","non-dropping-particle":"","parse-names":false,"suffix":""},{"dropping-particle":"","family":"Clomburg","given":"James M.","non-dropping-particle":"","parse-names":false,"suffix":""},{"dropping-particle":"","family":"Lee","given":"Seung Hwan","non-dropping-particle":"","parse-names":false,"suffix":""},{"dropping-particle":"","family":"Gonnot","given":"Aislinn","non-dropping-particle":"","parse-names":false,"suffix":""},{"dropping-particle":"","family":"Moully","given":"Elamar Hakim","non-dropping-particle":"","parse-names":false,"suffix":""},{"dropping-particle":"","family":"Kimmel","given":"Blaise R.","non-dropping-particle":"","parse-names":false,"suffix":""},{"dropping-particle":"","family":"Tran","given":"Loan","non-dropping-particle":"","parse-names":false,"suffix":""},{"dropping-particle":"","family":"Zeleznik","given":"Hunter","non-dropping-particle":"","parse-names":false,"suffix":""},{"dropping-particle":"","family":"Brown","given":"Steven D.","non-dropping-particle":"","parse-names":false,"suffix":""},{"dropping-particle":"","family":"Simpson","given":"Sean D.","non-dropping-particle":"","parse-names":false,"suffix":""},{"dropping-particle":"","family":"Mrksich","given":"Milan","non-dropping-particle":"","parse-names":false,"suffix":""},{"dropping-particle":"","family":"Karim","given":"Ashty S.","non-dropping-particle":"","parse-names":false,"suffix":""},{"dropping-particle":"","family":"Gonzalez","given":"Ramon","non-dropping-particle":"","parse-names":false,"suffix":""},{"dropping-particle":"","family":"Köpke","given":"Michael","non-dropping-particle":"","parse-names":false,"suffix":""},{"dropping-particle":"","family":"Jewett","given":"Michael C.","non-dropping-particle":"","parse-names":false,"suffix":""}],"container-title":"Nature Communications 2022 13:1","id":"ITEM-1","issue":"1","issued":{"date-parts":[["2022","6","1"]]},"page":"1-10","publisher":"Nature Publishing Group","title":"Cell-free prototyping enables implementation of optimized reverse β-oxidation pathways in heterotrophic and autotrophic bacteria","type":"article-journal","volume":"13"},"uris":["http://www.mendeley.com/documents/?uuid=04e8f346-3afc-370f-97b8-d41d9539f5ba"]}],"mendeley":{"formattedCitation":"&lt;sup&gt;26&lt;/sup&gt;","plainTextFormattedCitation":"26","previouslyFormattedCitation":"&lt;sup&gt;26&lt;/sup&gt;"},"properties":{"noteIndex":0},"schema":"https://github.com/citation-style-language/schema/raw/master/csl-citation.json"}</w:instrText>
      </w:r>
      <w:r w:rsidR="00E27602" w:rsidRPr="00A71FCF">
        <w:rPr>
          <w:rFonts w:eastAsia="Times New Roman" w:cs="Arial"/>
          <w:color w:val="000000"/>
          <w:szCs w:val="22"/>
        </w:rPr>
        <w:fldChar w:fldCharType="separate"/>
      </w:r>
      <w:r w:rsidR="00E27602" w:rsidRPr="00A71FCF">
        <w:rPr>
          <w:rFonts w:eastAsia="Times New Roman" w:cs="Arial"/>
          <w:noProof/>
          <w:color w:val="000000"/>
          <w:szCs w:val="22"/>
          <w:vertAlign w:val="superscript"/>
        </w:rPr>
        <w:t>26</w:t>
      </w:r>
      <w:r w:rsidR="00E27602" w:rsidRPr="00A71FCF">
        <w:rPr>
          <w:rFonts w:eastAsia="Times New Roman" w:cs="Arial"/>
          <w:color w:val="000000"/>
          <w:szCs w:val="22"/>
        </w:rPr>
        <w:fldChar w:fldCharType="end"/>
      </w:r>
      <w:r w:rsidRPr="00E43B04">
        <w:rPr>
          <w:rFonts w:eastAsia="Times New Roman" w:cs="Arial"/>
          <w:color w:val="000000"/>
          <w:szCs w:val="22"/>
        </w:rPr>
        <w:t xml:space="preserve">. As a result, common workflows for building testable pathway designs in cells can take weeks in industrial workhorses like </w:t>
      </w:r>
      <w:r w:rsidRPr="00E43B04">
        <w:rPr>
          <w:rFonts w:eastAsia="Times New Roman" w:cs="Arial"/>
          <w:i/>
          <w:iCs/>
          <w:color w:val="000000"/>
          <w:szCs w:val="22"/>
        </w:rPr>
        <w:t>E. coli</w:t>
      </w:r>
      <w:r w:rsidRPr="00E43B04">
        <w:rPr>
          <w:rFonts w:eastAsia="Times New Roman" w:cs="Arial"/>
          <w:color w:val="000000"/>
          <w:szCs w:val="22"/>
        </w:rPr>
        <w:t xml:space="preserve"> and several months in non-model organisms, constraining our biomanufacturing capabilities</w:t>
      </w:r>
      <w:r w:rsidR="00E27602" w:rsidRPr="00A71FCF">
        <w:rPr>
          <w:rFonts w:eastAsia="Times New Roman" w:cs="Arial"/>
          <w:color w:val="000000"/>
          <w:szCs w:val="22"/>
        </w:rPr>
        <w:fldChar w:fldCharType="begin" w:fldLock="1"/>
      </w:r>
      <w:r w:rsidR="00E27602" w:rsidRPr="00A71FCF">
        <w:rPr>
          <w:rFonts w:eastAsia="Times New Roman" w:cs="Arial"/>
          <w:color w:val="000000"/>
          <w:szCs w:val="22"/>
        </w:rPr>
        <w:instrText>ADDIN CSL_CITATION {"citationItems":[{"id":"ITEM-1","itemData":{"DOI":"10.1038/s41467-022-30571-6","ISSN":"2041-1723","PMID":"35650184","abstract":"Carbon-negative synthesis of biochemical products has the potential to mitigate global CO2 emissions. An attractive route to do this is the reverse β-oxidation (r-BOX) pathway coupled to the Wood-Ljungdahl pathway. Here, we optimize and implement r-BOX for the synthesis of C4-C6 acids and alcohols. With a high-throughput in vitro prototyping workflow, we screen 762 unique pathway combinations using cell-free extracts tailored for r-BOX to identify enzyme sets for enhanced product selectivity. Implementation of these pathways into Escherichia coli generates designer strains for the selective production of butanoic acid (4.9 ± 0.1 gL−1), as well as hexanoic acid (3.06 ± 0.03 gL−1) and 1-hexanol (1.0 ± 0.1 gL−1) at the best performance reported to date in this bacterium. We also generate Clostridium autoethanogenum strains able to produce 1-hexanol from syngas, achieving a titer of 0.26 gL−1 in a 1.5 L continuous fermentation. Our strategy enables optimization of r-BOX derived products for biomanufacturing and industrial biotechnology. An attractive route for carbon-negative synthesis of biochemical products is the reverse β-oxidation pathway coupled to the Wood-Ljungdahl pathway. Here the authors use&amp;nbsp;a high-throughput in vitro prototyping workflow to screen 762 unique pathway combinations using cell-free extracts tailored for r-BOX to identify enzyme sets for enhanced product selectivity.","author":[{"dropping-particle":"","family":"Vögeli","given":"Bastian","non-dropping-particle":"","parse-names":false,"suffix":""},{"dropping-particle":"","family":"Schulz","given":"Luca","non-dropping-particle":"","parse-names":false,"suffix":""},{"dropping-particle":"","family":"Garg","given":"Shivani","non-dropping-particle":"","parse-names":false,"suffix":""},{"dropping-particle":"","family":"Tarasava","given":"Katia","non-dropping-particle":"","parse-names":false,"suffix":""},{"dropping-particle":"","family":"Clomburg","given":"James M.","non-dropping-particle":"","parse-names":false,"suffix":""},{"dropping-particle":"","family":"Lee","given":"Seung Hwan","non-dropping-particle":"","parse-names":false,"suffix":""},{"dropping-particle":"","family":"Gonnot","given":"Aislinn","non-dropping-particle":"","parse-names":false,"suffix":""},{"dropping-particle":"","family":"Moully","given":"Elamar Hakim","non-dropping-particle":"","parse-names":false,"suffix":""},{"dropping-particle":"","family":"Kimmel","given":"Blaise R.","non-dropping-particle":"","parse-names":false,"suffix":""},{"dropping-particle":"","family":"Tran","given":"Loan","non-dropping-particle":"","parse-names":false,"suffix":""},{"dropping-particle":"","family":"Zeleznik","given":"Hunter","non-dropping-particle":"","parse-names":false,"suffix":""},{"dropping-particle":"","family":"Brown","given":"Steven D.","non-dropping-particle":"","parse-names":false,"suffix":""},{"dropping-particle":"","family":"Simpson","given":"Sean D.","non-dropping-particle":"","parse-names":false,"suffix":""},{"dropping-particle":"","family":"Mrksich","given":"Milan","non-dropping-particle":"","parse-names":false,"suffix":""},{"dropping-particle":"","family":"Karim","given":"Ashty S.","non-dropping-particle":"","parse-names":false,"suffix":""},{"dropping-particle":"","family":"Gonzalez","given":"Ramon","non-dropping-particle":"","parse-names":false,"suffix":""},{"dropping-particle":"","family":"Köpke","given":"Michael","non-dropping-particle":"","parse-names":false,"suffix":""},{"dropping-particle":"","family":"Jewett","given":"Michael C.","non-dropping-particle":"","parse-names":false,"suffix":""}],"container-title":"Nature Communications 2022 13:1","id":"ITEM-1","issue":"1","issued":{"date-parts":[["2022","6","1"]]},"page":"1-10","publisher":"Nature Publishing Group","title":"Cell-free prototyping enables implementation of optimized reverse β-oxidation pathways in heterotrophic and autotrophic bacteria","type":"article-journal","volume":"13"},"uris":["http://www.mendeley.com/documents/?uuid=04e8f346-3afc-370f-97b8-d41d9539f5ba"]},{"id":"ITEM-2","itemData":{"DOI":"10.1016/j.ymben.2016.03.002","ISSN":"10967184","abstract":"Speeding up design-build-test (DBT) cycles is a fundamental challenge facing biochemical engineering. To address this challenge, we report a new cell-free protein synthesis driven metabolic engineering (CFPS-ME) framework for rapid biosynthetic pathway prototyping. In our framework, cell-free cocktails for synthesizing target small molecules are assembled in a mix-and-match fashion from crude cell lysates either containing selectively enriched pathway enzymes from heterologous overexpression or directly producing pathway enzymes in lysates by CFPS. As a model, we apply our approach to n-butanol biosynthesis showing that Escherichia coli lysates support a highly active 17-step CoA-dependent n-butanol pathway in vitro. The elevated degree of flexibility in the cell-free environment allows us to manipulate physiochemical conditions, access enzymatic nodes, discover new enzymes, and prototype enzyme sets with linear DNA templates to study pathway performance. We anticipate that CFPS-ME will facilitate efforts to define, manipulate, and understand metabolic pathways for accelerated DBT cycles without the need to reengineer organisms.","author":[{"dropping-particle":"","family":"Karim","given":"Ashty S.","non-dropping-particle":"","parse-names":false,"suffix":""},{"dropping-particle":"","family":"Jewett","given":"Michael C.","non-dropping-particle":"","parse-names":false,"suffix":""}],"container-title":"Metabolic Engineering","id":"ITEM-2","issued":{"date-parts":[["2016","7","1"]]},"page":"116-126","publisher":"Academic Press Inc.","title":"A cell-free framework for rapid biosynthetic pathway prototyping and enzyme discovery","type":"article-journal","volume":"36"},"uris":["http://www.mendeley.com/documents/?uuid=b51fa991-5de8-3f6c-a9f5-d019d3d9eb1d"]}],"mendeley":{"formattedCitation":"&lt;sup&gt;26,27&lt;/sup&gt;","plainTextFormattedCitation":"26,27","previouslyFormattedCitation":"&lt;sup&gt;26,27&lt;/sup&gt;"},"properties":{"noteIndex":0},"schema":"https://github.com/citation-style-language/schema/raw/master/csl-citation.json"}</w:instrText>
      </w:r>
      <w:r w:rsidR="00E27602" w:rsidRPr="00A71FCF">
        <w:rPr>
          <w:rFonts w:eastAsia="Times New Roman" w:cs="Arial"/>
          <w:color w:val="000000"/>
          <w:szCs w:val="22"/>
        </w:rPr>
        <w:fldChar w:fldCharType="separate"/>
      </w:r>
      <w:r w:rsidR="00E27602" w:rsidRPr="00A71FCF">
        <w:rPr>
          <w:rFonts w:eastAsia="Times New Roman" w:cs="Arial"/>
          <w:noProof/>
          <w:color w:val="000000"/>
          <w:szCs w:val="22"/>
          <w:vertAlign w:val="superscript"/>
        </w:rPr>
        <w:t>26,27</w:t>
      </w:r>
      <w:r w:rsidR="00E27602" w:rsidRPr="00A71FCF">
        <w:rPr>
          <w:rFonts w:eastAsia="Times New Roman" w:cs="Arial"/>
          <w:color w:val="000000"/>
          <w:szCs w:val="22"/>
        </w:rPr>
        <w:fldChar w:fldCharType="end"/>
      </w:r>
      <w:r w:rsidR="00E27602" w:rsidRPr="00A71FCF">
        <w:rPr>
          <w:rFonts w:eastAsia="Times New Roman" w:cs="Arial"/>
          <w:color w:val="000000"/>
          <w:szCs w:val="22"/>
        </w:rPr>
        <w:t xml:space="preserve">. </w:t>
      </w:r>
      <w:r w:rsidRPr="00E43B04">
        <w:rPr>
          <w:rFonts w:eastAsia="Times New Roman" w:cs="Arial"/>
          <w:color w:val="000000"/>
          <w:szCs w:val="22"/>
        </w:rPr>
        <w:t>On the other hand, next-generation platforms that enable shorter build stages, such as cell-free systems, can expedite the diversification and expansion of the commercial bio-product portfolio</w:t>
      </w:r>
      <w:r w:rsidR="00E27602" w:rsidRPr="00A71FCF">
        <w:rPr>
          <w:rFonts w:eastAsia="Times New Roman" w:cs="Arial"/>
          <w:color w:val="000000"/>
          <w:szCs w:val="22"/>
        </w:rPr>
        <w:fldChar w:fldCharType="begin" w:fldLock="1"/>
      </w:r>
      <w:r w:rsidR="00085B97" w:rsidRPr="00A71FCF">
        <w:rPr>
          <w:rFonts w:eastAsia="Times New Roman" w:cs="Arial"/>
          <w:color w:val="000000"/>
          <w:szCs w:val="22"/>
        </w:rPr>
        <w:instrText>ADDIN CSL_CITATION {"citationItems":[{"id":"ITEM-1","itemData":{"DOI":"10.1016/j.ymben.2018.09.011","ISSN":"10967184","abstract":"Expanding the concept of cell-free biology, implemented both with purified components and crude extracts, is continuing to deepen our appreciation of biological fundamentals while enlarging the range of applications. We are no longer intimidated by the complexity of crude extracts and complicated reaction systems with hundreds of active components, and, instead, coordinately activate and inactivate metabolic processes to focus and expand the capabilities of natural biological processes. This, in turn, dramatically increases the range of benefits offered by new products, both natural and supernatural, that were previously infeasible and/or unimaginable. This overview of cell-free metabolic engineering provides a broad range of examples and insights to guide and motivate continued research that will further expand fundamental understanding and beneficial applications. However, this survey also reveals how far we are from fully unlocking the potential offered by natural and engineered biological components and systems. This is an exciting conclusion, but metabolic engineering by itself is not sufficient. Going forward, innovative metabolic engineering must be intimately combined with creative process engineering to fully realize potential contributions toward a sustainable global civilization.","author":[{"dropping-particle":"","family":"Swartz","given":"James R.","non-dropping-particle":"","parse-names":false,"suffix":""}],"container-title":"Metabolic Engineering","id":"ITEM-1","issued":{"date-parts":[["2018"]]},"title":"Expanding biological applications using cell-free metabolic engineering: An overview","type":"article","volume":"50"},"uris":["http://www.mendeley.com/documents/?uuid=3d7b36e7-9d5b-3968-a2f9-9724c9ff971e"]},{"id":"ITEM-2","itemData":{"DOI":"10.1002/CBIC.202000452","ISSN":"1439-7633","PMID":"32783358","abstract":"Natural products and secondary metabolites comprise an indispensable resource from living organisms that have transformed areas of medicine, agriculture, and biotechnology. Recent advances in high-throughput DNA sequencing and computational analysis suggest that the vast majority of natural products remain undiscovered. To accelerate the natural product discovery pipeline, cell-free metabolic engineering approaches used to develop robust catalytic networks are being repurposed to access new chemical scaffolds, and new enzymes capable of performing diverse chemistries. Such enzymes could serve as flexible biocatalytic tools to further expand the unique chemical space of natural products and secondary metabolites, and provide a more sustainable route to manufacture these molecules. Herein, we highlight select examples of natural product biosynthesis using cell-free systems and propose how cell-free technologies could facilitate our ability to access and modify these structures to transform synthetic and chemical biology.","author":[{"dropping-particle":"","family":"Bogart","given":"Jonathan W.","non-dropping-particle":"","parse-names":false,"suffix":""},{"dropping-particle":"","family":"Cabezas","given":"Maria D.","non-dropping-particle":"","parse-names":false,"suffix":""},{"dropping-particle":"","family":"Vögeli","given":"Bastian","non-dropping-particle":"","parse-names":false,"suffix":""},{"dropping-particle":"","family":"Wong","given":"Derek A.","non-dropping-particle":"","parse-names":false,"suffix":""},{"dropping-particle":"","family":"Karim","given":"Ashty S.","non-dropping-particle":"","parse-names":false,"suffix":""},{"dropping-particle":"","family":"Jewett","given":"Michael C.","non-dropping-particle":"","parse-names":false,"suffix":""}],"container-title":"ChemBioChem","id":"ITEM-2","issue":"1","issued":{"date-parts":[["2021","1","5"]]},"page":"84-91","publisher":"John Wiley &amp; Sons, Ltd","title":"Cell-Free Exploration of the Natural Product Chemical Space","type":"article-journal","volume":"22"},"uris":["http://www.mendeley.com/documents/?uuid=2c0a0937-7132-37c3-8935-67f1b28b1702"]},{"id":"ITEM-3","itemData":{"DOI":"10.3390/MPS2020033","ISSN":"2409-9279","abstract":"Due to the ongoing crises of fossil fuel depletion, climate change, and environmental pollution, microbial processes are increasingly considered as a potential alternative for cleaner and more efficient production of the diverse chemicals required for modern civilization. However, many issues, including low efficiency of raw material conversion and unintended release of genetically modified microorganisms into the environment, have limited the use of bioprocesses that rely on recombinant microorganisms. Cell-free metabolic engineering is emerging as a new approach that overcomes the limitations of existing cell-based systems. Instead of relying on metabolic processes carried out by living cells, cell-free metabolic engineering harnesses the metabolic activities of cell lysates in vitro. Such approaches offer several potential benefits, including operational simplicity, high conversion yield and productivity, and prevention of environmental release of microorganisms. In this article, we review the recent progress in this field and discuss the prospects of this technique as a next-generation bioconversion platform for the chemical industry.","author":[{"dropping-particle":"","family":"Lim","given":"Hye Jin","non-dropping-particle":"","parse-names":false,"suffix":""},{"dropping-particle":"","family":"Kim","given":"Dong Myung","non-dropping-particle":"","parse-names":false,"suffix":""}],"container-title":"Methods and Protocols 2019, Vol. 2, Page 33","id":"ITEM-3","issue":"2","issued":{"date-parts":[["2019","4","30"]]},"page":"33","publisher":"Multidisciplinary Digital Publishing Institute","title":"Cell-Free Metabolic Engineering: Recent Developments and Future Prospects","type":"article-journal","volume":"2"},"uris":["http://www.mendeley.com/documents/?uuid=ba4f51c7-f7a4-3531-be0e-7634b4d1a798"]},{"id":"ITEM-4","itemData":{"DOI":"10.1016/j.synbio.2017.02.003","ISSN":"2405805X","abstract":"Cell-free synthetic biology emerges as a powerful and flexible enabling technology that can engineer biological parts and systems for life science applications without using living cells. It provides simpler and faster engineering solutions with an unprecedented freedom of design in an open environment than cell system. This review focuses on recent developments of cell-free synthetic biology on biological engineering fields at molecular and cellular levels, including protein engineering, metabolic engineering, and artificial cell engineering. In cell-free protein engineering, the direct control of reaction conditions in cell-free system allows for easy synthesis of complex proteins, toxic proteins, membrane proteins, and novel proteins with unnatural amino acids. Cell-free systems offer the ability to design metabolic pathways towards the production of desired products. Buildup of artificial cells based on cell-free systems will improve our understanding of life and use them for environmental and biomedical applications.","author":[{"dropping-particle":"","family":"Lu","given":"Yuan","non-dropping-particle":"","parse-names":false,"suffix":""}],"container-title":"Synthetic and Systems Biotechnology","id":"ITEM-4","issue":"1","issued":{"date-parts":[["2017"]]},"page":"23-27","publisher":"Elsevier Ltd","title":"Cell-free synthetic biology: Engineering in an open world","type":"article-journal","volume":"2"},"uris":["http://www.mendeley.com/documents/?uuid=dc6a8ebb-0ab9-4b19-8a16-4441a930befd"]},{"id":"ITEM-5","itemData":{"DOI":"10.1038/s41576-019-0186-3","ISSN":"14710064","PMID":"31780816","abstract":"Cell-free biology is the activation of biological processes without the use of intact living cells. It has been used for more than 50 years across the life sciences as a foundational research tool, but a recent technical renaissance has facilitated high-yielding (grams of protein per litre), cell-free gene expression systems from model bacteria, the development of cell-free platforms from non-model organisms and multiplexed strategies for rapidly assessing biological design. These advances provide exciting opportunities to profoundly transform synthetic biology by enabling new approaches to the model-driven design of synthetic gene networks, the fast and portable sensing of compounds, on-demand biomanufacturing, building cells from the bottom up, and next-generation educational kits.","author":[{"dropping-particle":"","family":"Silverman","given":"Adam D.","non-dropping-particle":"","parse-names":false,"suffix":""},{"dropping-particle":"","family":"Karim","given":"Ashty S.","non-dropping-particle":"","parse-names":false,"suffix":""},{"dropping-particle":"","family":"Jewett","given":"Michael C.","non-dropping-particle":"","parse-names":false,"suffix":""}],"container-title":"Nature Reviews Genetics","id":"ITEM-5","issue":"3","issued":{"date-parts":[["2020","3","1"]]},"page":"151-170","publisher":"Nature Research","title":"Cell-free gene expression: an expanded repertoire of applications","type":"article","volume":"21"},"uris":["http://www.mendeley.com/documents/?uuid=2cc18847-7f0d-3d9c-a024-e99bf14f47ce"]},{"id":"ITEM-6","itemData":{"DOI":"10.1002/BIOT.201400330","PMID":"25319678","author":[{"dropping-particle":"","family":"Dudley","given":"Quentin M.","non-dropping-particle":"","parse-names":false,"suffix":""},{"dropping-particle":"","family":"Karim","given":"Ashty S.","non-dropping-particle":"","parse-names":false,"suffix":""},{"dropping-particle":"","family":"Jewett","given":"Michael C.","non-dropping-particle":"","parse-names":false,"suffix":""}],"container-title":"Biotechnology journal","id":"ITEM-6","issue":"1","issued":{"date-parts":[["2015"]]},"page":"69","publisher":"NIH Public Access","title":"Cell-Free Metabolic Engineering: Biomanufacturing beyond the cell","type":"article-journal","volume":"10"},"uris":["http://www.mendeley.com/documents/?uuid=03ea16c3-fc9f-335d-9127-7f15cc4340d4"]},{"id":"ITEM-7","itemData":{"DOI":"10.1016/j.tibtech.2019.12.024","ISSN":"18793096","abstract":"Metabolic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Biotechnology","id":"ITEM-7","issued":{"date-parts":[["2020","1","23"]]},"publisher":"Elsevier Ltd","title":"Synthetic Biochemistry: The Bio-inspired Cell-Free Approach to Commodity Chemical Production","type":"article"},"uris":["http://www.mendeley.com/documents/?uuid=2e6836a8-603b-33f3-ac63-5bc4a65d2485"]}],"mendeley":{"formattedCitation":"&lt;sup&gt;17,19–21,28–30&lt;/sup&gt;","plainTextFormattedCitation":"17,19–21,28–30","previouslyFormattedCitation":"&lt;sup&gt;17,19–21,28–30&lt;/sup&gt;"},"properties":{"noteIndex":0},"schema":"https://github.com/citation-style-language/schema/raw/master/csl-citation.json"}</w:instrText>
      </w:r>
      <w:r w:rsidR="00E27602" w:rsidRPr="00A71FCF">
        <w:rPr>
          <w:rFonts w:eastAsia="Times New Roman" w:cs="Arial"/>
          <w:color w:val="000000"/>
          <w:szCs w:val="22"/>
        </w:rPr>
        <w:fldChar w:fldCharType="separate"/>
      </w:r>
      <w:r w:rsidR="00E27602" w:rsidRPr="00A71FCF">
        <w:rPr>
          <w:rFonts w:eastAsia="Times New Roman" w:cs="Arial"/>
          <w:noProof/>
          <w:color w:val="000000"/>
          <w:szCs w:val="22"/>
          <w:vertAlign w:val="superscript"/>
        </w:rPr>
        <w:t>17,19–21,28–30</w:t>
      </w:r>
      <w:r w:rsidR="00E27602" w:rsidRPr="00A71FCF">
        <w:rPr>
          <w:rFonts w:eastAsia="Times New Roman" w:cs="Arial"/>
          <w:color w:val="000000"/>
          <w:szCs w:val="22"/>
        </w:rPr>
        <w:fldChar w:fldCharType="end"/>
      </w:r>
      <w:r w:rsidRPr="00E43B04">
        <w:rPr>
          <w:rFonts w:eastAsia="Times New Roman" w:cs="Arial"/>
          <w:color w:val="000000"/>
          <w:szCs w:val="22"/>
        </w:rPr>
        <w:t>.</w:t>
      </w:r>
    </w:p>
    <w:p w14:paraId="4C6840E3" w14:textId="7A64FA65" w:rsidR="006B1192" w:rsidRDefault="00E43B04" w:rsidP="0008141D">
      <w:pPr>
        <w:ind w:firstLine="720"/>
        <w:contextualSpacing/>
        <w:rPr>
          <w:rFonts w:eastAsia="Times New Roman" w:cs="Arial"/>
          <w:szCs w:val="22"/>
        </w:rPr>
      </w:pPr>
      <w:r w:rsidRPr="00E43B04">
        <w:rPr>
          <w:rFonts w:eastAsia="Times New Roman" w:cs="Arial"/>
          <w:color w:val="000000"/>
          <w:szCs w:val="22"/>
        </w:rPr>
        <w:t xml:space="preserve">Cell-free or </w:t>
      </w:r>
      <w:r w:rsidRPr="00E43B04">
        <w:rPr>
          <w:rFonts w:eastAsia="Times New Roman" w:cs="Arial"/>
          <w:i/>
          <w:iCs/>
          <w:color w:val="000000"/>
          <w:szCs w:val="22"/>
        </w:rPr>
        <w:t xml:space="preserve">in vitro </w:t>
      </w:r>
      <w:r w:rsidRPr="00E43B04">
        <w:rPr>
          <w:rFonts w:eastAsia="Times New Roman" w:cs="Arial"/>
          <w:color w:val="000000"/>
          <w:szCs w:val="22"/>
        </w:rPr>
        <w:t>systems have the components necessary to carry out metabolism or protein expression outside of a living cell, or in a “cell-free” space</w:t>
      </w:r>
      <w:r w:rsidR="00085B97" w:rsidRPr="00A71FCF">
        <w:rPr>
          <w:rFonts w:eastAsia="Times New Roman" w:cs="Arial"/>
          <w:color w:val="000000"/>
          <w:szCs w:val="22"/>
        </w:rPr>
        <w:fldChar w:fldCharType="begin" w:fldLock="1"/>
      </w:r>
      <w:r w:rsidR="00085B97" w:rsidRPr="00A71FCF">
        <w:rPr>
          <w:rFonts w:eastAsia="Times New Roman" w:cs="Arial"/>
          <w:color w:val="000000"/>
          <w:szCs w:val="22"/>
        </w:rPr>
        <w:instrText>ADDIN CSL_CITATION {"citationItems":[{"id":"ITEM-1","itemData":{"DOI":"10.1038/s41576-019-0186-3","ISSN":"14710064","PMID":"31780816","abstract":"Cell-free biology is the activation of biological processes without the use of intact living cells. It has been used for more than 50 years across the life sciences as a foundational research tool, but a recent technical renaissance has facilitated high-yielding (grams of protein per litre), cell-free gene expression systems from model bacteria, the development of cell-free platforms from non-model organisms and multiplexed strategies for rapidly assessing biological design. These advances provide exciting opportunities to profoundly transform synthetic biology by enabling new approaches to the model-driven design of synthetic gene networks, the fast and portable sensing of compounds, on-demand biomanufacturing, building cells from the bottom up, and next-generation educational kits.","author":[{"dropping-particle":"","family":"Silverman","given":"Adam D.","non-dropping-particle":"","parse-names":false,"suffix":""},{"dropping-particle":"","family":"Karim","given":"Ashty S.","non-dropping-particle":"","parse-names":false,"suffix":""},{"dropping-particle":"","family":"Jewett","given":"Michael C.","non-dropping-particle":"","parse-names":false,"suffix":""}],"container-title":"Nature Reviews Genetics","id":"ITEM-1","issue":"3","issued":{"date-parts":[["2020","3","1"]]},"page":"151-170","publisher":"Nature Research","title":"Cell-free gene expression: an expanded repertoire of applications","type":"article","volume":"21"},"uris":["http://www.mendeley.com/documents/?uuid=2cc18847-7f0d-3d9c-a024-e99bf14f47ce"]}],"mendeley":{"formattedCitation":"&lt;sup&gt;30&lt;/sup&gt;","plainTextFormattedCitation":"30","previouslyFormattedCitation":"&lt;sup&gt;30&lt;/sup&gt;"},"properties":{"noteIndex":0},"schema":"https://github.com/citation-style-language/schema/raw/master/csl-citation.json"}</w:instrText>
      </w:r>
      <w:r w:rsidR="00085B97" w:rsidRPr="00A71FCF">
        <w:rPr>
          <w:rFonts w:eastAsia="Times New Roman" w:cs="Arial"/>
          <w:color w:val="000000"/>
          <w:szCs w:val="22"/>
        </w:rPr>
        <w:fldChar w:fldCharType="separate"/>
      </w:r>
      <w:r w:rsidR="00085B97" w:rsidRPr="00A71FCF">
        <w:rPr>
          <w:rFonts w:eastAsia="Times New Roman" w:cs="Arial"/>
          <w:noProof/>
          <w:color w:val="000000"/>
          <w:szCs w:val="22"/>
          <w:vertAlign w:val="superscript"/>
        </w:rPr>
        <w:t>30</w:t>
      </w:r>
      <w:r w:rsidR="00085B97" w:rsidRPr="00A71FCF">
        <w:rPr>
          <w:rFonts w:eastAsia="Times New Roman" w:cs="Arial"/>
          <w:color w:val="000000"/>
          <w:szCs w:val="22"/>
        </w:rPr>
        <w:fldChar w:fldCharType="end"/>
      </w:r>
      <w:r w:rsidRPr="00E43B04">
        <w:rPr>
          <w:rFonts w:eastAsia="Times New Roman" w:cs="Arial"/>
          <w:color w:val="000000"/>
          <w:szCs w:val="22"/>
        </w:rPr>
        <w:t xml:space="preserve">. These are commonly generated either as “purified” systems by the </w:t>
      </w:r>
      <w:r w:rsidRPr="00E43B04">
        <w:rPr>
          <w:rFonts w:eastAsia="Times New Roman" w:cs="Arial"/>
          <w:i/>
          <w:iCs/>
          <w:color w:val="000000"/>
          <w:szCs w:val="22"/>
        </w:rPr>
        <w:t xml:space="preserve">in vitro </w:t>
      </w:r>
      <w:r w:rsidRPr="00E43B04">
        <w:rPr>
          <w:rFonts w:eastAsia="Times New Roman" w:cs="Arial"/>
          <w:color w:val="000000"/>
          <w:szCs w:val="22"/>
        </w:rPr>
        <w:t>reconstitution of purified parts (e.g., metabolic enzymes or the transcriptional-translational (TX-TL) machinery), or as crude cell extracts via cell lysis procedures that preserve the metabolic and TX-TL functionalities of the cytosolic proteome</w:t>
      </w:r>
      <w:r w:rsidR="00085B97" w:rsidRPr="00A71FCF">
        <w:rPr>
          <w:rFonts w:eastAsia="Times New Roman" w:cs="Arial"/>
          <w:color w:val="000000"/>
          <w:szCs w:val="22"/>
        </w:rPr>
        <w:fldChar w:fldCharType="begin" w:fldLock="1"/>
      </w:r>
      <w:r w:rsidR="00D05AB6" w:rsidRPr="00A71FCF">
        <w:rPr>
          <w:rFonts w:eastAsia="Times New Roman" w:cs="Arial"/>
          <w:color w:val="000000"/>
          <w:szCs w:val="22"/>
        </w:rPr>
        <w:instrText>ADDIN CSL_CITATION {"citationItems":[{"id":"ITEM-1","itemData":{"DOI":"10.1038/s41576-019-0186-3","ISSN":"14710064","PMID":"31780816","abstract":"Cell-free biology is the activation of biological processes without the use of intact living cells. It has been used for more than 50 years across the life sciences as a foundational research tool, but a recent technical renaissance has facilitated high-yielding (grams of protein per litre), cell-free gene expression systems from model bacteria, the development of cell-free platforms from non-model organisms and multiplexed strategies for rapidly assessing biological design. These advances provide exciting opportunities to profoundly transform synthetic biology by enabling new approaches to the model-driven design of synthetic gene networks, the fast and portable sensing of compounds, on-demand biomanufacturing, building cells from the bottom up, and next-generation educational kits.","author":[{"dropping-particle":"","family":"Silverman","given":"Adam D.","non-dropping-particle":"","parse-names":false,"suffix":""},{"dropping-particle":"","family":"Karim","given":"Ashty S.","non-dropping-particle":"","parse-names":false,"suffix":""},{"dropping-particle":"","family":"Jewett","given":"Michael C.","non-dropping-particle":"","parse-names":false,"suffix":""}],"container-title":"Nature Reviews Genetics","id":"ITEM-1","issue":"3","issued":{"date-parts":[["2020","3","1"]]},"page":"151-170","publisher":"Nature Research","title":"Cell-free gene expression: an expanded repertoire of applications","type":"article","volume":"21"},"uris":["http://www.mendeley.com/documents/?uuid=2cc18847-7f0d-3d9c-a024-e99bf14f47ce"]}],"mendeley":{"formattedCitation":"&lt;sup&gt;30&lt;/sup&gt;","plainTextFormattedCitation":"30","previouslyFormattedCitation":"&lt;sup&gt;30&lt;/sup&gt;"},"properties":{"noteIndex":0},"schema":"https://github.com/citation-style-language/schema/raw/master/csl-citation.json"}</w:instrText>
      </w:r>
      <w:r w:rsidR="00085B97" w:rsidRPr="00A71FCF">
        <w:rPr>
          <w:rFonts w:eastAsia="Times New Roman" w:cs="Arial"/>
          <w:color w:val="000000"/>
          <w:szCs w:val="22"/>
        </w:rPr>
        <w:fldChar w:fldCharType="separate"/>
      </w:r>
      <w:r w:rsidR="00085B97" w:rsidRPr="00A71FCF">
        <w:rPr>
          <w:rFonts w:eastAsia="Times New Roman" w:cs="Arial"/>
          <w:noProof/>
          <w:color w:val="000000"/>
          <w:szCs w:val="22"/>
          <w:vertAlign w:val="superscript"/>
        </w:rPr>
        <w:t>30</w:t>
      </w:r>
      <w:r w:rsidR="00085B97" w:rsidRPr="00A71FCF">
        <w:rPr>
          <w:rFonts w:eastAsia="Times New Roman" w:cs="Arial"/>
          <w:color w:val="000000"/>
          <w:szCs w:val="22"/>
        </w:rPr>
        <w:fldChar w:fldCharType="end"/>
      </w:r>
      <w:r w:rsidRPr="00E43B04">
        <w:rPr>
          <w:rFonts w:eastAsia="Times New Roman" w:cs="Arial"/>
          <w:color w:val="000000"/>
          <w:szCs w:val="22"/>
        </w:rPr>
        <w:t xml:space="preserve">. In either case, the cell-free system serves as an open environment of </w:t>
      </w:r>
      <w:r w:rsidR="00085B97" w:rsidRPr="00A71FCF">
        <w:rPr>
          <w:rFonts w:eastAsia="Times New Roman" w:cs="Arial"/>
          <w:color w:val="000000"/>
          <w:szCs w:val="22"/>
        </w:rPr>
        <w:t>biochemica</w:t>
      </w:r>
      <w:r w:rsidRPr="00E43B04">
        <w:rPr>
          <w:rFonts w:eastAsia="Times New Roman" w:cs="Arial"/>
          <w:color w:val="000000"/>
          <w:szCs w:val="22"/>
        </w:rPr>
        <w:t xml:space="preserve">l reactions that are amenable to </w:t>
      </w:r>
      <w:r w:rsidR="0055340C" w:rsidRPr="00A71FCF">
        <w:rPr>
          <w:rFonts w:eastAsia="Times New Roman" w:cs="Arial"/>
          <w:color w:val="000000"/>
          <w:szCs w:val="22"/>
        </w:rPr>
        <w:t xml:space="preserve">direct </w:t>
      </w:r>
      <w:r w:rsidRPr="00E43B04">
        <w:rPr>
          <w:rFonts w:eastAsia="Times New Roman" w:cs="Arial"/>
          <w:color w:val="000000"/>
          <w:szCs w:val="22"/>
        </w:rPr>
        <w:t>manipulation</w:t>
      </w:r>
      <w:r w:rsidR="004948FA" w:rsidRPr="00A71FCF">
        <w:rPr>
          <w:rFonts w:eastAsia="Times New Roman" w:cs="Arial"/>
          <w:color w:val="000000"/>
          <w:szCs w:val="22"/>
        </w:rPr>
        <w:fldChar w:fldCharType="begin" w:fldLock="1"/>
      </w:r>
      <w:r w:rsidR="00FE4A5C" w:rsidRPr="00A71FCF">
        <w:rPr>
          <w:rFonts w:eastAsia="Times New Roman" w:cs="Arial"/>
          <w:color w:val="000000"/>
          <w:szCs w:val="22"/>
        </w:rPr>
        <w:instrText>ADDIN CSL_CITATION {"citationItems":[{"id":"ITEM-1","itemData":{"DOI":"10.1016/j.tibtech.2019.12.024","ISSN":"18793096","abstract":"Metabolic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Biotechnology","id":"ITEM-1","issued":{"date-parts":[["2020","1","23"]]},"publisher":"Elsevier Ltd","title":"Synthetic Biochemistry: The Bio-inspired Cell-Free Approach to Commodity Chemical Production","type":"article"},"uris":["http://www.mendeley.com/documents/?uuid=2e6836a8-603b-33f3-ac63-5bc4a65d2485"]},{"id":"ITEM-2","itemData":{"DOI":"10.1038/s41576-019-0186-3","ISSN":"14710064","PMID":"31780816","abstract":"Cell-free biology is the activation of biological processes without the use of intact living cells. It has been used for more than 50 years across the life sciences as a foundational research tool, but a recent technical renaissance has facilitated high-yielding (grams of protein per litre), cell-free gene expression systems from model bacteria, the development of cell-free platforms from non-model organisms and multiplexed strategies for rapidly assessing biological design. These advances provide exciting opportunities to profoundly transform synthetic biology by enabling new approaches to the model-driven design of synthetic gene networks, the fast and portable sensing of compounds, on-demand biomanufacturing, building cells from the bottom up, and next-generation educational kits.","author":[{"dropping-particle":"","family":"Silverman","given":"Adam D.","non-dropping-particle":"","parse-names":false,"suffix":""},{"dropping-particle":"","family":"Karim","given":"Ashty S.","non-dropping-particle":"","parse-names":false,"suffix":""},{"dropping-particle":"","family":"Jewett","given":"Michael C.","non-dropping-particle":"","parse-names":false,"suffix":""}],"container-title":"Nature Reviews Genetics","id":"ITEM-2","issue":"3","issued":{"date-parts":[["2020","3","1"]]},"page":"151-170","publisher":"Nature Research","title":"Cell-free gene expression: an expanded repertoire of applications","type":"article","volume":"21"},"uris":["http://www.mendeley.com/documents/?uuid=2cc18847-7f0d-3d9c-a024-e99bf14f47ce"]},{"id":"ITEM-3","itemData":{"DOI":"10.1002/BIOT.201400330","PMID":"25319678","author":[{"dropping-particle":"","family":"Dudley","given":"Quentin M.","non-dropping-particle":"","parse-names":false,"suffix":""},{"dropping-particle":"","family":"Karim","given":"Ashty S.","non-dropping-particle":"","parse-names":false,"suffix":""},{"dropping-particle":"","family":"Jewett","given":"Michael C.","non-dropping-particle":"","parse-names":false,"suffix":""}],"container-title":"Biotechnology journal","id":"ITEM-3","issue":"1","issued":{"date-parts":[["2015"]]},"page":"69","publisher":"NIH Public Access","title":"Cell-Free Metabolic Engineering: Biomanufacturing beyond the cell","type":"article-journal","volume":"10"},"uris":["http://www.mendeley.com/documents/?uuid=03ea16c3-fc9f-335d-9127-7f15cc4340d4"]}],"mendeley":{"formattedCitation":"&lt;sup&gt;20,21,30&lt;/sup&gt;","plainTextFormattedCitation":"20,21,30","previouslyFormattedCitation":"&lt;sup&gt;20,21,30&lt;/sup&gt;"},"properties":{"noteIndex":0},"schema":"https://github.com/citation-style-language/schema/raw/master/csl-citation.json"}</w:instrText>
      </w:r>
      <w:r w:rsidR="004948FA" w:rsidRPr="00A71FCF">
        <w:rPr>
          <w:rFonts w:eastAsia="Times New Roman" w:cs="Arial"/>
          <w:color w:val="000000"/>
          <w:szCs w:val="22"/>
        </w:rPr>
        <w:fldChar w:fldCharType="separate"/>
      </w:r>
      <w:r w:rsidR="004948FA" w:rsidRPr="00A71FCF">
        <w:rPr>
          <w:rFonts w:eastAsia="Times New Roman" w:cs="Arial"/>
          <w:noProof/>
          <w:color w:val="000000"/>
          <w:szCs w:val="22"/>
          <w:vertAlign w:val="superscript"/>
        </w:rPr>
        <w:t>20,21,30</w:t>
      </w:r>
      <w:r w:rsidR="004948FA" w:rsidRPr="00A71FCF">
        <w:rPr>
          <w:rFonts w:eastAsia="Times New Roman" w:cs="Arial"/>
          <w:color w:val="000000"/>
          <w:szCs w:val="22"/>
        </w:rPr>
        <w:fldChar w:fldCharType="end"/>
      </w:r>
      <w:r w:rsidRPr="00E43B04">
        <w:rPr>
          <w:rFonts w:eastAsia="Times New Roman" w:cs="Arial"/>
          <w:color w:val="000000"/>
          <w:szCs w:val="22"/>
        </w:rPr>
        <w:t>. Unlike cells, cell-free reactions can be altered without needing to transport substrates and products across an enclosing membrane barrier</w:t>
      </w:r>
      <w:r w:rsidR="004948FA" w:rsidRPr="00A71FCF">
        <w:rPr>
          <w:rFonts w:eastAsia="Times New Roman" w:cs="Arial"/>
          <w:color w:val="000000"/>
          <w:szCs w:val="22"/>
        </w:rPr>
        <w:fldChar w:fldCharType="begin" w:fldLock="1"/>
      </w:r>
      <w:r w:rsidR="00FE4A5C" w:rsidRPr="00A71FCF">
        <w:rPr>
          <w:rFonts w:eastAsia="Times New Roman" w:cs="Arial"/>
          <w:color w:val="000000"/>
          <w:szCs w:val="22"/>
        </w:rPr>
        <w:instrText>ADDIN CSL_CITATION {"citationItems":[{"id":"ITEM-1","itemData":{"DOI":"10.1016/j.tibtech.2019.12.024","ISSN":"18793096","abstract":"Metabolic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Biotechnology","id":"ITEM-1","issued":{"date-parts":[["2020","1","23"]]},"publisher":"Elsevier Ltd","title":"Synthetic Biochemistry: The Bio-inspired Cell-Free Approach to Commodity Chemical Production","type":"article"},"uris":["http://www.mendeley.com/documents/?uuid=2e6836a8-603b-33f3-ac63-5bc4a65d2485"]},{"id":"ITEM-2","itemData":{"DOI":"10.1038/s41576-019-0186-3","ISSN":"14710064","PMID":"31780816","abstract":"Cell-free biology is the activation of biological processes without the use of intact living cells. It has been used for more than 50 years across the life sciences as a foundational research tool, but a recent technical renaissance has facilitated high-yielding (grams of protein per litre), cell-free gene expression systems from model bacteria, the development of cell-free platforms from non-model organisms and multiplexed strategies for rapidly assessing biological design. These advances provide exciting opportunities to profoundly transform synthetic biology by enabling new approaches to the model-driven design of synthetic gene networks, the fast and portable sensing of compounds, on-demand biomanufacturing, building cells from the bottom up, and next-generation educational kits.","author":[{"dropping-particle":"","family":"Silverman","given":"Adam D.","non-dropping-particle":"","parse-names":false,"suffix":""},{"dropping-particle":"","family":"Karim","given":"Ashty S.","non-dropping-particle":"","parse-names":false,"suffix":""},{"dropping-particle":"","family":"Jewett","given":"Michael C.","non-dropping-particle":"","parse-names":false,"suffix":""}],"container-title":"Nature Reviews Genetics","id":"ITEM-2","issue":"3","issued":{"date-parts":[["2020","3","1"]]},"page":"151-170","publisher":"Nature Research","title":"Cell-free gene expression: an expanded repertoire of applications","type":"article","volume":"21"},"uris":["http://www.mendeley.com/documents/?uuid=2cc18847-7f0d-3d9c-a024-e99bf14f47ce"]},{"id":"ITEM-3","itemData":{"DOI":"10.1002/BIOT.201400330","PMID":"25319678","author":[{"dropping-particle":"","family":"Dudley","given":"Quentin M.","non-dropping-particle":"","parse-names":false,"suffix":""},{"dropping-particle":"","family":"Karim","given":"Ashty S.","non-dropping-particle":"","parse-names":false,"suffix":""},{"dropping-particle":"","family":"Jewett","given":"Michael C.","non-dropping-particle":"","parse-names":false,"suffix":""}],"container-title":"Biotechnology journal","id":"ITEM-3","issue":"1","issued":{"date-parts":[["2015"]]},"page":"69","publisher":"NIH Public Access","title":"Cell-Free Metabolic Engineering: Biomanufacturing beyond the cell","type":"article-journal","volume":"10"},"uris":["http://www.mendeley.com/documents/?uuid=03ea16c3-fc9f-335d-9127-7f15cc4340d4"]}],"mendeley":{"formattedCitation":"&lt;sup&gt;20,21,30&lt;/sup&gt;","plainTextFormattedCitation":"20,21,30","previouslyFormattedCitation":"&lt;sup&gt;20,21,30&lt;/sup&gt;"},"properties":{"noteIndex":0},"schema":"https://github.com/citation-style-language/schema/raw/master/csl-citation.json"}</w:instrText>
      </w:r>
      <w:r w:rsidR="004948FA" w:rsidRPr="00A71FCF">
        <w:rPr>
          <w:rFonts w:eastAsia="Times New Roman" w:cs="Arial"/>
          <w:color w:val="000000"/>
          <w:szCs w:val="22"/>
        </w:rPr>
        <w:fldChar w:fldCharType="separate"/>
      </w:r>
      <w:r w:rsidR="004948FA" w:rsidRPr="00A71FCF">
        <w:rPr>
          <w:rFonts w:eastAsia="Times New Roman" w:cs="Arial"/>
          <w:noProof/>
          <w:color w:val="000000"/>
          <w:szCs w:val="22"/>
          <w:vertAlign w:val="superscript"/>
        </w:rPr>
        <w:t>20,21,30</w:t>
      </w:r>
      <w:r w:rsidR="004948FA" w:rsidRPr="00A71FCF">
        <w:rPr>
          <w:rFonts w:eastAsia="Times New Roman" w:cs="Arial"/>
          <w:color w:val="000000"/>
          <w:szCs w:val="22"/>
        </w:rPr>
        <w:fldChar w:fldCharType="end"/>
      </w:r>
      <w:r w:rsidRPr="00E43B04">
        <w:rPr>
          <w:rFonts w:eastAsia="Times New Roman" w:cs="Arial"/>
          <w:color w:val="000000"/>
          <w:szCs w:val="22"/>
        </w:rPr>
        <w:t>. Further, the active processes in these systems are not genome-regulated and are thus less dynamic, offering higher programming predictabilit</w:t>
      </w:r>
      <w:r w:rsidR="004948FA" w:rsidRPr="00A71FCF">
        <w:rPr>
          <w:rFonts w:eastAsia="Times New Roman" w:cs="Arial"/>
          <w:color w:val="000000"/>
          <w:szCs w:val="22"/>
        </w:rPr>
        <w:t>y</w:t>
      </w:r>
      <w:r w:rsidR="004948FA" w:rsidRPr="00A71FCF">
        <w:rPr>
          <w:rFonts w:eastAsia="Times New Roman" w:cs="Arial"/>
          <w:color w:val="000000"/>
          <w:szCs w:val="22"/>
        </w:rPr>
        <w:fldChar w:fldCharType="begin" w:fldLock="1"/>
      </w:r>
      <w:r w:rsidR="00FE4A5C" w:rsidRPr="00A71FCF">
        <w:rPr>
          <w:rFonts w:eastAsia="Times New Roman" w:cs="Arial"/>
          <w:color w:val="000000"/>
          <w:szCs w:val="22"/>
        </w:rPr>
        <w:instrText>ADDIN CSL_CITATION {"citationItems":[{"id":"ITEM-1","itemData":{"DOI":"10.1016/j.tibtech.2019.12.024","ISSN":"18793096","abstract":"Metabolic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Biotechnology","id":"ITEM-1","issued":{"date-parts":[["2020","1","23"]]},"publisher":"Elsevier Ltd","title":"Synthetic Biochemistry: The Bio-inspired Cell-Free Approach to Commodity Chemical Production","type":"article"},"uris":["http://www.mendeley.com/documents/?uuid=2e6836a8-603b-33f3-ac63-5bc4a65d2485"]},{"id":"ITEM-2","itemData":{"DOI":"10.1038/s41576-019-0186-3","ISSN":"14710064","PMID":"31780816","abstract":"Cell-free biology is the activation of biological processes without the use of intact living cells. It has been used for more than 50 years across the life sciences as a foundational research tool, but a recent technical renaissance has facilitated high-yielding (grams of protein per litre), cell-free gene expression systems from model bacteria, the development of cell-free platforms from non-model organisms and multiplexed strategies for rapidly assessing biological design. These advances provide exciting opportunities to profoundly transform synthetic biology by enabling new approaches to the model-driven design of synthetic gene networks, the fast and portable sensing of compounds, on-demand biomanufacturing, building cells from the bottom up, and next-generation educational kits.","author":[{"dropping-particle":"","family":"Silverman","given":"Adam D.","non-dropping-particle":"","parse-names":false,"suffix":""},{"dropping-particle":"","family":"Karim","given":"Ashty S.","non-dropping-particle":"","parse-names":false,"suffix":""},{"dropping-particle":"","family":"Jewett","given":"Michael C.","non-dropping-particle":"","parse-names":false,"suffix":""}],"container-title":"Nature Reviews Genetics","id":"ITEM-2","issue":"3","issued":{"date-parts":[["2020","3","1"]]},"page":"151-170","publisher":"Nature Research","title":"Cell-free gene expression: an expanded repertoire of applications","type":"article","volume":"21"},"uris":["http://www.mendeley.com/documents/?uuid=2cc18847-7f0d-3d9c-a024-e99bf14f47ce"]},{"id":"ITEM-3","itemData":{"DOI":"10.1002/BIOT.201400330","PMID":"25319678","author":[{"dropping-particle":"","family":"Dudley","given":"Quentin M.","non-dropping-particle":"","parse-names":false,"suffix":""},{"dropping-particle":"","family":"Karim","given":"Ashty S.","non-dropping-particle":"","parse-names":false,"suffix":""},{"dropping-particle":"","family":"Jewett","given":"Michael C.","non-dropping-particle":"","parse-names":false,"suffix":""}],"container-title":"Biotechnology journal","id":"ITEM-3","issue":"1","issued":{"date-parts":[["2015"]]},"page":"69","publisher":"NIH Public Access","title":"Cell-Free Metabolic Engineering: Biomanufacturing beyond the cell","type":"article-journal","volume":"10"},"uris":["http://www.mendeley.com/documents/?uuid=03ea16c3-fc9f-335d-9127-7f15cc4340d4"]}],"mendeley":{"formattedCitation":"&lt;sup&gt;20,21,30&lt;/sup&gt;","plainTextFormattedCitation":"20,21,30","previouslyFormattedCitation":"&lt;sup&gt;20,21,30&lt;/sup&gt;"},"properties":{"noteIndex":0},"schema":"https://github.com/citation-style-language/schema/raw/master/csl-citation.json"}</w:instrText>
      </w:r>
      <w:r w:rsidR="004948FA" w:rsidRPr="00A71FCF">
        <w:rPr>
          <w:rFonts w:eastAsia="Times New Roman" w:cs="Arial"/>
          <w:color w:val="000000"/>
          <w:szCs w:val="22"/>
        </w:rPr>
        <w:fldChar w:fldCharType="separate"/>
      </w:r>
      <w:r w:rsidR="004948FA" w:rsidRPr="00A71FCF">
        <w:rPr>
          <w:rFonts w:eastAsia="Times New Roman" w:cs="Arial"/>
          <w:noProof/>
          <w:color w:val="000000"/>
          <w:szCs w:val="22"/>
          <w:vertAlign w:val="superscript"/>
        </w:rPr>
        <w:t>20,21,30</w:t>
      </w:r>
      <w:r w:rsidR="004948FA" w:rsidRPr="00A71FCF">
        <w:rPr>
          <w:rFonts w:eastAsia="Times New Roman" w:cs="Arial"/>
          <w:color w:val="000000"/>
          <w:szCs w:val="22"/>
        </w:rPr>
        <w:fldChar w:fldCharType="end"/>
      </w:r>
      <w:r w:rsidRPr="00E43B04">
        <w:rPr>
          <w:rFonts w:eastAsia="Times New Roman" w:cs="Arial"/>
          <w:color w:val="000000"/>
          <w:szCs w:val="22"/>
        </w:rPr>
        <w:t xml:space="preserve">. </w:t>
      </w:r>
      <w:r w:rsidR="00385AAE">
        <w:rPr>
          <w:rFonts w:eastAsia="Times New Roman" w:cs="Arial"/>
          <w:color w:val="000000"/>
          <w:szCs w:val="22"/>
        </w:rPr>
        <w:t>These advantages of</w:t>
      </w:r>
      <w:r w:rsidRPr="00E43B04">
        <w:rPr>
          <w:rFonts w:eastAsia="Times New Roman" w:cs="Arial"/>
          <w:color w:val="000000"/>
          <w:szCs w:val="22"/>
        </w:rPr>
        <w:t xml:space="preserve"> cell-free platforms were first </w:t>
      </w:r>
      <w:r w:rsidR="00385AAE">
        <w:rPr>
          <w:rFonts w:eastAsia="Times New Roman" w:cs="Arial"/>
          <w:color w:val="000000"/>
          <w:szCs w:val="22"/>
        </w:rPr>
        <w:t>leveraged</w:t>
      </w:r>
      <w:r w:rsidRPr="00E43B04">
        <w:rPr>
          <w:rFonts w:eastAsia="Times New Roman" w:cs="Arial"/>
          <w:color w:val="000000"/>
          <w:szCs w:val="22"/>
        </w:rPr>
        <w:t xml:space="preserve"> to uncover the fundamentals of the central dogma of molecular biology</w:t>
      </w:r>
      <w:r w:rsidR="00D05AB6" w:rsidRPr="00A71FCF">
        <w:rPr>
          <w:rFonts w:eastAsia="Times New Roman" w:cs="Arial"/>
          <w:color w:val="000000"/>
          <w:szCs w:val="22"/>
        </w:rPr>
        <w:fldChar w:fldCharType="begin" w:fldLock="1"/>
      </w:r>
      <w:r w:rsidR="00FE4A5C" w:rsidRPr="00A71FCF">
        <w:rPr>
          <w:rFonts w:eastAsia="Times New Roman" w:cs="Arial"/>
          <w:color w:val="000000"/>
          <w:szCs w:val="22"/>
        </w:rPr>
        <w:instrText>ADDIN CSL_CITATION {"citationItems":[{"id":"ITEM-1","itemData":{"DOI":"10.1002/0471142727.mb1630s108","ISSN":"19343647","abstract":"During the early days of molecular biology, cell-free protein synthesis played an essential role in deciphering the genetic code and contributed to our understanding of translation of protein from messenger RNA. Owing to several decades of major and incremental improvements, modern cellfree systems have achieved higher protein synthesis yields at lower production costs. Commercial cell-free systems are now available from a variety of material sources, ranging from \"traditional\" E. coli, rabbit reticulocyte lysate, and wheat germ extracts, to recent insect and human cell extracts, to defined systems reconstituted from purified recombinant components. Although each cell-free system has certain advantages and disadvantages, the diversity of the cell-free systems allows in vitro synthesis of a wide range of proteins for a variety of downstream applications. In the post-genomic era, cell-free protein synthesis has rapidly become the preferred approach for high-throughput functional and structural studies of proteins and a versatile tool for in vitro protein evolution and synthetic biology. This unit provides a brief history of cell-free protein synthesis and describes key advances in modern cell-free systems, practical differences between widely used commercial cell-free systems, and applications of this important technology.","author":[{"dropping-particle":"","family":"Chong","given":"Shaorong","non-dropping-particle":"","parse-names":false,"suffix":""}],"container-title":"Current Protocols in Molecular Biology","id":"ITEM-1","issued":{"date-parts":[["2014"]]},"page":"16.30.1-16.30.11","publisher":"Blackwell Publishing Inc.","title":"Overview of cell-free protein synthesis: Historic landmarks, commercial systems, and expanding applications","type":"article-journal","volume":"2014"},"uris":["http://www.mendeley.com/documents/?uuid=aed3d384-7367-3d3d-927f-0c8079ce32da"]}],"mendeley":{"formattedCitation":"&lt;sup&gt;31&lt;/sup&gt;","plainTextFormattedCitation":"31","previouslyFormattedCitation":"&lt;sup&gt;31&lt;/sup&gt;"},"properties":{"noteIndex":0},"schema":"https://github.com/citation-style-language/schema/raw/master/csl-citation.json"}</w:instrText>
      </w:r>
      <w:r w:rsidR="00D05AB6" w:rsidRPr="00A71FCF">
        <w:rPr>
          <w:rFonts w:eastAsia="Times New Roman" w:cs="Arial"/>
          <w:color w:val="000000"/>
          <w:szCs w:val="22"/>
        </w:rPr>
        <w:fldChar w:fldCharType="separate"/>
      </w:r>
      <w:r w:rsidR="00FE4A5C" w:rsidRPr="00A71FCF">
        <w:rPr>
          <w:rFonts w:eastAsia="Times New Roman" w:cs="Arial"/>
          <w:noProof/>
          <w:color w:val="000000"/>
          <w:szCs w:val="22"/>
          <w:vertAlign w:val="superscript"/>
        </w:rPr>
        <w:t>31</w:t>
      </w:r>
      <w:r w:rsidR="00D05AB6" w:rsidRPr="00A71FCF">
        <w:rPr>
          <w:rFonts w:eastAsia="Times New Roman" w:cs="Arial"/>
          <w:color w:val="000000"/>
          <w:szCs w:val="22"/>
        </w:rPr>
        <w:fldChar w:fldCharType="end"/>
      </w:r>
      <w:r w:rsidRPr="00E43B04">
        <w:rPr>
          <w:rFonts w:eastAsia="Times New Roman" w:cs="Arial"/>
          <w:color w:val="000000"/>
          <w:szCs w:val="22"/>
        </w:rPr>
        <w:t>. However, the growing realization that cell-free systems have the potential to also support applied research ventures backed recent efforts to promote their widespread and large-scale use</w:t>
      </w:r>
      <w:r w:rsidR="00D05AB6" w:rsidRPr="00A71FCF">
        <w:rPr>
          <w:rFonts w:eastAsia="Times New Roman" w:cs="Arial"/>
          <w:color w:val="000000"/>
          <w:szCs w:val="22"/>
        </w:rPr>
        <w:fldChar w:fldCharType="begin" w:fldLock="1"/>
      </w:r>
      <w:r w:rsidR="002A01FD" w:rsidRPr="00A71FCF">
        <w:rPr>
          <w:rFonts w:eastAsia="Times New Roman" w:cs="Arial"/>
          <w:color w:val="000000"/>
          <w:szCs w:val="22"/>
        </w:rPr>
        <w:instrText>ADDIN CSL_CITATION {"citationItems":[{"id":"ITEM-1","itemData":{"DOI":"10.1038/s41576-019-0186-3","ISSN":"14710064","PMID":"31780816","abstract":"Cell-free biology is the activation of biological processes without the use of intact living cells. It has been used for more than 50 years across the life sciences as a foundational research tool, but a recent technical renaissance has facilitated high-yielding (grams of protein per litre), cell-free gene expression systems from model bacteria, the development of cell-free platforms from non-model organisms and multiplexed strategies for rapidly assessing biological design. These advances provide exciting opportunities to profoundly transform synthetic biology by enabling new approaches to the model-driven design of synthetic gene networks, the fast and portable sensing of compounds, on-demand biomanufacturing, building cells from the bottom up, and next-generation educational kits.","author":[{"dropping-particle":"","family":"Silverman","given":"Adam D.","non-dropping-particle":"","parse-names":false,"suffix":""},{"dropping-particle":"","family":"Karim","given":"Ashty S.","non-dropping-particle":"","parse-names":false,"suffix":""},{"dropping-particle":"","family":"Jewett","given":"Michael C.","non-dropping-particle":"","parse-names":false,"suffix":""}],"container-title":"Nature Reviews Genetics","id":"ITEM-1","issue":"3","issued":{"date-parts":[["2020","3","1"]]},"page":"151-170","publisher":"Nature Research","title":"Cell-free gene expression: an expanded repertoire of applications","type":"article","volume":"21"},"uris":["http://www.mendeley.com/documents/?uuid=2cc18847-7f0d-3d9c-a024-e99bf14f47ce"]},{"id":"ITEM-2","itemData":{"DOI":"10.1007/s10295-006-0127-y","abstract":"Although cell-free protein synthesis has been practiced for decades as a research tool, only recently have advances suggested its feasibility for commercial protein production. This focused review, based on the 2005 Amgen Award lecture, summarizes the relevant progress from the Swartz laboratory. When our program began, projected costs were much too high, proteins with disulWde bonds could not be folded eVectively, and no economical scale-up technologies were available. By focusing on basic biochemical reactions and by controlling cell-free metabolism, these limitations have been methodically addressed. Amino acid supply has been stabilized and central metabolism activated to dramatically reduce substrate costs. Control of the sulfhydral redox potential has been gained and a robust disulWde isomer-ase added to facilitate oxidative protein folding. Finally, simple scale-up technologies have been developed. These advances not only suggest production feasibility for pharmaceutical proteins, they also provide enabling technology for producing patient-speciWc vaccines, for evolving new enzymes to enable biological hydrogen production from sunlight, and for developing new and highly eVective water Wlters. Although many challenges remain, this newly expanded ability to activate and control protein production holds much promise for both research and commercial applications.","author":[{"dropping-particle":"","family":"Swartz","given":"Jim","non-dropping-particle":"","parse-names":false,"suffix":""}],"container-title":"J Ind Microbiol Biotechnol","id":"ITEM-2","issued":{"date-parts":[["2006"]]},"page":"476-485","title":"Developing cell-free biology for industrial applications","type":"article-journal","volume":"33"},"uris":["http://www.mendeley.com/documents/?uuid=d663c121-372c-3f7e-8f48-5b1b0c15b725"]}],"mendeley":{"formattedCitation":"&lt;sup&gt;30,32&lt;/sup&gt;","plainTextFormattedCitation":"30,32","previouslyFormattedCitation":"&lt;sup&gt;30,32&lt;/sup&gt;"},"properties":{"noteIndex":0},"schema":"https://github.com/citation-style-language/schema/raw/master/csl-citation.json"}</w:instrText>
      </w:r>
      <w:r w:rsidR="00D05AB6" w:rsidRPr="00A71FCF">
        <w:rPr>
          <w:rFonts w:eastAsia="Times New Roman" w:cs="Arial"/>
          <w:color w:val="000000"/>
          <w:szCs w:val="22"/>
        </w:rPr>
        <w:fldChar w:fldCharType="separate"/>
      </w:r>
      <w:r w:rsidR="002A01FD" w:rsidRPr="00A71FCF">
        <w:rPr>
          <w:rFonts w:eastAsia="Times New Roman" w:cs="Arial"/>
          <w:noProof/>
          <w:color w:val="000000"/>
          <w:szCs w:val="22"/>
          <w:vertAlign w:val="superscript"/>
        </w:rPr>
        <w:t>30,32</w:t>
      </w:r>
      <w:r w:rsidR="00D05AB6" w:rsidRPr="00A71FCF">
        <w:rPr>
          <w:rFonts w:eastAsia="Times New Roman" w:cs="Arial"/>
          <w:color w:val="000000"/>
          <w:szCs w:val="22"/>
        </w:rPr>
        <w:fldChar w:fldCharType="end"/>
      </w:r>
      <w:r w:rsidRPr="00E43B04">
        <w:rPr>
          <w:rFonts w:eastAsia="Times New Roman" w:cs="Arial"/>
          <w:color w:val="000000"/>
          <w:szCs w:val="22"/>
        </w:rPr>
        <w:t xml:space="preserve">. Among these applications </w:t>
      </w:r>
      <w:r w:rsidR="00FA70EA">
        <w:rPr>
          <w:rFonts w:eastAsia="Times New Roman" w:cs="Arial"/>
          <w:color w:val="000000"/>
          <w:szCs w:val="22"/>
        </w:rPr>
        <w:t xml:space="preserve">is cell-free metabolic engineering (CFME), where cell-free systems are used for the construction of </w:t>
      </w:r>
      <w:r w:rsidRPr="00E43B04">
        <w:rPr>
          <w:rFonts w:eastAsia="Times New Roman" w:cs="Arial"/>
          <w:color w:val="000000"/>
          <w:szCs w:val="22"/>
        </w:rPr>
        <w:t xml:space="preserve">pathway designs that are </w:t>
      </w:r>
      <w:r w:rsidR="002D5566">
        <w:rPr>
          <w:rFonts w:eastAsia="Times New Roman" w:cs="Arial"/>
          <w:color w:val="000000"/>
          <w:szCs w:val="22"/>
        </w:rPr>
        <w:t>time-consuming</w:t>
      </w:r>
      <w:r w:rsidRPr="00E43B04">
        <w:rPr>
          <w:rFonts w:eastAsia="Times New Roman" w:cs="Arial"/>
          <w:color w:val="000000"/>
          <w:szCs w:val="22"/>
        </w:rPr>
        <w:t xml:space="preserve"> or impossible to build into microbial cell factories</w:t>
      </w:r>
      <w:r w:rsidR="00D05AB6"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{"citationItems":[{"id":"ITEM-1","itemData":{"DOI":"10.1016/j.csbj.2017.01.006","ISSN":"20010370","PMID":"28179978","abstract":"With the breakthroughs in biomolecular engineering and synthetic biology, many valuable biologically active compound and commodity chemicals have been successfully manufactured using cell-based approaches in the past decade. However, because of the high complexity of cell metabolism, the identification and optimization of rate-limiting metabolic pathways for improving the product yield is often difficult, which represents a significant and unavoidable barrier of traditional in vivo metabolic engineering. Recently, some in vitro engineering approaches were proposed as alternative strategies to solve this problem. In brief, by reconstituting a biosynthetic pathway in a cell-free environment with the supplement of cofactors and substrates, the performance of each biosynthetic pathway could be evaluated and optimized systematically. Several value-added products, including chemicals, nutraceuticals, and drug precursors, have been biosynthesized as proof-of-concept demonstrations of in vitro metabolic engineering. This mini-review summarizes the recent progresses on the emerging topic of in vitro metabolic engineering and comments on the potential application of cell-free technology to speed up the “design-build-test” cycles of biomanufacturing.","author":[{"dropping-particle":"","family":"Guo","given":"Weihua","non-dropping-particle":"","parse-names":false,"suffix":""},{"dropping-particle":"","family":"Sheng","given":"Jiayuan","non-dropping-particle":"","parse-names":false,"suffix":""},{"dropping-particle":"","family":"Feng","given":"Xueyang","non-dropping-particle":"","parse-names":false,"suffix":""}],"container-title":"Computational and Structural Biotechnology Journal","id":"ITEM-1","issued":{"date-parts":[["2017","1","1"]]},"page":"161-167","publisher":"Elsevier B.V.","title":"Mini-review: In vitro Metabolic Engineering for Biomanufacturing of High-value Products","type":"article","volume":"15"},"uris":["http://www.mendeley.com/documents/?uuid=8dd364d8-64f4-34a9-9365-7026bb960e30"]},{"id":"ITEM-2","itemData":{"DOI":"10.1016/j.synbio.2017.02.003","ISSN":"2405805X","abstract":"Cell-free synthetic biology emerges as a powerful and flexible enabling technology that can engineer biological parts and systems for life science applications without using living cells. It provides simpler and faster engineering solutions with an unprecedented freedom of design in an open environment than cell system. This review focuses on recent developments of cell-free synthetic biology on biological engineering fields at molecular and cellular levels, including protein engineering, metabolic engineering, and artificial cell engineering. In cell-free protein engineering, the direct control of reaction conditions in cell-free system allows for easy synthesis of complex proteins, toxic proteins, membrane proteins, and novel proteins with unnatural amino acids. Cell-free systems offer the ability to design metabolic pathways towards the production of desired products. Buildup of artificial cells based on cell-free systems will improve our understanding of life and use them for environmental and biomedical applications.","author":[{"dropping-particle":"","family":"Lu","given":"Yuan","non-dropping-particle":"","parse-names":false,"suffix":""}],"container-title":"Synthetic and Systems Biotechnology","id":"ITEM-2","issue":"1","issued":{"date-parts":[["2017"]]},"page":"23-27","publisher":"Elsevier Ltd","title":"Cell-free synthetic biology: Engineering in an open world","type":"article-journal","volume":"2"},"uris":["http://www.mendeley.com/documents/?uuid=dc6a8ebb-0ab9-4b19-8a16-4441a930befd"]},{"id":"ITEM-3","itemData":{"DOI":"10.3390/MPS2020033","ISSN":"2409-9279","abstract":"Due to the ongoing crises of fossil fuel depletion, climate change, and environmental pollution, microbial processes are increasingly considered as a potential alternative for cleaner and more efficient production of the diverse chemicals required for modern civilization. However, many issues, including low efficiency of raw material conversion and unintended release of genetically modified microorganisms into the environment, have limited the use of bioprocesses that rely on recombinant microorganisms. Cell-free metabolic engineering is emerging as a new approach that overcomes the limitations of existing cell-based systems. Instead of relying on metabolic processes carried out by living cells, cell-free metabolic engineering harnesses the metabolic activities of cell lysates in vitro. Such approaches offer several potential benefits, including operational simplicity, high conversion yield and productivity, and prevention of environmental release of microorganisms. In this article, we review the recent progress in this field and discuss the prospects of this technique as a next-generation bioconversion platform for the chemical industry.","author":[{"dropping-particle":"","family":"Lim","given":"Hye Jin","non-dropping-particle":"","parse-names":false,"suffix":""},{"dropping-particle":"","family":"Kim","given":"Dong Myung","non-dropping-particle":"","parse-names":false,"suffix":""}],"container-title":"Methods and Protocols 2019, Vol. 2, Page 33","id":"ITEM-3","issue":"2","issued":{"date-parts":[["2019","4","30"]]},"page":"33","publisher":"Multidisciplinary Digital Publishing Institute","title":"Cell-Free Metabolic Engineering: Recent Developments and Future Prospects","type":"article-journal","volume":"2"},"uris":["http://www.mendeley.com/documents/?uuid=ba4f51c7-f7a4-3531-be0e-7634b4d1a798"]},{"id":"ITEM-4","itemData":{"DOI":"10.1016/J.COPBIO.2020.12.012","ISSN":"0958-1669","PMID":"33453438","abstract":"Industrial biotechnology is an attractive approach to address the need for low-cost fuels and products from sustainable resources. Unfortunately, cells impose inherent limitations on the effective synthesis and release of target products. One key constraint is that cellular survival objectives often work against the production objectives of biochemical engineers. Additionally, industrial strains release CO2 and struggle to utilize sustainable, potentially profitable feedstocks. Cell-free biotechnology, which uses biological machinery harvested from cells, can address these challenges with advantages including: (i) shorter development times, (ii) higher volumetric production rates, and (iii) tolerance to otherwise toxic molecules. In this review, we highlight recent advances in cell-free technologies toward the production of non-protein products beyond lab-scale demonstrations and describe guiding principles for designing cell-free systems. Specifically, we discuss carbon and energy sources, reaction homeostasis, and scale-up. Expanding the scope of cell-free biomanufacturing practice could enable innovative approaches for the industrial production of green chemicals.","author":[{"dropping-particle":"","family":"Rasor","given":"Blake J.","non-dropping-particle":"","parse-names":false,"suffix":""},{"dropping-particle":"","family":"Vögeli","given":"Bastian","non-dropping-particle":"","parse-names":false,"suffix":""},{"dropping-particle":"","family":"Landwehr","given":"Grant M.","non-dropping-particle":"","parse-names":false,"suffix":""},{"dropping-particle":"","family":"Bogart","given":"Jonathan W.","non-dropping-particle":"","parse-names":false,"suffix":""},{"dropping-particle":"","family":"Karim","given":"Ashty S.","non-dropping-particle":"","parse-names":false,"suffix":""},{"dropping-particle":"","family":"Jewett","given":"Michael C.","non-dropping-particle":"","parse-names":false,"suffix":""}],"container-title":"Current Opinion in Biotechnology","id":"ITEM-4","issued":{"date-parts":[["2021","6","1"]]},"page":"136-144","publisher":"Elsevier Current Trends","title":"Toward sustainable, cell-free biomanufacturing","type":"article-journal","volume":"69"},"uris":["http://www.mendeley.com/documents/?uuid=7f479995-6171-3f2e-bb99-2b784934562a"]},{"id":"ITEM-5","itemData":{"DOI":"10.1002/CBIC.202000452","ISSN":"1439-7633","PMID":"32783358","abstract":"Natural products and secondary metabolites comprise an indispensable resource from living organisms that have transformed areas of medicine, agriculture, and biotechnology. Recent advances in high-throughput DNA sequencing and computational analysis suggest that the vast majority of natural products remain undiscovered. To accelerate the natural product discovery pipeline, cell-free metabolic engineering approaches used to develop robust catalytic networks are being repurposed to access new chemical scaffolds, and new enzymes capable of performing diverse chemistries. Such enzymes could serve as flexible biocatalytic tools to further expand the unique chemical space of natural products and secondary metabolites, and provide a more sustainable route to manufacture these molecules. Herein, we highlight select examples of natural product biosynthesis using cell-free systems and propose how cell-free technologies could facilitate our ability to access and modify these structures to transform synthetic and chemical biology.","author":[{"dropping-particle":"","family":"Bogart","given":"Jonathan W.","non-dropping-particle":"","parse-names":false,"suffix":""},{"dropping-particle":"","family":"Cabezas","given":"Maria D.","non-dropping-particle":"","parse-names":false,"suffix":""},{"dropping-particle":"","family":"Vögeli","given":"Bastian","non-dropping-particle":"","parse-names":false,"suffix":""},{"dropping-particle":"","family":"Wong","given":"Derek A.","non-dropping-particle":"","parse-names":false,"suffix":""},{"dropping-particle":"","family":"Karim","given":"Ashty S.","non-dropping-particle":"","parse-names":false,"suffix":""},{"dropping-particle":"","family":"Jewett","given":"Michael C.","non-dropping-particle":"","parse-names":false,"suffix":""}],"container-title":"ChemBioChem","id":"ITEM-5","issue":"1","issued":{"date-parts":[["2021","1","5"]]},"page":"84-91","publisher":"John Wiley &amp; Sons, Ltd","title":"Cell-Free Exploration of the Natural Product Chemical Space","type":"article-journal","volume":"22"},"uris":["http://www.mendeley.com/documents/?uuid=2c0a0937-7132-37c3-8935-67f1b28b1702"]}],"mendeley":{"formattedCitation":"&lt;sup&gt;11,17,18,28,29&lt;/sup&gt;","plainTextFormattedCitation":"11,17,18,28,29","previouslyFormattedCitation":"&lt;sup&gt;11,17,18,28,29&lt;/sup&gt;"},"properties":{"noteIndex":0},"schema":"https://github.com/citation-style-language/schema/raw/master/csl-citation.json"}</w:instrText>
      </w:r>
      <w:r w:rsidR="00D05AB6"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11,17,18,28,29</w:t>
      </w:r>
      <w:r w:rsidR="00D05AB6" w:rsidRPr="00A71FCF">
        <w:rPr>
          <w:rFonts w:eastAsia="Times New Roman" w:cs="Arial"/>
          <w:color w:val="000000"/>
          <w:szCs w:val="22"/>
        </w:rPr>
        <w:fldChar w:fldCharType="end"/>
      </w:r>
      <w:r w:rsidRPr="00E43B04">
        <w:rPr>
          <w:rFonts w:eastAsia="Times New Roman" w:cs="Arial"/>
          <w:color w:val="000000"/>
          <w:szCs w:val="22"/>
        </w:rPr>
        <w:t>.</w:t>
      </w:r>
      <w:r w:rsidR="00FA70EA">
        <w:rPr>
          <w:rFonts w:eastAsia="Times New Roman" w:cs="Arial"/>
          <w:color w:val="000000"/>
          <w:szCs w:val="22"/>
        </w:rPr>
        <w:t xml:space="preserve"> </w:t>
      </w:r>
    </w:p>
    <w:p w14:paraId="10BB11AC" w14:textId="68D43CD2" w:rsidR="006B1192" w:rsidRDefault="00E43B04" w:rsidP="00D30492">
      <w:pPr>
        <w:ind w:firstLine="720"/>
        <w:contextualSpacing/>
        <w:rPr>
          <w:rFonts w:eastAsia="Times New Roman" w:cs="Arial"/>
          <w:color w:val="000000"/>
          <w:szCs w:val="22"/>
        </w:rPr>
      </w:pPr>
      <w:r w:rsidRPr="00E43B04">
        <w:rPr>
          <w:rFonts w:eastAsia="Times New Roman" w:cs="Arial"/>
          <w:color w:val="000000"/>
          <w:szCs w:val="22"/>
        </w:rPr>
        <w:lastRenderedPageBreak/>
        <w:t xml:space="preserve">Cell-free systems provide unique engineering capabilities for </w:t>
      </w:r>
      <w:r w:rsidR="00F24890">
        <w:rPr>
          <w:rFonts w:eastAsia="Times New Roman" w:cs="Arial"/>
          <w:color w:val="000000"/>
          <w:szCs w:val="22"/>
        </w:rPr>
        <w:t>simplifying metabolic pathway building</w:t>
      </w:r>
      <w:r w:rsidR="00554C8B" w:rsidRPr="00A71FCF">
        <w:rPr>
          <w:rFonts w:eastAsia="Times New Roman" w:cs="Arial"/>
          <w:color w:val="000000"/>
          <w:szCs w:val="22"/>
        </w:rPr>
        <w:t xml:space="preserve">, </w:t>
      </w:r>
      <w:r w:rsidR="00F24890">
        <w:rPr>
          <w:rFonts w:eastAsia="Times New Roman" w:cs="Arial"/>
          <w:color w:val="000000"/>
          <w:szCs w:val="22"/>
        </w:rPr>
        <w:t>thereby permitting expedited</w:t>
      </w:r>
      <w:r w:rsidR="00554C8B" w:rsidRPr="00A71FCF">
        <w:rPr>
          <w:rFonts w:eastAsia="Times New Roman" w:cs="Arial"/>
          <w:color w:val="000000"/>
          <w:szCs w:val="22"/>
        </w:rPr>
        <w:t xml:space="preserve"> DBTL cycles</w:t>
      </w:r>
      <w:r w:rsidR="00FE4A5C" w:rsidRPr="00A71FCF">
        <w:rPr>
          <w:rFonts w:eastAsia="Times New Roman" w:cs="Arial"/>
          <w:color w:val="000000"/>
          <w:szCs w:val="22"/>
        </w:rPr>
        <w:fldChar w:fldCharType="begin" w:fldLock="1"/>
      </w:r>
      <w:r w:rsidR="00554C8B" w:rsidRPr="00A71FCF">
        <w:rPr>
          <w:rFonts w:eastAsia="Times New Roman" w:cs="Arial"/>
          <w:color w:val="000000"/>
          <w:szCs w:val="22"/>
        </w:rPr>
        <w:instrText>ADDIN CSL_CITATION {"citationItems":[{"id":"ITEM-1","itemData":{"DOI":"10.1007/s10295-016-1863-2","ISSN":"14765535","abstract":"Biomanufacturing is a type of manufacturing that utilizes biological systems (e.g., living microorganisms, resting cells, animal cells, plant cells, tissues, enzymes, or in vitro synthetic (enzymatic) systems) to produce commercially important biomolecules for use in the agricultural, food, material, energy, and pharmaceutical industries. History of biomanufacturing could be classified into the three revolutions in terms of respective product types (mainly), production platforms, and research technologies. Biomanufacturing 1.0 focuses on the production of primary metabolites (e.g., butanol, acetone, ethanol, citric acid) by using mono-culture fermentation; biomanufacturing 2.0 focuses on the production of secondary metabolites (e.g., penicillin, streptomycin) by using a dedicated mutant and aerobic submerged liquid fermentation; and biomanufacturing 3.0 focuses on the production of large-size biomolecules—proteins and enzymes (e.g., erythropoietin, insulin, growth hormone, amylase, DNA polymerase) by using recombinant DNA technology and advanced cell culture. Biomanufacturing 4.0 could focus on new products, for example, human tissues or cells made by regenerative medicine, artificial starch made by in vitro synthetic biosystems, isobutanol fermented by metabolic engineering, and synthetic biology-driven microorganisms, as well as exiting products produced by far better approaches. Biomanufacturing 4.0 would help address some of the most important challenges of humankind, such as food security, energy security and sustainability, water crisis, climate change, health issues, and conflict related to the energy, food, and water nexus.","author":[{"dropping-particle":"","family":"Zhang","given":"Yi Heng Percival","non-dropping-particle":"","parse-names":false,"suffix":""},{"dropping-particle":"","family":"Sun","given":"Jibin","non-dropping-particle":"","parse-names":false,"suffix":""},{"dropping-particle":"","family":"Ma","given":"Yanhe","non-dropping-particle":"","parse-names":false,"suffix":""}],"container-title":"Journal of Industrial Microbiology and Biotechnology","id":"ITEM-1","issue":"4-5","issued":{"date-parts":[["2017","5","1"]]},"page":"773-784","publisher":"Springer Verlag","title":"Biomanufacturing: history and perspective","type":"article","volume":"44"},"uris":["http://www.mendeley.com/documents/?uuid=4f19c6ff-b9bd-3db8-9e9c-a237aa114695"]},{"id":"ITEM-2","itemData":{"DOI":"10.1016/j.tibtech.2019.12.024","ISSN":"18793096","abstract":"Metabolic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Biotechnology","id":"ITEM-2","issued":{"date-parts":[["2020","1","23"]]},"publisher":"Elsevier Ltd","title":"Synthetic Biochemistry: The Bio-inspired Cell-Free Approach to Commodity Chemical Production","type":"article"},"uris":["http://www.mendeley.com/documents/?uuid=2e6836a8-603b-33f3-ac63-5bc4a65d2485"]},{"id":"ITEM-3","itemData":{"DOI":"10.1002/BIOT.201400330","PMID":"25319678","author":[{"dropping-particle":"","family":"Dudley","given":"Quentin M.","non-dropping-particle":"","parse-names":false,"suffix":""},{"dropping-particle":"","family":"Karim","given":"Ashty S.","non-dropping-particle":"","parse-names":false,"suffix":""},{"dropping-particle":"","family":"Jewett","given":"Michael C.","non-dropping-particle":"","parse-names":false,"suffix":""}],"container-title":"Biotechnology journal","id":"ITEM-3","issue":"1","issued":{"date-parts":[["2015"]]},"page":"69","publisher":"NIH Public Access","title":"Cell-Free Metabolic Engineering: Biomanufacturing beyond the cell","type":"article-journal","volume":"10"},"uris":["http://www.mendeley.com/documents/?uuid=03ea16c3-fc9f-335d-9127-7f15cc4340d4"]},{"id":"ITEM-4","itemData":{"DOI":"10.1016/j.ymben.2016.03.002","ISSN":"10967184","abstract":"Speeding up design-build-test (DBT) cycles is a fundamental challenge facing biochemical engineering. To address this challenge, we report a new cell-free protein synthesis driven metabolic engineering (CFPS-ME) framework for rapid biosynthetic pathway prototyping. In our framework, cell-free cocktails for synthesizing target small molecules are assembled in a mix-and-match fashion from crude cell lysates either containing selectively enriched pathway enzymes from heterologous overexpression or directly producing pathway enzymes in lysates by CFPS. As a model, we apply our approach to n-butanol biosynthesis showing that Escherichia coli lysates support a highly active 17-step CoA-dependent n-butanol pathway in vitro. The elevated degree of flexibility in the cell-free environment allows us to manipulate physiochemical conditions, access enzymatic nodes, discover new enzymes, and prototype enzyme sets with linear DNA templates to study pathway performance. We anticipate that CFPS-ME will facilitate efforts to define, manipulate, and understand metabolic pathways for accelerated DBT cycles without the need to reengineer organisms.","author":[{"dropping-particle":"","family":"Karim","given":"Ashty S.","non-dropping-particle":"","parse-names":false,"suffix":""},{"dropping-particle":"","family":"Jewett","given":"Michael C.","non-dropping-particle":"","parse-names":false,"suffix":""}],"container-title":"Metabolic Engineering","id":"ITEM-4","issued":{"date-parts":[["2016","7","1"]]},"page":"116-126","publisher":"Academic Press Inc.","title":"A cell-free framework for rapid biosynthetic pathway prototyping and enzyme discovery","type":"article-journal","volume":"36"},"uris":["http://www.mendeley.com/documents/?uuid=b51fa991-5de8-3f6c-a9f5-d019d3d9eb1d"]}],"mendeley":{"formattedCitation":"&lt;sup&gt;10,20,21,27&lt;/sup&gt;","plainTextFormattedCitation":"10,20,21,27","previouslyFormattedCitation":"&lt;sup&gt;10,20,21,27&lt;/sup&gt;"},"properties":{"noteIndex":0},"schema":"https://github.com/citation-style-language/schema/raw/master/csl-citation.json"}</w:instrText>
      </w:r>
      <w:r w:rsidR="00FE4A5C" w:rsidRPr="00A71FCF">
        <w:rPr>
          <w:rFonts w:eastAsia="Times New Roman" w:cs="Arial"/>
          <w:color w:val="000000"/>
          <w:szCs w:val="22"/>
        </w:rPr>
        <w:fldChar w:fldCharType="separate"/>
      </w:r>
      <w:r w:rsidR="00554C8B" w:rsidRPr="00A71FCF">
        <w:rPr>
          <w:rFonts w:eastAsia="Times New Roman" w:cs="Arial"/>
          <w:noProof/>
          <w:color w:val="000000"/>
          <w:szCs w:val="22"/>
          <w:vertAlign w:val="superscript"/>
        </w:rPr>
        <w:t>10,20,21,27</w:t>
      </w:r>
      <w:r w:rsidR="00FE4A5C" w:rsidRPr="00A71FCF">
        <w:rPr>
          <w:rFonts w:eastAsia="Times New Roman" w:cs="Arial"/>
          <w:color w:val="000000"/>
          <w:szCs w:val="22"/>
        </w:rPr>
        <w:fldChar w:fldCharType="end"/>
      </w:r>
      <w:r w:rsidRPr="00E43B04">
        <w:rPr>
          <w:rFonts w:eastAsia="Times New Roman" w:cs="Arial"/>
          <w:color w:val="000000"/>
          <w:szCs w:val="22"/>
        </w:rPr>
        <w:t>. Their lack of a cell membrane barrier allows the direct addition of metabolic enzymes, substrates, and cofactors into the open reaction environment for easy pathway construction and manipulation</w:t>
      </w:r>
      <w:r w:rsidR="00FE4A5C" w:rsidRPr="00A71FCF">
        <w:rPr>
          <w:rFonts w:eastAsia="Times New Roman" w:cs="Arial"/>
          <w:color w:val="000000"/>
          <w:szCs w:val="22"/>
        </w:rPr>
        <w:fldChar w:fldCharType="begin" w:fldLock="1"/>
      </w:r>
      <w:r w:rsidR="00FE4A5C" w:rsidRPr="00A71FCF">
        <w:rPr>
          <w:rFonts w:eastAsia="Times New Roman" w:cs="Arial"/>
          <w:color w:val="000000"/>
          <w:szCs w:val="22"/>
        </w:rPr>
        <w:instrText>ADDIN CSL_CITATION {"citationItems":[{"id":"ITEM-1","itemData":{"DOI":"10.1038/s41576-019-0186-3","ISSN":"14710064","PMID":"31780816","abstract":"Cell-free biology is the activation of biological processes without the use of intact living cells. It has been used for more than 50 years across the life sciences as a foundational research tool, but a recent technical renaissance has facilitated high-yielding (grams of protein per litre), cell-free gene expression systems from model bacteria, the development of cell-free platforms from non-model organisms and multiplexed strategies for rapidly assessing biological design. These advances provide exciting opportunities to profoundly transform synthetic biology by enabling new approaches to the model-driven design of synthetic gene networks, the fast and portable sensing of compounds, on-demand biomanufacturing, building cells from the bottom up, and next-generation educational kits.","author":[{"dropping-particle":"","family":"Silverman","given":"Adam D.","non-dropping-particle":"","parse-names":false,"suffix":""},{"dropping-particle":"","family":"Karim","given":"Ashty S.","non-dropping-particle":"","parse-names":false,"suffix":""},{"dropping-particle":"","family":"Jewett","given":"Michael C.","non-dropping-particle":"","parse-names":false,"suffix":""}],"container-title":"Nature Reviews Genetics","id":"ITEM-1","issue":"3","issued":{"date-parts":[["2020","3","1"]]},"page":"151-170","publisher":"Nature Research","title":"Cell-free gene expression: an expanded repertoire of applications","type":"article","volume":"21"},"uris":["http://www.mendeley.com/documents/?uuid=2cc18847-7f0d-3d9c-a024-e99bf14f47ce"]}],"mendeley":{"formattedCitation":"&lt;sup&gt;30&lt;/sup&gt;","plainTextFormattedCitation":"30","previouslyFormattedCitation":"&lt;sup&gt;30&lt;/sup&gt;"},"properties":{"noteIndex":0},"schema":"https://github.com/citation-style-language/schema/raw/master/csl-citation.json"}</w:instrText>
      </w:r>
      <w:r w:rsidR="00FE4A5C" w:rsidRPr="00A71FCF">
        <w:rPr>
          <w:rFonts w:eastAsia="Times New Roman" w:cs="Arial"/>
          <w:color w:val="000000"/>
          <w:szCs w:val="22"/>
        </w:rPr>
        <w:fldChar w:fldCharType="separate"/>
      </w:r>
      <w:r w:rsidR="00FE4A5C" w:rsidRPr="00A71FCF">
        <w:rPr>
          <w:rFonts w:eastAsia="Times New Roman" w:cs="Arial"/>
          <w:noProof/>
          <w:color w:val="000000"/>
          <w:szCs w:val="22"/>
          <w:vertAlign w:val="superscript"/>
        </w:rPr>
        <w:t>30</w:t>
      </w:r>
      <w:r w:rsidR="00FE4A5C" w:rsidRPr="00A71FCF">
        <w:rPr>
          <w:rFonts w:eastAsia="Times New Roman" w:cs="Arial"/>
          <w:color w:val="000000"/>
          <w:szCs w:val="22"/>
        </w:rPr>
        <w:fldChar w:fldCharType="end"/>
      </w:r>
      <w:r w:rsidRPr="00E43B04">
        <w:rPr>
          <w:rFonts w:eastAsia="Times New Roman" w:cs="Arial"/>
          <w:color w:val="000000"/>
          <w:szCs w:val="22"/>
        </w:rPr>
        <w:t>. Enzymes can also be expressed directly from a linear or plasmid DNA template that is dropped into cell-free systems with activated TX-TL machineries</w:t>
      </w:r>
      <w:r w:rsidR="00FE4A5C" w:rsidRPr="00A71FCF">
        <w:rPr>
          <w:rFonts w:eastAsia="Times New Roman" w:cs="Arial"/>
          <w:color w:val="000000"/>
          <w:szCs w:val="22"/>
        </w:rPr>
        <w:fldChar w:fldCharType="begin" w:fldLock="1"/>
      </w:r>
      <w:r w:rsidR="00767C3C" w:rsidRPr="00A71FCF">
        <w:rPr>
          <w:rFonts w:eastAsia="Times New Roman" w:cs="Arial"/>
          <w:color w:val="000000"/>
          <w:szCs w:val="22"/>
        </w:rPr>
        <w:instrText>ADDIN CSL_CITATION {"citationItems":[{"id":"ITEM-1","itemData":{"DOI":"10.1038/s41576-019-0186-3","ISSN":"14710064","PMID":"31780816","abstract":"Cell-free biology is the activation of biological processes without the use of intact living cells. It has been used for more than 50 years across the life sciences as a foundational research tool, but a recent technical renaissance has facilitated high-yielding (grams of protein per litre), cell-free gene expression systems from model bacteria, the development of cell-free platforms from non-model organisms and multiplexed strategies for rapidly assessing biological design. These advances provide exciting opportunities to profoundly transform synthetic biology by enabling new approaches to the model-driven design of synthetic gene networks, the fast and portable sensing of compounds, on-demand biomanufacturing, building cells from the bottom up, and next-generation educational kits.","author":[{"dropping-particle":"","family":"Silverman","given":"Adam D.","non-dropping-particle":"","parse-names":false,"suffix":""},{"dropping-particle":"","family":"Karim","given":"Ashty S.","non-dropping-particle":"","parse-names":false,"suffix":""},{"dropping-particle":"","family":"Jewett","given":"Michael C.","non-dropping-particle":"","parse-names":false,"suffix":""}],"container-title":"Nature Reviews Genetics","id":"ITEM-1","issue":"3","issued":{"date-parts":[["2020","3","1"]]},"page":"151-170","publisher":"Nature Research","title":"Cell-free gene expression: an expanded repertoire of applications","type":"article","volume":"21"},"uris":["http://www.mendeley.com/documents/?uuid=2cc18847-7f0d-3d9c-a024-e99bf14f47ce"]}],"mendeley":{"formattedCitation":"&lt;sup&gt;30&lt;/sup&gt;","plainTextFormattedCitation":"30","previouslyFormattedCitation":"&lt;sup&gt;30&lt;/sup&gt;"},"properties":{"noteIndex":0},"schema":"https://github.com/citation-style-language/schema/raw/master/csl-citation.json"}</w:instrText>
      </w:r>
      <w:r w:rsidR="00FE4A5C" w:rsidRPr="00A71FCF">
        <w:rPr>
          <w:rFonts w:eastAsia="Times New Roman" w:cs="Arial"/>
          <w:color w:val="000000"/>
          <w:szCs w:val="22"/>
        </w:rPr>
        <w:fldChar w:fldCharType="separate"/>
      </w:r>
      <w:r w:rsidR="00FE4A5C" w:rsidRPr="00A71FCF">
        <w:rPr>
          <w:rFonts w:eastAsia="Times New Roman" w:cs="Arial"/>
          <w:noProof/>
          <w:color w:val="000000"/>
          <w:szCs w:val="22"/>
          <w:vertAlign w:val="superscript"/>
        </w:rPr>
        <w:t>30</w:t>
      </w:r>
      <w:r w:rsidR="00FE4A5C" w:rsidRPr="00A71FCF">
        <w:rPr>
          <w:rFonts w:eastAsia="Times New Roman" w:cs="Arial"/>
          <w:color w:val="000000"/>
          <w:szCs w:val="22"/>
        </w:rPr>
        <w:fldChar w:fldCharType="end"/>
      </w:r>
      <w:r w:rsidRPr="00E43B04">
        <w:rPr>
          <w:rFonts w:eastAsia="Times New Roman" w:cs="Arial"/>
          <w:color w:val="000000"/>
          <w:szCs w:val="22"/>
        </w:rPr>
        <w:t xml:space="preserve">. After supplementation with DNA, cell-free expression (CFE) </w:t>
      </w:r>
      <w:r w:rsidR="00767C3C" w:rsidRPr="00A71FCF">
        <w:rPr>
          <w:rFonts w:eastAsia="Times New Roman" w:cs="Arial"/>
          <w:color w:val="000000"/>
          <w:szCs w:val="22"/>
        </w:rPr>
        <w:t>occurs in hours whereas</w:t>
      </w:r>
      <w:r w:rsidRPr="00E43B04">
        <w:rPr>
          <w:rFonts w:eastAsia="Times New Roman" w:cs="Arial"/>
          <w:color w:val="000000"/>
          <w:szCs w:val="22"/>
        </w:rPr>
        <w:t xml:space="preserve"> transform</w:t>
      </w:r>
      <w:r w:rsidR="00767C3C" w:rsidRPr="00A71FCF">
        <w:rPr>
          <w:rFonts w:eastAsia="Times New Roman" w:cs="Arial"/>
          <w:color w:val="000000"/>
          <w:szCs w:val="22"/>
        </w:rPr>
        <w:t>ing</w:t>
      </w:r>
      <w:r w:rsidRPr="00E43B04">
        <w:rPr>
          <w:rFonts w:eastAsia="Times New Roman" w:cs="Arial"/>
          <w:color w:val="000000"/>
          <w:szCs w:val="22"/>
        </w:rPr>
        <w:t xml:space="preserve"> and select</w:t>
      </w:r>
      <w:r w:rsidR="00767C3C" w:rsidRPr="00A71FCF">
        <w:rPr>
          <w:rFonts w:eastAsia="Times New Roman" w:cs="Arial"/>
          <w:color w:val="000000"/>
          <w:szCs w:val="22"/>
        </w:rPr>
        <w:t>ing</w:t>
      </w:r>
      <w:r w:rsidRPr="00E43B04">
        <w:rPr>
          <w:rFonts w:eastAsia="Times New Roman" w:cs="Arial"/>
          <w:color w:val="000000"/>
          <w:szCs w:val="22"/>
        </w:rPr>
        <w:t xml:space="preserve"> strains for </w:t>
      </w:r>
      <w:r w:rsidRPr="00E43B04">
        <w:rPr>
          <w:rFonts w:eastAsia="Times New Roman" w:cs="Arial"/>
          <w:i/>
          <w:iCs/>
          <w:color w:val="000000"/>
          <w:szCs w:val="22"/>
        </w:rPr>
        <w:t xml:space="preserve">in vivo </w:t>
      </w:r>
      <w:r w:rsidRPr="00E43B04">
        <w:rPr>
          <w:rFonts w:eastAsia="Times New Roman" w:cs="Arial"/>
          <w:color w:val="000000"/>
          <w:szCs w:val="22"/>
        </w:rPr>
        <w:t>enzyme synthesis</w:t>
      </w:r>
      <w:r w:rsidR="00767C3C" w:rsidRPr="00A71FCF">
        <w:rPr>
          <w:rFonts w:eastAsia="Times New Roman" w:cs="Arial"/>
          <w:color w:val="000000"/>
          <w:szCs w:val="22"/>
        </w:rPr>
        <w:t xml:space="preserve"> can take days to weeks depending on the host chassis</w:t>
      </w:r>
      <w:r w:rsidR="00767C3C"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{"citationItems":[{"id":"ITEM-1","itemData":{"DOI":"10.1042/BST20170011","ISSN":"14708752","PMID":"28620040","abstract":"Cell-free transcription-translation is an expanding field in synthetic biology as a rapid prototyping platform for blueprinting the design of synthetic biological devices. Exemplar efforts include translation of prototype designs into medical test kits for on-site identification of viruses (Zika and Ebola), while gene circuit cascades can be tested, debugged and re-designed within rapid turnover times. Coupled with mathematical modelling, this discipline lends itself towards the precision engineering of new synthetic life. The next stages of cell-free look set to unlock new microbial hosts that remain slow to engineer and unsuited to rapid iterative design cycles. It is hoped that the development of such systems will provide new tools to aid the transition from cell-free prototype designs to functioning synthetic genetic circuits and engineered natural product pathways in living cells.","author":[{"dropping-particle":"","family":"Moore","given":"Simon J.","non-dropping-particle":"","parse-names":false,"suffix":""},{"dropping-particle":"","family":"MacDonald","given":"James T.","non-dropping-particle":"","parse-names":false,"suffix":""},{"dropping-particle":"","family":"Freemont","given":"Paul S.","non-dropping-particle":"","parse-names":false,"suffix":""}],"container-title":"Biochemical Society Transactions","id":"ITEM-1","issue":"3","issued":{"date-parts":[["2017","6","6"]]},"page":"785","publisher":"Portland Press Ltd","title":"Cell-free synthetic biology for in vitro prototype engineering","type":"article-journal","volume":"45"},"uris":["http://www.mendeley.com/documents/?uuid=abac661b-7909-34e3-90d3-60a04dbbc99c"]},{"id":"ITEM-2","itemData":{"DOI":"10.3389/fmicb.2014.00341","ISSN":"1664302X","PMID":"25071752","author":[{"dropping-particle":"","family":"Rosano","given":"Germán L.","non-dropping-particle":"","parse-names":false,"suffix":""},{"dropping-particle":"","family":"Ceccarelli","given":"Eduardo A.","non-dropping-particle":"","parse-names":false,"suffix":""}],"container-title":"Frontiers in Microbiology","id":"ITEM-2","issue":"JULY","issued":{"date-parts":[["2014"]]},"publisher":"Frontiers Research Foundation","title":"Recombinant protein expression in microbial systems","type":"article","volume":"5"},"uris":["http://www.mendeley.com/documents/?uuid=73e39a8b-7aee-3362-aee1-c854222e7237"]},{"id":"ITEM-3","itemData":{"DOI":"10.3390/mps2010024","ISSN":"2409-9279","abstract":"Cell-free protein synthesis (CFPS) is a platform technology that provides new opportunities for protein expression, metabolic engineering, therapeutic development, education, and more. The advantages of CFPS over in vivo protein expression include its open system, the elimination of reliance on living cells, and the ability to focus all system energy on production of the protein of interest. Over the last 60 years, the CFPS platform has grown and diversified greatly, and it continues to evolve today. Both new applications and new types of extracts based on a variety of organisms are current areas of development. However, new users interested in CFPS may find it challenging to implement a cell-free platform in their laboratory due to the technical and functional considerations involved in choosing and executing a platform that best suits their needs. Here we hope to reduce this barrier to implementing CFPS by clarifying the similarities and differences amongst cell-free platforms, highlighting the various applications that have been accomplished in each of them, and detailing the main methodological and instrumental requirement for their preparation. Additionally, this review will help to contextualize the landscape of work that has been done using CFPS and showcase the diversity of applications that it enables.","author":[{"dropping-particle":"","family":"Gregorio","given":"Nicole E.","non-dropping-particle":"","parse-names":false,"suffix":""},{"dropping-particle":"","family":"Levine","given":"Max Z.","non-dropping-particle":"","parse-names":false,"suffix":""},{"dropping-particle":"","family":"Oza","given":"Javin P.","non-dropping-particle":"","parse-names":false,"suffix":""}],"container-title":"Methods and Protocols","id":"ITEM-3","issue":"1","issued":{"date-parts":[["2019","3","12"]]},"page":"24","publisher":"MDPI AG","title":"A User’s Guide to Cell-Free Protein Synthesis","type":"article-journal","volume":"2"},"uris":["http://www.mendeley.com/documents/?uuid=efa63f7f-845d-3ca5-8aca-4868ea93d5f4"]}],"mendeley":{"formattedCitation":"&lt;sup&gt;33–35&lt;/sup&gt;","plainTextFormattedCitation":"33–35","previouslyFormattedCitation":"&lt;sup&gt;33–35&lt;/sup&gt;"},"properties":{"noteIndex":0},"schema":"https://github.com/citation-style-language/schema/raw/master/csl-citation.json"}</w:instrText>
      </w:r>
      <w:r w:rsidR="00767C3C"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33–35</w:t>
      </w:r>
      <w:r w:rsidR="00767C3C" w:rsidRPr="00A71FCF">
        <w:rPr>
          <w:rFonts w:eastAsia="Times New Roman" w:cs="Arial"/>
          <w:color w:val="000000"/>
          <w:szCs w:val="22"/>
        </w:rPr>
        <w:fldChar w:fldCharType="end"/>
      </w:r>
      <w:r w:rsidRPr="00E43B04">
        <w:rPr>
          <w:rFonts w:eastAsia="Times New Roman" w:cs="Arial"/>
          <w:color w:val="000000"/>
          <w:szCs w:val="22"/>
        </w:rPr>
        <w:t>. The detachment of cell-free systems from genome-regulated survival functions (i.e., growth and maintenance) further simplifies pathway construction</w:t>
      </w:r>
      <w:r w:rsidR="00554C8B" w:rsidRPr="00A71FCF">
        <w:rPr>
          <w:rFonts w:eastAsia="Times New Roman" w:cs="Arial"/>
          <w:color w:val="000000"/>
          <w:szCs w:val="22"/>
        </w:rPr>
        <w:fldChar w:fldCharType="begin" w:fldLock="1"/>
      </w:r>
      <w:r w:rsidR="00554C8B" w:rsidRPr="00A71FCF">
        <w:rPr>
          <w:rFonts w:eastAsia="Times New Roman" w:cs="Arial"/>
          <w:color w:val="000000"/>
          <w:szCs w:val="22"/>
        </w:rPr>
        <w:instrText>ADDIN CSL_CITATION {"citationItems":[{"id":"ITEM-1","itemData":{"DOI":"10.1016/j.ymben.2016.03.002","ISSN":"10967184","abstract":"Speeding up design-build-test (DBT) cycles is a fundamental challenge facing biochemical engineering. To address this challenge, we report a new cell-free protein synthesis driven metabolic engineering (CFPS-ME) framework for rapid biosynthetic pathway prototyping. In our framework, cell-free cocktails for synthesizing target small molecules are assembled in a mix-and-match fashion from crude cell lysates either containing selectively enriched pathway enzymes from heterologous overexpression or directly producing pathway enzymes in lysates by CFPS. As a model, we apply our approach to n-butanol biosynthesis showing that Escherichia coli lysates support a highly active 17-step CoA-dependent n-butanol pathway in vitro. The elevated degree of flexibility in the cell-free environment allows us to manipulate physiochemical conditions, access enzymatic nodes, discover new enzymes, and prototype enzyme sets with linear DNA templates to study pathway performance. We anticipate that CFPS-ME will facilitate efforts to define, manipulate, and understand metabolic pathways for accelerated DBT cycles without the need to reengineer organisms.","author":[{"dropping-particle":"","family":"Karim","given":"Ashty S.","non-dropping-particle":"","parse-names":false,"suffix":""},{"dropping-particle":"","family":"Jewett","given":"Michael C.","non-dropping-particle":"","parse-names":false,"suffix":""}],"container-title":"Metabolic Engineering","id":"ITEM-1","issued":{"date-parts":[["2016","7","1"]]},"page":"116-126","publisher":"Academic Press Inc.","title":"A cell-free framework for rapid biosynthetic pathway prototyping and enzyme discovery","type":"article-journal","volume":"36"},"uris":["http://www.mendeley.com/documents/?uuid=b51fa991-5de8-3f6c-a9f5-d019d3d9eb1d"]}],"mendeley":{"formattedCitation":"&lt;sup&gt;27&lt;/sup&gt;","plainTextFormattedCitation":"27","previouslyFormattedCitation":"&lt;sup&gt;27&lt;/sup&gt;"},"properties":{"noteIndex":0},"schema":"https://github.com/citation-style-language/schema/raw/master/csl-citation.json"}</w:instrText>
      </w:r>
      <w:r w:rsidR="00554C8B" w:rsidRPr="00A71FCF">
        <w:rPr>
          <w:rFonts w:eastAsia="Times New Roman" w:cs="Arial"/>
          <w:color w:val="000000"/>
          <w:szCs w:val="22"/>
        </w:rPr>
        <w:fldChar w:fldCharType="separate"/>
      </w:r>
      <w:r w:rsidR="00554C8B" w:rsidRPr="00A71FCF">
        <w:rPr>
          <w:rFonts w:eastAsia="Times New Roman" w:cs="Arial"/>
          <w:noProof/>
          <w:color w:val="000000"/>
          <w:szCs w:val="22"/>
          <w:vertAlign w:val="superscript"/>
        </w:rPr>
        <w:t>27</w:t>
      </w:r>
      <w:r w:rsidR="00554C8B" w:rsidRPr="00A71FCF">
        <w:rPr>
          <w:rFonts w:eastAsia="Times New Roman" w:cs="Arial"/>
          <w:color w:val="000000"/>
          <w:szCs w:val="22"/>
        </w:rPr>
        <w:fldChar w:fldCharType="end"/>
      </w:r>
      <w:r w:rsidRPr="00E43B04">
        <w:rPr>
          <w:rFonts w:eastAsia="Times New Roman" w:cs="Arial"/>
          <w:color w:val="000000"/>
          <w:szCs w:val="22"/>
        </w:rPr>
        <w:t xml:space="preserve">. Engineering cells towards target production objectives can be </w:t>
      </w:r>
      <w:r w:rsidR="00C265DB">
        <w:rPr>
          <w:rFonts w:eastAsia="Times New Roman" w:cs="Arial"/>
          <w:color w:val="000000"/>
          <w:szCs w:val="22"/>
        </w:rPr>
        <w:t xml:space="preserve">unpredictable and </w:t>
      </w:r>
      <w:r w:rsidRPr="00E43B04">
        <w:rPr>
          <w:rFonts w:eastAsia="Times New Roman" w:cs="Arial"/>
          <w:color w:val="000000"/>
          <w:szCs w:val="22"/>
        </w:rPr>
        <w:t xml:space="preserve">time-consuming due to </w:t>
      </w:r>
      <w:r w:rsidR="00C265DB">
        <w:rPr>
          <w:rFonts w:eastAsia="Times New Roman" w:cs="Arial"/>
          <w:color w:val="000000"/>
          <w:szCs w:val="22"/>
        </w:rPr>
        <w:t>complications</w:t>
      </w:r>
      <w:r w:rsidRPr="00E43B04">
        <w:rPr>
          <w:rFonts w:eastAsia="Times New Roman" w:cs="Arial"/>
          <w:color w:val="000000"/>
          <w:szCs w:val="22"/>
        </w:rPr>
        <w:t xml:space="preserve"> on host health like metabolic burden and product cytotoxicity</w:t>
      </w:r>
      <w:r w:rsidR="00A6586B"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{"citationItems":[{"id":"ITEM-1","itemData":{"DOI":"10.3389/fmicb.2014.00341","ISSN":"1664302X","PMID":"25071752","author":[{"dropping-particle":"","family":"Rosano","given":"Germán L.","non-dropping-particle":"","parse-names":false,"suffix":""},{"dropping-particle":"","family":"Ceccarelli","given":"Eduardo A.","non-dropping-particle":"","parse-names":false,"suffix":""}],"container-title":"Frontiers in Microbiology","id":"ITEM-1","issue":"JULY","issued":{"date-parts":[["2014"]]},"publisher":"Frontiers Research Foundation","title":"Recombinant protein expression in microbial systems","type":"article","volume":"5"},"uris":["http://www.mendeley.com/documents/?uuid=73e39a8b-7aee-3362-aee1-c854222e7237"]},{"id":"ITEM-2","itemData":{"DOI":"10.1016/j.biotechadv.2011.12.005","ISSN":"07349750","abstract":"In the context of recombinant DNA technology, the development of feasible and high-yielding plasmid DNA production processes has regained attention as more evidence for its efficacy as vectors for gene therapy and DNA vaccination arise. When producing plasmid DNA in Escherichia coli, a number of biological restraints, triggered by plasmid maintenance and replication as well as culture conditions are responsible for limiting final biomass and product yields. This termed \"metabolic burden\" can also cause detrimental effects on plasmid stability and quality, since the cell machinery is no longer capable of maintaining an active metabolism towards plasmid synthesis and the stress responses elicited by plasmid maintenance can also cause increased plasmid instability. The optimization of plasmid DNA production bioprocesses is still hindered by the lack of information on the host metabolic responses as well as information on plasmid instability. Therefore, systematic and on-line approaches are required not only to characterise this \"metabolic burden\" and plasmid stability but also for the design of appropriate metabolic engineering and culture strategies. The monitoring tools described to date rapidly evolve from laborious, off-line and at-line monitoring to online monitoring, at a time-scale that enables researchers to solve these bioprocessing problems as they occur. This review highlights major E. coli biological alterations caused by plasmid maintenance and replication, possible causes for plasmid instability and discusses the ability of currently employed bioprocess monitoring techniques to provide information in order to circumvent metabolic burden and plasmid instability, pointing out the possible evolution of these methods towards online bioprocess monitoring. © 2012 Elsevier Inc.","author":[{"dropping-particle":"","family":"Silva","given":"Filomena","non-dropping-particle":"","parse-names":false,"suffix":""},{"dropping-particle":"","family":"Queiroz","given":"João A.","non-dropping-particle":"","parse-names":false,"suffix":""},{"dropping-particle":"","family":"Domingues","given":"Fernanda C.","non-dropping-particle":"","parse-names":false,"suffix":""}],"container-title":"Biotechnology Advances","id":"ITEM-2","issue":"3","issued":{"date-parts":[["2012"]]},"page":"691-708","publisher":"Elsevier Inc.","title":"Evaluating metabolic stress and plasmid stability in plasmid DNA production by Escherichia coli","type":"article-journal","volume":"30"},"uris":["http://www.mendeley.com/documents/?uuid=bd948821-265f-4e5a-8d8c-fdd4888f2512"]},{"id":"ITEM-3","itemData":{"DOI":"10.1016/J.TIBTECH.2016.02.010","ISSN":"0167-7799","PMID":"26996613","abstract":"Engineering cell metabolism for bioproduction not only consumes building blocks and energy molecules (e.g., ATP) but also triggers energetic inefficiency inside the cell. The metabolic burdens on microbial workhorses lead to undesirable physiological changes, placing hidden constraints on host productivity. We discuss cell physiological responses to metabolic burdens, as well as strategies to identify and resolve the carbon and energy burden problems, including metabolic balancing, enhancing respiration, dynamic regulatory systems, chromosomal engineering, decoupling cell growth with production phases, and co-utilization of nutrient resources. To design robust strains with high chances of success in industrial settings, novel genome-scale models (GSMs), 13C-metabolic flux analysis (MFA), and machine-learning approaches are needed for weighting, standardizing, and predicting metabolic costs.","author":[{"dropping-particle":"","family":"Wu","given":"Gang","non-dropping-particle":"","parse-names":false,"suffix":""},{"dropping-particle":"","family":"Yan","given":"Qiang","non-dropping-particle":"","parse-names":false,"suffix":""},{"dropping-particle":"","family":"Jones","given":"J. Andrew","non-dropping-particle":"","parse-names":false,"suffix":""},{"dropping-particle":"","family":"Tang","given":"Yinjie J.","non-dropping-particle":"","parse-names":false,"suffix":""},{"dropping-particle":"","family":"Fong","given":"Stephen S.","non-dropping-particle":"","parse-names":false,"suffix":""},{"dropping-particle":"","family":"Koffas","given":"Mattheos A.G.","non-dropping-particle":"","parse-names":false,"suffix":""}],"container-title":"Trends in Biotechnology","id":"ITEM-3","issue":"8","issued":{"date-parts":[["2016","8","1"]]},"page":"652-664","publisher":"Elsevier Current Trends","title":"Metabolic Burden: Cornerstones in Synthetic Biology and Metabolic Engineering Applications","type":"article-journal","volume":"34"},"uris":["http://www.mendeley.com/documents/?uuid=6cff7243-7aa4-32ae-8c5e-010eef5fbb54"]},{"id":"ITEM-4","itemData":{"DOI":"10.1073/pnas.1716888115","ISSN":"10916490","PMID":"29463749","abstract":"Metabolic pathways are often engineered in single microbial populations. However, the introduction of heterologous circuits into the host can create a substantial metabolic burden that limits the overall productivity of the system. This limitation could be overcome by metabolic division of labor (DOL), whereby distinct populations perform different steps in a metabolic pathway, reducing the burden each population will experience. While conceptually appealing, the conditions when DOL is advantageous have not been rigorously established. Here, we have analyzed 24 common architectures of metabolic pathways in which DOL can be implemented. Our analysis reveals general criteria defining the conditions that favor DOL, accounting for the burden or benefit of the pathway activity on the host populations as well as the transport and turnover of enzymes and intermediate metabolites. These criteria can help guide engineering of metabolic pathways and have implications for understanding evolution of natural microbial communities.","author":[{"dropping-particle":"","family":"Tsoi","given":"Ryan","non-dropping-particle":"","parse-names":false,"suffix":""},{"dropping-particle":"","family":"Wu","given":"Feilun","non-dropping-particle":"","parse-names":false,"suffix":""},{"dropping-particle":"","family":"Zhang","given":"Carolyn","non-dropping-particle":"","parse-names":false,"suffix":""},{"dropping-particle":"","family":"Bewick","given":"Sharon","non-dropping-particle":"","parse-names":false,"suffix":""},{"dropping-particle":"","family":"Karig","given":"David","non-dropping-particle":"","parse-names":false,"suffix":""},{"dropping-particle":"","family":"You","given":"Lingchong","non-dropping-particle":"","parse-names":false,"suffix":""}],"container-title":"Proceedings of the National Academy of Sciences of the United States of America","id":"ITEM-4","issue":"10","issued":{"date-parts":[["2018","3","6"]]},"page":"2526-2531","publisher":"National Academy of Sciences","title":"Metabolic division of labor in microbial systems","type":"article-journal","volume":"115"},"uris":["http://www.mendeley.com/documents/?uuid=28b8a458-ed9b-31c4-a124-db7bbae9c269"]},{"id":"ITEM-5","itemData":{"DOI":"10.3389/fmicb.2014.00172","ISSN":"1664302X","PMID":"24860555","abstract":"Escherichia coli is one of the organisms of choice for the production of recombinant proteins. Its use as a cell factory is well-established and it has become the most popular expression platform. For this reason, there are many molecular tools and protocols at hand for the high-level production of heterologous proteins, such as a vast catalog of expression plasmids, a great number of engineered strains and many cultivation strategies. We review the different approaches for the synthesis of recombinant proteins in E. coli and discuss recent progress in this ever-growing field. ©2014 Rosano and Ceccarelli.","author":[{"dropping-particle":"","family":"Rosano","given":"Germán L.","non-dropping-particle":"","parse-names":false,"suffix":""},{"dropping-particle":"","family":"Ceccarelli","given":"Eduardo A.","non-dropping-particle":"","parse-names":false,"suffix":""}],"container-title":"Frontiers in Microbiology","id":"ITEM-5","issue":"APR","issued":{"date-parts":[["2014","4","17"]]},"page":"172","publisher":"Frontiers Research Foundation","title":"Recombinant protein expression in Escherichia coli: Advances and challenges","type":"article","volume":"5"},"uris":["http://www.mendeley.com/documents/?uuid=36d15e4b-2d25-3aa4-a288-151de39a148c"]}],"mendeley":{"formattedCitation":"&lt;sup&gt;25,34,36–38&lt;/sup&gt;","plainTextFormattedCitation":"25,34,36–38","previouslyFormattedCitation":"&lt;sup&gt;25,34,36–38&lt;/sup&gt;"},"properties":{"noteIndex":0},"schema":"https://github.com/citation-style-language/schema/raw/master/csl-citation.json"}</w:instrText>
      </w:r>
      <w:r w:rsidR="00A6586B"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25,34,36–38</w:t>
      </w:r>
      <w:r w:rsidR="00A6586B" w:rsidRPr="00A71FCF">
        <w:rPr>
          <w:rFonts w:eastAsia="Times New Roman" w:cs="Arial"/>
          <w:color w:val="000000"/>
          <w:szCs w:val="22"/>
        </w:rPr>
        <w:fldChar w:fldCharType="end"/>
      </w:r>
      <w:r w:rsidR="00A6586B" w:rsidRPr="00A71FCF">
        <w:rPr>
          <w:rFonts w:eastAsia="Times New Roman" w:cs="Arial"/>
          <w:color w:val="000000"/>
          <w:szCs w:val="22"/>
        </w:rPr>
        <w:t xml:space="preserve">. </w:t>
      </w:r>
      <w:r w:rsidRPr="00E43B04">
        <w:rPr>
          <w:rFonts w:eastAsia="Times New Roman" w:cs="Arial"/>
          <w:color w:val="000000"/>
          <w:szCs w:val="22"/>
        </w:rPr>
        <w:t>On the other hand, cell-free systems do not allocate resources target</w:t>
      </w:r>
      <w:r w:rsidR="005243FC">
        <w:rPr>
          <w:rFonts w:eastAsia="Times New Roman" w:cs="Arial"/>
          <w:color w:val="000000"/>
          <w:szCs w:val="22"/>
        </w:rPr>
        <w:t>ed for</w:t>
      </w:r>
      <w:r w:rsidRPr="00E43B04">
        <w:rPr>
          <w:rFonts w:eastAsia="Times New Roman" w:cs="Arial"/>
          <w:color w:val="000000"/>
          <w:szCs w:val="22"/>
        </w:rPr>
        <w:t xml:space="preserve"> biosynthesis towards growth and maintenance, and they can overcome cellular toxicity limits</w:t>
      </w:r>
      <w:r w:rsidR="00A6586B"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{"citationItems":[{"id":"ITEM-1","itemData":{"DOI":"10.3389/FBIOE.2019.00248/BIBTEX","ISSN":"22964185","abstract":"Cell-free protein synthesis (CFPS) system is a simple, rapid, and sensitive tool that is devoid of membrane-bound barriers, yet contains all the mandatory substrates, biomolecules, and machineries required for the synthesis of the desired proteins. It has the potential to overcome loopholes in the current in vivo production systems and is a promising tool in both basic and applied scientific research. It facilitates a simplified organization of desired experiments with a variety of reaction conditions, making CFPS a powerful tool in biological research. It has been used for the expansion of genetic code, assembly of viruses, and in metabolic engineering for production of toxic and complex proteins. Subsequently, CFPS systems have emerged as potent technology for high-throughput production of membrane proteins, enzymes, and therapeutics. The present review highlights the recent advances and uses of CFPS systems in biomedical, therapeutic, and biotechnological applications. Additionally, we highlight possible solutions to the potential biosafety issues that may be encountered while using CFPS technology.","author":[{"dropping-particle":"","family":"Khambhati","given":"Khushal","non-dropping-particle":"","parse-names":false,"suffix":""},{"dropping-particle":"","family":"Bhattacharjee","given":"Gargi","non-dropping-particle":"","parse-names":false,"suffix":""},{"dropping-particle":"","family":"Gohil","given":"Nisarg","non-dropping-particle":"","parse-names":false,"suffix":""},{"dropping-particle":"","family":"Braddick","given":"Darren","non-dropping-particle":"","parse-names":false,"suffix":""},{"dropping-particle":"","family":"Kulkarni","given":"Vishwesh","non-dropping-particle":"","parse-names":false,"suffix":""},{"dropping-particle":"","family":"Singh","given":"Vijai","non-dropping-particle":"","parse-names":false,"suffix":""}],"container-title":"Frontiers in Bioengineering and Biotechnology","id":"ITEM-1","issued":{"date-parts":[["2019","10","11"]]},"page":"248","publisher":"Frontiers Media S.A.","title":"Exploring the Potential of Cell-Free Protein Synthesis for Extending the Abilities of Biological Systems","type":"article-journal","volume":"7"},"uris":["http://www.mendeley.com/documents/?uuid=ce30b5fb-9d6a-37c5-875d-83ec170dd37d"]},{"id":"ITEM-2","itemData":{"DOI":"10.1038/s41576-019-0186-3","ISSN":"14710064","PMID":"31780816","abstract":"Cell-free biology is the activation of biological processes without the use of intact living cells. It has been used for more than 50 years across the life sciences as a foundational research tool, but a recent technical renaissance has facilitated high-yielding (grams of protein per litre), cell-free gene expression systems from model bacteria, the development of cell-free platforms from non-model organisms and multiplexed strategies for rapidly assessing biological design. These advances provide exciting opportunities to profoundly transform synthetic biology by enabling new approaches to the model-driven design of synthetic gene networks, the fast and portable sensing of compounds, on-demand biomanufacturing, building cells from the bottom up, and next-generation educational kits.","author":[{"dropping-particle":"","family":"Silverman","given":"Adam D.","non-dropping-particle":"","parse-names":false,"suffix":""},{"dropping-particle":"","family":"Karim","given":"Ashty S.","non-dropping-particle":"","parse-names":false,"suffix":""},{"dropping-particle":"","family":"Jewett","given":"Michael C.","non-dropping-particle":"","parse-names":false,"suffix":""}],"container-title":"Nature Reviews Genetics","id":"ITEM-2","issue":"3","issued":{"date-parts":[["2020","3","1"]]},"page":"151-170","publisher":"Nature Research","title":"Cell-free gene expression: an expanded repertoire of applications","type":"article","volume":"21"},"uris":["http://www.mendeley.com/documents/?uuid=2cc18847-7f0d-3d9c-a024-e99bf14f47ce"]},{"id":"ITEM-3","itemData":{"DOI":"10.1016/j.tibtech.2019.12.024","ISSN":"18793096","abstract":"Metabolic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Biotechnology","id":"ITEM-3","issued":{"date-parts":[["2020","1","23"]]},"publisher":"Elsevier Ltd","title":"Synthetic Biochemistry: The Bio-inspired Cell-Free Approach to Commodity Chemical Production","type":"article"},"uris":["http://www.mendeley.com/documents/?uuid=2e6836a8-603b-33f3-ac63-5bc4a65d2485"]}],"mendeley":{"formattedCitation":"&lt;sup&gt;20,30,39&lt;/sup&gt;","plainTextFormattedCitation":"20,30,39","previouslyFormattedCitation":"&lt;sup&gt;20,30,39&lt;/sup&gt;"},"properties":{"noteIndex":0},"schema":"https://github.com/citation-style-language/schema/raw/master/csl-citation.json"}</w:instrText>
      </w:r>
      <w:r w:rsidR="00A6586B"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20,30,39</w:t>
      </w:r>
      <w:r w:rsidR="00A6586B" w:rsidRPr="00A71FCF">
        <w:rPr>
          <w:rFonts w:eastAsia="Times New Roman" w:cs="Arial"/>
          <w:color w:val="000000"/>
          <w:szCs w:val="22"/>
        </w:rPr>
        <w:fldChar w:fldCharType="end"/>
      </w:r>
      <w:r w:rsidR="00A6586B" w:rsidRPr="00A71FCF">
        <w:rPr>
          <w:rFonts w:eastAsia="Times New Roman" w:cs="Arial"/>
          <w:color w:val="000000"/>
          <w:szCs w:val="22"/>
        </w:rPr>
        <w:t xml:space="preserve">. </w:t>
      </w:r>
      <w:r w:rsidRPr="00E43B04">
        <w:rPr>
          <w:rFonts w:eastAsia="Times New Roman" w:cs="Arial"/>
          <w:color w:val="000000"/>
          <w:szCs w:val="22"/>
        </w:rPr>
        <w:t>These features accelerate building stages in cell-free systems compared to their cell-based counterpart</w:t>
      </w:r>
      <w:r w:rsidR="007E5943" w:rsidRPr="00A71FCF">
        <w:rPr>
          <w:rFonts w:eastAsia="Times New Roman" w:cs="Arial"/>
          <w:color w:val="000000"/>
          <w:szCs w:val="22"/>
        </w:rPr>
        <w:t>s</w:t>
      </w:r>
      <w:r w:rsidR="00A6586B" w:rsidRPr="00A71FCF">
        <w:rPr>
          <w:rFonts w:eastAsia="Times New Roman" w:cs="Arial"/>
          <w:color w:val="000000"/>
          <w:szCs w:val="22"/>
        </w:rPr>
        <w:fldChar w:fldCharType="begin" w:fldLock="1"/>
      </w:r>
      <w:r w:rsidR="00A7593C" w:rsidRPr="00A71FCF">
        <w:rPr>
          <w:rFonts w:eastAsia="Times New Roman" w:cs="Arial"/>
          <w:color w:val="000000"/>
          <w:szCs w:val="22"/>
        </w:rPr>
        <w:instrText>ADDIN CSL_CITATION {"citationItems":[{"id":"ITEM-1","itemData":{"DOI":"10.1016/bs.mie.2018.04.029","ISBN":"9780128151488","ISSN":"15577988","abstract":"Engineering biological systems for the production of biofuels and bioproducts holds great potential to transform the bioeconomy, but often requires laborious, time-consuming design-build-test cycles. For decades cell-free systems have offered quick and facile approaches to study enzymes with hopes of informing cellular processes, mainly in the form of purified single-enzyme activity assays. Over the past 20 years, cell-free systems have grown to include multienzymatic systems, both purified and crude. By decoupling cellular growth objectives from enzyme pathway engineering objectives, cell-free systems provide a controllable environment to direct substrates toward a single, desired product. Cell-free approaches are being developed for prototyping and for biomanufacturing. In prototyping applications, the idea is to use cell-free systems to test and optimize biosynthetic pathways before implementation in live cells and scale-up. We present a detailed method for the generation of crude lysates for cell-free pathway prototyping, mix-and-match cell-free metabolic engineering using preenriched lysates, and cell-free protein synthesis driven cell-free metabolic engineering. The cell-free synthetic biology methods described herein are generalizable to any biosynthetic pathway of interest and provide a powerful approach to building pathways in crude lysates for the purpose of prototyping. The foundational principle of the presented approach is that we can construct discrete metabolic pathways through modular assembly of cell-free lysates containing enzyme components produced by overexpression in the lysate chassis strain or by cell-free protein synthesis (in vitro production). Overall, the modular and cell-free nature of our pathway prototyping framework is poised to facilitate multiplexed, automated study of biosynthetic pathways to inform systems-level cellular design.","author":[{"dropping-particle":"","family":"Karim","given":"Ashty S.","non-dropping-particle":"","parse-names":false,"suffix":""},{"dropping-particle":"","family":"Jewett","given":"Michael C.","non-dropping-particle":"","parse-names":false,"suffix":""}],"container-title":"Methods in Enzymology","id":"ITEM-1","issued":{"date-parts":[["2018","1","1"]]},"page":"31-57","publisher":"Academic Press Inc.","title":"Cell-Free Synthetic Biology for Pathway Prototyping","type":"chapter","volume":"608"},"uris":["http://www.mendeley.com/documents/?uuid=2ee231d6-cf3f-3340-bed1-c04dac8a4127"]}],"mendeley":{"formattedCitation":"&lt;sup&gt;22&lt;/sup&gt;","plainTextFormattedCitation":"22","previouslyFormattedCitation":"&lt;sup&gt;22&lt;/sup&gt;"},"properties":{"noteIndex":0},"schema":"https://github.com/citation-style-language/schema/raw/master/csl-citation.json"}</w:instrText>
      </w:r>
      <w:r w:rsidR="00A6586B" w:rsidRPr="00A71FCF">
        <w:rPr>
          <w:rFonts w:eastAsia="Times New Roman" w:cs="Arial"/>
          <w:color w:val="000000"/>
          <w:szCs w:val="22"/>
        </w:rPr>
        <w:fldChar w:fldCharType="separate"/>
      </w:r>
      <w:r w:rsidR="00A6586B" w:rsidRPr="00A71FCF">
        <w:rPr>
          <w:rFonts w:eastAsia="Times New Roman" w:cs="Arial"/>
          <w:noProof/>
          <w:color w:val="000000"/>
          <w:szCs w:val="22"/>
          <w:vertAlign w:val="superscript"/>
        </w:rPr>
        <w:t>22</w:t>
      </w:r>
      <w:r w:rsidR="00A6586B" w:rsidRPr="00A71FCF">
        <w:rPr>
          <w:rFonts w:eastAsia="Times New Roman" w:cs="Arial"/>
          <w:color w:val="000000"/>
          <w:szCs w:val="22"/>
        </w:rPr>
        <w:fldChar w:fldCharType="end"/>
      </w:r>
      <w:r w:rsidRPr="00E43B04">
        <w:rPr>
          <w:rFonts w:eastAsia="Times New Roman" w:cs="Arial"/>
          <w:color w:val="000000"/>
          <w:szCs w:val="22"/>
        </w:rPr>
        <w:t xml:space="preserve">. For example, commercially relevant titers of cytotoxic natural products like limonene, pinene, and alpha-sabinene have been achieved in an </w:t>
      </w:r>
      <w:r w:rsidRPr="00E43B04">
        <w:rPr>
          <w:rFonts w:eastAsia="Times New Roman" w:cs="Arial"/>
          <w:i/>
          <w:iCs/>
          <w:color w:val="000000"/>
          <w:szCs w:val="22"/>
        </w:rPr>
        <w:t xml:space="preserve">in vitro </w:t>
      </w:r>
      <w:r w:rsidRPr="00E43B04">
        <w:rPr>
          <w:rFonts w:eastAsia="Times New Roman" w:cs="Arial"/>
          <w:color w:val="000000"/>
          <w:szCs w:val="22"/>
        </w:rPr>
        <w:t>system (&gt; 11 g/L), but the synthesis of these compounds through similar pathways in the best performing cell factory to date is still encumbered by cytotoxicity (&lt; 3 g/L)</w:t>
      </w:r>
      <w:r w:rsidR="00A7593C"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{"citationItems":[{"id":"ITEM-1","itemData":{"DOI":"10.1038/ncomms15526","ISSN":"20411723","abstract":"Cell-free systems designed to perform complex chemical conversions of biomass to biofuels or commodity chemicals are emerging as promising alternatives to the metabolic engineering of living cells. Here we design a system comprises 27 enzymes for the conversion of glucose into monoterpenes that generates both NAD(P)H and ATP in a modified glucose breakdown module and utilizes both cofactors for building terpenes. Different monoterpenes are produced in our system by changing the terpene synthase enzyme. The system is stable for the production of limonene, pinene and sabinene, and can operate continuously for at least 5 days from a single addition of glucose. We obtain conversion yields 495% and titres 415 g l À 1 . The titres are an order of magnitude over cellular toxicity limits and thus difficult to achieve using cell-based systems. Overall, these results highlight the potential of synthetic biochemistry approaches for producing bio-based chemicals.","author":[{"dropping-particle":"","family":"Korman","given":"Tyler P.","non-dropping-particle":"","parse-names":false,"suffix":""},{"dropping-particle":"","family":"Opgenorth","given":"Paul H.","non-dropping-particle":"","parse-names":false,"suffix":""},{"dropping-particle":"","family":"Bowie","given":"James U.","non-dropping-particle":"","parse-names":false,"suffix":""}],"container-title":"Nature Communications","id":"ITEM-1","issue":"May","issued":{"date-parts":[["2017"]]},"page":"1-8","publisher":"Nature Publishing Group","title":"A synthetic biochemistry platform for cell free production of monoterpenes from glucose","type":"article-journal","volume":"8"},"uris":["http://www.mendeley.com/documents/?uuid=dcddd9f5-5244-43c2-984f-ffa62b217d88"]}],"mendeley":{"formattedCitation":"&lt;sup&gt;40&lt;/sup&gt;","plainTextFormattedCitation":"40","previouslyFormattedCitation":"&lt;sup&gt;40&lt;/sup&gt;"},"properties":{"noteIndex":0},"schema":"https://github.com/citation-style-language/schema/raw/master/csl-citation.json"}</w:instrText>
      </w:r>
      <w:r w:rsidR="00A7593C"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40</w:t>
      </w:r>
      <w:r w:rsidR="00A7593C" w:rsidRPr="00A71FCF">
        <w:rPr>
          <w:rFonts w:eastAsia="Times New Roman" w:cs="Arial"/>
          <w:color w:val="000000"/>
          <w:szCs w:val="22"/>
        </w:rPr>
        <w:fldChar w:fldCharType="end"/>
      </w:r>
      <w:r w:rsidR="00A7593C" w:rsidRPr="00A71FCF">
        <w:rPr>
          <w:rFonts w:eastAsia="Times New Roman" w:cs="Arial"/>
          <w:color w:val="000000"/>
          <w:szCs w:val="22"/>
        </w:rPr>
        <w:t>.</w:t>
      </w:r>
      <w:r w:rsidR="00C265DB">
        <w:rPr>
          <w:rFonts w:eastAsia="Times New Roman" w:cs="Arial"/>
          <w:color w:val="000000"/>
          <w:szCs w:val="22"/>
        </w:rPr>
        <w:t xml:space="preserve"> </w:t>
      </w:r>
      <w:r w:rsidR="00385AAE">
        <w:rPr>
          <w:rFonts w:eastAsia="Times New Roman" w:cs="Arial"/>
          <w:color w:val="000000"/>
          <w:szCs w:val="22"/>
        </w:rPr>
        <w:t>By</w:t>
      </w:r>
      <w:r w:rsidR="00C265DB" w:rsidRPr="00E43B04">
        <w:rPr>
          <w:rFonts w:eastAsia="Times New Roman" w:cs="Arial"/>
          <w:color w:val="000000"/>
          <w:szCs w:val="22"/>
        </w:rPr>
        <w:t xml:space="preserve"> streamlin</w:t>
      </w:r>
      <w:r w:rsidR="00385AAE">
        <w:rPr>
          <w:rFonts w:eastAsia="Times New Roman" w:cs="Arial"/>
          <w:color w:val="000000"/>
          <w:szCs w:val="22"/>
        </w:rPr>
        <w:t>ing</w:t>
      </w:r>
      <w:r w:rsidR="00C265DB">
        <w:rPr>
          <w:rFonts w:eastAsia="Times New Roman" w:cs="Arial"/>
          <w:color w:val="000000"/>
          <w:szCs w:val="22"/>
        </w:rPr>
        <w:t xml:space="preserve"> </w:t>
      </w:r>
      <w:r w:rsidR="00C265DB" w:rsidRPr="00E43B04">
        <w:rPr>
          <w:rFonts w:eastAsia="Times New Roman" w:cs="Arial"/>
          <w:color w:val="000000"/>
          <w:szCs w:val="22"/>
        </w:rPr>
        <w:t>metabolic engineering efforts</w:t>
      </w:r>
      <w:r w:rsidR="00C265DB">
        <w:rPr>
          <w:rFonts w:eastAsia="Times New Roman" w:cs="Arial"/>
          <w:color w:val="000000"/>
          <w:szCs w:val="22"/>
        </w:rPr>
        <w:t xml:space="preserve">, </w:t>
      </w:r>
      <w:r w:rsidR="00385AAE">
        <w:rPr>
          <w:rFonts w:eastAsia="Times New Roman" w:cs="Arial"/>
          <w:color w:val="000000"/>
          <w:szCs w:val="22"/>
        </w:rPr>
        <w:t xml:space="preserve">cell-free systems </w:t>
      </w:r>
      <w:r w:rsidR="0037660E">
        <w:rPr>
          <w:rFonts w:eastAsia="Times New Roman" w:cs="Arial"/>
          <w:color w:val="000000"/>
          <w:szCs w:val="22"/>
        </w:rPr>
        <w:t xml:space="preserve">offer a potential </w:t>
      </w:r>
      <w:r w:rsidR="00D30492">
        <w:rPr>
          <w:rFonts w:eastAsia="Times New Roman" w:cs="Arial"/>
          <w:color w:val="000000"/>
          <w:szCs w:val="22"/>
        </w:rPr>
        <w:t xml:space="preserve">route to the </w:t>
      </w:r>
      <w:r w:rsidR="0037660E">
        <w:rPr>
          <w:rFonts w:eastAsia="Times New Roman" w:cs="Arial"/>
          <w:color w:val="000000"/>
          <w:szCs w:val="22"/>
        </w:rPr>
        <w:t xml:space="preserve">industrial </w:t>
      </w:r>
      <w:r w:rsidR="00D30492">
        <w:rPr>
          <w:rFonts w:eastAsia="Times New Roman" w:cs="Arial"/>
          <w:color w:val="000000"/>
          <w:szCs w:val="22"/>
        </w:rPr>
        <w:t>synthesis of bio-based chemicals and materials</w:t>
      </w:r>
      <w:r w:rsidR="0037660E">
        <w:rPr>
          <w:rFonts w:eastAsia="Times New Roman" w:cs="Arial"/>
          <w:color w:val="000000"/>
          <w:szCs w:val="22"/>
        </w:rPr>
        <w:t xml:space="preserve"> that </w:t>
      </w:r>
      <w:r w:rsidR="00C439CC">
        <w:rPr>
          <w:rFonts w:eastAsia="Times New Roman" w:cs="Arial"/>
          <w:color w:val="000000"/>
          <w:szCs w:val="22"/>
        </w:rPr>
        <w:t>have not been</w:t>
      </w:r>
      <w:r w:rsidR="0037660E">
        <w:rPr>
          <w:rFonts w:eastAsia="Times New Roman" w:cs="Arial"/>
          <w:color w:val="000000"/>
          <w:szCs w:val="22"/>
        </w:rPr>
        <w:t xml:space="preserve"> produced efficiently in cells. </w:t>
      </w:r>
    </w:p>
    <w:p w14:paraId="34F6FD28" w14:textId="30103430" w:rsidR="0093338B" w:rsidRDefault="0093338B" w:rsidP="00D30492">
      <w:pPr>
        <w:ind w:firstLine="720"/>
        <w:contextualSpacing/>
        <w:rPr>
          <w:rFonts w:eastAsia="Times New Roman" w:cs="Arial"/>
          <w:color w:val="000000"/>
          <w:szCs w:val="22"/>
        </w:rPr>
      </w:pPr>
      <w:r>
        <w:rPr>
          <w:rFonts w:eastAsia="Times New Roman" w:cs="Arial"/>
          <w:color w:val="000000"/>
          <w:szCs w:val="22"/>
        </w:rPr>
        <w:t xml:space="preserve">Cell-free systems have the added advantage of being </w:t>
      </w:r>
      <w:r w:rsidR="005E7A37">
        <w:rPr>
          <w:rFonts w:eastAsia="Times New Roman" w:cs="Arial"/>
          <w:color w:val="000000"/>
          <w:szCs w:val="22"/>
        </w:rPr>
        <w:t>freeze dried</w:t>
      </w:r>
      <w:r w:rsidR="00314972">
        <w:rPr>
          <w:rFonts w:eastAsia="Times New Roman" w:cs="Arial"/>
          <w:color w:val="000000"/>
          <w:szCs w:val="22"/>
        </w:rPr>
        <w:t xml:space="preserve"> then</w:t>
      </w:r>
      <w:r>
        <w:rPr>
          <w:rFonts w:eastAsia="Times New Roman" w:cs="Arial"/>
          <w:color w:val="000000"/>
          <w:szCs w:val="22"/>
        </w:rPr>
        <w:t xml:space="preserve"> </w:t>
      </w:r>
      <w:r w:rsidR="00314972">
        <w:rPr>
          <w:rFonts w:eastAsia="Times New Roman" w:cs="Arial"/>
          <w:color w:val="000000"/>
          <w:szCs w:val="22"/>
        </w:rPr>
        <w:t>stockpiled and transported</w:t>
      </w:r>
      <w:r w:rsidR="005E7A37">
        <w:rPr>
          <w:rFonts w:eastAsia="Times New Roman" w:cs="Arial"/>
          <w:color w:val="000000"/>
          <w:szCs w:val="22"/>
        </w:rPr>
        <w:t xml:space="preserve"> at room temperature</w:t>
      </w:r>
      <w:r w:rsidR="00CD2257">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{"citationItems":[{"id":"ITEM-1","itemData":{"DOI":"10.1016/J.BEJ.2018.07.008","ISSN":"1369-703X","abstract":"Cell-free synthetic biology is an exciting and new branch in the field of synthetic biology. Based on in vitro transcription and translation systems, this application-focused domain builds on decades of cell-free biochemistry and protein expression to operate synthetic gene networks outside of cellular environments. This has brought new and perhaps even unexpected advantages. Chief among these is the ability to operate genetically encoded tools in a sterile and abiotic format. Recent work has extended this advantage by freeze-drying these cell-free systems into dried pellets or embedded paper-based reactions. Taken together, these new ideas have solved the longstanding challenge of how to deploy poised synthetic gene networks in a biosafe mode outside of the laboratory. There is significant excitement in the potential of this newfound venue and the community has begun to extend proof-of-concept demonstrations in important and creative ways. Here I explore these new efforts and provide my thoughts on the challenges and opportunities ahead for freeze-dried, cell-free synthetic biology.","author":[{"dropping-particle":"","family":"Pardee","given":"Keith","non-dropping-particle":"","parse-names":false,"suffix":""}],"container-title":"Biochemical Engineering Journal","id":"ITEM-1","issued":{"date-parts":[["2018","10","15"]]},"page":"91-97","publisher":"Elsevier","title":"Perspective: Solidifying the impact of cell-free synthetic biology through lyophilization","type":"article-journal","volume":"138"},"uris":["http://www.mendeley.com/documents/?uuid=69744710-ec4e-39b6-a2f1-ee7e9a2921ff"]}],"mendeley":{"formattedCitation":"&lt;sup&gt;41&lt;/sup&gt;","plainTextFormattedCitation":"41","previouslyFormattedCitation":"&lt;sup&gt;41&lt;/sup&gt;"},"properties":{"noteIndex":0},"schema":"https://github.com/citation-style-language/schema/raw/master/csl-citation.json"}</w:instrText>
      </w:r>
      <w:r w:rsidR="00CD2257">
        <w:rPr>
          <w:rFonts w:eastAsia="Times New Roman" w:cs="Arial"/>
          <w:color w:val="000000"/>
          <w:szCs w:val="22"/>
        </w:rPr>
        <w:fldChar w:fldCharType="separate"/>
      </w:r>
      <w:r w:rsidR="00567FF4" w:rsidRPr="00567FF4">
        <w:rPr>
          <w:rFonts w:eastAsia="Times New Roman" w:cs="Arial"/>
          <w:noProof/>
          <w:color w:val="000000"/>
          <w:szCs w:val="22"/>
          <w:vertAlign w:val="superscript"/>
        </w:rPr>
        <w:t>41</w:t>
      </w:r>
      <w:r w:rsidR="00CD2257">
        <w:rPr>
          <w:rFonts w:eastAsia="Times New Roman" w:cs="Arial"/>
          <w:color w:val="000000"/>
          <w:szCs w:val="22"/>
        </w:rPr>
        <w:fldChar w:fldCharType="end"/>
      </w:r>
      <w:r w:rsidR="005E7A37">
        <w:rPr>
          <w:rFonts w:eastAsia="Times New Roman" w:cs="Arial"/>
          <w:color w:val="000000"/>
          <w:szCs w:val="22"/>
        </w:rPr>
        <w:t>. Upon rehydration, their bioprocesses</w:t>
      </w:r>
      <w:r w:rsidR="00314972">
        <w:rPr>
          <w:rFonts w:eastAsia="Times New Roman" w:cs="Arial"/>
          <w:color w:val="000000"/>
          <w:szCs w:val="22"/>
        </w:rPr>
        <w:t xml:space="preserve"> can be reactivated for distributed manufacturing</w:t>
      </w:r>
      <w:r w:rsidR="00465FCD">
        <w:rPr>
          <w:rFonts w:eastAsia="Times New Roman" w:cs="Arial"/>
          <w:color w:val="000000"/>
          <w:szCs w:val="22"/>
        </w:rPr>
        <w:t xml:space="preserve">, which </w:t>
      </w:r>
      <w:r w:rsidR="00314972">
        <w:rPr>
          <w:rFonts w:eastAsia="Times New Roman" w:cs="Arial"/>
          <w:color w:val="000000"/>
          <w:szCs w:val="22"/>
        </w:rPr>
        <w:t xml:space="preserve">addresses limitations inherent to </w:t>
      </w:r>
      <w:r w:rsidR="00465FCD">
        <w:rPr>
          <w:rFonts w:eastAsia="Times New Roman" w:cs="Arial"/>
          <w:color w:val="000000"/>
          <w:szCs w:val="22"/>
        </w:rPr>
        <w:t>centralized production like the costs of maintaining and customizing large manufacturing plants as well as cold chain distribution</w:t>
      </w:r>
      <w:r w:rsidR="00CD2257">
        <w:rPr>
          <w:rFonts w:eastAsia="Times New Roman" w:cs="Arial"/>
          <w:color w:val="000000"/>
          <w:szCs w:val="22"/>
        </w:rPr>
        <w:fldChar w:fldCharType="begin" w:fldLock="1"/>
      </w:r>
      <w:r w:rsidR="00567FF4">
        <w:rPr>
          <w:rFonts w:eastAsia="Times New Roman" w:cs="Arial"/>
          <w:color w:val="000000"/>
          <w:szCs w:val="22"/>
        </w:rPr>
        <w:instrText xml:space="preserve">ADDIN CSL_CITATION {"citationItems":[{"id":"ITEM-1","itemData":{"DOI":"10.1021/ACSSYNBIO.2C00392/ASSET/IMAGES/LARGE/SB2C00392_0006.JPEG","ISSN":"21615063","PMID":"36548479","abstract":"Cell-free protein synthesis systems that can be lyophilized for long-term, non-refrigerated storage and transportation have the potential to enable decentralized biomanufacturing. However, increased thermostability and decreased reaction cost are necessary for further technology adoption. Here, we identify maltodextrin as an additive to cell-free reactions that can act as both a lyoprotectant to increase thermostability and a low-cost energy substrate. As a model, we apply optimized formulations to produce conjugate vaccines for </w:instrText>
      </w:r>
      <w:r w:rsidR="00567FF4">
        <w:rPr>
          <w:rFonts w:ascii="Cambria Math" w:eastAsia="Times New Roman" w:hAnsi="Cambria Math" w:cs="Cambria Math"/>
          <w:color w:val="000000"/>
          <w:szCs w:val="22"/>
        </w:rPr>
        <w:instrText>∼</w:instrText>
      </w:r>
      <w:r w:rsidR="00567FF4">
        <w:rPr>
          <w:rFonts w:eastAsia="Times New Roman" w:cs="Arial"/>
          <w:color w:val="000000"/>
          <w:szCs w:val="22"/>
        </w:rPr>
        <w:instrText>$0.50 per dose after storage at room temperature (</w:instrText>
      </w:r>
      <w:r w:rsidR="00567FF4">
        <w:rPr>
          <w:rFonts w:ascii="Cambria Math" w:eastAsia="Times New Roman" w:hAnsi="Cambria Math" w:cs="Cambria Math"/>
          <w:color w:val="000000"/>
          <w:szCs w:val="22"/>
        </w:rPr>
        <w:instrText>∼</w:instrText>
      </w:r>
      <w:r w:rsidR="00567FF4">
        <w:rPr>
          <w:rFonts w:eastAsia="Times New Roman" w:cs="Arial"/>
          <w:color w:val="000000"/>
          <w:szCs w:val="22"/>
        </w:rPr>
        <w:instrText xml:space="preserve">22 °C) or 37 °C for up to 4 weeks, and </w:instrText>
      </w:r>
      <w:r w:rsidR="00567FF4">
        <w:rPr>
          <w:rFonts w:ascii="Cambria Math" w:eastAsia="Times New Roman" w:hAnsi="Cambria Math" w:cs="Cambria Math"/>
          <w:color w:val="000000"/>
          <w:szCs w:val="22"/>
        </w:rPr>
        <w:instrText>∼</w:instrText>
      </w:r>
      <w:r w:rsidR="00567FF4">
        <w:rPr>
          <w:rFonts w:eastAsia="Times New Roman" w:cs="Arial"/>
          <w:color w:val="000000"/>
          <w:szCs w:val="22"/>
        </w:rPr>
        <w:instrText>$1.00 per dose after storage at 50 °C for up to 4 weeks, with costs based on raw materials purchased at the laboratory scale. We show that these conjugate vaccines generate bactericidal antibodies against enterotoxigenic Escherichia coli (ETEC) O78 O-polysaccharide, a pathogen responsible for diarrheal disease, in immunized mice. We anticipate that our low-cost, thermostable cell-free glycoprotein synthesis system will enable new models of medicine biosynthesis and distribution that bypass cold-chain requirements.","author":[{"dropping-particle":"","family":"Warfel","given":"Katherine F.","non-dropping-particle":"","parse-names":false,"suffix":""},{"dropping-particle":"","family":"Williams","given":"Asher","non-dropping-particle":"","parse-names":false,"suffix":""},{"dropping-particle":"","family":"Wong","given":"Derek A.","non-dropping-particle":"","parse-names":false,"suffix":""},{"dropping-particle":"","family":"Sobol","given":"Sarah E.","non-dropping-particle":"","parse-names":false,"suffix":""},{"dropping-particle":"","family":"Desai","given":"Primit","non-dropping-particle":"","parse-names":false,"suffix":""},{"dropping-particle":"","family":"Li","given":"Jie","non-dropping-particle":"","parse-names":false,"suffix":""},{"dropping-particle":"","family":"Chang","given":"Yung Fu","non-dropping-particle":"","parse-names":false,"suffix":""},{"dropping-particle":"","family":"DeLisa","given":"Matthew P.","non-dropping-particle":"","parse-names":false,"suffix":""},{"dropping-particle":"","family":"Karim","given":"Ashty S.","non-dropping-particle":"","parse-names":false,"suffix":""},{"dropping-particle":"","family":"Jewett","given":"Michael C.","non-dropping-particle":"","parse-names":false,"suffix":""}],"container-title":"ACS Synthetic Biology","id":"ITEM-1","issue":"1","issued":{"date-parts":[["2023","1","20"]]},"page":"95-107","publisher":"American Chemical Society","title":"A Low-Cost, Thermostable, Cell-Free Protein Synthesis Platform for On-Demand Production of Conjugate Vaccines","type":"article-journal","volume":"12"},"uris":["http://www.mendeley.com/documents/?uuid=4e331143-8ba2-3792-ac00-53523c1c2a82"]}],"mendeley":{"formattedCitation":"&lt;sup&gt;42&lt;/sup&gt;","plainTextFormattedCitation":"42","previouslyFormattedCitation":"&lt;sup&gt;42&lt;/sup&gt;"},"properties":{"noteIndex":0},"schema":"https://github.com/citation-style-language/schema/raw/master/csl-citation.json"}</w:instrText>
      </w:r>
      <w:r w:rsidR="00CD2257">
        <w:rPr>
          <w:rFonts w:eastAsia="Times New Roman" w:cs="Arial"/>
          <w:color w:val="000000"/>
          <w:szCs w:val="22"/>
        </w:rPr>
        <w:fldChar w:fldCharType="separate"/>
      </w:r>
      <w:r w:rsidR="00567FF4" w:rsidRPr="00567FF4">
        <w:rPr>
          <w:rFonts w:eastAsia="Times New Roman" w:cs="Arial"/>
          <w:noProof/>
          <w:color w:val="000000"/>
          <w:szCs w:val="22"/>
          <w:vertAlign w:val="superscript"/>
        </w:rPr>
        <w:t>42</w:t>
      </w:r>
      <w:r w:rsidR="00CD2257">
        <w:rPr>
          <w:rFonts w:eastAsia="Times New Roman" w:cs="Arial"/>
          <w:color w:val="000000"/>
          <w:szCs w:val="22"/>
        </w:rPr>
        <w:fldChar w:fldCharType="end"/>
      </w:r>
      <w:r w:rsidR="00465FCD">
        <w:rPr>
          <w:rFonts w:eastAsia="Times New Roman" w:cs="Arial"/>
          <w:color w:val="000000"/>
          <w:szCs w:val="22"/>
        </w:rPr>
        <w:t xml:space="preserve">. </w:t>
      </w:r>
      <w:r w:rsidR="00CD2257">
        <w:rPr>
          <w:rFonts w:eastAsia="Times New Roman" w:cs="Arial"/>
          <w:color w:val="000000"/>
          <w:szCs w:val="22"/>
        </w:rPr>
        <w:t xml:space="preserve">In addition, distributed manufacturing enables synthesis at the point-of-care, which is especially important during times of supply chain disruption (e.g., global pandemics). </w:t>
      </w:r>
      <w:r w:rsidR="00465FCD">
        <w:rPr>
          <w:rFonts w:eastAsia="Times New Roman" w:cs="Arial"/>
          <w:color w:val="000000"/>
          <w:szCs w:val="22"/>
        </w:rPr>
        <w:lastRenderedPageBreak/>
        <w:t>Lyophilized cell-free systems have</w:t>
      </w:r>
      <w:r w:rsidR="005E7A37">
        <w:rPr>
          <w:rFonts w:eastAsia="Times New Roman" w:cs="Arial"/>
          <w:color w:val="000000"/>
          <w:szCs w:val="22"/>
        </w:rPr>
        <w:t xml:space="preserve"> already been leveraged to demonstrate the</w:t>
      </w:r>
      <w:r w:rsidR="00CD2257">
        <w:rPr>
          <w:rFonts w:eastAsia="Times New Roman" w:cs="Arial"/>
          <w:color w:val="000000"/>
          <w:szCs w:val="22"/>
        </w:rPr>
        <w:t xml:space="preserve"> “just-add-water” production</w:t>
      </w:r>
      <w:r w:rsidR="005E7A37">
        <w:rPr>
          <w:rFonts w:eastAsia="Times New Roman" w:cs="Arial"/>
          <w:color w:val="000000"/>
          <w:szCs w:val="22"/>
        </w:rPr>
        <w:t xml:space="preserve"> of </w:t>
      </w:r>
      <w:r w:rsidR="00CD2257">
        <w:rPr>
          <w:rFonts w:eastAsia="Times New Roman" w:cs="Arial"/>
          <w:color w:val="000000"/>
          <w:szCs w:val="22"/>
        </w:rPr>
        <w:t>therapeutic proteins</w:t>
      </w:r>
      <w:r w:rsidR="00CD2257">
        <w:rPr>
          <w:rFonts w:eastAsia="Times New Roman" w:cs="Arial"/>
          <w:color w:val="000000"/>
          <w:szCs w:val="22"/>
        </w:rPr>
        <w:fldChar w:fldCharType="begin" w:fldLock="1"/>
      </w:r>
      <w:r w:rsidR="00567FF4">
        <w:rPr>
          <w:rFonts w:eastAsia="Times New Roman" w:cs="Arial"/>
          <w:color w:val="000000"/>
          <w:szCs w:val="22"/>
        </w:rPr>
        <w:instrText xml:space="preserve">ADDIN CSL_CITATION {"citationItems":[{"id":"ITEM-1","itemData":{"DOI":"10.1016/J.BEJ.2018.07.008","ISSN":"1369-703X","abstract":"Cell-free synthetic biology is an exciting and new branch in the field of synthetic biology. Based on in vitro transcription and translation systems, this application-focused domain builds on decades of cell-free biochemistry and protein expression to operate synthetic gene networks outside of cellular environments. This has brought new and perhaps even unexpected advantages. Chief among these is the ability to operate genetically encoded tools in a sterile and abiotic format. Recent work has extended this advantage by freeze-drying these cell-free systems into dried pellets or embedded paper-based reactions. Taken together, these new ideas have solved the longstanding challenge of how to deploy poised synthetic gene networks in a biosafe mode outside of the laboratory. There is significant excitement in the potential of this newfound venue and the community has begun to extend proof-of-concept demonstrations in important and creative ways. Here I explore these new efforts and provide my thoughts on the challenges and opportunities ahead for freeze-dried, cell-free synthetic biology.","author":[{"dropping-particle":"","family":"Pardee","given":"Keith","non-dropping-particle":"","parse-names":false,"suffix":""}],"container-title":"Biochemical Engineering Journal","id":"ITEM-1","issued":{"date-parts":[["2018","10","15"]]},"page":"91-97","publisher":"Elsevier","title":"Perspective: Solidifying the impact of cell-free synthetic biology through lyophilization","type":"article-journal","volume":"138"},"uris":["http://www.mendeley.com/documents/?uuid=69744710-ec4e-39b6-a2f1-ee7e9a2921ff"]},{"id":"ITEM-2","itemData":{"DOI":"10.1016/J.NBT.2019.07.004","ISSN":"1871-6784","PMID":"31349031","abstract":"Cell-free protein synthesis has emerged as a promising platform for the production of therapeutic proteins due to its inherently open reaction environment, flexible reaction conditions and rapid protein synthesis capabilities. In recent years, lyophilized cell-free systems have widened the application space of cell-free technology by improving reagent stability outside of cold-chain storage. Current embodiments of the system, however, demonstrate poor stability at elevated temperatures. Lyoprotectants have long been recognized for the ability to preserve the activity of biological molecules during drying processes, but the application of this technology to lyophilized cell-free systems has been limited and has failed to address the negative effects that such lyoprotectants may have on cell-free systems. Here, several lyoprotected, lyophilized cell-free protein synthesis systems are demonstrated using antiplasticized sugar glasses as lyoprotectants, showing significant improvement over standard lyophilized systems or trehalose-preserved systems. Furthermore, we demonstrate for the first time, preservation and therapeutic expression, specifically of FDA-approved crisantaspase, from a truly single-pot lyophilized, endotoxin-free, cell-free protein synthesis system, exemplifying the potential for on-site therapeutic synthesis.","author":[{"dropping-particle":"","family":"Wilding","given":"Kristen M.","non-dropping-particle":"","parse-names":false,"suffix":""},{"dropping-particle":"","family":"Zhao","given":"Emily Long","non-dropping-particle":"","parse-names":false,"suffix":""},{"dropping-particle":"","family":"Earl","given":"Conner C.","non-dropping-particle":"","parse-names":false,"suffix":""},{"dropping-particle":"","family":"Bundy","given":"Bradley C.","non-dropping-particle":"","parse-names":false,"suffix":""}],"container-title":"New Biotechnology","id":"ITEM-2","issued":{"date-parts":[["2019","11","25"]]},"page":"73-80","publisher":"Elsevier","title":"Thermostable lyoprotectant-enhanced cell-free protein synthesis for on-demand endotoxin-free therapeutic production","type":"article-journal","volume":"53"},"uris":["http://www.mendeley.com/documents/?uuid=273e0da3-7251-3eec-a70b-86c048b7eaa6"]},{"id":"ITEM-3","itemData":{"DOI":"10.1021/ACSSYNBIO.2C00392/ASSET/IMAGES/LARGE/SB2C00392_0006.JPEG","ISSN":"21615063","PMID":"36548479","abstract":"Cell-free protein synthesis systems that can be lyophilized for long-term, non-refrigerated storage and transportation have the potential to enable decentralized biomanufacturing. However, increased thermostability and decreased reaction cost are necessary for further technology adoption. Here, we identify maltodextrin as an additive to cell-free reactions that can act as both a lyoprotectant to increase thermostability and a low-cost energy substrate. As a model, we apply optimized formulations to produce conjugate vaccines for </w:instrText>
      </w:r>
      <w:r w:rsidR="00567FF4">
        <w:rPr>
          <w:rFonts w:ascii="Cambria Math" w:eastAsia="Times New Roman" w:hAnsi="Cambria Math" w:cs="Cambria Math"/>
          <w:color w:val="000000"/>
          <w:szCs w:val="22"/>
        </w:rPr>
        <w:instrText>∼</w:instrText>
      </w:r>
      <w:r w:rsidR="00567FF4">
        <w:rPr>
          <w:rFonts w:eastAsia="Times New Roman" w:cs="Arial"/>
          <w:color w:val="000000"/>
          <w:szCs w:val="22"/>
        </w:rPr>
        <w:instrText>$0.50 per dose after storage at room temperature (</w:instrText>
      </w:r>
      <w:r w:rsidR="00567FF4">
        <w:rPr>
          <w:rFonts w:ascii="Cambria Math" w:eastAsia="Times New Roman" w:hAnsi="Cambria Math" w:cs="Cambria Math"/>
          <w:color w:val="000000"/>
          <w:szCs w:val="22"/>
        </w:rPr>
        <w:instrText>∼</w:instrText>
      </w:r>
      <w:r w:rsidR="00567FF4">
        <w:rPr>
          <w:rFonts w:eastAsia="Times New Roman" w:cs="Arial"/>
          <w:color w:val="000000"/>
          <w:szCs w:val="22"/>
        </w:rPr>
        <w:instrText xml:space="preserve">22 °C) or 37 °C for up to 4 weeks, and </w:instrText>
      </w:r>
      <w:r w:rsidR="00567FF4">
        <w:rPr>
          <w:rFonts w:ascii="Cambria Math" w:eastAsia="Times New Roman" w:hAnsi="Cambria Math" w:cs="Cambria Math"/>
          <w:color w:val="000000"/>
          <w:szCs w:val="22"/>
        </w:rPr>
        <w:instrText>∼</w:instrText>
      </w:r>
      <w:r w:rsidR="00567FF4">
        <w:rPr>
          <w:rFonts w:eastAsia="Times New Roman" w:cs="Arial"/>
          <w:color w:val="000000"/>
          <w:szCs w:val="22"/>
        </w:rPr>
        <w:instrText>$1.00 per dose after storage at 50 °C for up to 4 weeks, with costs based on raw materials purchased at the laboratory scale. We show that these conjugate vaccines generate bactericidal antibodies against enterotoxigenic Escherichia coli (ETEC) O78 O-polysaccharide, a pathogen responsible for diarrheal disease, in immunized mice. We anticipate that our low-cost, thermostable cell-free glycoprotein synthesis system will enable new models of medicine biosynthesis and distribution that bypass cold-chain requirements.","author":[{"dropping-particle":"","family":"Warfel","given":"Katherine F.","non-dropping-particle":"","parse-names":false,"suffix":""},{"dropping-particle":"","family":"Williams","given":"Asher","non-dropping-particle":"","parse-names":false,"suffix":""},{"dropping-particle":"","family":"Wong","given":"Derek A.","non-dropping-particle":"","parse-names":false,"suffix":""},{"dropping-particle":"","family":"Sobol","given":"Sarah E.","non-dropping-particle":"","parse-names":false,"suffix":""},{"dropping-particle":"","family":"Desai","given":"Primit","non-dropping-particle":"","parse-names":false,"suffix":""},{"dropping-particle":"","family":"Li","given":"Jie","non-dropping-particle":"","parse-names":false,"suffix":""},{"dropping-particle":"","family":"Chang","given":"Yung Fu","non-dropping-particle":"","parse-names":false,"suffix":""},{"dropping-particle":"","family":"DeLisa","given":"Matthew P.","non-dropping-particle":"","parse-names":false,"suffix":""},{"dropping-particle":"","family":"Karim","given":"Ashty S.","non-dropping-particle":"","parse-names":false,"suffix":""},{"dropping-particle":"","family":"Jewett","given":"Michael C.","non-dropping-particle":"","parse-names":false,"suffix":""}],"container-title":"ACS Synthetic Biology","id":"ITEM-3","issue":"1","issued":{"date-parts":[["2023","1","20"]]},"page":"95-107","publisher":"American Chemical Society","title":"A Low-Cost, Thermostable, Cell-Free Protein Synthesis Platform for On-Demand Production of Conjugate Vaccines","type":"article-journal","volume":"12"},"uris":["http://www.mendeley.com/documents/?uuid=4e331143-8ba2-3792-ac00-53523c1c2a82"]}],"mendeley":{"formattedCitation":"&lt;sup&gt;41–43&lt;/sup&gt;","plainTextFormattedCitation":"41–43","previouslyFormattedCitation":"&lt;sup&gt;41–43&lt;/sup&gt;"},"properties":{"noteIndex":0},"schema":"https://github.com/citation-style-language/schema/raw/master/csl-citation.json"}</w:instrText>
      </w:r>
      <w:r w:rsidR="00CD2257">
        <w:rPr>
          <w:rFonts w:eastAsia="Times New Roman" w:cs="Arial"/>
          <w:color w:val="000000"/>
          <w:szCs w:val="22"/>
        </w:rPr>
        <w:fldChar w:fldCharType="separate"/>
      </w:r>
      <w:r w:rsidR="00567FF4" w:rsidRPr="00567FF4">
        <w:rPr>
          <w:rFonts w:eastAsia="Times New Roman" w:cs="Arial"/>
          <w:noProof/>
          <w:color w:val="000000"/>
          <w:szCs w:val="22"/>
          <w:vertAlign w:val="superscript"/>
        </w:rPr>
        <w:t>41–43</w:t>
      </w:r>
      <w:r w:rsidR="00CD2257">
        <w:rPr>
          <w:rFonts w:eastAsia="Times New Roman" w:cs="Arial"/>
          <w:color w:val="000000"/>
          <w:szCs w:val="22"/>
        </w:rPr>
        <w:fldChar w:fldCharType="end"/>
      </w:r>
      <w:r w:rsidR="00CD2257">
        <w:rPr>
          <w:rFonts w:eastAsia="Times New Roman" w:cs="Arial"/>
          <w:color w:val="000000"/>
          <w:szCs w:val="22"/>
        </w:rPr>
        <w:t>.</w:t>
      </w:r>
      <w:r w:rsidR="00C13C9C">
        <w:rPr>
          <w:rFonts w:eastAsia="Times New Roman" w:cs="Arial"/>
          <w:color w:val="000000"/>
          <w:szCs w:val="22"/>
        </w:rPr>
        <w:t xml:space="preserve"> Engineering cell-free systems with sophisticated </w:t>
      </w:r>
      <w:r w:rsidR="00CD2257">
        <w:rPr>
          <w:rFonts w:eastAsia="Times New Roman" w:cs="Arial"/>
          <w:color w:val="000000"/>
          <w:szCs w:val="22"/>
        </w:rPr>
        <w:t>bioconversion</w:t>
      </w:r>
      <w:r w:rsidR="00C13C9C">
        <w:rPr>
          <w:rFonts w:eastAsia="Times New Roman" w:cs="Arial"/>
          <w:color w:val="000000"/>
          <w:szCs w:val="22"/>
        </w:rPr>
        <w:t xml:space="preserve"> pathways can enable </w:t>
      </w:r>
      <w:r w:rsidR="00CD2257">
        <w:rPr>
          <w:rFonts w:eastAsia="Times New Roman" w:cs="Arial"/>
          <w:color w:val="000000"/>
          <w:szCs w:val="22"/>
        </w:rPr>
        <w:t xml:space="preserve">the </w:t>
      </w:r>
      <w:r w:rsidR="00C13C9C">
        <w:rPr>
          <w:rFonts w:eastAsia="Times New Roman" w:cs="Arial"/>
          <w:color w:val="000000"/>
          <w:szCs w:val="22"/>
        </w:rPr>
        <w:t>cheap, d</w:t>
      </w:r>
      <w:r w:rsidR="00465FCD">
        <w:rPr>
          <w:rFonts w:eastAsia="Times New Roman" w:cs="Arial"/>
          <w:color w:val="000000"/>
          <w:szCs w:val="22"/>
        </w:rPr>
        <w:t>ecentralized</w:t>
      </w:r>
      <w:r w:rsidR="00C13C9C">
        <w:rPr>
          <w:rFonts w:eastAsia="Times New Roman" w:cs="Arial"/>
          <w:color w:val="000000"/>
          <w:szCs w:val="22"/>
        </w:rPr>
        <w:t xml:space="preserve"> </w:t>
      </w:r>
      <w:r w:rsidR="00CD2257">
        <w:rPr>
          <w:rFonts w:eastAsia="Times New Roman" w:cs="Arial"/>
          <w:color w:val="000000"/>
          <w:szCs w:val="22"/>
        </w:rPr>
        <w:t>production</w:t>
      </w:r>
      <w:r w:rsidR="00C13C9C">
        <w:rPr>
          <w:rFonts w:eastAsia="Times New Roman" w:cs="Arial"/>
          <w:color w:val="000000"/>
          <w:szCs w:val="22"/>
        </w:rPr>
        <w:t xml:space="preserve"> </w:t>
      </w:r>
      <w:r w:rsidR="00CD2257">
        <w:rPr>
          <w:rFonts w:eastAsia="Times New Roman" w:cs="Arial"/>
          <w:color w:val="000000"/>
          <w:szCs w:val="22"/>
        </w:rPr>
        <w:t>of valuable small molecules from cheap feedstocks like glucose in the future</w:t>
      </w:r>
      <w:r w:rsidR="00CD2257">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{"citationItems":[{"id":"ITEM-1","itemData":{"DOI":"10.1016/J.COCHE.2018.10.003","ISSN":"2211-3398","abstract":"Since its early development and use to decipher the genetic code, in vitro or ‘cell-free’ systems have been used as an important research tool to understand biochemical mechanisms and metabolic pathways. More recently, due to important engineering advances the technology is rapidly becoming a biomanufacturing platform for protein therapeutics, vaccines, enzyme biocatalysts, fuels, and commodity chemicals. Here we report recent applications and advances in the cell-free biomanufacturing field and the potential of this emerging approach.","author":[{"dropping-particle":"","family":"Bundy","given":"Bradley C.","non-dropping-particle":"","parse-names":false,"suffix":""},{"dropping-particle":"","family":"Hunt","given":"J. Porter","non-dropping-particle":"","parse-names":false,"suffix":""},{"dropping-particle":"","family":"Jewett","given":"Michael C.","non-dropping-particle":"","parse-names":false,"suffix":""},{"dropping-particle":"","family":"Swartz","given":"James R.","non-dropping-particle":"","parse-names":false,"suffix":""},{"dropping-particle":"","family":"Wood","given":"David W.","non-dropping-particle":"","parse-names":false,"suffix":""},{"dropping-particle":"","family":"Frey","given":"Douglas D.","non-dropping-particle":"","parse-names":false,"suffix":""},{"dropping-particle":"","family":"Rao","given":"Govind","non-dropping-particle":"","parse-names":false,"suffix":""}],"container-title":"Current Opinion in Chemical Engineering","id":"ITEM-1","issued":{"date-parts":[["2018","12","1"]]},"page":"177-183","publisher":"Elsevier","title":"Cell-free biomanufacturing","type":"article-journal","volume":"22"},"uris":["http://www.mendeley.com/documents/?uuid=229426fc-9381-323a-9916-50d7b1e1c700"]}],"mendeley":{"formattedCitation":"&lt;sup&gt;44&lt;/sup&gt;","plainTextFormattedCitation":"44","previouslyFormattedCitation":"&lt;sup&gt;44&lt;/sup&gt;"},"properties":{"noteIndex":0},"schema":"https://github.com/citation-style-language/schema/raw/master/csl-citation.json"}</w:instrText>
      </w:r>
      <w:r w:rsidR="00CD2257">
        <w:rPr>
          <w:rFonts w:eastAsia="Times New Roman" w:cs="Arial"/>
          <w:color w:val="000000"/>
          <w:szCs w:val="22"/>
        </w:rPr>
        <w:fldChar w:fldCharType="separate"/>
      </w:r>
      <w:r w:rsidR="00567FF4" w:rsidRPr="00567FF4">
        <w:rPr>
          <w:rFonts w:eastAsia="Times New Roman" w:cs="Arial"/>
          <w:noProof/>
          <w:color w:val="000000"/>
          <w:szCs w:val="22"/>
          <w:vertAlign w:val="superscript"/>
        </w:rPr>
        <w:t>44</w:t>
      </w:r>
      <w:r w:rsidR="00CD2257">
        <w:rPr>
          <w:rFonts w:eastAsia="Times New Roman" w:cs="Arial"/>
          <w:color w:val="000000"/>
          <w:szCs w:val="22"/>
        </w:rPr>
        <w:fldChar w:fldCharType="end"/>
      </w:r>
      <w:r w:rsidR="00CD2257">
        <w:rPr>
          <w:rFonts w:eastAsia="Times New Roman" w:cs="Arial"/>
          <w:color w:val="000000"/>
          <w:szCs w:val="22"/>
        </w:rPr>
        <w:t xml:space="preserve">. </w:t>
      </w:r>
    </w:p>
    <w:p w14:paraId="17F57E59" w14:textId="77777777" w:rsidR="00C71775" w:rsidRPr="00D30492" w:rsidRDefault="00C71775" w:rsidP="00D30492">
      <w:pPr>
        <w:ind w:firstLine="720"/>
        <w:contextualSpacing/>
        <w:rPr>
          <w:rFonts w:eastAsia="Times New Roman" w:cs="Arial"/>
          <w:szCs w:val="22"/>
        </w:rPr>
      </w:pPr>
    </w:p>
    <w:p w14:paraId="04D42261" w14:textId="30D48E47" w:rsidR="00E43B04" w:rsidRPr="00CD2257" w:rsidRDefault="00935195" w:rsidP="00786690">
      <w:pPr>
        <w:pStyle w:val="ChapterHeading"/>
        <w:rPr>
          <w:sz w:val="22"/>
          <w:szCs w:val="22"/>
        </w:rPr>
      </w:pPr>
      <w:bookmarkStart w:id="3" w:name="_Toc129700997"/>
      <w:r>
        <w:t>1.3</w:t>
      </w:r>
      <w:r w:rsidR="008E289D">
        <w:t>.</w:t>
      </w:r>
      <w:r>
        <w:t xml:space="preserve"> </w:t>
      </w:r>
      <w:r w:rsidR="00CA6C8D">
        <w:t xml:space="preserve">Efficient Tools for </w:t>
      </w:r>
      <w:r w:rsidR="006B1192">
        <w:t xml:space="preserve">Engineering </w:t>
      </w:r>
      <w:r w:rsidR="00CA6C8D">
        <w:t xml:space="preserve">Efficient </w:t>
      </w:r>
      <w:r w:rsidR="00E43B04" w:rsidRPr="00E43B04">
        <w:t>Lysate-based</w:t>
      </w:r>
      <w:r w:rsidR="00E033D4">
        <w:t xml:space="preserve"> </w:t>
      </w:r>
      <w:r w:rsidR="00E43B04" w:rsidRPr="00E43B04">
        <w:t>Biomanufacturing</w:t>
      </w:r>
      <w:r w:rsidR="006B1192">
        <w:t xml:space="preserve"> Platforms</w:t>
      </w:r>
      <w:bookmarkEnd w:id="3"/>
    </w:p>
    <w:p w14:paraId="46C5A352" w14:textId="7EB4F5FF" w:rsidR="00E43B04" w:rsidRPr="00E43B04" w:rsidRDefault="00E43B04" w:rsidP="0008141D">
      <w:pPr>
        <w:ind w:firstLine="720"/>
        <w:contextualSpacing/>
        <w:rPr>
          <w:rFonts w:eastAsia="Times New Roman" w:cs="Arial"/>
          <w:color w:val="000000"/>
          <w:szCs w:val="22"/>
        </w:rPr>
      </w:pPr>
      <w:r w:rsidRPr="00E43B04">
        <w:rPr>
          <w:rFonts w:eastAsia="Times New Roman" w:cs="Arial"/>
          <w:color w:val="000000"/>
          <w:szCs w:val="22"/>
        </w:rPr>
        <w:t>Between the two types of cell-free systems, lysates are better positioned to be next-generation platforms for converting low-cost feedstocks to high-value chemicals</w:t>
      </w:r>
      <w:r w:rsidR="00A7593C" w:rsidRPr="00A71FCF">
        <w:rPr>
          <w:rFonts w:eastAsia="Times New Roman" w:cs="Arial"/>
          <w:color w:val="000000"/>
          <w:szCs w:val="22"/>
        </w:rPr>
        <w:fldChar w:fldCharType="begin" w:fldLock="1"/>
      </w:r>
      <w:r w:rsidR="00A7593C" w:rsidRPr="00A71FCF">
        <w:rPr>
          <w:rFonts w:eastAsia="Times New Roman" w:cs="Arial"/>
          <w:color w:val="000000"/>
          <w:szCs w:val="22"/>
        </w:rPr>
        <w:instrText>ADDIN CSL_CITATION {"citationItems":[{"id":"ITEM-1","itemData":{"DOI":"10.1016/J.COPBIO.2020.12.012","ISSN":"0958-1669","PMID":"33453438","abstract":"Industrial biotechnology is an attractive approach to address the need for low-cost fuels and products from sustainable resources. Unfortunately, cells impose inherent limitations on the effective synthesis and release of target products. One key constraint is that cellular survival objectives often work against the production objectives of biochemical engineers. Additionally, industrial strains release CO2 and struggle to utilize sustainable, potentially profitable feedstocks. Cell-free biotechnology, which uses biological machinery harvested from cells, can address these challenges with advantages including: (i) shorter development times, (ii) higher volumetric production rates, and (iii) tolerance to otherwise toxic molecules. In this review, we highlight recent advances in cell-free technologies toward the production of non-protein products beyond lab-scale demonstrations and describe guiding principles for designing cell-free systems. Specifically, we discuss carbon and energy sources, reaction homeostasis, and scale-up. Expanding the scope of cell-free biomanufacturing practice could enable innovative approaches for the industrial production of green chemicals.","author":[{"dropping-particle":"","family":"Rasor","given":"Blake J.","non-dropping-particle":"","parse-names":false,"suffix":""},{"dropping-particle":"","family":"Vögeli","given":"Bastian","non-dropping-particle":"","parse-names":false,"suffix":""},{"dropping-particle":"","family":"Landwehr","given":"Grant M.","non-dropping-particle":"","parse-names":false,"suffix":""},{"dropping-particle":"","family":"Bogart","given":"Jonathan W.","non-dropping-particle":"","parse-names":false,"suffix":""},{"dropping-particle":"","family":"Karim","given":"Ashty S.","non-dropping-particle":"","parse-names":false,"suffix":""},{"dropping-particle":"","family":"Jewett","given":"Michael C.","non-dropping-particle":"","parse-names":false,"suffix":""}],"container-title":"Current Opinion in Biotechnology","id":"ITEM-1","issued":{"date-parts":[["2021","6","1"]]},"page":"136-144","publisher":"Elsevier Current Trends","title":"Toward sustainable, cell-free biomanufacturing","type":"article-journal","volume":"69"},"uris":["http://www.mendeley.com/documents/?uuid=7f479995-6171-3f2e-bb99-2b784934562a"]}],"mendeley":{"formattedCitation":"&lt;sup&gt;11&lt;/sup&gt;","plainTextFormattedCitation":"11","previouslyFormattedCitation":"&lt;sup&gt;11&lt;/sup&gt;"},"properties":{"noteIndex":0},"schema":"https://github.com/citation-style-language/schema/raw/master/csl-citation.json"}</w:instrText>
      </w:r>
      <w:r w:rsidR="00A7593C" w:rsidRPr="00A71FCF">
        <w:rPr>
          <w:rFonts w:eastAsia="Times New Roman" w:cs="Arial"/>
          <w:color w:val="000000"/>
          <w:szCs w:val="22"/>
        </w:rPr>
        <w:fldChar w:fldCharType="separate"/>
      </w:r>
      <w:r w:rsidR="00A7593C" w:rsidRPr="00A71FCF">
        <w:rPr>
          <w:rFonts w:eastAsia="Times New Roman" w:cs="Arial"/>
          <w:noProof/>
          <w:color w:val="000000"/>
          <w:szCs w:val="22"/>
          <w:vertAlign w:val="superscript"/>
        </w:rPr>
        <w:t>11</w:t>
      </w:r>
      <w:r w:rsidR="00A7593C" w:rsidRPr="00A71FCF">
        <w:rPr>
          <w:rFonts w:eastAsia="Times New Roman" w:cs="Arial"/>
          <w:color w:val="000000"/>
          <w:szCs w:val="22"/>
        </w:rPr>
        <w:fldChar w:fldCharType="end"/>
      </w:r>
      <w:r w:rsidRPr="00E43B04">
        <w:rPr>
          <w:rFonts w:eastAsia="Times New Roman" w:cs="Arial"/>
          <w:color w:val="000000"/>
          <w:szCs w:val="22"/>
        </w:rPr>
        <w:t>. Reconstituted enzyme systems suffer from cost-prohibitory enzyme purification and typically low cofactor turnover, which limit their scalability</w:t>
      </w:r>
      <w:r w:rsidR="00A7593C"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Biotechnology","id":"ITEM-1","issued":{"date-parts":[["2020","1","23"]]},"publisher":"Elsevier Ltd","title":"Synthetic Biochemistry: The Bio-inspired Cell-Free Approach to Commodity Chemical Production","type":"article"},"uris":["http://www.mendeley.com/documents/?uuid=2e6836a8-603b-33f3-ac63-5bc4a65d2485"]},{"id":"ITEM-2","itemData":{"DOI":"10.1016/J.MEC.2019.E00114","ISSN":"2214-0301","abstract":"The need for sustainable, low-cost production of bioenergy and commodity chemicals is increasing. Unfortunately, the engineering potential of whole-cell catalysts to address this need can be hampered by cellular toxicity. When such bottlenecks limit the commercial feasibility of whole-cell fermentation, cell-free, or in vitro, based approaches may offer an alternative. Here, we assess the impact of three classes of growth toxic compounds on crude extract-based, cell-free chemical conversions. As a model system, we test a metabolic pathway for conversion of glucose to 2,3-butanediol (2,3-BDO) in lysates of Escherichia coli. First, we characterized 2,3-BDO production with different classes of antibiotics and found, as expected, that the system is uninhibited by compounds that prevent cell growth by means of cell wall replication and DNA, RNA, and protein synthesis. Second, we considered the impact of polar solvent addition (e.g., methanol, n-butanol). We observed that volumetric productivities (g/L/h) were slowed with increasing hydrophobicity of added alcohols. Finally, we investigated the effects of using pretreated biomass hydrolysate as a feed stock, observing a 25% reduction in 2,3-BDO production as a result of coumaroyl and feruloyl amides. Overall, we find the cell-free system to be robust to working concentrations of antibiotics and other compounds that are toxic to cell growth, but do not denature or inhibit relevant enzymes.","author":[{"dropping-particle":"","family":"Kay","given":"Jennifer E.","non-dropping-particle":"","parse-names":false,"suffix":""},{"dropping-particle":"","family":"Jewett","given":"Michael C.","non-dropping-particle":"","parse-names":false,"suffix":""}],"container-title":"Metabolic Engineering Communications","id":"ITEM-2","issued":{"date-parts":[["2020","6","1"]]},"page":"e00114","publisher":"Elsevier","title":"A cell-free system for production of 2,3-butanediol is robust to growth-toxic compounds","type":"article-journal","volume":"10"},"uris":["http://www.mendeley.com/documents/?uuid=0beb1aa5-f408-3127-8285-4cde5ace22d4"]},{"id":"ITEM-3","itemData":{"DOI":"10.1016/J.COPBIO.2020.12.012","ISSN":"0958-1669","PMID":"33453438","abstract":"Industrial biotechnology is an attractive approach to address the need for low-cost fuels and products from sustainable resources. Unfortunately, cells impose inherent limitations on the effective synthesis and release of target products. One key constraint is that cellular survival objectives often work against the production objectives of biochemical engineers. Additionally, industrial strains release CO2 and struggle to utilize sustainable, potentially profitable feedstocks. Cell-free biotechnology, which uses biological machinery harvested from cells, can address these challenges with advantages including: (i) shorter development times, (ii) higher volumetric production rates, and (iii) tolerance to otherwise toxic molecules. In this review, we highlight recent advances in cell-free technologies toward the production of non-protein products beyond lab-scale demonstrations and describe guiding principles for designing cell-free systems. Specifically, we discuss carbon and energy sources, reaction homeostasis, and scale-up. Expanding the scope of cell-free biomanufacturing practice could enable innovative approaches for the industrial production of green chemicals.","author":[{"dropping-particle":"","family":"Rasor","given":"Blake J.","non-dropping-particle":"","parse-names":false,"suffix":""},{"dropping-particle":"","family":"Vögeli","given":"Bastian","non-dropping-particle":"","parse-names":false,"suffix":""},{"dropping-particle":"","family":"Landwehr","given":"Grant M.","non-dropping-particle":"","parse-names":false,"suffix":""},{"dropping-particle":"","family":"Bogart","given":"Jonathan W.","non-dropping-particle":"","parse-names":false,"suffix":""},{"dropping-particle":"","family":"Karim","given":"Ashty S.","non-dropping-particle":"","parse-names":false,"suffix":""},{"dropping-particle":"","family":"Jewett","given":"Michael C.","non-dropping-particle":"","parse-names":false,"suffix":""}],"container-title":"Current Opinion in Biotechnology","id":"ITEM-3","issued":{"date-parts":[["2021","6","1"]]},"page":"136-144","publisher":"Elsevier Current Trends","title":"Toward sustainable, cell-free biomanufacturing","type":"article-journal","volume":"69"},"uris":["http://www.mendeley.com/documents/?uuid=7f479995-6171-3f2e-bb99-2b784934562a"]}],"mendeley":{"formattedCitation":"&lt;sup&gt;11,20,45&lt;/sup&gt;","plainTextFormattedCitation":"11,20,45","previouslyFormattedCitation":"&lt;sup&gt;11,20,45&lt;/sup&gt;"},"properties":{"noteIndex":0},"schema":"https://github.com/citation-style-language/schema/raw/master/csl-citation.json"}</w:instrText>
      </w:r>
      <w:r w:rsidR="00A7593C"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11,20,45</w:t>
      </w:r>
      <w:r w:rsidR="00A7593C" w:rsidRPr="00A71FCF">
        <w:rPr>
          <w:rFonts w:eastAsia="Times New Roman" w:cs="Arial"/>
          <w:color w:val="000000"/>
          <w:szCs w:val="22"/>
        </w:rPr>
        <w:fldChar w:fldCharType="end"/>
      </w:r>
      <w:r w:rsidR="00A7593C" w:rsidRPr="00A71FCF">
        <w:rPr>
          <w:rFonts w:eastAsia="Times New Roman" w:cs="Arial"/>
          <w:color w:val="000000"/>
          <w:szCs w:val="22"/>
        </w:rPr>
        <w:t xml:space="preserve">. </w:t>
      </w:r>
      <w:r w:rsidRPr="00E43B04">
        <w:rPr>
          <w:rFonts w:eastAsia="Times New Roman" w:cs="Arial"/>
          <w:color w:val="000000"/>
          <w:szCs w:val="22"/>
        </w:rPr>
        <w:t>Generating application-specific reconstituted systems with all the necessary metabolic modules is thus unlikely to be practical for commercial-scale production. In contrast, crude cell extracts are easy to prepare and already possess active central metabolic pathways, including cofactor regenerating reactions</w:t>
      </w:r>
      <w:r w:rsidR="0012722A"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Engineering","id":"ITEM-1","issued":{"date-parts":[["2015"]]},"page":"133-142","title":"Lysate of engineered Escherichia coli supports high-level conversion of glucose to 2,3-butanediol","type":"article-journal","volume":"32"},"uris":["http://www.mendeley.com/documents/?uuid=cb5185b2-2e9e-42b5-808e-ce918d13a7be"]},{"id":"ITEM-2","itemData":{"DOI":"10.1002/bit.22666","ISSN":"00063592","PMID":"20091765","abstract":"The orchestration of a multitude of enzyme catalysts allows cells to carry out complex and thermodynamically unfavorable chemical conversions. In an effort to recruit these advantages for in vitro biotransformations, we have assembled a 10-step catalytic system - a system of biotransformations (SBT) - for the synthesis of unnatural monosaccharides based on the versatile building block dihydroxyacetone phosphate (DHAP). To facilitate the assembly of such a network, we have insulated a production pathway from Escherichia coli's central carbon metabolism. This pathway consists of the endogenous glycolysis without triose-phosphate isomerase to enable accumulation of DHAP and was completed with lactate dehydrogenase to regenerate NAD+. It could be readily extended for the synthesis of unnatural sugar molecules, such as the unnatural monosaccharide phosphate 5,6,7-trideoxy-D-threoheptulose-1-phosphate from DHAP and butanal. Insulation required in particular inactivation of the amn gene encoding the AMP nucleosidase, which otherwise led to glucoseindependent DHAP production from adenosine phosphates. The work demonstrates that a sufficiently insulated in vitro multi-step enzymatic system can be readily assembled from central carbon metabolism pathways. © 2010 Wiley Periodicals, Inc.","author":[{"dropping-particle":"","family":"Bujara","given":"Matthias","non-dropping-particle":"","parse-names":false,"suffix":""},{"dropping-particle":"","family":"Schümperli","given":"Michael","non-dropping-particle":"","parse-names":false,"suffix":""},{"dropping-particle":"","family":"Billerbeck","given":"Sonja","non-dropping-particle":"","parse-names":false,"suffix":""},{"dropping-particle":"","family":"Heinemann","given":"Matthias","non-dropping-particle":"","parse-names":false,"suffix":""},{"dropping-particle":"","family":"Panke","given":"Sven","non-dropping-particle":"","parse-names":false,"suffix":""}],"container-title":"Biotechnology and Bioengineering","id":"ITEM-2","issue":"3","issued":{"date-parts":[["2010","6","15"]]},"page":"376-389","publisher":"Biotechnol Bioeng","title":"Exploiting cell-free systems: Implementation and debugging of a system of biotransformations","type":"article-journal","volume":"106"},"uris":["http://www.mendeley.com/documents/?uuid=dcf05f7d-a050-3deb-b73b-d5fe4b460eed"]}],"mendeley":{"formattedCitation":"&lt;sup&gt;46,47&lt;/sup&gt;","plainTextFormattedCitation":"46,47","previouslyFormattedCitation":"&lt;sup&gt;46,47&lt;/sup&gt;"},"properties":{"noteIndex":0},"schema":"https://github.com/citation-style-language/schema/raw/master/csl-citation.json"}</w:instrText>
      </w:r>
      <w:r w:rsidR="0012722A"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46,47</w:t>
      </w:r>
      <w:r w:rsidR="0012722A" w:rsidRPr="00A71FCF">
        <w:rPr>
          <w:rFonts w:eastAsia="Times New Roman" w:cs="Arial"/>
          <w:color w:val="000000"/>
          <w:szCs w:val="22"/>
        </w:rPr>
        <w:fldChar w:fldCharType="end"/>
      </w:r>
      <w:r w:rsidRPr="00E43B04">
        <w:rPr>
          <w:rFonts w:eastAsia="Times New Roman" w:cs="Arial"/>
          <w:color w:val="000000"/>
          <w:szCs w:val="22"/>
        </w:rPr>
        <w:t>. Lysates can thus convert readily available substrates like glucose into valuable native metabolites, such as the pyruvate and acetyl-CoA precursors of central metabolism</w:t>
      </w:r>
      <w:r w:rsidR="0012722A"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{"citationItems":[{"id":"ITEM-1","itemData":{"DOI":"10.3389/fenrg.2020.00072","ISSN":"2296-598X","abstract":"The cellulolytic bacterium Clostridium thermocellum is a promising candidate for lignocellulosic biofuel production; however, ethanol titer needs to be improved for commercialization. To understand the factors limiting ethanol titer in C. thermocellum, we developed a cell-free extract reaction (CFER) system. We demonstrated that 15 mM cellobiose could be converted, in vitro, to 25 mM ethanol and that this reaction functions both at thermophilic (55°C) and mesophilic (37°C) temperatures. Although the yield was similar to that produced by whole cells, the rate was much slower (~0.5 vs. 12 mM/h). In order to reliably quantify metabolites, rapid CFER quenching is necessary. Among the methods tested, filtration with a 3-kDa molecular weight cutoff filter proved to be the most effective. Metabolomic analysis revealed high levels of glucose-6-phosphate (G6P) and fructose-6-phosphate (F6P) in the CFER, identifying potential rate-limiting enzymes downstream of F6P. NADH was also found to accumulate in the CFER, suggesting that NADH recycling is rate-limiting. We used two complementary strategies to identify enzymes that limit metabolic flux, including feeding different substrates and supplementing with exogenous enzymes. In the enzyme addition experiment, the largest improvement was observed with the addition of yeast alcohol dehydrogenase (ADH), indicating a limitation at that reaction. The development of a CFER system for C. thermocellum, combined with detailed measurements of intermediate metabolites, allowed us to directly observe the metabolism of this organism, and suggested several potential metabolic engineering interventions for increasing ethanol titer. This demonstrates a technique that may be of general use for metabolic engineering in non-model organisms.","author":[{"dropping-particle":"","family":"Cui","given":"Jingxuan","non-dropping-particle":"","parse-names":false,"suffix":""},{"dropping-particle":"","family":"Stevenson","given":"David","non-dropping-particle":"","parse-names":false,"suffix":""},{"dropping-particle":"","family":"Korosh","given":"Travis","non-dropping-particle":"","parse-names":false,"suffix":""},{"dropping-particle":"","family":"Amador-Noguez","given":"Daniel","non-dropping-particle":"","parse-names":false,"suffix":""},{"dropping-particle":"","family":"Olson","given":"Daniel G.","non-dropping-particle":"","parse-names":false,"suffix":""},{"dropping-particle":"","family":"Lynd","given":"Lee R.","non-dropping-particle":"","parse-names":false,"suffix":""}],"container-title":"Frontiers in Energy Research","id":"ITEM-1","issued":{"date-parts":[["2020","6","4"]]},"page":"72","publisher":"Frontiers Media S.A.","title":"Developing a Cell-Free Extract Reaction (CFER) System in Clostridium thermocellum to Identify Metabolic Limitations to Ethanol Production","type":"article-journal","volume":"8"},"uris":["http://www.mendeley.com/documents/?uuid=fcd3200d-59e5-3e1d-8f91-be31a9007467"]},{"id":"ITEM-2","itemData":{"DOI":"10.1126/sciadv.aaw9180","ISSN":"23752548","PMID":"31183410","abstract":"Metabolic engineering uses enzymes to produce small molecules with industrial, pharmaceutical, and energy applications. However, efforts to optimize enzymatic pathways for commercial production are limited by the throughput of assays for quantifying metabolic intermediates and end products. We developed a multiplexed method for profiling CoA-dependent pathways that uses a cysteine-terminated peptide to covalently capture CoA-bound metabolites. Captured metabolites are then rapidly separated from the complex mixture by immobilization onto arrays of self-assembled monolayers and directly quantified by SAMDI mass spectrometry. We demonstrate the throughput of the assay by characterizing the cell-free synthesis of HMG-CoA, a key intermediate in the biosynthesis of isoprenoids, collecting over 10,000 individual spectra to map more than 800 unique reaction conditions. We anticipate that our rapid and robust analytical method will accelerate efforts to engineer metabolic pathways.","author":[{"dropping-particle":"","family":"O’Kane","given":"Patrick T.","non-dropping-particle":"","parse-names":false,"suffix":""},{"dropping-particle":"","family":"Dudley","given":"Quentin M.","non-dropping-particle":"","parse-names":false,"suffix":""},{"dropping-particle":"","family":"McMillan","given":"Aislinn K.","non-dropping-particle":"","parse-names":false,"suffix":""},{"dropping-particle":"","family":"Jewett","given":"Michael C.","non-dropping-particle":"","parse-names":false,"suffix":""},{"dropping-particle":"","family":"Mrksich","given":"Milan","non-dropping-particle":"","parse-names":false,"suffix":""}],"container-title":"Science Advances","id":"ITEM-2","issue":"6","issued":{"date-parts":[["2019","6","5"]]},"page":"eaaw9180","publisher":"American Association for the Advancement of Science","title":"High-throughput mapping of CoA metabolites by SAMDI-MS to optimize the cell-free biosynthesis of HMG-CoA","type":"article-journal","volume":"5"},"uris":["http://www.mendeley.com/documents/?uuid=951da1ce-eaa8-3f39-be09-ce82c5d301fd"]},{"id":"ITEM-3","itemData":{"DOI":"10.1016/j.ymben.2015.09.015","ISSN":"10967184","PMID":"26428449","abstract":"Cell-free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Engineering","id":"ITEM-3","issued":{"date-parts":[["2015"]]},"page":"133-142","title":"Lysate of engineered Escherichia coli supports high-level conversion of glucose to 2,3-butanediol","type":"article-journal","volume":"32"},"uris":["http://www.mendeley.com/documents/?uuid=cb5185b2-2e9e-42b5-808e-ce918d13a7be"]},{"id":"ITEM-4","itemData":{"DOI":"10.1021/ACSSYNBIO.1C00252/ASSET/IMAGES/LARGE/SB1C00252_0002.JPEG","ISSN":"21615063","PMID":"34529398","abstract":"The modification of intracellular metabolic pathways by metabolic engineering has generated many engineered strains with relatively high yields of various target products in the past few decades. However, the unpredictable accumulation of toxic products, the cell membrane barrier, and competition between the carbon flux of cell growth and product synthesis have severely retarded progress toward the industrial-scale production of many essential chemicals. On the basis of an in-depth understanding of intracellular metabolic pathways, scientists intend to explore more sustainable methods and construct a cell-free biosynthesis system in vitro. In this review, the synthesis and application of pyruvate as a platform compound is used as an example to introduce cell-free biosynthesis systems. We systematically summarize a proposed methodology workflow of cell-free biosynthesis systems, including pathway design, enzyme mining, enzyme modification, multienzyme assembly, and pathway optimization. Some new methods, such as machine learning, are also mentioned in this review.","author":[{"dropping-particle":"","family":"Tang","given":"Shiming","non-dropping-particle":"","parse-names":false,"suffix":""},{"dropping-particle":"","family":"Liao","given":"Daocheng","non-dropping-particle":"","parse-names":false,"suffix":""},{"dropping-particle":"","family":"Li","given":"Xuewen","non-dropping-particle":"","parse-names":false,"suffix":""},{"dropping-particle":"","family":"Lin","given":"Ying","non-dropping-particle":"","parse-names":false,"suffix":""},{"dropping-particle":"","family":"Han","given":"Shuangyan","non-dropping-particle":"","parse-names":false,"suffix":""},{"dropping-particle":"","family":"Zheng","given":"Suiping","non-dropping-particle":"","parse-names":false,"suffix":""}],"container-title":"ACS Synthetic Biology","id":"ITEM-4","issue":"10","issued":{"date-parts":[["2021","10","15"]]},"page":"2417-2433","publisher":"American Chemical Society","title":"Cell-Free Biosynthesis System: Methodology and Perspective of in Vitro Efficient Platform for Pyruvate Biosynthesis and Transformation","type":"article-journal","volume":"10"},"uris":["http://www.mendeley.com/documents/?uuid=0958d9be-8d67-3d53-8732-08e8f1feca4c"]}],"mendeley":{"formattedCitation":"&lt;sup&gt;46,48–50&lt;/sup&gt;","plainTextFormattedCitation":"46,48–50","previouslyFormattedCitation":"&lt;sup&gt;46,48–50&lt;/sup&gt;"},"properties":{"noteIndex":0},"schema":"https://github.com/citation-style-language/schema/raw/master/csl-citation.json"}</w:instrText>
      </w:r>
      <w:r w:rsidR="0012722A"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46,48–50</w:t>
      </w:r>
      <w:r w:rsidR="0012722A" w:rsidRPr="00A71FCF">
        <w:rPr>
          <w:rFonts w:eastAsia="Times New Roman" w:cs="Arial"/>
          <w:color w:val="000000"/>
          <w:szCs w:val="22"/>
        </w:rPr>
        <w:fldChar w:fldCharType="end"/>
      </w:r>
      <w:r w:rsidR="00AC7548" w:rsidRPr="00A71FCF">
        <w:rPr>
          <w:rFonts w:eastAsia="Times New Roman" w:cs="Arial"/>
          <w:color w:val="000000"/>
          <w:szCs w:val="22"/>
        </w:rPr>
        <w:t xml:space="preserve"> </w:t>
      </w:r>
      <w:r w:rsidRPr="00E43B04">
        <w:rPr>
          <w:rFonts w:eastAsia="Times New Roman" w:cs="Arial"/>
          <w:color w:val="000000"/>
          <w:szCs w:val="22"/>
        </w:rPr>
        <w:t>Heterologous pathways that interface with these native metabolites can then be built into lysate-based cell-free systems to support the synthesis of commercially relevant end-products (e.g., 2,3-butanediol and styrene)</w:t>
      </w:r>
      <w:r w:rsidR="00AC7548"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Engineering","id":"ITEM-1","issued":{"date-parts":[["2015"]]},"page":"133-142","title":"Lysate of engineered Escherichia coli supports high-level conversion of glucose to 2,3-butanediol","type":"article-journal","volume":"32"},"uris":["http://www.mendeley.com/documents/?uuid=cb5185b2-2e9e-42b5-808e-ce918d13a7be"]},{"id":"ITEM-2","itemData":{"DOI":"10.1016/J.YMBEN.2020.05.009","ISSN":"1096-7176","PMID":"32502620","abstract":"Styrene is an important petroleum-derived molecule that is polymerized to make versatile plastics, including disposable silverware and foamed packaging materials. Finding more sustainable methods, such as biosynthesis, for producing styrene is essential due to the increasing severity of climate change as well as the limited supply of fossil fuels. Recent metabolic engineering efforts have enabled the biological production of styrene in Escherichia coli, but styrene toxicity and volatility limit biosynthesis in cells. To address these limitations, we have developed a cell-free styrene biosynthesis platform. The cell-free system provides an open reaction environment without cell viability constraints, which allows exquisite control over reaction conditions and greater carbon flux toward product formation rather than cell growth. The two biosynthetic enzymes required for styrene production were generated via cell-free protein synthesis and mixed in defined ratios with supplemented L-phenylalanine and buffer. By altering the time, temperature, pH, and enzyme concentrations in the reaction, this approach increased the cell-free titer of styrene from 5.36 ± 0.63 mM to 40.33 ± 1.03 mM, the highest amount achieved using biosynthesis without process modifications and product removal strategies. Cell-free systems offer a complimentary approach to cellular synthesis of small molecules, which can provide particular benefits for producing toxic molecules.","author":[{"dropping-particle":"","family":"Grubbe","given":"William S.","non-dropping-particle":"","parse-names":false,"suffix":""},{"dropping-particle":"","family":"Rasor","given":"Blake J.","non-dropping-particle":"","parse-names":false,"suffix":""},{"dropping-particle":"","family":"Krüger","given":"Antje","non-dropping-particle":"","parse-names":false,"suffix":""},{"dropping-particle":"","family":"Jewett","given":"Michael C.","non-dropping-particle":"","parse-names":false,"suffix":""},{"dropping-particle":"","family":"Karim","given":"Ashty S.","non-dropping-particle":"","parse-names":false,"suffix":""}],"container-title":"Metabolic Engineering","id":"ITEM-2","issued":{"date-parts":[["2020","9","1"]]},"page":"89-95","publisher":"Academic Press","title":"Cell-free styrene biosynthesis at high titers","type":"article-journal","volume":"61"},"uris":["http://www.mendeley.com/documents/?uuid=392ffd54-774c-3eee-bbde-70b91225bd34"]}],"mendeley":{"formattedCitation":"&lt;sup&gt;46,51&lt;/sup&gt;","plainTextFormattedCitation":"46,51","previouslyFormattedCitation":"&lt;sup&gt;46,51&lt;/sup&gt;"},"properties":{"noteIndex":0},"schema":"https://github.com/citation-style-language/schema/raw/master/csl-citation.json"}</w:instrText>
      </w:r>
      <w:r w:rsidR="00AC7548"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46,51</w:t>
      </w:r>
      <w:r w:rsidR="00AC7548" w:rsidRPr="00A71FCF">
        <w:rPr>
          <w:rFonts w:eastAsia="Times New Roman" w:cs="Arial"/>
          <w:color w:val="000000"/>
          <w:szCs w:val="22"/>
        </w:rPr>
        <w:fldChar w:fldCharType="end"/>
      </w:r>
      <w:r w:rsidRPr="00E43B04">
        <w:rPr>
          <w:rFonts w:eastAsia="Times New Roman" w:cs="Arial"/>
          <w:color w:val="000000"/>
          <w:szCs w:val="22"/>
        </w:rPr>
        <w:t>. This has been done in different ways which include directly supplementing lysate reactions with purified enzymes or deriving enzyme-enriched extracts from heterologous expression hosts</w:t>
      </w:r>
      <w:r w:rsidR="007261F2"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{"citationItems":[{"id":"ITEM-1","itemData":{"DOI":"10.1038/nchembio.541","ISSN":"15524469","abstract":"Recruiting complex metabolic reaction networks for chemical synthesis has attracted considerable attention but frequently requires optimization of network composition and dynamics to reach sufficient productivity. As a design framework to predict optimal levels for all enzymes in the network is currently not available, state-of-the-art pathway optimization relies on high-throughput phenotype screening. We present here the development and application of a new in vitro real-time analysis method for the comprehensive investigation and rational programming of enzyme networks for synthetic tasks. We used this first to rationally and rapidly derive an optimal blueprint for the production of the fine chemical building block dihydroxyacetone phosphate (DHAP) via Escherichia coli's highly evolved glycolysis. Second, the method guided the three-step genetic implementation of the blueprint, yielding a synthetic operon with the predicted 2.5-fold-increased glycolytic flux toward DHAP. The new analytical setup drastically accelerates rational optimization of synthetic multienzyme networks. © 2011 Nature America, Inc. All rights reserved.","author":[{"dropping-particle":"","family":"Bujara","given":"Matthias","non-dropping-particle":"","parse-names":false,"suffix":""},{"dropping-particle":"","family":"Schümperli","given":"Michael","non-dropping-particle":"","parse-names":false,"suffix":""},{"dropping-particle":"","family":"Pellaux","given":"René","non-dropping-particle":"","parse-names":false,"suffix":""},{"dropping-particle":"","family":"Heinemann","given":"Matthias","non-dropping-particle":"","parse-names":false,"suffix":""},{"dropping-particle":"","family":"Panke","given":"Sven","non-dropping-particle":"","parse-names":false,"suffix":""}],"container-title":"Nature Chemical Biology","id":"ITEM-1","issue":"5","issued":{"date-parts":[["2011","3","20"]]},"page":"271-277","publisher":"Nature Publishing Group","title":"Optimization of a blueprint for in vitro glycolysis by metabolic real-time analysis","type":"article-journal","volume":"7"},"uris":["http://www.mendeley.com/documents/?uuid=decf13c4-a877-3e0d-9b5d-9404fef000a6"]},{"id":"ITEM-2","itemData":{"DOI":"10.1016/j.ymben.2018.09.011","ISSN":"10967184","abstract":"Expanding the concept of cell-free biology, implemented both with purified components and crude extracts, is continuing to deepen our appreciation of biological fundamentals while enlarging the range of applications. We are no longer intimidated by the complexity of crude extracts and complicated reaction systems with hundreds of active components, and, instead, coordinately activate and inactivate metabolic processes to focus and expand the capabilities of natural biological processes. This, in turn, dramatically increases the range of benefits offered by new products, both natural and supernatural, that were previously infeasible and/or unimaginable. This overview of cell-free metabolic engineering provides a broad range of examples and insights to guide and motivate continued research that will further expand fundamental understanding and beneficial applications. However, this survey also reveals how far we are from fully unlocking the potential offered by natural and engineered biological components and systems. This is an exciting conclusion, but metabolic engineering by itself is not sufficient. Going forward, innovative metabolic engineering must be intimately combined with creative process engineering to fully realize potential contributions toward a sustainable global civilization.","author":[{"dropping-particle":"","family":"Swartz","given":"James R.","non-dropping-particle":"","parse-names":false,"suffix":""}],"container-title":"Metabolic Engineering","id":"ITEM-2","issued":{"date-parts":[["2018"]]},"title":"Expanding biological applications using cell-free metabolic engineering: An overview","type":"article","volume":"50"},"uris":["http://www.mendeley.com/documents/?uuid=3d7b36e7-9d5b-3968-a2f9-9724c9ff971e"]},{"id":"ITEM-3","itemData":{"DOI":"10.1021/acssynbio.6b00154","author":[{"dropping-particle":"","family":"Dudley","given":"Quentin M","non-dropping-particle":"","parse-names":false,"suffix":""},{"dropping-particle":"","family":"Anderson","given":"Kim C","non-dropping-particle":"","parse-names":false,"suffix":""},{"dropping-particle":"","family":"Jewett","given":"Michael C","non-dropping-particle":"","parse-names":false,"suffix":""}],"id":"ITEM-3","issued":{"date-parts":[["2016"]]},"title":"Cell-Free Mixing of Escherichia coli Crude Extracts to Prototype and Rationally Engineer High-Titer Mevalonate Synthesis","type":"article-journal"},"uris":["http://www.mendeley.com/documents/?uuid=99336352-fabf-4121-855f-c8567c91a0c0"]},{"id":"ITEM-4","itemData":{"DOI":"10.1016/j.ymben.2015.09.015","ISSN":"10967184","PMID":"26428449","abstract":"Cell-free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Engineering","id":"ITEM-4","issued":{"date-parts":[["2015"]]},"page":"133-142","title":"Lysate of engineered Escherichia coli supports high-level conversion of glucose to 2,3-butanediol","type":"article-journal","volume":"32"},"uris":["http://www.mendeley.com/documents/?uuid=cb5185b2-2e9e-42b5-808e-ce918d13a7be"]}],"mendeley":{"formattedCitation":"&lt;sup&gt;19,46,52,53&lt;/sup&gt;","plainTextFormattedCitation":"19,46,52,53","previouslyFormattedCitation":"&lt;sup&gt;19,46,52,53&lt;/sup&gt;"},"properties":{"noteIndex":0},"schema":"https://github.com/citation-style-language/schema/raw/master/csl-citation.json"}</w:instrText>
      </w:r>
      <w:r w:rsidR="007261F2"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19,46,52,53</w:t>
      </w:r>
      <w:r w:rsidR="007261F2" w:rsidRPr="00A71FCF">
        <w:rPr>
          <w:rFonts w:eastAsia="Times New Roman" w:cs="Arial"/>
          <w:color w:val="000000"/>
          <w:szCs w:val="22"/>
        </w:rPr>
        <w:fldChar w:fldCharType="end"/>
      </w:r>
      <w:r w:rsidRPr="00E43B04">
        <w:rPr>
          <w:rFonts w:eastAsia="Times New Roman" w:cs="Arial"/>
          <w:color w:val="000000"/>
          <w:szCs w:val="22"/>
        </w:rPr>
        <w:t>. Alternatively, the lysate TX-TL machinery itself can be activated for heterologous pathway expression</w:t>
      </w:r>
      <w:r w:rsidR="00A10CA3" w:rsidRPr="00A71FCF">
        <w:rPr>
          <w:rFonts w:eastAsia="Times New Roman" w:cs="Arial"/>
          <w:color w:val="000000"/>
          <w:szCs w:val="22"/>
        </w:rPr>
        <w:t xml:space="preserve"> to bypass laborious </w:t>
      </w:r>
      <w:r w:rsidR="00A10CA3" w:rsidRPr="00A71FCF">
        <w:rPr>
          <w:rFonts w:eastAsia="Times New Roman" w:cs="Arial"/>
          <w:i/>
          <w:iCs/>
          <w:color w:val="000000"/>
          <w:szCs w:val="22"/>
        </w:rPr>
        <w:t xml:space="preserve">in vivo </w:t>
      </w:r>
      <w:r w:rsidR="00A10CA3" w:rsidRPr="00A71FCF">
        <w:rPr>
          <w:rFonts w:eastAsia="Times New Roman" w:cs="Arial"/>
          <w:color w:val="000000"/>
          <w:szCs w:val="22"/>
        </w:rPr>
        <w:t>expression</w:t>
      </w:r>
      <w:r w:rsidR="00554C8B" w:rsidRPr="00A71FCF">
        <w:rPr>
          <w:rFonts w:eastAsia="Times New Roman" w:cs="Arial"/>
          <w:color w:val="000000"/>
          <w:szCs w:val="22"/>
        </w:rPr>
        <w:fldChar w:fldCharType="begin" w:fldLock="1"/>
      </w:r>
      <w:r w:rsidR="00956617" w:rsidRPr="00A71FCF">
        <w:rPr>
          <w:rFonts w:eastAsia="Times New Roman" w:cs="Arial"/>
          <w:color w:val="000000"/>
          <w:szCs w:val="22"/>
        </w:rPr>
        <w:instrText>ADDIN CSL_CITATION {"citationItems":[{"id":"ITEM-1","itemData":{"DOI":"10.1016/j.ymben.2016.03.002","ISSN":"10967184","abstract":"Speeding up design-build-test (DBT) cycles is a fundamental challenge facing biochemical engineering. To address this challenge, we report a new cell-free protein synthesis driven metabolic engineering (CFPS-ME) framework for rapid biosynthetic pathway prototyping. In our framework, cell-free cocktails for synthesizing target small molecules are assembled in a mix-and-match fashion from crude cell lysates either containing selectively enriched pathway enzymes from heterologous overexpression or directly producing pathway enzymes in lysates by CFPS. As a model, we apply our approach to n-butanol biosynthesis showing that Escherichia coli lysates support a highly active 17-step CoA-dependent n-butanol pathway in vitro. The elevated degree of flexibility in the cell-free environment allows us to manipulate physiochemical conditions, access enzymatic nodes, discover new enzymes, and prototype enzyme sets with linear DNA templates to study pathway performance. We anticipate that CFPS-ME will facilitate efforts to define, manipulate, and understand metabolic pathways for accelerated DBT cycles without the need to reengineer organisms.","author":[{"dropping-particle":"","family":"Karim","given":"Ashty S.","non-dropping-particle":"","parse-names":false,"suffix":""},{"dropping-particle":"","family":"Jewett","given":"Michael C.","non-dropping-particle":"","parse-names":false,"suffix":""}],"container-title":"Metabolic Engineering","id":"ITEM-1","issued":{"date-parts":[["2016","7","1"]]},"page":"116-126","publisher":"Academic Press Inc.","title":"A cell-free framework for rapid biosynthetic pathway prototyping and enzyme discovery","type":"article-journal","volume":"36"},"uris":["http://www.mendeley.com/documents/?uuid=b51fa991-5de8-3f6c-a9f5-d019d3d9eb1d"]},{"id":"ITEM-2","itemData":{"DOI":"10.1016/j.csbj.2017.01.006","ISSN":"20010370","PMID":"28179978","abstract":"With the breakthroughs in biomolecular engineering and synthetic biology, many valuable biologically active compound and commodity chemicals have been successfully manufactured using cell-based approaches in the past decade. However, because of the high complexity of cell metabolism, the identification and optimization of rate-limiting metabolic pathways for improving the product yield is often difficult, which represents a significant and unavoidable barrier of traditional in vivo metabolic engineering. Recently, some in vitro engineering approaches were proposed as alternative strategies to solve this problem. In brief, by reconstituting a biosynthetic pathway in a cell-free environment with the supplement of cofactors and substrates, the performance of each biosynthetic pathway could be evaluated and optimized systematically. Several value-added products, including chemicals, nutraceuticals, and drug precursors, have been biosynthesized as proof-of-concept demonstrations of in vitro metabolic engineering. This mini-review summarizes the recent progresses on the emerging topic of in vitro metabolic engineering and comments on the potential application of cell-free technology to speed up the “design-build-test” cycles of biomanufacturing.","author":[{"dropping-particle":"","family":"Guo","given":"Weihua","non-dropping-particle":"","parse-names":false,"suffix":""},{"dropping-particle":"","family":"Sheng","given":"Jiayuan","non-dropping-particle":"","parse-names":false,"suffix":""},{"dropping-particle":"","family":"Feng","given":"Xueyang","non-dropping-particle":"","parse-names":false,"suffix":""}],"container-title":"Computational and Structural Biotechnology Journal","id":"ITEM-2","issued":{"date-parts":[["2017","1","1"]]},"page":"161-167","publisher":"Elsevier B.V.","title":"Mini-review: In vitro Metabolic Engineering for Biomanufacturing of High-value Products","type":"article","volume":"15"},"uris":["http://www.mendeley.com/documents/?uuid=8dd364d8-64f4-34a9-9365-7026bb960e30"]}],"mendeley":{"formattedCitation":"&lt;sup&gt;18,27&lt;/sup&gt;","plainTextFormattedCitation":"18,27","previouslyFormattedCitation":"&lt;sup&gt;18,27&lt;/sup&gt;"},"properties":{"noteIndex":0},"schema":"https://github.com/citation-style-language/schema/raw/master/csl-citation.json"}</w:instrText>
      </w:r>
      <w:r w:rsidR="00554C8B" w:rsidRPr="00A71FCF">
        <w:rPr>
          <w:rFonts w:eastAsia="Times New Roman" w:cs="Arial"/>
          <w:color w:val="000000"/>
          <w:szCs w:val="22"/>
        </w:rPr>
        <w:fldChar w:fldCharType="separate"/>
      </w:r>
      <w:r w:rsidR="00554C8B" w:rsidRPr="00A71FCF">
        <w:rPr>
          <w:rFonts w:eastAsia="Times New Roman" w:cs="Arial"/>
          <w:noProof/>
          <w:color w:val="000000"/>
          <w:szCs w:val="22"/>
          <w:vertAlign w:val="superscript"/>
        </w:rPr>
        <w:t>18,27</w:t>
      </w:r>
      <w:r w:rsidR="00554C8B" w:rsidRPr="00A71FCF">
        <w:rPr>
          <w:rFonts w:eastAsia="Times New Roman" w:cs="Arial"/>
          <w:color w:val="000000"/>
          <w:szCs w:val="22"/>
        </w:rPr>
        <w:fldChar w:fldCharType="end"/>
      </w:r>
      <w:r w:rsidRPr="00E43B04">
        <w:rPr>
          <w:rFonts w:eastAsia="Times New Roman" w:cs="Arial"/>
          <w:color w:val="000000"/>
          <w:szCs w:val="22"/>
        </w:rPr>
        <w:t>. Although</w:t>
      </w:r>
      <w:r w:rsidR="00A10CA3" w:rsidRPr="00A71FCF">
        <w:rPr>
          <w:rFonts w:eastAsia="Times New Roman" w:cs="Arial"/>
          <w:color w:val="000000"/>
          <w:szCs w:val="22"/>
        </w:rPr>
        <w:t xml:space="preserve"> cell-free</w:t>
      </w:r>
      <w:r w:rsidRPr="00E43B04">
        <w:rPr>
          <w:rFonts w:eastAsia="Times New Roman" w:cs="Arial"/>
          <w:color w:val="000000"/>
          <w:szCs w:val="22"/>
        </w:rPr>
        <w:t xml:space="preserve"> </w:t>
      </w:r>
      <w:r w:rsidR="00A10CA3" w:rsidRPr="00A71FCF">
        <w:rPr>
          <w:rFonts w:eastAsia="Times New Roman" w:cs="Arial"/>
          <w:color w:val="000000"/>
          <w:szCs w:val="22"/>
        </w:rPr>
        <w:t xml:space="preserve">metabolic </w:t>
      </w:r>
      <w:r w:rsidRPr="00E43B04">
        <w:rPr>
          <w:rFonts w:eastAsia="Times New Roman" w:cs="Arial"/>
          <w:color w:val="000000"/>
          <w:szCs w:val="22"/>
        </w:rPr>
        <w:t xml:space="preserve">yields from </w:t>
      </w:r>
      <w:r w:rsidR="00A10CA3" w:rsidRPr="00A71FCF">
        <w:rPr>
          <w:rFonts w:eastAsia="Times New Roman" w:cs="Arial"/>
          <w:color w:val="000000"/>
          <w:szCs w:val="22"/>
        </w:rPr>
        <w:t xml:space="preserve">pathways constructed via </w:t>
      </w:r>
      <w:r w:rsidRPr="00E43B04">
        <w:rPr>
          <w:rFonts w:eastAsia="Times New Roman" w:cs="Arial"/>
          <w:color w:val="000000"/>
          <w:szCs w:val="22"/>
        </w:rPr>
        <w:t>cell-based expression</w:t>
      </w:r>
      <w:r w:rsidR="00956617" w:rsidRPr="00A71FCF">
        <w:rPr>
          <w:rFonts w:eastAsia="Times New Roman" w:cs="Arial"/>
          <w:color w:val="000000"/>
          <w:szCs w:val="22"/>
        </w:rPr>
        <w:t xml:space="preserve"> rather than </w:t>
      </w:r>
      <w:r w:rsidR="00956617" w:rsidRPr="00E43B04">
        <w:rPr>
          <w:rFonts w:eastAsia="Times New Roman" w:cs="Arial"/>
          <w:color w:val="000000"/>
          <w:szCs w:val="22"/>
        </w:rPr>
        <w:t>CFE</w:t>
      </w:r>
      <w:r w:rsidR="00956617" w:rsidRPr="00A71FCF">
        <w:rPr>
          <w:rFonts w:eastAsia="Times New Roman" w:cs="Arial"/>
          <w:color w:val="000000"/>
          <w:szCs w:val="22"/>
        </w:rPr>
        <w:t xml:space="preserve"> can be higher</w:t>
      </w:r>
      <w:r w:rsidR="00956617"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{"citationItems":[{"id":"ITEM-1","itemData":{"DOI":"10.1016/J.YMBEN.2020.03.009","ISSN":"1096-7176","PMID":"32224263","abstract":"Natural products are important because of their significant pharmaceutical properties such as antiviral, antimicrobial, and anticancer activity. Recent breakthroughs in DNA sequencing reveal that a great number of cryptic natural product biosynthetic gene clusters are encoded in microbial genomes, for example, those of Streptomyces species. However, it is still challenging to access compounds from these clusters because many source organisms are uncultivable or the genes are silent during laboratory cultivation. To address this challenge, we develop an efficient cell-free platform for the rapid, in vitro total biosynthesis of the nonribosomal peptide valinomycin as a model. We achieve this goal in two ways. First, we used a cell-free protein synthesis (CFPS) system to express the entire valinomycin biosynthetic gene cluster (&gt;19 kb) in a single-pot reaction, giving rise to approximately 37 μg/L of valinomycin after optimization. Second, we coupled CFPS with cell-free metabolic engineering system by mixing two enzyme-enriched cell lysates to perform a two-stage biosynthesis. This strategy improved valinomycin production ~5000-fold to nearly 30 mg/L. We expect that cell-free biosynthetic systems will provide a new avenue to express, discover, and characterize natural product gene clusters of interest in vitro.","author":[{"dropping-particle":"","family":"Zhuang","given":"Lei","non-dropping-particle":"","parse-names":false,"suffix":""},{"dropping-particle":"","family":"Huang","given":"Shuhui","non-dropping-particle":"","parse-names":false,"suffix":""},{"dropping-particle":"","family":"Liu","given":"Wan Qiu","non-dropping-particle":"","parse-names":false,"suffix":""},{"dropping-particle":"","family":"Karim","given":"Ashty S.","non-dropping-particle":"","parse-names":false,"suffix":""},{"dropping-particle":"","family":"Jewett","given":"Michael C.","non-dropping-particle":"","parse-names":false,"suffix":""},{"dropping-particle":"","family":"Li","given":"Jian","non-dropping-particle":"","parse-names":false,"suffix":""}],"container-title":"Metabolic Engineering","id":"ITEM-1","issued":{"date-parts":[["2020","7","1"]]},"page":"37-44","publisher":"Academic Press","title":"Total in vitro biosynthesis of the nonribosomal macrolactone peptide valinomycin","type":"article-journal","volume":"60"},"uris":["http://www.mendeley.com/documents/?uuid=7b4a6e0f-c308-3fc8-998b-3b950a873609"]}],"mendeley":{"formattedCitation":"&lt;sup&gt;54&lt;/sup&gt;","plainTextFormattedCitation":"54","previouslyFormattedCitation":"&lt;sup&gt;54&lt;/sup&gt;"},"properties":{"noteIndex":0},"schema":"https://github.com/citation-style-language/schema/raw/master/csl-citation.json"}</w:instrText>
      </w:r>
      <w:r w:rsidR="00956617"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54</w:t>
      </w:r>
      <w:r w:rsidR="00956617" w:rsidRPr="00A71FCF">
        <w:rPr>
          <w:rFonts w:eastAsia="Times New Roman" w:cs="Arial"/>
          <w:color w:val="000000"/>
          <w:szCs w:val="22"/>
        </w:rPr>
        <w:fldChar w:fldCharType="end"/>
      </w:r>
      <w:r w:rsidR="00956617" w:rsidRPr="00A71FCF">
        <w:rPr>
          <w:rFonts w:eastAsia="Times New Roman" w:cs="Arial"/>
          <w:color w:val="000000"/>
          <w:szCs w:val="22"/>
        </w:rPr>
        <w:t>,</w:t>
      </w:r>
      <w:r w:rsidRPr="00E43B04">
        <w:rPr>
          <w:rFonts w:eastAsia="Times New Roman" w:cs="Arial"/>
          <w:color w:val="000000"/>
          <w:szCs w:val="22"/>
        </w:rPr>
        <w:t xml:space="preserve"> th</w:t>
      </w:r>
      <w:r w:rsidR="00956617" w:rsidRPr="00A71FCF">
        <w:rPr>
          <w:rFonts w:eastAsia="Times New Roman" w:cs="Arial"/>
          <w:color w:val="000000"/>
          <w:szCs w:val="22"/>
        </w:rPr>
        <w:t>e latter is an</w:t>
      </w:r>
      <w:r w:rsidRPr="00E43B04">
        <w:rPr>
          <w:rFonts w:eastAsia="Times New Roman" w:cs="Arial"/>
          <w:color w:val="000000"/>
          <w:szCs w:val="22"/>
        </w:rPr>
        <w:t xml:space="preserve"> attractive </w:t>
      </w:r>
      <w:r w:rsidR="00956617" w:rsidRPr="00A71FCF">
        <w:rPr>
          <w:rFonts w:eastAsia="Times New Roman" w:cs="Arial"/>
          <w:color w:val="000000"/>
          <w:szCs w:val="22"/>
        </w:rPr>
        <w:t>strategy</w:t>
      </w:r>
      <w:r w:rsidRPr="00E43B04">
        <w:rPr>
          <w:rFonts w:eastAsia="Times New Roman" w:cs="Arial"/>
          <w:color w:val="000000"/>
          <w:szCs w:val="22"/>
        </w:rPr>
        <w:t xml:space="preserve"> </w:t>
      </w:r>
      <w:r w:rsidR="00956617" w:rsidRPr="00A71FCF">
        <w:rPr>
          <w:rFonts w:eastAsia="Times New Roman" w:cs="Arial"/>
          <w:color w:val="000000"/>
          <w:szCs w:val="22"/>
        </w:rPr>
        <w:t xml:space="preserve">for prototyping several pathway designs or when </w:t>
      </w:r>
      <w:r w:rsidRPr="00E43B04">
        <w:rPr>
          <w:rFonts w:eastAsia="Times New Roman" w:cs="Arial"/>
          <w:color w:val="000000"/>
          <w:szCs w:val="22"/>
        </w:rPr>
        <w:t xml:space="preserve">dealing with </w:t>
      </w:r>
      <w:r w:rsidR="00956617" w:rsidRPr="00A71FCF">
        <w:rPr>
          <w:rFonts w:eastAsia="Times New Roman" w:cs="Arial"/>
          <w:color w:val="000000"/>
          <w:szCs w:val="22"/>
        </w:rPr>
        <w:t xml:space="preserve">heterologous </w:t>
      </w:r>
      <w:r w:rsidRPr="00E43B04">
        <w:rPr>
          <w:rFonts w:eastAsia="Times New Roman" w:cs="Arial"/>
          <w:color w:val="000000"/>
          <w:szCs w:val="22"/>
        </w:rPr>
        <w:t xml:space="preserve">enzymes that are difficult to synthesize </w:t>
      </w:r>
      <w:r w:rsidRPr="00E43B04">
        <w:rPr>
          <w:rFonts w:eastAsia="Times New Roman" w:cs="Arial"/>
          <w:i/>
          <w:iCs/>
          <w:color w:val="000000"/>
          <w:szCs w:val="22"/>
        </w:rPr>
        <w:t>in vivo</w:t>
      </w:r>
      <w:r w:rsidR="00956617" w:rsidRPr="00A71FCF">
        <w:rPr>
          <w:rFonts w:eastAsia="Times New Roman" w:cs="Arial"/>
          <w:i/>
          <w:iCs/>
          <w:color w:val="000000"/>
          <w:szCs w:val="22"/>
        </w:rPr>
        <w:fldChar w:fldCharType="begin" w:fldLock="1"/>
      </w:r>
      <w:r w:rsidR="00956617" w:rsidRPr="00A71FCF">
        <w:rPr>
          <w:rFonts w:eastAsia="Times New Roman" w:cs="Arial"/>
          <w:i/>
          <w:iCs/>
          <w:color w:val="000000"/>
          <w:szCs w:val="22"/>
        </w:rPr>
        <w:instrText>ADDIN CSL_CITATION {"citationItems":[{"id":"ITEM-1","itemData":{"DOI":"10.1016/j.csbj.2017.01.006","ISSN":"20010370","PMID":"28179978","abstract":"With the breakthroughs in biomolecular engineering and synthetic biology, many valuable biologically active compound and commodity chemicals have been successfully manufactured using cell-based approaches in the past decade. However, because of the high complexity of cell metabolism, the identification and optimization of rate-limiting metabolic pathways for improving the product yield is often difficult, which represents a significant and unavoidable barrier of traditional in vivo metabolic engineering. Recently, some in vitro engineering approaches were proposed as alternative strategies to solve this problem. In brief, by reconstituting a biosynthetic pathway in a cell-free environment with the supplement of cofactors and substrates, the performance of each biosynthetic pathway could be evaluated and optimized systematically. Several value-added products, including chemicals, nutraceuticals, and drug precursors, have been biosynthesized as proof-of-concept demonstrations of in vitro metabolic engineering. This mini-review summarizes the recent progresses on the emerging topic of in vitro metabolic engineering and comments on the potential application of cell-free technology to speed up the “design-build-test” cycles of biomanufacturing.","author":[{"dropping-particle":"","family":"Guo","given":"Weihua","non-dropping-particle":"","parse-names":false,"suffix":""},{"dropping-particle":"","family":"Sheng","given":"Jiayuan","non-dropping-particle":"","parse-names":false,"suffix":""},{"dropping-particle":"","family":"Feng","given":"Xueyang","non-dropping-particle":"","parse-names":false,"suffix":""}],"container-title":"Computational and Structural Biotechnology Journal","id":"ITEM-1","issued":{"date-parts":[["2017","1","1"]]},"page":"161-167","publisher":"Elsevier B.V.","title":"Mini-review: In vitro Metabolic Engineering for Biomanufacturing of High-value Products","type":"article","volume":"15"},"uris":["http://www.mendeley.com/documents/?uuid=8dd364d8-64f4-34a9-9365-7026bb960e30"]},{"id":"ITEM-2","itemData":{"DOI":"10.1016/j.ymben.2016.03.002","ISSN":"10967184","abstract":"Speeding up design-build-test (DBT) cycles is a fundamental challenge facing biochemical engineering. To address this challenge, we report a new cell-free protein synthesis driven metabolic engineering (CFPS-ME) framework for rapid biosynthetic pathway prototyping. In our framework, cell-free cocktails for synthesizing target small molecules are assembled in a mix-and-match fashion from crude cell lysates either containing selectively enriched pathway enzymes from heterologous overexpression or directly producing pathway enzymes in lysates by CFPS. As a model, we apply our approach to n-butanol biosynthesis showing that Escherichia coli lysates support a highly active 17-step CoA-dependent n-butanol pathway in vitro. The elevated degree of flexibility in the cell-free environment allows us to manipulate physiochemical conditions, access enzymatic nodes, discover new enzymes, and prototype enzyme sets with linear DNA templates to study pathway performance. We anticipate that CFPS-ME will facilitate efforts to define, manipulate, and understand metabolic pathways for accelerated DBT cycles without the need to reengineer organisms.","author":[{"dropping-particle":"","family":"Karim","given":"Ashty S.","non-dropping-particle":"","parse-names":false,"suffix":""},{"dropping-particle":"","family":"Jewett","given":"Michael C.","non-dropping-particle":"","parse-names":false,"suffix":""}],"container-title":"Metabolic Engineering","id":"ITEM-2","issued":{"date-parts":[["2016","7","1"]]},"page":"116-126","publisher":"Academic Press Inc.","title":"A cell-free framework for rapid biosynthetic pathway prototyping and enzyme discovery","type":"article-journal","volume":"36"},"uris":["http://www.mendeley.com/documents/?uuid=b51fa991-5de8-3f6c-a9f5-d019d3d9eb1d"]}],"mendeley":{"formattedCitation":"&lt;sup&gt;18,27&lt;/sup&gt;","plainTextFormattedCitation":"18,27","previouslyFormattedCitation":"&lt;sup&gt;18,27&lt;/sup&gt;"},"properties":{"noteIndex":0},"schema":"https://github.com/citation-style-language/schema/raw/master/csl-citation.json"}</w:instrText>
      </w:r>
      <w:r w:rsidR="00956617" w:rsidRPr="00A71FCF">
        <w:rPr>
          <w:rFonts w:eastAsia="Times New Roman" w:cs="Arial"/>
          <w:i/>
          <w:iCs/>
          <w:color w:val="000000"/>
          <w:szCs w:val="22"/>
        </w:rPr>
        <w:fldChar w:fldCharType="separate"/>
      </w:r>
      <w:r w:rsidR="00956617" w:rsidRPr="00A71FCF">
        <w:rPr>
          <w:rFonts w:eastAsia="Times New Roman" w:cs="Arial"/>
          <w:iCs/>
          <w:noProof/>
          <w:color w:val="000000"/>
          <w:szCs w:val="22"/>
          <w:vertAlign w:val="superscript"/>
        </w:rPr>
        <w:t>18,27</w:t>
      </w:r>
      <w:r w:rsidR="00956617" w:rsidRPr="00A71FCF">
        <w:rPr>
          <w:rFonts w:eastAsia="Times New Roman" w:cs="Arial"/>
          <w:i/>
          <w:iCs/>
          <w:color w:val="000000"/>
          <w:szCs w:val="22"/>
        </w:rPr>
        <w:fldChar w:fldCharType="end"/>
      </w:r>
      <w:r w:rsidR="00956617" w:rsidRPr="00A71FCF">
        <w:rPr>
          <w:rFonts w:eastAsia="Times New Roman" w:cs="Arial"/>
          <w:i/>
          <w:iCs/>
          <w:color w:val="000000"/>
          <w:szCs w:val="22"/>
        </w:rPr>
        <w:t xml:space="preserve">. </w:t>
      </w:r>
      <w:r w:rsidR="00491EAC" w:rsidRPr="00A71FCF">
        <w:rPr>
          <w:rFonts w:eastAsia="Times New Roman" w:cs="Arial"/>
          <w:color w:val="000000"/>
          <w:szCs w:val="22"/>
        </w:rPr>
        <w:t>Additionally</w:t>
      </w:r>
      <w:r w:rsidRPr="00E43B04">
        <w:rPr>
          <w:rFonts w:eastAsia="Times New Roman" w:cs="Arial"/>
          <w:color w:val="000000"/>
          <w:szCs w:val="22"/>
        </w:rPr>
        <w:t>,</w:t>
      </w:r>
      <w:r w:rsidR="0075077C" w:rsidRPr="00A71FCF">
        <w:rPr>
          <w:rFonts w:eastAsia="Times New Roman" w:cs="Arial"/>
          <w:color w:val="000000"/>
          <w:szCs w:val="22"/>
        </w:rPr>
        <w:t xml:space="preserve"> this process can be scaled up, </w:t>
      </w:r>
      <w:r w:rsidR="005243FC">
        <w:rPr>
          <w:rFonts w:eastAsia="Times New Roman" w:cs="Arial"/>
          <w:color w:val="000000"/>
          <w:szCs w:val="22"/>
        </w:rPr>
        <w:t xml:space="preserve">as </w:t>
      </w:r>
      <w:r w:rsidR="0075077C" w:rsidRPr="00A71FCF">
        <w:rPr>
          <w:rFonts w:eastAsia="Times New Roman" w:cs="Arial"/>
          <w:color w:val="000000"/>
          <w:szCs w:val="22"/>
        </w:rPr>
        <w:lastRenderedPageBreak/>
        <w:t>evidenced by findings of similar lysate-based CFE expression profiles i</w:t>
      </w:r>
      <w:r w:rsidR="002A01FD" w:rsidRPr="00A71FCF">
        <w:rPr>
          <w:rFonts w:eastAsia="Times New Roman" w:cs="Arial"/>
          <w:color w:val="000000"/>
          <w:szCs w:val="22"/>
        </w:rPr>
        <w:t xml:space="preserve">n </w:t>
      </w:r>
      <w:r w:rsidR="00EF4FC1" w:rsidRPr="00A71FCF">
        <w:rPr>
          <w:rFonts w:eastAsia="Times New Roman" w:cs="Arial"/>
          <w:color w:val="000000"/>
          <w:szCs w:val="22"/>
        </w:rPr>
        <w:t>250 µL and</w:t>
      </w:r>
      <w:r w:rsidR="002A01FD" w:rsidRPr="00A71FCF">
        <w:rPr>
          <w:rFonts w:eastAsia="Times New Roman" w:cs="Arial"/>
          <w:color w:val="000000"/>
          <w:szCs w:val="22"/>
        </w:rPr>
        <w:t xml:space="preserve"> 100</w:t>
      </w:r>
      <w:r w:rsidR="00EF4FC1" w:rsidRPr="00A71FCF">
        <w:rPr>
          <w:rFonts w:eastAsia="Times New Roman" w:cs="Arial"/>
          <w:color w:val="000000"/>
          <w:szCs w:val="22"/>
        </w:rPr>
        <w:t xml:space="preserve"> </w:t>
      </w:r>
      <w:r w:rsidR="002A01FD" w:rsidRPr="00A71FCF">
        <w:rPr>
          <w:rFonts w:eastAsia="Times New Roman" w:cs="Arial"/>
          <w:color w:val="000000"/>
          <w:szCs w:val="22"/>
        </w:rPr>
        <w:t>L reactor</w:t>
      </w:r>
      <w:r w:rsidR="00EF4FC1" w:rsidRPr="00A71FCF">
        <w:rPr>
          <w:rFonts w:eastAsia="Times New Roman" w:cs="Arial"/>
          <w:color w:val="000000"/>
          <w:szCs w:val="22"/>
        </w:rPr>
        <w:t>s</w:t>
      </w:r>
      <w:r w:rsidR="002A01FD"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{"citationItems":[{"id":"ITEM-1","itemData":{"DOI":"10.1002/bit.23103","ISSN":"00063592","abstract":"Engineering robust protein production and purification of correctly folded biotherapeutic proteins in cell-based systems is often challenging due to the requirements for maintaining complex cellular networks for cell viability and the need to develop associated downstream processes that reproducibly yield biopharmaceutical products with high product quality. Here, we present an alternative Escherichia coli-based open cell-free synthesis (OCFS) system that is optimized for predictable high-yield protein synthesis and folding at any scale with straightforward downstream purification processes. We describe how the linear scalability of OCFS allows rapid process optimization of parameters affecting extract activation, gene sequence optimization, and redox folding conditions for disulfide bond formation at microliter scales. Efficient and predictable high-level protein production can then be achieved using batch processes in standard bioreactors. We show how a fully bioactive protein produced by OCFS from optimized frozen extract can be purified directly using a streamlined purification process that yields a biologically active cytokine, human granulocyte-macrophage colony-stimulating factor, produced at titers of 700mg/L in 10h. These results represent a milestone for in vitro protein synthesis, with potential for the cGMP production of disulfide-bonded biotherapeutic proteins. © 2011 Wiley Periodicals, Inc.","author":[{"dropping-particle":"","family":"Zawada","given":"James F.","non-dropping-particle":"","parse-names":false,"suffix":""},{"dropping-particle":"","family":"Yin","given":"Gang","non-dropping-particle":"","parse-names":false,"suffix":""},{"dropping-particle":"","family":"Steiner","given":"Alexander R.","non-dropping-particle":"","parse-names":false,"suffix":""},{"dropping-particle":"","family":"Yang","given":"Junhao","non-dropping-particle":"","parse-names":false,"suffix":""},{"dropping-particle":"","family":"Naresh","given":"Alpana","non-dropping-particle":"","parse-names":false,"suffix":""},{"dropping-particle":"","family":"Roy","given":"Sushmita M.","non-dropping-particle":"","parse-names":false,"suffix":""},{"dropping-particle":"","family":"Gold","given":"Daniel S.","non-dropping-particle":"","parse-names":false,"suffix":""},{"dropping-particle":"","family":"Heinsohn","given":"Henry G.","non-dropping-particle":"","parse-names":false,"suffix":""},{"dropping-particle":"","family":"Murray","given":"Christopher J.","non-dropping-particle":"","parse-names":false,"suffix":""}],"container-title":"Biotechnology and Bioengineering","id":"ITEM-1","issue":"7","issued":{"date-parts":[["2011","7"]]},"page":"1570-1578","publisher":"Wiley-Blackwell","title":"Microscale to manufacturing scale-up of cell-free cytokine production-a new approach for shortening protein production development timelines","type":"article-journal","volume":"108"},"uris":["http://www.mendeley.com/documents/?uuid=8715925a-9015-3925-856f-c68c06ddf687"]}],"mendeley":{"formattedCitation":"&lt;sup&gt;55&lt;/sup&gt;","plainTextFormattedCitation":"55","previouslyFormattedCitation":"&lt;sup&gt;55&lt;/sup&gt;"},"properties":{"noteIndex":0},"schema":"https://github.com/citation-style-language/schema/raw/master/csl-citation.json"}</w:instrText>
      </w:r>
      <w:r w:rsidR="002A01FD"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55</w:t>
      </w:r>
      <w:r w:rsidR="002A01FD" w:rsidRPr="00A71FCF">
        <w:rPr>
          <w:rFonts w:eastAsia="Times New Roman" w:cs="Arial"/>
          <w:color w:val="000000"/>
          <w:szCs w:val="22"/>
        </w:rPr>
        <w:fldChar w:fldCharType="end"/>
      </w:r>
      <w:r w:rsidR="002A01FD" w:rsidRPr="00A71FCF">
        <w:rPr>
          <w:rFonts w:eastAsia="Times New Roman" w:cs="Arial"/>
          <w:color w:val="000000"/>
          <w:szCs w:val="22"/>
        </w:rPr>
        <w:t>.</w:t>
      </w:r>
    </w:p>
    <w:p w14:paraId="29DC48F9" w14:textId="73312712" w:rsidR="00BA098D" w:rsidRDefault="00E43B04" w:rsidP="0008141D">
      <w:pPr>
        <w:ind w:firstLine="720"/>
        <w:contextualSpacing/>
        <w:rPr>
          <w:rFonts w:eastAsia="Times New Roman" w:cs="Arial"/>
          <w:color w:val="000000"/>
          <w:szCs w:val="22"/>
        </w:rPr>
      </w:pPr>
      <w:r w:rsidRPr="00E43B04">
        <w:rPr>
          <w:rFonts w:eastAsia="Times New Roman" w:cs="Arial"/>
          <w:color w:val="000000"/>
          <w:szCs w:val="22"/>
        </w:rPr>
        <w:t> </w:t>
      </w:r>
      <w:r w:rsidR="00C265DB">
        <w:rPr>
          <w:rFonts w:eastAsia="Times New Roman" w:cs="Arial"/>
          <w:color w:val="000000"/>
          <w:szCs w:val="22"/>
        </w:rPr>
        <w:t xml:space="preserve">Cell-free synthetic biology’s role in revolutionizing biomanufacturing can be realized by cell extracts. </w:t>
      </w:r>
      <w:r w:rsidR="002D5566">
        <w:rPr>
          <w:rFonts w:eastAsia="Times New Roman" w:cs="Arial"/>
          <w:color w:val="000000"/>
          <w:szCs w:val="22"/>
        </w:rPr>
        <w:t xml:space="preserve">However, </w:t>
      </w:r>
      <w:r w:rsidRPr="00E43B04">
        <w:rPr>
          <w:rFonts w:eastAsia="Times New Roman" w:cs="Arial"/>
          <w:color w:val="000000"/>
          <w:szCs w:val="22"/>
        </w:rPr>
        <w:t xml:space="preserve">their industrial implementation is still limited. Lysate-based cell-free systems </w:t>
      </w:r>
      <w:r w:rsidR="00DF373E" w:rsidRPr="00A71FCF">
        <w:rPr>
          <w:rFonts w:eastAsia="Times New Roman" w:cs="Arial"/>
          <w:color w:val="000000"/>
          <w:szCs w:val="22"/>
        </w:rPr>
        <w:t>are being applied to in</w:t>
      </w:r>
      <w:r w:rsidR="00A23762" w:rsidRPr="00A71FCF">
        <w:rPr>
          <w:rFonts w:eastAsia="Times New Roman" w:cs="Arial"/>
          <w:color w:val="000000"/>
          <w:szCs w:val="22"/>
        </w:rPr>
        <w:t>terrogate</w:t>
      </w:r>
      <w:r w:rsidR="00DF373E" w:rsidRPr="00A71FCF">
        <w:rPr>
          <w:rFonts w:eastAsia="Times New Roman" w:cs="Arial"/>
          <w:color w:val="000000"/>
          <w:szCs w:val="22"/>
        </w:rPr>
        <w:t xml:space="preserve"> pathway</w:t>
      </w:r>
      <w:r w:rsidR="00A23762" w:rsidRPr="00A71FCF">
        <w:rPr>
          <w:rFonts w:eastAsia="Times New Roman" w:cs="Arial"/>
          <w:color w:val="000000"/>
          <w:szCs w:val="22"/>
        </w:rPr>
        <w:t xml:space="preserve"> designs which has proven useful</w:t>
      </w:r>
      <w:r w:rsidR="00DF373E" w:rsidRPr="00A71FCF">
        <w:rPr>
          <w:rFonts w:eastAsia="Times New Roman" w:cs="Arial"/>
          <w:color w:val="000000"/>
          <w:szCs w:val="22"/>
        </w:rPr>
        <w:t xml:space="preserve"> </w:t>
      </w:r>
      <w:r w:rsidR="007F40F5" w:rsidRPr="00A71FCF">
        <w:rPr>
          <w:rFonts w:eastAsia="Times New Roman" w:cs="Arial"/>
          <w:color w:val="000000"/>
          <w:szCs w:val="22"/>
        </w:rPr>
        <w:t>for significantly shortening DBTL cycles from months</w:t>
      </w:r>
      <w:r w:rsidR="00554206">
        <w:rPr>
          <w:rFonts w:eastAsia="Times New Roman" w:cs="Arial"/>
          <w:color w:val="000000"/>
          <w:szCs w:val="22"/>
        </w:rPr>
        <w:t>-</w:t>
      </w:r>
      <w:r w:rsidR="007F40F5" w:rsidRPr="00A71FCF">
        <w:rPr>
          <w:rFonts w:eastAsia="Times New Roman" w:cs="Arial"/>
          <w:color w:val="000000"/>
          <w:szCs w:val="22"/>
        </w:rPr>
        <w:t>years to days</w:t>
      </w:r>
      <w:r w:rsidR="00554206">
        <w:rPr>
          <w:rFonts w:eastAsia="Times New Roman" w:cs="Arial"/>
          <w:color w:val="000000"/>
          <w:szCs w:val="22"/>
        </w:rPr>
        <w:t>-</w:t>
      </w:r>
      <w:r w:rsidR="007F40F5" w:rsidRPr="00A71FCF">
        <w:rPr>
          <w:rFonts w:eastAsia="Times New Roman" w:cs="Arial"/>
          <w:color w:val="000000"/>
          <w:szCs w:val="22"/>
        </w:rPr>
        <w:t xml:space="preserve">weeks in a </w:t>
      </w:r>
      <w:r w:rsidR="00DF373E" w:rsidRPr="00A71FCF">
        <w:rPr>
          <w:rFonts w:eastAsia="Times New Roman" w:cs="Arial"/>
          <w:color w:val="000000"/>
          <w:szCs w:val="22"/>
        </w:rPr>
        <w:t>non-model microb</w:t>
      </w:r>
      <w:r w:rsidR="00A23762" w:rsidRPr="00A71FCF">
        <w:rPr>
          <w:rFonts w:eastAsia="Times New Roman" w:cs="Arial"/>
          <w:color w:val="000000"/>
          <w:szCs w:val="22"/>
        </w:rPr>
        <w:t>ial cell factory</w:t>
      </w:r>
      <w:r w:rsidR="007F40F5" w:rsidRPr="00A71FCF">
        <w:rPr>
          <w:rFonts w:eastAsia="Times New Roman" w:cs="Arial"/>
          <w:color w:val="000000"/>
          <w:szCs w:val="22"/>
        </w:rPr>
        <w:fldChar w:fldCharType="begin" w:fldLock="1"/>
      </w:r>
      <w:r w:rsidR="007F40F5" w:rsidRPr="00A71FCF">
        <w:rPr>
          <w:rFonts w:eastAsia="Times New Roman" w:cs="Arial"/>
          <w:color w:val="000000"/>
          <w:szCs w:val="22"/>
        </w:rPr>
        <w:instrText>ADDIN CSL_CITATION {"citationItems":[{"id":"ITEM-1","itemData":{"DOI":"10.1038/s41467-022-30571-6","ISSN":"2041-1723","PMID":"35650184","abstract":"Carbon-negative synthesis of biochemical products has the potential to mitigate global CO2 emissions. An attractive route to do this is the reverse β-oxidation (r-BOX) pathway coupled to the Wood-Ljungdahl pathway. Here, we optimize and implement r-BOX for the synthesis of C4-C6 acids and alcohols. With a high-throughput in vitro prototyping workflow, we screen 762 unique pathway combinations using cell-free extracts tailored for r-BOX to identify enzyme sets for enhanced product selectivity. Implementation of these pathways into Escherichia coli generates designer strains for the selective production of butanoic acid (4.9 ± 0.1 gL−1), as well as hexanoic acid (3.06 ± 0.03 gL−1) and 1-hexanol (1.0 ± 0.1 gL−1) at the best performance reported to date in this bacterium. We also generate Clostridium autoethanogenum strains able to produce 1-hexanol from syngas, achieving a titer of 0.26 gL−1 in a 1.5 L continuous fermentation. Our strategy enables optimization of r-BOX derived products for biomanufacturing and industrial biotechnology. An attractive route for carbon-negative synthesis of biochemical products is the reverse β-oxidation pathway coupled to the Wood-Ljungdahl pathway. Here the authors use&amp;nbsp;a high-throughput in vitro prototyping workflow to screen 762 unique pathway combinations using cell-free extracts tailored for r-BOX to identify enzyme sets for enhanced product selectivity.","author":[{"dropping-particle":"","family":"Vögeli","given":"Bastian","non-dropping-particle":"","parse-names":false,"suffix":""},{"dropping-particle":"","family":"Schulz","given":"Luca","non-dropping-particle":"","parse-names":false,"suffix":""},{"dropping-particle":"","family":"Garg","given":"Shivani","non-dropping-particle":"","parse-names":false,"suffix":""},{"dropping-particle":"","family":"Tarasava","given":"Katia","non-dropping-particle":"","parse-names":false,"suffix":""},{"dropping-particle":"","family":"Clomburg","given":"James M.","non-dropping-particle":"","parse-names":false,"suffix":""},{"dropping-particle":"","family":"Lee","given":"Seung Hwan","non-dropping-particle":"","parse-names":false,"suffix":""},{"dropping-particle":"","family":"Gonnot","given":"Aislinn","non-dropping-particle":"","parse-names":false,"suffix":""},{"dropping-particle":"","family":"Moully","given":"Elamar Hakim","non-dropping-particle":"","parse-names":false,"suffix":""},{"dropping-particle":"","family":"Kimmel","given":"Blaise R.","non-dropping-particle":"","parse-names":false,"suffix":""},{"dropping-particle":"","family":"Tran","given":"Loan","non-dropping-particle":"","parse-names":false,"suffix":""},{"dropping-particle":"","family":"Zeleznik","given":"Hunter","non-dropping-particle":"","parse-names":false,"suffix":""},{"dropping-particle":"","family":"Brown","given":"Steven D.","non-dropping-particle":"","parse-names":false,"suffix":""},{"dropping-particle":"","family":"Simpson","given":"Sean D.","non-dropping-particle":"","parse-names":false,"suffix":""},{"dropping-particle":"","family":"Mrksich","given":"Milan","non-dropping-particle":"","parse-names":false,"suffix":""},{"dropping-particle":"","family":"Karim","given":"Ashty S.","non-dropping-particle":"","parse-names":false,"suffix":""},{"dropping-particle":"","family":"Gonzalez","given":"Ramon","non-dropping-particle":"","parse-names":false,"suffix":""},{"dropping-particle":"","family":"Köpke","given":"Michael","non-dropping-particle":"","parse-names":false,"suffix":""},{"dropping-particle":"","family":"Jewett","given":"Michael C.","non-dropping-particle":"","parse-names":false,"suffix":""}],"container-title":"Nature Communications 2022 13:1","id":"ITEM-1","issue":"1","issued":{"date-parts":[["2022","6","1"]]},"page":"1-10","publisher":"Nature Publishing Group","title":"Cell-free prototyping enables implementation of optimized reverse β-oxidation pathways in heterotrophic and autotrophic bacteria","type":"article-journal","volume":"13"},"uris":["http://www.mendeley.com/documents/?uuid=04e8f346-3afc-370f-97b8-d41d9539f5ba"]}],"mendeley":{"formattedCitation":"&lt;sup&gt;26&lt;/sup&gt;","plainTextFormattedCitation":"26","previouslyFormattedCitation":"&lt;sup&gt;26&lt;/sup&gt;"},"properties":{"noteIndex":0},"schema":"https://github.com/citation-style-language/schema/raw/master/csl-citation.json"}</w:instrText>
      </w:r>
      <w:r w:rsidR="007F40F5" w:rsidRPr="00A71FCF">
        <w:rPr>
          <w:rFonts w:eastAsia="Times New Roman" w:cs="Arial"/>
          <w:color w:val="000000"/>
          <w:szCs w:val="22"/>
        </w:rPr>
        <w:fldChar w:fldCharType="separate"/>
      </w:r>
      <w:r w:rsidR="007F40F5" w:rsidRPr="00A71FCF">
        <w:rPr>
          <w:rFonts w:eastAsia="Times New Roman" w:cs="Arial"/>
          <w:noProof/>
          <w:color w:val="000000"/>
          <w:szCs w:val="22"/>
          <w:vertAlign w:val="superscript"/>
        </w:rPr>
        <w:t>26</w:t>
      </w:r>
      <w:r w:rsidR="007F40F5" w:rsidRPr="00A71FCF">
        <w:rPr>
          <w:rFonts w:eastAsia="Times New Roman" w:cs="Arial"/>
          <w:color w:val="000000"/>
          <w:szCs w:val="22"/>
        </w:rPr>
        <w:fldChar w:fldCharType="end"/>
      </w:r>
      <w:r w:rsidR="00A23762" w:rsidRPr="00A71FCF">
        <w:rPr>
          <w:rFonts w:eastAsia="Times New Roman" w:cs="Arial"/>
          <w:color w:val="000000"/>
          <w:szCs w:val="22"/>
        </w:rPr>
        <w:t>. However, they</w:t>
      </w:r>
      <w:r w:rsidRPr="00E43B04">
        <w:rPr>
          <w:rFonts w:eastAsia="Times New Roman" w:cs="Arial"/>
          <w:color w:val="000000"/>
          <w:szCs w:val="22"/>
        </w:rPr>
        <w:t xml:space="preserve"> are not yet economically viable for carrying out sophisticated bioconversions due to current cell processing and reagent costs</w:t>
      </w:r>
      <w:r w:rsidR="007F40F5" w:rsidRPr="00A71FCF">
        <w:rPr>
          <w:rFonts w:eastAsia="Times New Roman" w:cs="Arial"/>
          <w:color w:val="000000"/>
          <w:szCs w:val="22"/>
        </w:rPr>
        <w:fldChar w:fldCharType="begin" w:fldLock="1"/>
      </w:r>
      <w:r w:rsidR="007F40F5" w:rsidRPr="00A71FCF">
        <w:rPr>
          <w:rFonts w:eastAsia="Times New Roman" w:cs="Arial"/>
          <w:color w:val="000000"/>
          <w:szCs w:val="22"/>
        </w:rPr>
        <w:instrText>ADDIN CSL_CITATION {"citationItems":[{"id":"ITEM-1","itemData":{"DOI":"10.1016/J.COPBIO.2020.12.012","ISSN":"0958-1669","PMID":"33453438","abstract":"Industrial biotechnology is an attractive approach to address the need for low-cost fuels and products from sustainable resources. Unfortunately, cells impose inherent limitations on the effective synthesis and release of target products. One key constraint is that cellular survival objectives often work against the production objectives of biochemical engineers. Additionally, industrial strains release CO2 and struggle to utilize sustainable, potentially profitable feedstocks. Cell-free biotechnology, which uses biological machinery harvested from cells, can address these challenges with advantages including: (i) shorter development times, (ii) higher volumetric production rates, and (iii) tolerance to otherwise toxic molecules. In this review, we highlight recent advances in cell-free technologies toward the production of non-protein products beyond lab-scale demonstrations and describe guiding principles for designing cell-free systems. Specifically, we discuss carbon and energy sources, reaction homeostasis, and scale-up. Expanding the scope of cell-free biomanufacturing practice could enable innovative approaches for the industrial production of green chemicals.","author":[{"dropping-particle":"","family":"Rasor","given":"Blake J.","non-dropping-particle":"","parse-names":false,"suffix":""},{"dropping-particle":"","family":"Vögeli","given":"Bastian","non-dropping-particle":"","parse-names":false,"suffix":""},{"dropping-particle":"","family":"Landwehr","given":"Grant M.","non-dropping-particle":"","parse-names":false,"suffix":""},{"dropping-particle":"","family":"Bogart","given":"Jonathan W.","non-dropping-particle":"","parse-names":false,"suffix":""},{"dropping-particle":"","family":"Karim","given":"Ashty S.","non-dropping-particle":"","parse-names":false,"suffix":""},{"dropping-particle":"","family":"Jewett","given":"Michael C.","non-dropping-particle":"","parse-names":false,"suffix":""}],"container-title":"Current Opinion in Biotechnology","id":"ITEM-1","issued":{"date-parts":[["2021","6","1"]]},"page":"136-144","publisher":"Elsevier Current Trends","title":"Toward sustainable, cell-free biomanufacturing","type":"article-journal","volume":"69"},"uris":["http://www.mendeley.com/documents/?uuid=7f479995-6171-3f2e-bb99-2b784934562a"]}],"mendeley":{"formattedCitation":"&lt;sup&gt;11&lt;/sup&gt;","plainTextFormattedCitation":"11","previouslyFormattedCitation":"&lt;sup&gt;11&lt;/sup&gt;"},"properties":{"noteIndex":0},"schema":"https://github.com/citation-style-language/schema/raw/master/csl-citation.json"}</w:instrText>
      </w:r>
      <w:r w:rsidR="007F40F5" w:rsidRPr="00A71FCF">
        <w:rPr>
          <w:rFonts w:eastAsia="Times New Roman" w:cs="Arial"/>
          <w:color w:val="000000"/>
          <w:szCs w:val="22"/>
        </w:rPr>
        <w:fldChar w:fldCharType="separate"/>
      </w:r>
      <w:r w:rsidR="007F40F5" w:rsidRPr="00A71FCF">
        <w:rPr>
          <w:rFonts w:eastAsia="Times New Roman" w:cs="Arial"/>
          <w:noProof/>
          <w:color w:val="000000"/>
          <w:szCs w:val="22"/>
          <w:vertAlign w:val="superscript"/>
        </w:rPr>
        <w:t>11</w:t>
      </w:r>
      <w:r w:rsidR="007F40F5" w:rsidRPr="00A71FCF">
        <w:rPr>
          <w:rFonts w:eastAsia="Times New Roman" w:cs="Arial"/>
          <w:color w:val="000000"/>
          <w:szCs w:val="22"/>
        </w:rPr>
        <w:fldChar w:fldCharType="end"/>
      </w:r>
      <w:r w:rsidRPr="00E43B04">
        <w:rPr>
          <w:rFonts w:eastAsia="Times New Roman" w:cs="Arial"/>
          <w:color w:val="000000"/>
          <w:szCs w:val="22"/>
        </w:rPr>
        <w:t xml:space="preserve">. </w:t>
      </w:r>
      <w:r w:rsidR="00F43FB3" w:rsidRPr="00A71FCF">
        <w:rPr>
          <w:rFonts w:eastAsia="Times New Roman" w:cs="Arial"/>
          <w:color w:val="000000"/>
          <w:szCs w:val="22"/>
        </w:rPr>
        <w:t xml:space="preserve">To </w:t>
      </w:r>
      <w:r w:rsidR="00107D3C" w:rsidRPr="00A71FCF">
        <w:rPr>
          <w:rFonts w:eastAsia="Times New Roman" w:cs="Arial"/>
          <w:color w:val="000000"/>
          <w:szCs w:val="22"/>
        </w:rPr>
        <w:t>address this</w:t>
      </w:r>
      <w:r w:rsidR="00F43FB3" w:rsidRPr="00A71FCF">
        <w:rPr>
          <w:rFonts w:eastAsia="Times New Roman" w:cs="Arial"/>
          <w:color w:val="000000"/>
          <w:szCs w:val="22"/>
        </w:rPr>
        <w:t>, p</w:t>
      </w:r>
      <w:r w:rsidRPr="00E43B04">
        <w:rPr>
          <w:rFonts w:eastAsia="Times New Roman" w:cs="Arial"/>
          <w:color w:val="000000"/>
          <w:szCs w:val="22"/>
        </w:rPr>
        <w:t xml:space="preserve">otential metabolic engineering solutions have been </w:t>
      </w:r>
      <w:r w:rsidR="00F43FB3" w:rsidRPr="00A71FCF">
        <w:rPr>
          <w:rFonts w:eastAsia="Times New Roman" w:cs="Arial"/>
          <w:color w:val="000000"/>
          <w:szCs w:val="22"/>
        </w:rPr>
        <w:t>proposed</w:t>
      </w:r>
      <w:r w:rsidR="007F40F5" w:rsidRPr="00A71FCF">
        <w:rPr>
          <w:rFonts w:eastAsia="Times New Roman" w:cs="Arial"/>
          <w:color w:val="000000"/>
          <w:szCs w:val="22"/>
        </w:rPr>
        <w:fldChar w:fldCharType="begin" w:fldLock="1"/>
      </w:r>
      <w:r w:rsidR="007F40F5" w:rsidRPr="00A71FCF">
        <w:rPr>
          <w:rFonts w:eastAsia="Times New Roman" w:cs="Arial"/>
          <w:color w:val="000000"/>
          <w:szCs w:val="22"/>
        </w:rPr>
        <w:instrText>ADDIN CSL_CITATION {"citationItems":[{"id":"ITEM-1","itemData":{"DOI":"10.1016/J.COPBIO.2020.12.012","ISSN":"0958-1669","PMID":"33453438","abstract":"Industrial biotechnology is an attractive approach to address the need for low-cost fuels and products from sustainable resources. Unfortunately, cells impose inherent limitations on the effective synthesis and release of target products. One key constraint is that cellular survival objectives often work against the production objectives of biochemical engineers. Additionally, industrial strains release CO2 and struggle to utilize sustainable, potentially profitable feedstocks. Cell-free biotechnology, which uses biological machinery harvested from cells, can address these challenges with advantages including: (i) shorter development times, (ii) higher volumetric production rates, and (iii) tolerance to otherwise toxic molecules. In this review, we highlight recent advances in cell-free technologies toward the production of non-protein products beyond lab-scale demonstrations and describe guiding principles for designing cell-free systems. Specifically, we discuss carbon and energy sources, reaction homeostasis, and scale-up. Expanding the scope of cell-free biomanufacturing practice could enable innovative approaches for the industrial production of green chemicals.","author":[{"dropping-particle":"","family":"Rasor","given":"Blake J.","non-dropping-particle":"","parse-names":false,"suffix":""},{"dropping-particle":"","family":"Vögeli","given":"Bastian","non-dropping-particle":"","parse-names":false,"suffix":""},{"dropping-particle":"","family":"Landwehr","given":"Grant M.","non-dropping-particle":"","parse-names":false,"suffix":""},{"dropping-particle":"","family":"Bogart","given":"Jonathan W.","non-dropping-particle":"","parse-names":false,"suffix":""},{"dropping-particle":"","family":"Karim","given":"Ashty S.","non-dropping-particle":"","parse-names":false,"suffix":""},{"dropping-particle":"","family":"Jewett","given":"Michael C.","non-dropping-particle":"","parse-names":false,"suffix":""}],"container-title":"Current Opinion in Biotechnology","id":"ITEM-1","issued":{"date-parts":[["2021","6","1"]]},"page":"136-144","publisher":"Elsevier Current Trends","title":"Toward sustainable, cell-free biomanufacturing","type":"article-journal","volume":"69"},"uris":["http://www.mendeley.com/documents/?uuid=7f479995-6171-3f2e-bb99-2b784934562a"]}],"mendeley":{"formattedCitation":"&lt;sup&gt;11&lt;/sup&gt;","plainTextFormattedCitation":"11","previouslyFormattedCitation":"&lt;sup&gt;11&lt;/sup&gt;"},"properties":{"noteIndex":0},"schema":"https://github.com/citation-style-language/schema/raw/master/csl-citation.json"}</w:instrText>
      </w:r>
      <w:r w:rsidR="007F40F5" w:rsidRPr="00A71FCF">
        <w:rPr>
          <w:rFonts w:eastAsia="Times New Roman" w:cs="Arial"/>
          <w:color w:val="000000"/>
          <w:szCs w:val="22"/>
        </w:rPr>
        <w:fldChar w:fldCharType="separate"/>
      </w:r>
      <w:r w:rsidR="007F40F5" w:rsidRPr="00A71FCF">
        <w:rPr>
          <w:rFonts w:eastAsia="Times New Roman" w:cs="Arial"/>
          <w:noProof/>
          <w:color w:val="000000"/>
          <w:szCs w:val="22"/>
          <w:vertAlign w:val="superscript"/>
        </w:rPr>
        <w:t>11</w:t>
      </w:r>
      <w:r w:rsidR="007F40F5" w:rsidRPr="00A71FCF">
        <w:rPr>
          <w:rFonts w:eastAsia="Times New Roman" w:cs="Arial"/>
          <w:color w:val="000000"/>
          <w:szCs w:val="22"/>
        </w:rPr>
        <w:fldChar w:fldCharType="end"/>
      </w:r>
      <w:r w:rsidR="00F43FB3" w:rsidRPr="00A71FCF">
        <w:rPr>
          <w:rFonts w:eastAsia="Times New Roman" w:cs="Arial"/>
          <w:color w:val="000000"/>
          <w:szCs w:val="22"/>
        </w:rPr>
        <w:t>. These i</w:t>
      </w:r>
      <w:r w:rsidRPr="00E43B04">
        <w:rPr>
          <w:rFonts w:eastAsia="Times New Roman" w:cs="Arial"/>
          <w:color w:val="000000"/>
          <w:szCs w:val="22"/>
        </w:rPr>
        <w:t>nclude extending the shelf-lives of these systems’ enzymes</w:t>
      </w:r>
      <w:r w:rsidR="007F40F5"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{"citationItems":[{"id":"ITEM-1","itemData":{"DOI":"10.1038/ncomms15526","ISSN":"20411723","abstract":"Cell-free systems designed to perform complex chemical conversions of biomass to biofuels or commodity chemicals are emerging as promising alternatives to the metabolic engineering of living cells. Here we design a system comprises 27 enzymes for the conversion of glucose into monoterpenes that generates both NAD(P)H and ATP in a modified glucose breakdown module and utilizes both cofactors for building terpenes. Different monoterpenes are produced in our system by changing the terpene synthase enzyme. The system is stable for the production of limonene, pinene and sabinene, and can operate continuously for at least 5 days from a single addition of glucose. We obtain conversion yields 495% and titres 415 g l À 1 . The titres are an order of magnitude over cellular toxicity limits and thus difficult to achieve using cell-based systems. Overall, these results highlight the potential of synthetic biochemistry approaches for producing bio-based chemicals.","author":[{"dropping-particle":"","family":"Korman","given":"Tyler P.","non-dropping-particle":"","parse-names":false,"suffix":""},{"dropping-particle":"","family":"Opgenorth","given":"Paul H.","non-dropping-particle":"","parse-names":false,"suffix":""},{"dropping-particle":"","family":"Bowie","given":"James U.","non-dropping-particle":"","parse-names":false,"suffix":""}],"container-title":"Nature Communications","id":"ITEM-1","issue":"May","issued":{"date-parts":[["2017"]]},"page":"1-8","publisher":"Nature Publishing Group","title":"A synthetic biochemistry platform for cell free production of monoterpenes from glucose","type":"article-journal","volume":"8"},"uris":["http://www.mendeley.com/documents/?uuid=dcddd9f5-5244-43c2-984f-ffa62b217d88"]},{"id":"ITEM-2","itemData":{"DOI":"10.1016/j.tibtech.2019.12.024","ISSN":"18793096","abstract":"Metabolic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Biotechnology","id":"ITEM-2","issued":{"date-parts":[["2020","1","23"]]},"publisher":"Elsevier Ltd","title":"Synthetic Biochemistry: The Bio-inspired Cell-Free Approach to Commodity Chemical Production","type":"article"},"uris":["http://www.mendeley.com/documents/?uuid=2e6836a8-603b-33f3-ac63-5bc4a65d2485"]}],"mendeley":{"formattedCitation":"&lt;sup&gt;20,40&lt;/sup&gt;","plainTextFormattedCitation":"20,40","previouslyFormattedCitation":"&lt;sup&gt;20,40&lt;/sup&gt;"},"properties":{"noteIndex":0},"schema":"https://github.com/citation-style-language/schema/raw/master/csl-citation.json"}</w:instrText>
      </w:r>
      <w:r w:rsidR="007F40F5"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20,40</w:t>
      </w:r>
      <w:r w:rsidR="007F40F5" w:rsidRPr="00A71FCF">
        <w:rPr>
          <w:rFonts w:eastAsia="Times New Roman" w:cs="Arial"/>
          <w:color w:val="000000"/>
          <w:szCs w:val="22"/>
        </w:rPr>
        <w:fldChar w:fldCharType="end"/>
      </w:r>
      <w:r w:rsidRPr="00E43B04">
        <w:rPr>
          <w:rFonts w:eastAsia="Times New Roman" w:cs="Arial"/>
          <w:color w:val="000000"/>
          <w:szCs w:val="22"/>
        </w:rPr>
        <w:t>, building in more efficient cofactor regenerating modules</w:t>
      </w:r>
      <w:r w:rsidR="007261F2"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{"citationItems":[{"id":"ITEM-1","itemData":{"DOI":"10.1038/ncomms5113","ISSN":"2041-1723","PMID":"24936528","abstract":"The greatest potential environmental benefit of metabolic engineering would be the production of high-volume commodity chemicals, such as biofuels. Yet, the high yields required for the economic viability of low-value chemicals is particularly hard to achieve in microbes owing to the myriad competing biochemical pathways. An alternative approach, which we call synthetic biochemistry, is to eliminate the organism by constructing biochemical pathways in vitro. Viable synthetic biochemistry, however, will require simple methods to replace the cellular circuitry that maintains cofactor balance. Here we design a simple purge valve module for maintaining NADP+/NADPH balance. We test the purge valve in the production of polyhydroxybutyryl bioplastic and isoprene—pathways where cofactor generation and utilization are unbalanced. We find that the regulatory system is highly robust to variations in cofactor levels and readily transportable. The molecular purge valve provides a step towards developing continuously operating, sustainable synthetic biochemistry systems. In vitro biochemical pathways could provide the high yields required for economical commodity chemical production, but require circuitry development to regulate high-energy cofactors. Here, the authors design and test a simple purge valve system to maintain NADP+/NADPH balance in E. coli.","author":[{"dropping-particle":"","family":"Opgenorth","given":"Paul H.","non-dropping-particle":"","parse-names":false,"suffix":""},{"dropping-particle":"","family":"Korman","given":"Tyler P.","non-dropping-particle":"","parse-names":false,"suffix":""},{"dropping-particle":"","family":"Bowie","given":"James U.","non-dropping-particle":"","parse-names":false,"suffix":""}],"container-title":"Nature Communications 2014 5:1","id":"ITEM-1","issue":"1","issued":{"date-parts":[["2014","6","17"]]},"page":"1-8","publisher":"Nature Publishing Group","title":"A synthetic biochemistry molecular purge valve module that maintains redox balance","type":"article-journal","volume":"5"},"uris":["http://www.mendeley.com/documents/?uuid=a4538659-b33f-3e6c-a7b8-41b8476015b3"]},{"id":"ITEM-2","itemData":{"DOI":"10.1038/nchembio.2062","ISSN":"1552-4450","PMID":"27065234","abstract":"Synthetic biochemistry, the cell-free production of biologically based chemicals, is a potentially high-yield, flexible alternative to in vivo metabolic engineering. To limit costs, cell-free systems must be designed to operate continuously with minimal addition of feedstock chemicals. We describe a robust, efficient synthetic glucose breakdown pathway and implement it for the production of bioplastic. The system's performance suggests that synthetic biochemistry has the potential to become a viable industrial alternative.","author":[{"dropping-particle":"","family":"Opgenorth","given":"Paul H","non-dropping-particle":"","parse-names":false,"suffix":""},{"dropping-particle":"","family":"Korman","given":"Tyler P","non-dropping-particle":"","parse-names":false,"suffix":""},{"dropping-particle":"","family":"Bowie","given":"James U","non-dropping-particle":"","parse-names":false,"suffix":""}],"container-title":"Nature Chemical Biology","id":"ITEM-2","issue":"6","issued":{"date-parts":[["2016"]]},"page":"1-4","publisher":"Nature Publishing Group","title":"A synthetic biochemistry module for production of bio-based chemicals from glucose","type":"article-journal","volume":"12"},"uris":["http://www.mendeley.com/documents/?uuid=c0c5c3d1-fb5c-4764-9ab6-a474693628d7"]}],"mendeley":{"formattedCitation":"&lt;sup&gt;56,57&lt;/sup&gt;","plainTextFormattedCitation":"56,57","previouslyFormattedCitation":"&lt;sup&gt;56,57&lt;/sup&gt;"},"properties":{"noteIndex":0},"schema":"https://github.com/citation-style-language/schema/raw/master/csl-citation.json"}</w:instrText>
      </w:r>
      <w:r w:rsidR="007261F2"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56,57</w:t>
      </w:r>
      <w:r w:rsidR="007261F2" w:rsidRPr="00A71FCF">
        <w:rPr>
          <w:rFonts w:eastAsia="Times New Roman" w:cs="Arial"/>
          <w:color w:val="000000"/>
          <w:szCs w:val="22"/>
        </w:rPr>
        <w:fldChar w:fldCharType="end"/>
      </w:r>
      <w:r w:rsidRPr="00E43B04">
        <w:rPr>
          <w:rFonts w:eastAsia="Times New Roman" w:cs="Arial"/>
          <w:color w:val="000000"/>
          <w:szCs w:val="22"/>
        </w:rPr>
        <w:t xml:space="preserve">, or engineering extracts to utilize </w:t>
      </w:r>
      <w:r w:rsidR="00A23762" w:rsidRPr="00A71FCF">
        <w:rPr>
          <w:rFonts w:eastAsia="Times New Roman" w:cs="Arial"/>
          <w:color w:val="000000"/>
          <w:szCs w:val="22"/>
        </w:rPr>
        <w:t>free</w:t>
      </w:r>
      <w:r w:rsidRPr="00E43B04">
        <w:rPr>
          <w:rFonts w:eastAsia="Times New Roman" w:cs="Arial"/>
          <w:color w:val="000000"/>
          <w:szCs w:val="22"/>
        </w:rPr>
        <w:t xml:space="preserve"> feedstocks (e.g. CO</w:t>
      </w:r>
      <w:r w:rsidRPr="005243FC">
        <w:rPr>
          <w:rFonts w:eastAsia="Times New Roman" w:cs="Arial"/>
          <w:color w:val="000000"/>
          <w:szCs w:val="22"/>
          <w:vertAlign w:val="subscript"/>
        </w:rPr>
        <w:t>2</w:t>
      </w:r>
      <w:r w:rsidRPr="00E43B04">
        <w:rPr>
          <w:rFonts w:eastAsia="Times New Roman" w:cs="Arial"/>
          <w:color w:val="000000"/>
          <w:szCs w:val="22"/>
        </w:rPr>
        <w:t>)</w:t>
      </w:r>
      <w:r w:rsidR="007261F2" w:rsidRPr="00A71FCF">
        <w:rPr>
          <w:rFonts w:eastAsia="Times New Roman" w:cs="Arial"/>
          <w:color w:val="000000"/>
          <w:szCs w:val="22"/>
        </w:rPr>
        <w:fldChar w:fldCharType="begin" w:fldLock="1"/>
      </w:r>
      <w:r w:rsidR="00EF4FC1" w:rsidRPr="00A71FCF">
        <w:rPr>
          <w:rFonts w:eastAsia="Times New Roman" w:cs="Arial"/>
          <w:color w:val="000000"/>
          <w:szCs w:val="22"/>
        </w:rPr>
        <w:instrText>ADDIN CSL_CITATION {"citationItems":[{"id":"ITEM-1","itemData":{"DOI":"10.1016/J.COPBIO.2020.12.012","ISSN":"0958-1669","PMID":"33453438","abstract":"Industrial biotechnology is an attractive approach to address the need for low-cost fuels and products from sustainable resources. Unfortunately, cells impose inherent limitations on the effective synthesis and release of target products. One key constraint is that cellular survival objectives often work against the production objectives of biochemical engineers. Additionally, industrial strains release CO2 and struggle to utilize sustainable, potentially profitable feedstocks. Cell-free biotechnology, which uses biological machinery harvested from cells, can address these challenges with advantages including: (i) shorter development times, (ii) higher volumetric production rates, and (iii) tolerance to otherwise toxic molecules. In this review, we highlight recent advances in cell-free technologies toward the production of non-protein products beyond lab-scale demonstrations and describe guiding principles for designing cell-free systems. Specifically, we discuss carbon and energy sources, reaction homeostasis, and scale-up. Expanding the scope of cell-free biomanufacturing practice could enable innovative approaches for the industrial production of green chemicals.","author":[{"dropping-particle":"","family":"Rasor","given":"Blake J.","non-dropping-particle":"","parse-names":false,"suffix":""},{"dropping-particle":"","family":"Vögeli","given":"Bastian","non-dropping-particle":"","parse-names":false,"suffix":""},{"dropping-particle":"","family":"Landwehr","given":"Grant M.","non-dropping-particle":"","parse-names":false,"suffix":""},{"dropping-particle":"","family":"Bogart","given":"Jonathan W.","non-dropping-particle":"","parse-names":false,"suffix":""},{"dropping-particle":"","family":"Karim","given":"Ashty S.","non-dropping-particle":"","parse-names":false,"suffix":""},{"dropping-particle":"","family":"Jewett","given":"Michael C.","non-dropping-particle":"","parse-names":false,"suffix":""}],"container-title":"Current Opinion in Biotechnology","id":"ITEM-1","issued":{"date-parts":[["2021","6","1"]]},"page":"136-144","publisher":"Elsevier Current Trends","title":"Toward sustainable, cell-free biomanufacturing","type":"article-journal","volume":"69"},"uris":["http://www.mendeley.com/documents/?uuid=7f479995-6171-3f2e-bb99-2b784934562a"]}],"mendeley":{"formattedCitation":"&lt;sup&gt;11&lt;/sup&gt;","plainTextFormattedCitation":"11","previouslyFormattedCitation":"&lt;sup&gt;11&lt;/sup&gt;"},"properties":{"noteIndex":0},"schema":"https://github.com/citation-style-language/schema/raw/master/csl-citation.json"}</w:instrText>
      </w:r>
      <w:r w:rsidR="007261F2" w:rsidRPr="00A71FCF">
        <w:rPr>
          <w:rFonts w:eastAsia="Times New Roman" w:cs="Arial"/>
          <w:color w:val="000000"/>
          <w:szCs w:val="22"/>
        </w:rPr>
        <w:fldChar w:fldCharType="separate"/>
      </w:r>
      <w:r w:rsidR="007261F2" w:rsidRPr="00A71FCF">
        <w:rPr>
          <w:rFonts w:eastAsia="Times New Roman" w:cs="Arial"/>
          <w:noProof/>
          <w:color w:val="000000"/>
          <w:szCs w:val="22"/>
          <w:vertAlign w:val="superscript"/>
        </w:rPr>
        <w:t>11</w:t>
      </w:r>
      <w:r w:rsidR="007261F2" w:rsidRPr="00A71FCF">
        <w:rPr>
          <w:rFonts w:eastAsia="Times New Roman" w:cs="Arial"/>
          <w:color w:val="000000"/>
          <w:szCs w:val="22"/>
        </w:rPr>
        <w:fldChar w:fldCharType="end"/>
      </w:r>
      <w:r w:rsidRPr="00E43B04">
        <w:rPr>
          <w:rFonts w:eastAsia="Times New Roman" w:cs="Arial"/>
          <w:color w:val="000000"/>
          <w:szCs w:val="22"/>
        </w:rPr>
        <w:t xml:space="preserve"> and </w:t>
      </w:r>
      <w:r w:rsidR="00A23762" w:rsidRPr="00A71FCF">
        <w:rPr>
          <w:rFonts w:eastAsia="Times New Roman" w:cs="Arial"/>
          <w:color w:val="000000"/>
          <w:szCs w:val="22"/>
        </w:rPr>
        <w:t xml:space="preserve">cheaper </w:t>
      </w:r>
      <w:r w:rsidR="007F40F5" w:rsidRPr="00A71FCF">
        <w:rPr>
          <w:rFonts w:eastAsia="Times New Roman" w:cs="Arial"/>
          <w:color w:val="000000"/>
          <w:szCs w:val="22"/>
        </w:rPr>
        <w:t xml:space="preserve">alternative </w:t>
      </w:r>
      <w:r w:rsidRPr="00E43B04">
        <w:rPr>
          <w:rFonts w:eastAsia="Times New Roman" w:cs="Arial"/>
          <w:color w:val="000000"/>
          <w:szCs w:val="22"/>
        </w:rPr>
        <w:t>cofactors</w:t>
      </w:r>
      <w:r w:rsidR="00A23762" w:rsidRPr="00A71FCF">
        <w:rPr>
          <w:rFonts w:eastAsia="Times New Roman" w:cs="Arial"/>
          <w:color w:val="000000"/>
          <w:szCs w:val="22"/>
        </w:rPr>
        <w:t xml:space="preserve"> (e.g., </w:t>
      </w:r>
      <w:r w:rsidR="007F40F5" w:rsidRPr="00A71FCF">
        <w:rPr>
          <w:rFonts w:eastAsia="Times New Roman" w:cs="Arial"/>
          <w:color w:val="000000"/>
          <w:szCs w:val="22"/>
        </w:rPr>
        <w:t>non-canonical nicotinamides)</w:t>
      </w:r>
      <w:r w:rsidR="00EF4FC1"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{"citationItems":[{"id":"ITEM-1","itemData":{"DOI":"10.1016/J.COPBIO.2020.08.005","ISSN":"0958-1669","PMID":"32956903","abstract":"Nicotinamide cofactors enable oxidoreductases to catalyze a myriad of important reactions in biomanufacturing. Decades of research has focused on optimizing enzymes which utilize natural nicotinamide cofactors, namely nicotinamide adenine dinucleotide (phosphate) (NAD(P)+). Recent findings reignite the interest in engineering enzymes to utilize noncanonical cofactors, the mimetics of NAD+ (mNADs), which exhibit superior industrial properties in vitro and enable specific electron delivery in vivo. We compare recent advances in engineering natural versus noncanonical cofactor-utilizing enzymes, discuss design principles discovered, and survey emerging high-throughput platforms beyond the traditional 96-well plate-based methods. Obtaining mNAD-dependent enzymes remains challenging with a limited toolkit. To this end, we highlight design principles and technologies which can potentially be translated from engineering natural to noncanonical cofactor-dependent enzymes.","author":[{"dropping-particle":"","family":"King","given":"Edward","non-dropping-particle":"","parse-names":false,"suffix":""},{"dropping-particle":"","family":"Maxel","given":"Sarah","non-dropping-particle":"","parse-names":false,"suffix":""},{"dropping-particle":"","family":"Li","given":"Han","non-dropping-particle":"","parse-names":false,"suffix":""}],"container-title":"Current Opinion in Biotechnology","id":"ITEM-1","issued":{"date-parts":[["2020","12","1"]]},"page":"217-226","publisher":"Elsevier Current Trends","title":"Engineering natural and noncanonical nicotinamide cofactor-dependent enzymes: design principles and technology development","type":"article-journal","volume":"66"},"uris":["http://www.mendeley.com/documents/?uuid=2cf90013-7cfc-3c92-a231-3b1e34c45bf6"]},{"id":"ITEM-2","itemData":{"DOI":"10.1007/978-1-0716-1998-8_11","ISSN":"1940-6029","PMID":"34985745","abstract":"Noncanonical redox cofactor systems utilize nicotinamide adenine dinucleotide (phosphate), NAD(P)H, mimics to perform biotransformation reactions. Compared to systems utilizing native NAD(P)H, these noncanonical redox cofactors can offer decreased cost of cofactor supply, improved system activities, and can even supply reducing power directly to targeted reactions in complex biological environments. When these systems are operated in cell-free settings, the high level of user control afforded by direct access to the reaction system enables specific tuning of cofactor parameters, enzyme activity, and reaction progression to maximize system productivity. In this chapter, we will describe methods for constructing these cell-free noncanonical redox cofactor systems. Specifically, methods, design concepts, and system adaptation will be discussed for applying noncanonical redox cofactors to both purified protein-based and crude lysate-based biotransformation systems.","author":[{"dropping-particle":"","family":"Black","given":"William B.","non-dropping-particle":"","parse-names":false,"suffix":""},{"dropping-particle":"","family":"Li","given":"Han","non-dropping-particle":"","parse-names":false,"suffix":""}],"container-title":"Methods in molecular biology (Clifton, N.J.)","id":"ITEM-2","issued":{"date-parts":[["2022"]]},"page":"185-198","publisher":"Methods Mol Biol","title":"Cell-Free Noncanonical Redox Cofactor Systems","type":"article-journal","volume":"2433"},"uris":["http://www.mendeley.com/documents/?uuid=daffaa78-06b8-37f1-94eb-c6e94cd7e486"]}],"mendeley":{"formattedCitation":"&lt;sup&gt;58,59&lt;/sup&gt;","plainTextFormattedCitation":"58,59","previouslyFormattedCitation":"&lt;sup&gt;58,59&lt;/sup&gt;"},"properties":{"noteIndex":0},"schema":"https://github.com/citation-style-language/schema/raw/master/csl-citation.json"}</w:instrText>
      </w:r>
      <w:r w:rsidR="00EF4FC1"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58,59</w:t>
      </w:r>
      <w:r w:rsidR="00EF4FC1" w:rsidRPr="00A71FCF">
        <w:rPr>
          <w:rFonts w:eastAsia="Times New Roman" w:cs="Arial"/>
          <w:color w:val="000000"/>
          <w:szCs w:val="22"/>
        </w:rPr>
        <w:fldChar w:fldCharType="end"/>
      </w:r>
      <w:r w:rsidRPr="00E43B04">
        <w:rPr>
          <w:rFonts w:eastAsia="Times New Roman" w:cs="Arial"/>
          <w:color w:val="000000"/>
          <w:szCs w:val="22"/>
        </w:rPr>
        <w:t xml:space="preserve">. </w:t>
      </w:r>
      <w:r w:rsidR="00651A3C" w:rsidRPr="00A71FCF">
        <w:rPr>
          <w:rFonts w:eastAsia="Times New Roman" w:cs="Arial"/>
          <w:color w:val="000000"/>
          <w:szCs w:val="22"/>
        </w:rPr>
        <w:t xml:space="preserve">Based on calculations by </w:t>
      </w:r>
      <w:proofErr w:type="spellStart"/>
      <w:r w:rsidR="00651A3C" w:rsidRPr="00A71FCF">
        <w:rPr>
          <w:rFonts w:eastAsia="Times New Roman" w:cs="Arial"/>
          <w:color w:val="000000"/>
          <w:szCs w:val="22"/>
        </w:rPr>
        <w:t>Rasor</w:t>
      </w:r>
      <w:proofErr w:type="spellEnd"/>
      <w:r w:rsidR="00651A3C" w:rsidRPr="00A71FCF">
        <w:rPr>
          <w:rFonts w:eastAsia="Times New Roman" w:cs="Arial"/>
          <w:color w:val="000000"/>
          <w:szCs w:val="22"/>
        </w:rPr>
        <w:t xml:space="preserve"> et al., s</w:t>
      </w:r>
      <w:r w:rsidR="00F43FB3" w:rsidRPr="00A71FCF">
        <w:rPr>
          <w:rFonts w:eastAsia="Times New Roman" w:cs="Arial"/>
          <w:color w:val="000000"/>
          <w:szCs w:val="22"/>
        </w:rPr>
        <w:t>uch innovations can advance</w:t>
      </w:r>
      <w:r w:rsidRPr="00E43B04">
        <w:rPr>
          <w:rFonts w:eastAsia="Times New Roman" w:cs="Arial"/>
          <w:color w:val="000000"/>
          <w:szCs w:val="22"/>
        </w:rPr>
        <w:t xml:space="preserve"> lysate-based systems </w:t>
      </w:r>
      <w:r w:rsidR="00F43FB3" w:rsidRPr="00A71FCF">
        <w:rPr>
          <w:rFonts w:eastAsia="Times New Roman" w:cs="Arial"/>
          <w:color w:val="000000"/>
          <w:szCs w:val="22"/>
        </w:rPr>
        <w:t>as</w:t>
      </w:r>
      <w:r w:rsidR="00651A3C" w:rsidRPr="00A71FCF">
        <w:rPr>
          <w:rFonts w:eastAsia="Times New Roman" w:cs="Arial"/>
          <w:color w:val="000000"/>
          <w:szCs w:val="22"/>
        </w:rPr>
        <w:t xml:space="preserve"> lucrative </w:t>
      </w:r>
      <w:r w:rsidR="009C3669" w:rsidRPr="00A71FCF">
        <w:rPr>
          <w:rFonts w:eastAsia="Times New Roman" w:cs="Arial"/>
          <w:color w:val="000000"/>
          <w:szCs w:val="22"/>
        </w:rPr>
        <w:t>platforms</w:t>
      </w:r>
      <w:r w:rsidRPr="00E43B04">
        <w:rPr>
          <w:rFonts w:eastAsia="Times New Roman" w:cs="Arial"/>
          <w:color w:val="000000"/>
          <w:szCs w:val="22"/>
        </w:rPr>
        <w:t xml:space="preserve"> for high-value specialty chemical productio</w:t>
      </w:r>
      <w:r w:rsidR="009C3669" w:rsidRPr="00A71FCF">
        <w:rPr>
          <w:rFonts w:eastAsia="Times New Roman" w:cs="Arial"/>
          <w:color w:val="000000"/>
          <w:szCs w:val="22"/>
        </w:rPr>
        <w:t>n</w:t>
      </w:r>
      <w:r w:rsidR="00F43FB3" w:rsidRPr="00A71FCF">
        <w:rPr>
          <w:rFonts w:eastAsia="Times New Roman" w:cs="Arial"/>
          <w:color w:val="000000"/>
          <w:szCs w:val="22"/>
        </w:rPr>
        <w:t xml:space="preserve">, </w:t>
      </w:r>
      <w:r w:rsidR="00651A3C" w:rsidRPr="00A71FCF">
        <w:rPr>
          <w:rFonts w:eastAsia="Times New Roman" w:cs="Arial"/>
          <w:color w:val="000000"/>
          <w:szCs w:val="22"/>
        </w:rPr>
        <w:t>provided that these</w:t>
      </w:r>
      <w:r w:rsidR="00F43FB3" w:rsidRPr="00A71FCF">
        <w:rPr>
          <w:rFonts w:eastAsia="Times New Roman" w:cs="Arial"/>
          <w:color w:val="000000"/>
          <w:szCs w:val="22"/>
        </w:rPr>
        <w:t xml:space="preserve"> systems have maxim</w:t>
      </w:r>
      <w:r w:rsidR="00651A3C" w:rsidRPr="00A71FCF">
        <w:rPr>
          <w:rFonts w:eastAsia="Times New Roman" w:cs="Arial"/>
          <w:color w:val="000000"/>
          <w:szCs w:val="22"/>
        </w:rPr>
        <w:t>um</w:t>
      </w:r>
      <w:r w:rsidR="00706ADD">
        <w:rPr>
          <w:rFonts w:eastAsia="Times New Roman" w:cs="Arial"/>
          <w:color w:val="000000"/>
          <w:szCs w:val="22"/>
        </w:rPr>
        <w:t xml:space="preserve"> product</w:t>
      </w:r>
      <w:r w:rsidR="00F43FB3" w:rsidRPr="00A71FCF">
        <w:rPr>
          <w:rFonts w:eastAsia="Times New Roman" w:cs="Arial"/>
          <w:color w:val="000000"/>
          <w:szCs w:val="22"/>
        </w:rPr>
        <w:t xml:space="preserve"> yields</w:t>
      </w:r>
      <w:r w:rsidR="00EF4FC1" w:rsidRPr="00A71FCF">
        <w:rPr>
          <w:rFonts w:eastAsia="Times New Roman" w:cs="Arial"/>
          <w:color w:val="000000"/>
          <w:szCs w:val="22"/>
        </w:rPr>
        <w:fldChar w:fldCharType="begin" w:fldLock="1"/>
      </w:r>
      <w:r w:rsidR="0039590C" w:rsidRPr="00A71FCF">
        <w:rPr>
          <w:rFonts w:eastAsia="Times New Roman" w:cs="Arial"/>
          <w:color w:val="000000"/>
          <w:szCs w:val="22"/>
        </w:rPr>
        <w:instrText>ADDIN CSL_CITATION {"citationItems":[{"id":"ITEM-1","itemData":{"DOI":"10.1016/J.COPBIO.2020.12.012","ISSN":"0958-1669","PMID":"33453438","abstract":"Industrial biotechnology is an attractive approach to address the need for low-cost fuels and products from sustainable resources. Unfortunately, cells impose inherent limitations on the effective synthesis and release of target products. One key constraint is that cellular survival objectives often work against the production objectives of biochemical engineers. Additionally, industrial strains release CO2 and struggle to utilize sustainable, potentially profitable feedstocks. Cell-free biotechnology, which uses biological machinery harvested from cells, can address these challenges with advantages including: (i) shorter development times, (ii) higher volumetric production rates, and (iii) tolerance to otherwise toxic molecules. In this review, we highlight recent advances in cell-free technologies toward the production of non-protein products beyond lab-scale demonstrations and describe guiding principles for designing cell-free systems. Specifically, we discuss carbon and energy sources, reaction homeostasis, and scale-up. Expanding the scope of cell-free biomanufacturing practice could enable innovative approaches for the industrial production of green chemicals.","author":[{"dropping-particle":"","family":"Rasor","given":"Blake J.","non-dropping-particle":"","parse-names":false,"suffix":""},{"dropping-particle":"","family":"Vögeli","given":"Bastian","non-dropping-particle":"","parse-names":false,"suffix":""},{"dropping-particle":"","family":"Landwehr","given":"Grant M.","non-dropping-particle":"","parse-names":false,"suffix":""},{"dropping-particle":"","family":"Bogart","given":"Jonathan W.","non-dropping-particle":"","parse-names":false,"suffix":""},{"dropping-particle":"","family":"Karim","given":"Ashty S.","non-dropping-particle":"","parse-names":false,"suffix":""},{"dropping-particle":"","family":"Jewett","given":"Michael C.","non-dropping-particle":"","parse-names":false,"suffix":""}],"container-title":"Current Opinion in Biotechnology","id":"ITEM-1","issued":{"date-parts":[["2021","6","1"]]},"page":"136-144","publisher":"Elsevier Current Trends","title":"Toward sustainable, cell-free biomanufacturing","type":"article-journal","volume":"69"},"uris":["http://www.mendeley.com/documents/?uuid=7f479995-6171-3f2e-bb99-2b784934562a"]}],"mendeley":{"formattedCitation":"&lt;sup&gt;11&lt;/sup&gt;","plainTextFormattedCitation":"11","previouslyFormattedCitation":"&lt;sup&gt;11&lt;/sup&gt;"},"properties":{"noteIndex":0},"schema":"https://github.com/citation-style-language/schema/raw/master/csl-citation.json"}</w:instrText>
      </w:r>
      <w:r w:rsidR="00EF4FC1" w:rsidRPr="00A71FCF">
        <w:rPr>
          <w:rFonts w:eastAsia="Times New Roman" w:cs="Arial"/>
          <w:color w:val="000000"/>
          <w:szCs w:val="22"/>
        </w:rPr>
        <w:fldChar w:fldCharType="separate"/>
      </w:r>
      <w:r w:rsidR="00EF4FC1" w:rsidRPr="00A71FCF">
        <w:rPr>
          <w:rFonts w:eastAsia="Times New Roman" w:cs="Arial"/>
          <w:noProof/>
          <w:color w:val="000000"/>
          <w:szCs w:val="22"/>
          <w:vertAlign w:val="superscript"/>
        </w:rPr>
        <w:t>11</w:t>
      </w:r>
      <w:r w:rsidR="00EF4FC1" w:rsidRPr="00A71FCF">
        <w:rPr>
          <w:rFonts w:eastAsia="Times New Roman" w:cs="Arial"/>
          <w:color w:val="000000"/>
          <w:szCs w:val="22"/>
        </w:rPr>
        <w:fldChar w:fldCharType="end"/>
      </w:r>
      <w:r w:rsidRPr="00E43B04">
        <w:rPr>
          <w:rFonts w:eastAsia="Times New Roman" w:cs="Arial"/>
          <w:color w:val="000000"/>
          <w:szCs w:val="22"/>
        </w:rPr>
        <w:t xml:space="preserve">. </w:t>
      </w:r>
    </w:p>
    <w:p w14:paraId="3729DD33" w14:textId="030831E8" w:rsidR="009E167B" w:rsidRDefault="00706ADD" w:rsidP="002A276F">
      <w:pPr>
        <w:ind w:firstLine="720"/>
        <w:contextualSpacing/>
        <w:rPr>
          <w:rFonts w:eastAsia="Times New Roman" w:cs="Arial"/>
          <w:color w:val="000000"/>
          <w:szCs w:val="22"/>
        </w:rPr>
      </w:pPr>
      <w:r>
        <w:rPr>
          <w:rFonts w:eastAsia="Times New Roman" w:cs="Arial"/>
          <w:color w:val="000000"/>
          <w:szCs w:val="22"/>
        </w:rPr>
        <w:t xml:space="preserve">Yield is an important metric in metabolic engineering </w:t>
      </w:r>
      <w:r w:rsidR="005243FC">
        <w:rPr>
          <w:rFonts w:eastAsia="Times New Roman" w:cs="Arial"/>
          <w:color w:val="000000"/>
          <w:szCs w:val="22"/>
        </w:rPr>
        <w:t>and</w:t>
      </w:r>
      <w:r>
        <w:rPr>
          <w:rFonts w:eastAsia="Times New Roman" w:cs="Arial"/>
          <w:color w:val="000000"/>
          <w:szCs w:val="22"/>
        </w:rPr>
        <w:t xml:space="preserve"> measures the efficiency of the system for converting a substrate into a product</w:t>
      </w:r>
      <w:r w:rsidR="00482929"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author":[{"dropping-particle":"","family":"Stephanopoulos","given":"George","non-dropping-particle":"","parse-names":false,"suffix":""},{"dropping-particle":"","family":"Aristidou","given":"Aristos","non-dropping-particle":"","parse-names":false,"suffix":""},{"dropping-particle":"","family":"Nielsen","given":"Jens","non-dropping-particle":"","parse-names":false,"suffix":""}],"id":"ITEM-1","issued":{"date-parts":[["1998"]]},"publisher":"Academic Press","publisher-place":"San Diego","title":"Metabolic Engineering: Principles and Methodologies","type":"book"},"uris":["http://www.mendeley.com/documents/?uuid=3ee75d5d-ccb2-37c4-b0f7-83450e580601"]},{"id":"ITEM-2","itemData":{"DOI":"10.1016/J.COPBIO.2020.12.012","ISSN":"0958-1669","PMID":"33453438","abstract":"Industrial biotechnology is an attractive approach to address the need for low-cost fuels and products from sustainable resources. Unfortunately, cells impose inherent limitations on the effective synthesis and release of target products. One key constraint is that cellular survival objectives often work against the production objectives of biochemical engineers. Additionally, industrial strains release CO2 and struggle to utilize sustainable, potentially profitable feedstocks. Cell-free biotechnology, which uses biological machinery harvested from cells, can address these challenges with advantages including: (i) shorter development times, (ii) higher volumetric production rates, and (iii) tolerance to otherwise toxic molecules. In this review, we highlight recent advances in cell-free technologies toward the production of non-protein products beyond lab-scale demonstrations and describe guiding principles for designing cell-free systems. Specifically, we discuss carbon and energy sources, reaction homeostasis, and scale-up. Expanding the scope of cell-free biomanufacturing practice could enable innovative approaches for the industrial production of green chemicals.","author":[{"dropping-particle":"","family":"Rasor","given":"Blake J.","non-dropping-particle":"","parse-names":false,"suffix":""},{"dropping-particle":"","family":"Vögeli","given":"Bastian","non-dropping-particle":"","parse-names":false,"suffix":""},{"dropping-particle":"","family":"Landwehr","given":"Grant M.","non-dropping-particle":"","parse-names":false,"suffix":""},{"dropping-particle":"","family":"Bogart","given":"Jonathan W.","non-dropping-particle":"","parse-names":false,"suffix":""},{"dropping-particle":"","family":"Karim","given":"Ashty S.","non-dropping-particle":"","parse-names":false,"suffix":""},{"dropping-particle":"","family":"Jewett","given":"Michael C.","non-dropping-particle":"","parse-names":false,"suffix":""}],"container-title":"Current Opinion in Biotechnology","id":"ITEM-2","issued":{"date-parts":[["2021","6","1"]]},"page":"136-144","publisher":"Elsevier Current Trends","title":"Toward sustainable, cell-free biomanufacturing","type":"article-journal","volume":"69"},"uris":["http://www.mendeley.com/documents/?uuid=7f479995-6171-3f2e-bb99-2b784934562a"]}],"mendeley":{"formattedCitation":"&lt;sup&gt;11,60&lt;/sup&gt;","plainTextFormattedCitation":"11,60","previouslyFormattedCitation":"&lt;sup&gt;11,60&lt;/sup&gt;"},"properties":{"noteIndex":0},"schema":"https://github.com/citation-style-language/schema/raw/master/csl-citation.json"}</w:instrText>
      </w:r>
      <w:r w:rsidR="00482929"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11,60</w:t>
      </w:r>
      <w:r w:rsidR="00482929" w:rsidRPr="00A71FCF">
        <w:rPr>
          <w:rFonts w:eastAsia="Times New Roman" w:cs="Arial"/>
          <w:color w:val="000000"/>
          <w:szCs w:val="22"/>
        </w:rPr>
        <w:fldChar w:fldCharType="end"/>
      </w:r>
      <w:r w:rsidR="00E43B04" w:rsidRPr="00E43B04">
        <w:rPr>
          <w:rFonts w:eastAsia="Times New Roman" w:cs="Arial"/>
          <w:color w:val="000000"/>
          <w:szCs w:val="22"/>
        </w:rPr>
        <w:t xml:space="preserve">. </w:t>
      </w:r>
      <w:r w:rsidR="004F4DF3">
        <w:rPr>
          <w:rFonts w:eastAsia="Times New Roman" w:cs="Arial"/>
          <w:color w:val="000000"/>
          <w:szCs w:val="22"/>
        </w:rPr>
        <w:t xml:space="preserve">Specifically, it is the amount of product formed per amount of substrate consumed. </w:t>
      </w:r>
      <w:r w:rsidR="00D4741C">
        <w:rPr>
          <w:rFonts w:eastAsia="Times New Roman" w:cs="Arial"/>
          <w:color w:val="000000"/>
          <w:szCs w:val="22"/>
        </w:rPr>
        <w:t xml:space="preserve">Even with </w:t>
      </w:r>
      <w:r w:rsidR="005940CC">
        <w:rPr>
          <w:rFonts w:eastAsia="Times New Roman" w:cs="Arial"/>
          <w:color w:val="000000"/>
          <w:szCs w:val="22"/>
        </w:rPr>
        <w:t xml:space="preserve">a </w:t>
      </w:r>
      <w:r w:rsidR="00D4741C">
        <w:rPr>
          <w:rFonts w:eastAsia="Times New Roman" w:cs="Arial"/>
          <w:color w:val="000000"/>
          <w:szCs w:val="22"/>
        </w:rPr>
        <w:t>significant reduction</w:t>
      </w:r>
      <w:r w:rsidR="005940CC">
        <w:rPr>
          <w:rFonts w:eastAsia="Times New Roman" w:cs="Arial"/>
          <w:color w:val="000000"/>
          <w:szCs w:val="22"/>
        </w:rPr>
        <w:t xml:space="preserve"> in preparation costs</w:t>
      </w:r>
      <w:r w:rsidR="00D4741C">
        <w:rPr>
          <w:rFonts w:eastAsia="Times New Roman" w:cs="Arial"/>
          <w:color w:val="000000"/>
          <w:szCs w:val="22"/>
        </w:rPr>
        <w:t>,</w:t>
      </w:r>
      <w:r w:rsidR="002705E9">
        <w:rPr>
          <w:rFonts w:eastAsia="Times New Roman" w:cs="Arial"/>
          <w:color w:val="000000"/>
          <w:szCs w:val="22"/>
        </w:rPr>
        <w:t xml:space="preserve"> </w:t>
      </w:r>
      <w:r w:rsidR="00C65193" w:rsidRPr="00A71FCF">
        <w:rPr>
          <w:rFonts w:eastAsia="Times New Roman" w:cs="Arial"/>
          <w:color w:val="000000"/>
          <w:szCs w:val="22"/>
        </w:rPr>
        <w:t xml:space="preserve">a </w:t>
      </w:r>
      <w:r w:rsidR="00AF15F2" w:rsidRPr="00A71FCF">
        <w:rPr>
          <w:rFonts w:eastAsia="Times New Roman" w:cs="Arial"/>
          <w:color w:val="000000"/>
          <w:szCs w:val="22"/>
        </w:rPr>
        <w:t xml:space="preserve">lysate-based </w:t>
      </w:r>
      <w:r w:rsidR="00C65193" w:rsidRPr="00A71FCF">
        <w:rPr>
          <w:rFonts w:eastAsia="Times New Roman" w:cs="Arial"/>
          <w:color w:val="000000"/>
          <w:szCs w:val="22"/>
        </w:rPr>
        <w:t>biomanufacturing</w:t>
      </w:r>
      <w:r w:rsidR="00AF15F2" w:rsidRPr="00A71FCF">
        <w:rPr>
          <w:rFonts w:eastAsia="Times New Roman" w:cs="Arial"/>
          <w:color w:val="000000"/>
          <w:szCs w:val="22"/>
        </w:rPr>
        <w:t xml:space="preserve"> platform </w:t>
      </w:r>
      <w:r w:rsidR="00D4741C">
        <w:rPr>
          <w:rFonts w:eastAsia="Times New Roman" w:cs="Arial"/>
          <w:color w:val="000000"/>
          <w:szCs w:val="22"/>
        </w:rPr>
        <w:t xml:space="preserve">dedicated to high-value target synthesis must have </w:t>
      </w:r>
      <w:r w:rsidR="005940CC">
        <w:rPr>
          <w:rFonts w:eastAsia="Times New Roman" w:cs="Arial"/>
          <w:color w:val="000000"/>
          <w:szCs w:val="22"/>
        </w:rPr>
        <w:t xml:space="preserve">a </w:t>
      </w:r>
      <w:r w:rsidR="00D4741C">
        <w:rPr>
          <w:rFonts w:eastAsia="Times New Roman" w:cs="Arial"/>
          <w:color w:val="000000"/>
          <w:szCs w:val="22"/>
        </w:rPr>
        <w:t xml:space="preserve">high yield </w:t>
      </w:r>
      <w:r w:rsidR="00AF15F2" w:rsidRPr="00A71FCF">
        <w:rPr>
          <w:rFonts w:eastAsia="Times New Roman" w:cs="Arial"/>
          <w:color w:val="000000"/>
          <w:szCs w:val="22"/>
        </w:rPr>
        <w:t xml:space="preserve">to </w:t>
      </w:r>
      <w:r w:rsidR="005243FC">
        <w:rPr>
          <w:rFonts w:eastAsia="Times New Roman" w:cs="Arial"/>
          <w:color w:val="000000"/>
          <w:szCs w:val="22"/>
        </w:rPr>
        <w:t xml:space="preserve">be </w:t>
      </w:r>
      <w:r w:rsidR="004F4DF3">
        <w:rPr>
          <w:rFonts w:eastAsia="Times New Roman" w:cs="Arial"/>
          <w:color w:val="000000"/>
          <w:szCs w:val="22"/>
        </w:rPr>
        <w:t>lucrative</w:t>
      </w:r>
      <w:r w:rsidR="00D4741C" w:rsidRPr="00A71FCF">
        <w:rPr>
          <w:rFonts w:eastAsia="Times New Roman" w:cs="Arial"/>
          <w:color w:val="000000"/>
          <w:szCs w:val="22"/>
        </w:rPr>
        <w:fldChar w:fldCharType="begin" w:fldLock="1"/>
      </w:r>
      <w:r w:rsidR="00D4741C" w:rsidRPr="00A71FCF">
        <w:rPr>
          <w:rFonts w:eastAsia="Times New Roman" w:cs="Arial"/>
          <w:color w:val="000000"/>
          <w:szCs w:val="22"/>
        </w:rPr>
        <w:instrText>ADDIN CSL_CITATION {"citationItems":[{"id":"ITEM-1","itemData":{"DOI":"10.1016/J.COPBIO.2020.12.012","ISSN":"0958-1669","PMID":"33453438","abstract":"Industrial biotechnology is an attractive approach to address the need for low-cost fuels and products from sustainable resources. Unfortunately, cells impose inherent limitations on the effective synthesis and release of target products. One key constraint is that cellular survival objectives often work against the production objectives of biochemical engineers. Additionally, industrial strains release CO2 and struggle to utilize sustainable, potentially profitable feedstocks. Cell-free biotechnology, which uses biological machinery harvested from cells, can address these challenges with advantages including: (i) shorter development times, (ii) higher volumetric production rates, and (iii) tolerance to otherwise toxic molecules. In this review, we highlight recent advances in cell-free technologies toward the production of non-protein products beyond lab-scale demonstrations and describe guiding principles for designing cell-free systems. Specifically, we discuss carbon and energy sources, reaction homeostasis, and scale-up. Expanding the scope of cell-free biomanufacturing practice could enable innovative approaches for the industrial production of green chemicals.","author":[{"dropping-particle":"","family":"Rasor","given":"Blake J.","non-dropping-particle":"","parse-names":false,"suffix":""},{"dropping-particle":"","family":"Vögeli","given":"Bastian","non-dropping-particle":"","parse-names":false,"suffix":""},{"dropping-particle":"","family":"Landwehr","given":"Grant M.","non-dropping-particle":"","parse-names":false,"suffix":""},{"dropping-particle":"","family":"Bogart","given":"Jonathan W.","non-dropping-particle":"","parse-names":false,"suffix":""},{"dropping-particle":"","family":"Karim","given":"Ashty S.","non-dropping-particle":"","parse-names":false,"suffix":""},{"dropping-particle":"","family":"Jewett","given":"Michael C.","non-dropping-particle":"","parse-names":false,"suffix":""}],"container-title":"Current Opinion in Biotechnology","id":"ITEM-1","issued":{"date-parts":[["2021","6","1"]]},"page":"136-144","publisher":"Elsevier Current Trends","title":"Toward sustainable, cell-free biomanufacturing","type":"article-journal","volume":"69"},"uris":["http://www.mendeley.com/documents/?uuid=7f479995-6171-3f2e-bb99-2b784934562a"]}],"mendeley":{"formattedCitation":"&lt;sup&gt;11&lt;/sup&gt;","plainTextFormattedCitation":"11","previouslyFormattedCitation":"&lt;sup&gt;11&lt;/sup&gt;"},"properties":{"noteIndex":0},"schema":"https://github.com/citation-style-language/schema/raw/master/csl-citation.json"}</w:instrText>
      </w:r>
      <w:r w:rsidR="00D4741C" w:rsidRPr="00A71FCF">
        <w:rPr>
          <w:rFonts w:eastAsia="Times New Roman" w:cs="Arial"/>
          <w:color w:val="000000"/>
          <w:szCs w:val="22"/>
        </w:rPr>
        <w:fldChar w:fldCharType="separate"/>
      </w:r>
      <w:r w:rsidR="00D4741C" w:rsidRPr="00A71FCF">
        <w:rPr>
          <w:rFonts w:eastAsia="Times New Roman" w:cs="Arial"/>
          <w:noProof/>
          <w:color w:val="000000"/>
          <w:szCs w:val="22"/>
          <w:vertAlign w:val="superscript"/>
        </w:rPr>
        <w:t>11</w:t>
      </w:r>
      <w:r w:rsidR="00D4741C" w:rsidRPr="00A71FCF">
        <w:rPr>
          <w:rFonts w:eastAsia="Times New Roman" w:cs="Arial"/>
          <w:color w:val="000000"/>
          <w:szCs w:val="22"/>
        </w:rPr>
        <w:fldChar w:fldCharType="end"/>
      </w:r>
      <w:r w:rsidR="00D4741C">
        <w:rPr>
          <w:rFonts w:eastAsia="Times New Roman" w:cs="Arial"/>
          <w:color w:val="000000"/>
          <w:szCs w:val="22"/>
        </w:rPr>
        <w:t xml:space="preserve">. </w:t>
      </w:r>
      <w:r w:rsidR="00BA098D">
        <w:rPr>
          <w:rFonts w:eastAsia="Times New Roman" w:cs="Arial"/>
          <w:color w:val="000000"/>
          <w:szCs w:val="22"/>
        </w:rPr>
        <w:t>However, i</w:t>
      </w:r>
      <w:r w:rsidR="00674F85" w:rsidRPr="00A71FCF">
        <w:rPr>
          <w:rFonts w:eastAsia="Times New Roman" w:cs="Arial"/>
          <w:color w:val="000000"/>
          <w:szCs w:val="22"/>
        </w:rPr>
        <w:t xml:space="preserve">ndustrially relevant yields achieved through </w:t>
      </w:r>
      <w:r w:rsidR="00FA70EA">
        <w:rPr>
          <w:rFonts w:eastAsia="Times New Roman" w:cs="Arial"/>
          <w:color w:val="000000"/>
          <w:szCs w:val="22"/>
        </w:rPr>
        <w:t>CFME</w:t>
      </w:r>
      <w:r w:rsidR="00843D69">
        <w:rPr>
          <w:rFonts w:eastAsia="Times New Roman" w:cs="Arial"/>
          <w:color w:val="000000"/>
          <w:szCs w:val="22"/>
        </w:rPr>
        <w:t xml:space="preserve"> </w:t>
      </w:r>
      <w:r w:rsidR="00674F85" w:rsidRPr="00A71FCF">
        <w:rPr>
          <w:rFonts w:eastAsia="Times New Roman" w:cs="Arial"/>
          <w:color w:val="000000"/>
          <w:szCs w:val="22"/>
        </w:rPr>
        <w:t>are rarely reported in extracts, even if these systems are capable of high titers</w:t>
      </w:r>
      <w:r w:rsidR="00674F85"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{"citationItems":[{"id":"ITEM-1","itemData":{"DOI":"10.1021/acssynbio.6b00154","author":[{"dropping-particle":"","family":"Dudley","given":"Quentin M","non-dropping-particle":"","parse-names":false,"suffix":""},{"dropping-particle":"","family":"Anderson","given":"Kim C","non-dropping-particle":"","parse-names":false,"suffix":""},{"dropping-particle":"","family":"Jewett","given":"Michael C","non-dropping-particle":"","parse-names":false,"suffix":""}],"id":"ITEM-1","issued":{"date-parts":[["2016"]]},"title":"Cell-Free Mixing of Escherichia coli Crude Extracts to Prototype and Rationally Engineer High-Titer Mevalonate Synthesis","type":"article-journal"},"uris":["http://www.mendeley.com/documents/?uuid=99336352-fabf-4121-855f-c8567c91a0c0"]},{"id":"ITEM-2","itemData":{"DOI":"10.1016/J.YMBEN.2020.05.009","ISSN":"1096-7176","PMID":"32502620","abstract":"Styrene is an important petroleum-derived molecule that is polymerized to make versatile plastics, including disposable silverware and foamed packaging materials. Finding more sustainable methods, such as biosynthesis, for producing styrene is essential due to the increasing severity of climate change as well as the limited supply of fossil fuels. Recent metabolic engineering efforts have enabled the biological production of styrene in Escherichia coli, but styrene toxicity and volatility limit biosynthesis in cells. To address these limitations, we have developed a cell-free styrene biosynthesis platform. The cell-free system provides an open reaction environment without cell viability constraints, which allows exquisite control over reaction conditions and greater carbon flux toward product formation rather than cell growth. The two biosynthetic enzymes required for styrene production were generated via cell-free protein synthesis and mixed in defined ratios with supplemented L-phenylalanine and buffer. By altering the time, temperature, pH, and enzyme concentrations in the reaction, this approach increased the cell-free titer of styrene from 5.36 ± 0.63 mM to 40.33 ± 1.03 mM, the highest amount achieved using biosynthesis without process modifications and product removal strategies. Cell-free systems offer a complimentary approach to cellular synthesis of small molecules, which can provide particular benefits for producing toxic molecules.","author":[{"dropping-particle":"","family":"Grubbe","given":"William S.","non-dropping-particle":"","parse-names":false,"suffix":""},{"dropping-particle":"","family":"Rasor","given":"Blake J.","non-dropping-particle":"","parse-names":false,"suffix":""},{"dropping-particle":"","family":"Krüger","given":"Antje","non-dropping-particle":"","parse-names":false,"suffix":""},{"dropping-particle":"","family":"Jewett","given":"Michael C.","non-dropping-particle":"","parse-names":false,"suffix":""},{"dropping-particle":"","family":"Karim","given":"Ashty S.","non-dropping-particle":"","parse-names":false,"suffix":""}],"container-title":"Metabolic Engineering","id":"ITEM-2","issued":{"date-parts":[["2020","9","1"]]},"page":"89-95","publisher":"Academic Press","title":"Cell-free styrene biosynthesis at high titers","type":"article-journal","volume":"61"},"uris":["http://www.mendeley.com/documents/?uuid=392ffd54-774c-3eee-bbde-70b91225bd34"]},{"id":"ITEM-3","itemData":{"DOI":"10.1016/j.ymben.2015.09.015","ISSN":"10967184","PMID":"26428449","abstract":"Cell-free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Engineering","id":"ITEM-3","issued":{"date-parts":[["2015"]]},"page":"133-142","title":"Lysate of engineered Escherichia coli supports high-level conversion of glucose to 2,3-butanediol","type":"article-journal","volume":"32"},"uris":["http://www.mendeley.com/documents/?uuid=cb5185b2-2e9e-42b5-808e-ce918d13a7be"]}],"mendeley":{"formattedCitation":"&lt;sup&gt;46,51,53&lt;/sup&gt;","plainTextFormattedCitation":"46,51,53","previouslyFormattedCitation":"&lt;sup&gt;46,51,53&lt;/sup&gt;"},"properties":{"noteIndex":0},"schema":"https://github.com/citation-style-language/schema/raw/master/csl-citation.json"}</w:instrText>
      </w:r>
      <w:r w:rsidR="00674F85"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46,51,53</w:t>
      </w:r>
      <w:r w:rsidR="00674F85" w:rsidRPr="00A71FCF">
        <w:rPr>
          <w:rFonts w:eastAsia="Times New Roman" w:cs="Arial"/>
          <w:color w:val="000000"/>
          <w:szCs w:val="22"/>
        </w:rPr>
        <w:fldChar w:fldCharType="end"/>
      </w:r>
      <w:r w:rsidR="00674F85" w:rsidRPr="00A71FCF">
        <w:rPr>
          <w:rFonts w:eastAsia="Times New Roman" w:cs="Arial"/>
          <w:color w:val="000000"/>
          <w:szCs w:val="22"/>
        </w:rPr>
        <w:t xml:space="preserve"> and productivities</w:t>
      </w:r>
      <w:r w:rsidR="00674F85"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{"citationItems":[{"id":"ITEM-1","itemData":{"DOI":"10.1016/J.PROCBIO.2013.12.019","ISSN":"1359-5113","abstract":"A yeast cell-free enzyme system containing an intact fermentation assembly and that is capable of bio-ethanol production at elevated temperatures in the absence of living cells was developed to address the limitations associated with conventional fermentation processes. The presence of both yeast glycolytic and fermentation enzymes in the system was verified by SDS-PAGE and LC-MS/MS Q-TOF analyses. Quantitative measurements verified sufficient quantities of the co-factors ATP (1.8 mM) and NAD+ (0.11 mM) to initiate the fermentation process. Bio-ethanol was produced at a broad temperature range of 30-60 C but was highly specific to a pH range of 6.0-7.0. The final bio-ethanol production at 30, 40, 50, and 60 C was 3.37, 3.83, 1.94, and 1.60 g/L, respectively, when a 1% glucose solution was used, and the yield increased significantly with increasing cell-free enzyme concentrations. A comparative study revealed better results for the conventional fermentation system (4.46 g/L) at 30 C than the cell-free system (3.37 g/L); however, the efficacy of the cell-free system increased with temperature, reaching a maximum (3.83 g/L) at 40 C, at which the conventional system could only produce 0.48 g/L bio-ethanol. Successful bio-ethanol production using a single yeast cell-based enzyme system at higher temperatures will lead to the development of novel strategies for efficient bio-ethanol production through SSF. © 2014 Elsevier Ltd.","author":[{"dropping-particle":"","family":"Khattak","given":"Waleed Ahmad","non-dropping-particle":"","parse-names":false,"suffix":""},{"dropping-particle":"","family":"Ul-Islam","given":"Mazhar","non-dropping-particle":"","parse-names":false,"suffix":""},{"dropping-particle":"","family":"Ullah","given":"Muhammad Wajid","non-dropping-particle":"","parse-names":false,"suffix":""},{"dropping-particle":"","family":"Yu","given":"Bowan","non-dropping-particle":"","parse-names":false,"suffix":""},{"dropping-particle":"","family":"Khan","given":"Shaukat","non-dropping-particle":"","parse-names":false,"suffix":""},{"dropping-particle":"","family":"Park","given":"Joong Kon","non-dropping-particle":"","parse-names":false,"suffix":""}],"container-title":"Process Biochemistry","id":"ITEM-1","issue":"3","issued":{"date-parts":[["2014","3","1"]]},"page":"357-364","publisher":"Elsevier","title":"Yeast cell-free enzyme system for bio-ethanol production at elevated temperatures","type":"article-journal","volume":"49"},"uris":["http://www.mendeley.com/documents/?uuid=499ef717-0f4a-3a49-9161-58d22b703c81"]},{"id":"ITEM-2","itemData":{"DOI":"10.1016/j.ymben.2015.09.015","ISSN":"10967184","PMID":"26428449","abstract":"Cell-free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Engineering","id":"ITEM-2","issued":{"date-parts":[["2015"]]},"page":"133-142","title":"Lysate of engineered Escherichia coli supports high-level conversion of glucose to 2,3-butanediol","type":"article-journal","volume":"32"},"uris":["http://www.mendeley.com/documents/?uuid=cb5185b2-2e9e-42b5-808e-ce918d13a7be"]}],"mendeley":{"formattedCitation":"&lt;sup&gt;46,61&lt;/sup&gt;","plainTextFormattedCitation":"46,61","previouslyFormattedCitation":"&lt;sup&gt;46,61&lt;/sup&gt;"},"properties":{"noteIndex":0},"schema":"https://github.com/citation-style-language/schema/raw/master/csl-citation.json"}</w:instrText>
      </w:r>
      <w:r w:rsidR="00674F85"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46,61</w:t>
      </w:r>
      <w:r w:rsidR="00674F85" w:rsidRPr="00A71FCF">
        <w:rPr>
          <w:rFonts w:eastAsia="Times New Roman" w:cs="Arial"/>
          <w:color w:val="000000"/>
          <w:szCs w:val="22"/>
        </w:rPr>
        <w:fldChar w:fldCharType="end"/>
      </w:r>
      <w:r w:rsidR="00674F85" w:rsidRPr="00A71FCF">
        <w:rPr>
          <w:rFonts w:eastAsia="Times New Roman" w:cs="Arial"/>
          <w:color w:val="000000"/>
          <w:szCs w:val="22"/>
        </w:rPr>
        <w:t xml:space="preserve">. </w:t>
      </w:r>
      <w:r w:rsidR="004F4DF3">
        <w:rPr>
          <w:rFonts w:eastAsia="Times New Roman" w:cs="Arial"/>
          <w:color w:val="000000"/>
          <w:szCs w:val="22"/>
        </w:rPr>
        <w:t xml:space="preserve">Engineering </w:t>
      </w:r>
      <w:r w:rsidR="002B33D8" w:rsidRPr="00A71FCF">
        <w:rPr>
          <w:rFonts w:eastAsia="Times New Roman" w:cs="Arial"/>
          <w:color w:val="000000"/>
          <w:szCs w:val="22"/>
        </w:rPr>
        <w:t xml:space="preserve">both </w:t>
      </w:r>
      <w:r w:rsidR="00E43B04" w:rsidRPr="00E43B04">
        <w:rPr>
          <w:rFonts w:eastAsia="Times New Roman" w:cs="Arial"/>
          <w:color w:val="000000"/>
          <w:szCs w:val="22"/>
        </w:rPr>
        <w:t xml:space="preserve">endogenous </w:t>
      </w:r>
      <w:r w:rsidR="0031140D" w:rsidRPr="00A71FCF">
        <w:rPr>
          <w:rFonts w:eastAsia="Times New Roman" w:cs="Arial"/>
          <w:color w:val="000000"/>
          <w:szCs w:val="22"/>
        </w:rPr>
        <w:t>and heterologous</w:t>
      </w:r>
      <w:r w:rsidR="002A276F">
        <w:rPr>
          <w:rFonts w:eastAsia="Times New Roman" w:cs="Arial"/>
          <w:color w:val="000000"/>
          <w:szCs w:val="22"/>
        </w:rPr>
        <w:t xml:space="preserve"> lysate</w:t>
      </w:r>
      <w:r w:rsidR="0031140D" w:rsidRPr="00A71FCF">
        <w:rPr>
          <w:rFonts w:eastAsia="Times New Roman" w:cs="Arial"/>
          <w:color w:val="000000"/>
          <w:szCs w:val="22"/>
        </w:rPr>
        <w:t xml:space="preserve"> </w:t>
      </w:r>
      <w:r w:rsidR="00E43B04" w:rsidRPr="00E43B04">
        <w:rPr>
          <w:rFonts w:eastAsia="Times New Roman" w:cs="Arial"/>
          <w:color w:val="000000"/>
          <w:szCs w:val="22"/>
        </w:rPr>
        <w:t>metabolism</w:t>
      </w:r>
      <w:r w:rsidR="004F4DF3">
        <w:rPr>
          <w:rFonts w:eastAsia="Times New Roman" w:cs="Arial"/>
          <w:color w:val="000000"/>
          <w:szCs w:val="22"/>
        </w:rPr>
        <w:t xml:space="preserve"> </w:t>
      </w:r>
      <w:r w:rsidR="001A4064">
        <w:rPr>
          <w:rFonts w:eastAsia="Times New Roman" w:cs="Arial"/>
          <w:color w:val="000000"/>
          <w:szCs w:val="22"/>
        </w:rPr>
        <w:t xml:space="preserve">is necessary </w:t>
      </w:r>
      <w:r w:rsidR="004F4DF3">
        <w:rPr>
          <w:rFonts w:eastAsia="Times New Roman" w:cs="Arial"/>
          <w:color w:val="000000"/>
          <w:szCs w:val="22"/>
        </w:rPr>
        <w:t>to ensure carbon flow directly from substrate to product</w:t>
      </w:r>
      <w:r w:rsidR="001A4064">
        <w:rPr>
          <w:rFonts w:eastAsia="Times New Roman" w:cs="Arial"/>
          <w:color w:val="000000"/>
          <w:szCs w:val="22"/>
        </w:rPr>
        <w:t xml:space="preserve">, which </w:t>
      </w:r>
      <w:r w:rsidR="00E205FB">
        <w:rPr>
          <w:rFonts w:eastAsia="Times New Roman" w:cs="Arial"/>
          <w:color w:val="000000"/>
          <w:szCs w:val="22"/>
        </w:rPr>
        <w:t>will</w:t>
      </w:r>
      <w:r w:rsidR="004F4DF3">
        <w:rPr>
          <w:rFonts w:eastAsia="Times New Roman" w:cs="Arial"/>
          <w:color w:val="000000"/>
          <w:szCs w:val="22"/>
        </w:rPr>
        <w:t xml:space="preserve"> improve </w:t>
      </w:r>
      <w:r w:rsidR="00E0688D">
        <w:rPr>
          <w:rFonts w:eastAsia="Times New Roman" w:cs="Arial"/>
          <w:color w:val="000000"/>
          <w:szCs w:val="22"/>
        </w:rPr>
        <w:t>yields</w:t>
      </w:r>
      <w:r w:rsidR="001D6560">
        <w:rPr>
          <w:rFonts w:eastAsia="Times New Roman" w:cs="Arial"/>
          <w:color w:val="000000"/>
          <w:szCs w:val="22"/>
        </w:rPr>
        <w:t xml:space="preserve"> in systems </w:t>
      </w:r>
      <w:r w:rsidR="001A4064">
        <w:rPr>
          <w:rFonts w:eastAsia="Times New Roman" w:cs="Arial"/>
          <w:color w:val="000000"/>
          <w:szCs w:val="22"/>
        </w:rPr>
        <w:t xml:space="preserve">made to </w:t>
      </w:r>
      <w:r w:rsidR="001D6560">
        <w:rPr>
          <w:rFonts w:eastAsia="Times New Roman" w:cs="Arial"/>
          <w:color w:val="000000"/>
          <w:szCs w:val="22"/>
        </w:rPr>
        <w:t>produce high-value molecules</w:t>
      </w:r>
      <w:r w:rsidR="00A92C0D"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author":[{"dropping-particle":"","family":"Stephanopoulos","given":"George","non-dropping-particle":"","parse-names":false,"suffix":""},{"dropping-particle":"","family":"Aristidou","given":"Aristos","non-dropping-particle":"","parse-names":false,"suffix":""},{"dropping-particle":"","family":"Nielsen","given":"Jens","non-dropping-particle":"","parse-names":false,"suffix":""}],"id":"ITEM-1","issued":{"date-parts":[["1998"]]},"publisher":"Academic Press","publisher-place":"San Diego","title":"Metabolic Engineering: Principles and Methodologies","type":"book"},"uris":["http://www.mendeley.com/documents/?uuid=3ee75d5d-ccb2-37c4-b0f7-83450e580601"]}],"mendeley":{"formattedCitation":"&lt;sup&gt;60&lt;/sup&gt;","plainTextFormattedCitation":"60","previouslyFormattedCitation":"&lt;sup&gt;60&lt;/sup&gt;"},"properties":{"noteIndex":0},"schema":"https://github.com/citation-style-language/schema/raw/master/csl-citation.json"}</w:instrText>
      </w:r>
      <w:r w:rsidR="00A92C0D"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60</w:t>
      </w:r>
      <w:r w:rsidR="00A92C0D" w:rsidRPr="00A71FCF">
        <w:rPr>
          <w:rFonts w:eastAsia="Times New Roman" w:cs="Arial"/>
          <w:color w:val="000000"/>
          <w:szCs w:val="22"/>
        </w:rPr>
        <w:fldChar w:fldCharType="end"/>
      </w:r>
      <w:r w:rsidR="0031140D" w:rsidRPr="00A71FCF">
        <w:rPr>
          <w:rFonts w:eastAsia="Times New Roman" w:cs="Arial"/>
          <w:color w:val="000000"/>
          <w:szCs w:val="22"/>
        </w:rPr>
        <w:t xml:space="preserve">. </w:t>
      </w:r>
    </w:p>
    <w:p w14:paraId="54A3D266" w14:textId="190E5630" w:rsidR="00D35A35" w:rsidRPr="009150B7" w:rsidRDefault="001F167A" w:rsidP="009E167B">
      <w:pPr>
        <w:ind w:firstLine="720"/>
        <w:contextualSpacing/>
        <w:rPr>
          <w:rFonts w:eastAsia="Times New Roman" w:cs="Arial"/>
          <w:color w:val="000000"/>
          <w:szCs w:val="22"/>
        </w:rPr>
      </w:pPr>
      <w:r w:rsidRPr="00E43B04">
        <w:rPr>
          <w:rFonts w:eastAsia="Times New Roman" w:cs="Arial"/>
          <w:color w:val="000000"/>
          <w:szCs w:val="22"/>
        </w:rPr>
        <w:t>The endogenous metabolism in lysates is complex, retaining much of the pathway crosstalk that exists in the metabolic networks of their source strains</w:t>
      </w:r>
      <w:r w:rsidRPr="00A71FCF">
        <w:rPr>
          <w:rFonts w:eastAsia="Times New Roman" w:cs="Arial"/>
          <w:color w:val="000000"/>
          <w:szCs w:val="22"/>
        </w:rPr>
        <w:fldChar w:fldCharType="begin" w:fldLock="1"/>
      </w:r>
      <w:r w:rsidRPr="00A71FCF">
        <w:rPr>
          <w:rFonts w:eastAsia="Times New Roman" w:cs="Arial"/>
          <w:color w:val="000000"/>
          <w:szCs w:val="22"/>
        </w:rPr>
        <w:instrText>ADDIN CSL_CITATION {"citationItems":[{"id":"ITEM-1","itemData":{"DOI":"10.1016/j.tibtech.2019.12.024","ISSN":"18793096","abstract":"Metabolic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Biotechnology","id":"ITEM-1","issued":{"date-parts":[["2020","1","23"]]},"publisher":"Elsevier Ltd","title":"Synthetic Biochemistry: The Bio-inspired Cell-Free Approach to Commodity Chemical Production","type":"article"},"uris":["http://www.mendeley.com/documents/?uuid=2e6836a8-603b-33f3-ac63-5bc4a65d2485"]}],"mendeley":{"formattedCitation":"&lt;sup&gt;20&lt;/sup&gt;","plainTextFormattedCitation":"20","previouslyFormattedCitation":"&lt;sup&gt;20&lt;/sup&gt;"},"properties":{"noteIndex":0},"schema":"https://github.com/citation-style-language/schema/raw/master/csl-citation.json"}</w:instrText>
      </w:r>
      <w:r w:rsidRPr="00A71FCF">
        <w:rPr>
          <w:rFonts w:eastAsia="Times New Roman" w:cs="Arial"/>
          <w:color w:val="000000"/>
          <w:szCs w:val="22"/>
        </w:rPr>
        <w:fldChar w:fldCharType="separate"/>
      </w:r>
      <w:r w:rsidRPr="00A71FCF">
        <w:rPr>
          <w:rFonts w:eastAsia="Times New Roman" w:cs="Arial"/>
          <w:noProof/>
          <w:color w:val="000000"/>
          <w:szCs w:val="22"/>
          <w:vertAlign w:val="superscript"/>
        </w:rPr>
        <w:t>20</w:t>
      </w:r>
      <w:r w:rsidRPr="00A71FCF">
        <w:rPr>
          <w:rFonts w:eastAsia="Times New Roman" w:cs="Arial"/>
          <w:color w:val="000000"/>
          <w:szCs w:val="22"/>
        </w:rPr>
        <w:fldChar w:fldCharType="end"/>
      </w:r>
      <w:r w:rsidRPr="00E43B04">
        <w:rPr>
          <w:rFonts w:eastAsia="Times New Roman" w:cs="Arial"/>
          <w:color w:val="000000"/>
          <w:szCs w:val="22"/>
        </w:rPr>
        <w:t xml:space="preserve">. </w:t>
      </w:r>
      <w:r>
        <w:rPr>
          <w:rFonts w:eastAsia="Times New Roman" w:cs="Arial"/>
          <w:color w:val="000000"/>
          <w:szCs w:val="22"/>
        </w:rPr>
        <w:t xml:space="preserve">Thus, flux from a substrate is commonly redirected towards unwanted byproducts. </w:t>
      </w:r>
      <w:r w:rsidRPr="00E43B04">
        <w:rPr>
          <w:rFonts w:eastAsia="Times New Roman" w:cs="Arial"/>
          <w:color w:val="000000"/>
          <w:szCs w:val="22"/>
        </w:rPr>
        <w:t xml:space="preserve">To </w:t>
      </w:r>
      <w:r w:rsidR="00E0688D">
        <w:rPr>
          <w:rFonts w:eastAsia="Times New Roman" w:cs="Arial"/>
          <w:color w:val="000000"/>
          <w:szCs w:val="22"/>
        </w:rPr>
        <w:t>maximize</w:t>
      </w:r>
      <w:r w:rsidRPr="00E43B04">
        <w:rPr>
          <w:rFonts w:eastAsia="Times New Roman" w:cs="Arial"/>
          <w:color w:val="000000"/>
          <w:szCs w:val="22"/>
        </w:rPr>
        <w:t xml:space="preserve"> yield, flux can be focused </w:t>
      </w:r>
      <w:r w:rsidRPr="00E43B04">
        <w:rPr>
          <w:rFonts w:eastAsia="Times New Roman" w:cs="Arial"/>
          <w:color w:val="000000"/>
          <w:szCs w:val="22"/>
        </w:rPr>
        <w:lastRenderedPageBreak/>
        <w:t>through a targeted endogenous pathway by shedding this complexity (i.e., eliminating flux-competing reactions)</w:t>
      </w:r>
      <w:r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{"citationItems":[{"id":"ITEM-1","itemData":{"DOI":"10.1002/bit.22666","ISSN":"00063592","PMID":"20091765","abstract":"The orchestration of a multitude of enzyme catalysts allows cells to carry out complex and thermodynamically unfavorable chemical conversions. In an effort to recruit these advantages for in vitro biotransformations, we have assembled a 10-step catalytic system - a system of biotransformations (SBT) - for the synthesis of unnatural monosaccharides based on the versatile building block dihydroxyacetone phosphate (DHAP). To facilitate the assembly of such a network, we have insulated a production pathway from Escherichia coli's central carbon metabolism. This pathway consists of the endogenous glycolysis without triose-phosphate isomerase to enable accumulation of DHAP and was completed with lactate dehydrogenase to regenerate NAD+. It could be readily extended for the synthesis of unnatural sugar molecules, such as the unnatural monosaccharide phosphate 5,6,7-trideoxy-D-threoheptulose-1-phosphate from DHAP and butanal. Insulation required in particular inactivation of the amn gene encoding the AMP nucleosidase, which otherwise led to glucoseindependent DHAP production from adenosine phosphates. The work demonstrates that a sufficiently insulated in vitro multi-step enzymatic system can be readily assembled from central carbon metabolism pathways. © 2010 Wiley Periodicals, Inc.","author":[{"dropping-particle":"","family":"Bujara","given":"Matthias","non-dropping-particle":"","parse-names":false,"suffix":""},{"dropping-particle":"","family":"Schümperli","given":"Michael","non-dropping-particle":"","parse-names":false,"suffix":""},{"dropping-particle":"","family":"Billerbeck","given":"Sonja","non-dropping-particle":"","parse-names":false,"suffix":""},{"dropping-particle":"","family":"Heinemann","given":"Matthias","non-dropping-particle":"","parse-names":false,"suffix":""},{"dropping-particle":"","family":"Panke","given":"Sven","non-dropping-particle":"","parse-names":false,"suffix":""}],"container-title":"Biotechnology and Bioengineering","id":"ITEM-1","issue":"3","issued":{"date-parts":[["2010","6","15"]]},"page":"376-389","publisher":"Biotechnol Bioeng","title":"Exploiting cell-free systems: Implementation and debugging of a system of biotransformations","type":"article-journal","volume":"106"},"uris":["http://www.mendeley.com/documents/?uuid=dcf05f7d-a050-3deb-b73b-d5fe4b460eed"]},{"id":"ITEM-2","itemData":{"DOI":"10.1038/s41467-021-25233-y","ISSN":"20411723","abstract":"Cell-free systems using crude cell extracts present appealing opportunities for designing biosynthetic pathways and enabling sustainable chemical synthesis. However, the lack of tools to effectively manipulate the underlying host metabolism in vitro limits the potential of these systems. Here, we create an integrated framework to address this gap that leverages cell extracts from host strains genetically rewired by multiplexed CRISPR-dCas9 modulation and other metabolic engineering techniques. As a model, we explore conversion of glucose to 2,3-butanediol in extracts from flux-enhanced Saccharomyces cerevisiae strains. We show that cellular flux rewiring in several strains of S. cerevisiae combined with systematic optimization of the cell-free reaction environment significantly increases 2,3-butanediol titers and volumetric productivities, reaching productivities greater than 0.9 g/L-h. We then show the generalizability of the framework by improving cell-free itaconic acid and glycerol biosynthesis. Our coupled in vivo/in vitro metabolic engineering approach opens opportunities for synthetic biology prototyping efforts and cell-free biomanufacturing.","author":[{"dropping-particle":"","family":"Rasor","given":"Blake J.","non-dropping-particle":"","parse-names":false,"suffix":""},{"dropping-particle":"","family":"Yi","given":"Xiunan","non-dropping-particle":"","parse-names":false,"suffix":""},{"dropping-particle":"","family":"Brown","given":"Hunter","non-dropping-particle":"","parse-names":false,"suffix":""},{"dropping-particle":"","family":"Alper","given":"Hal S.","non-dropping-particle":"","parse-names":false,"suffix":""},{"dropping-particle":"","family":"Jewett","given":"Michael C.","non-dropping-particle":"","parse-names":false,"suffix":""}],"container-title":"Nature Communications","id":"ITEM-2","issue":"1","issued":{"date-parts":[["2021"]]},"title":"An integrated in vivo/in vitro framework to enhance cell-free biosynthesis with metabolically rewired yeast extracts","type":"article-journal","volume":"12"},"uris":["http://www.mendeley.com/documents/?uuid=de3655a6-6de6-3969-b0d9-b134deac4cdc"]}],"mendeley":{"formattedCitation":"&lt;sup&gt;47,62&lt;/sup&gt;","plainTextFormattedCitation":"47,62","previouslyFormattedCitation":"&lt;sup&gt;47,62&lt;/sup&gt;"},"properties":{"noteIndex":0},"schema":"https://github.com/citation-style-language/schema/raw/master/csl-citation.json"}</w:instrText>
      </w:r>
      <w:r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47,62</w:t>
      </w:r>
      <w:r w:rsidRPr="00A71FCF">
        <w:rPr>
          <w:rFonts w:eastAsia="Times New Roman" w:cs="Arial"/>
          <w:color w:val="000000"/>
          <w:szCs w:val="22"/>
        </w:rPr>
        <w:fldChar w:fldCharType="end"/>
      </w:r>
      <w:r>
        <w:rPr>
          <w:rFonts w:eastAsia="Times New Roman" w:cs="Arial"/>
          <w:color w:val="000000"/>
          <w:szCs w:val="22"/>
        </w:rPr>
        <w:t>. A</w:t>
      </w:r>
      <w:r w:rsidR="003E335F" w:rsidRPr="00A71FCF">
        <w:rPr>
          <w:rFonts w:eastAsia="Times New Roman" w:cs="Arial"/>
          <w:color w:val="000000"/>
          <w:szCs w:val="22"/>
        </w:rPr>
        <w:t>ltering</w:t>
      </w:r>
      <w:r w:rsidR="00482929" w:rsidRPr="00A71FCF">
        <w:rPr>
          <w:rFonts w:eastAsia="Times New Roman" w:cs="Arial"/>
          <w:color w:val="000000"/>
          <w:szCs w:val="22"/>
        </w:rPr>
        <w:t xml:space="preserve"> </w:t>
      </w:r>
      <w:r w:rsidR="0026318B" w:rsidRPr="00A71FCF">
        <w:rPr>
          <w:rFonts w:eastAsia="Times New Roman" w:cs="Arial"/>
          <w:color w:val="000000"/>
          <w:szCs w:val="22"/>
        </w:rPr>
        <w:t xml:space="preserve">lysate </w:t>
      </w:r>
      <w:r w:rsidR="00482929" w:rsidRPr="00A71FCF">
        <w:rPr>
          <w:rFonts w:eastAsia="Times New Roman" w:cs="Arial"/>
          <w:color w:val="000000"/>
          <w:szCs w:val="22"/>
        </w:rPr>
        <w:t xml:space="preserve">endogenous pathways to </w:t>
      </w:r>
      <w:r w:rsidR="00D01966">
        <w:rPr>
          <w:rFonts w:eastAsia="Times New Roman" w:cs="Arial"/>
          <w:color w:val="000000"/>
          <w:szCs w:val="22"/>
        </w:rPr>
        <w:t>eliminate</w:t>
      </w:r>
      <w:r w:rsidR="00E43B04" w:rsidRPr="00E43B04">
        <w:rPr>
          <w:rFonts w:eastAsia="Times New Roman" w:cs="Arial"/>
          <w:color w:val="000000"/>
          <w:szCs w:val="22"/>
        </w:rPr>
        <w:t xml:space="preserve"> by-product formation</w:t>
      </w:r>
      <w:r w:rsidR="008E02AF" w:rsidRPr="00A71FCF">
        <w:rPr>
          <w:rFonts w:eastAsia="Times New Roman" w:cs="Arial"/>
          <w:color w:val="000000"/>
          <w:szCs w:val="22"/>
        </w:rPr>
        <w:t xml:space="preserve"> </w:t>
      </w:r>
      <w:r w:rsidR="00482929" w:rsidRPr="00A71FCF">
        <w:rPr>
          <w:rFonts w:eastAsia="Times New Roman" w:cs="Arial"/>
          <w:color w:val="000000"/>
          <w:szCs w:val="22"/>
        </w:rPr>
        <w:t>permits</w:t>
      </w:r>
      <w:r w:rsidR="00E43B04" w:rsidRPr="00E43B04">
        <w:rPr>
          <w:rFonts w:eastAsia="Times New Roman" w:cs="Arial"/>
          <w:color w:val="000000"/>
          <w:szCs w:val="22"/>
        </w:rPr>
        <w:t xml:space="preserve"> higher pooling of</w:t>
      </w:r>
      <w:r w:rsidR="00482929" w:rsidRPr="00A71FCF">
        <w:rPr>
          <w:rFonts w:eastAsia="Times New Roman" w:cs="Arial"/>
          <w:color w:val="000000"/>
          <w:szCs w:val="22"/>
        </w:rPr>
        <w:t xml:space="preserve"> </w:t>
      </w:r>
      <w:r w:rsidR="00E43B04" w:rsidRPr="00E43B04">
        <w:rPr>
          <w:rFonts w:eastAsia="Times New Roman" w:cs="Arial"/>
          <w:color w:val="000000"/>
          <w:szCs w:val="22"/>
        </w:rPr>
        <w:t xml:space="preserve">desirable </w:t>
      </w:r>
      <w:r w:rsidR="00107D3C" w:rsidRPr="00A71FCF">
        <w:rPr>
          <w:rFonts w:eastAsia="Times New Roman" w:cs="Arial"/>
          <w:color w:val="000000"/>
          <w:szCs w:val="22"/>
        </w:rPr>
        <w:t xml:space="preserve">central metabolic </w:t>
      </w:r>
      <w:r w:rsidR="00E43B04" w:rsidRPr="00E43B04">
        <w:rPr>
          <w:rFonts w:eastAsia="Times New Roman" w:cs="Arial"/>
          <w:color w:val="000000"/>
          <w:szCs w:val="22"/>
        </w:rPr>
        <w:t>precursor</w:t>
      </w:r>
      <w:r w:rsidR="00482929" w:rsidRPr="00A71FCF">
        <w:rPr>
          <w:rFonts w:eastAsia="Times New Roman" w:cs="Arial"/>
          <w:color w:val="000000"/>
          <w:szCs w:val="22"/>
        </w:rPr>
        <w:t>/</w:t>
      </w:r>
      <w:r w:rsidR="00E43B04" w:rsidRPr="00E43B04">
        <w:rPr>
          <w:rFonts w:eastAsia="Times New Roman" w:cs="Arial"/>
          <w:color w:val="000000"/>
          <w:szCs w:val="22"/>
        </w:rPr>
        <w:t xml:space="preserve">s </w:t>
      </w:r>
      <w:r w:rsidR="00582CA0" w:rsidRPr="00A71FCF">
        <w:rPr>
          <w:rFonts w:eastAsia="Times New Roman" w:cs="Arial"/>
          <w:color w:val="000000"/>
          <w:szCs w:val="22"/>
        </w:rPr>
        <w:t xml:space="preserve">that </w:t>
      </w:r>
      <w:r w:rsidR="0026318B" w:rsidRPr="00A71FCF">
        <w:rPr>
          <w:rFonts w:eastAsia="Times New Roman" w:cs="Arial"/>
          <w:color w:val="000000"/>
          <w:szCs w:val="22"/>
        </w:rPr>
        <w:t xml:space="preserve">will </w:t>
      </w:r>
      <w:r w:rsidR="00582CA0" w:rsidRPr="00A71FCF">
        <w:rPr>
          <w:rFonts w:eastAsia="Times New Roman" w:cs="Arial"/>
          <w:color w:val="000000"/>
          <w:szCs w:val="22"/>
        </w:rPr>
        <w:t>feed into</w:t>
      </w:r>
      <w:r w:rsidR="00E43B04" w:rsidRPr="00E43B04">
        <w:rPr>
          <w:rFonts w:eastAsia="Times New Roman" w:cs="Arial"/>
          <w:color w:val="000000"/>
          <w:szCs w:val="22"/>
        </w:rPr>
        <w:t xml:space="preserve"> heterologous </w:t>
      </w:r>
      <w:r w:rsidR="00107D3C" w:rsidRPr="00A71FCF">
        <w:rPr>
          <w:rFonts w:eastAsia="Times New Roman" w:cs="Arial"/>
          <w:color w:val="000000"/>
          <w:szCs w:val="22"/>
        </w:rPr>
        <w:t>pathways</w:t>
      </w:r>
      <w:r w:rsidR="00482929"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author":[{"dropping-particle":"","family":"Stephanopoulos","given":"George","non-dropping-particle":"","parse-names":false,"suffix":""},{"dropping-particle":"","family":"Aristidou","given":"Aristos","non-dropping-particle":"","parse-names":false,"suffix":""},{"dropping-particle":"","family":"Nielsen","given":"Jens","non-dropping-particle":"","parse-names":false,"suffix":""}],"id":"ITEM-1","issued":{"date-parts":[["1998"]]},"publisher":"Academic Press","publisher-place":"San Diego","title":"Metabolic Engineering: Principles and Methodologies","type":"book"},"uris":["http://www.mendeley.com/documents/?uuid=3ee75d5d-ccb2-37c4-b0f7-83450e580601"]},{"id":"ITEM-2","itemData":{"DOI":"10.1038/s41467-021-25233-y","ISSN":"20411723","abstract":"Cell-free systems using crude cell extracts present appealing opportunities for designing biosynthetic pathways and enabling sustainable chemical synthesis. However, the lack of tools to effectively manipulate the underlying host metabolism in vitro limits the potential of these systems. Here, we create an integrated framework to address this gap that leverages cell extracts from host strains genetically rewired by multiplexed CRISPR-dCas9 modulation and other metabolic engineering techniques. As a model, we explore conversion of glucose to 2,3-butanediol in extracts from flux-enhanced Saccharomyces cerevisiae strains. We show that cellular flux rewiring in several strains of S. cerevisiae combined with systematic optimization of the cell-free reaction environment significantly increases 2,3-butanediol titers and volumetric productivities, reaching productivities greater than 0.9 g/L-h. We then show the generalizability of the framework by improving cell-free itaconic acid and glycerol biosynthesis. Our coupled in vivo/in vitro metabolic engineering approach opens opportunities for synthetic biology prototyping efforts and cell-free biomanufacturing.","author":[{"dropping-particle":"","family":"Rasor","given":"Blake J.","non-dropping-particle":"","parse-names":false,"suffix":""},{"dropping-particle":"","family":"Yi","given":"Xiunan","non-dropping-particle":"","parse-names":false,"suffix":""},{"dropping-particle":"","family":"Brown","given":"Hunter","non-dropping-particle":"","parse-names":false,"suffix":""},{"dropping-particle":"","family":"Alper","given":"Hal S.","non-dropping-particle":"","parse-names":false,"suffix":""},{"dropping-particle":"","family":"Jewett","given":"Michael C.","non-dropping-particle":"","parse-names":false,"suffix":""}],"container-title":"Nature Communications","id":"ITEM-2","issue":"1","issued":{"date-parts":[["2021"]]},"title":"An integrated in vivo/in vitro framework to enhance cell-free biosynthesis with metabolically rewired yeast extracts","type":"article-journal","volume":"12"},"uris":["http://www.mendeley.com/documents/?uuid=de3655a6-6de6-3969-b0d9-b134deac4cdc"]},{"id":"ITEM-3","itemData":{"DOI":"10.1002/bit.22666","ISSN":"00063592","PMID":"20091765","abstract":"The orchestration of a multitude of enzyme catalysts allows cells to carry out complex and thermodynamically unfavorable chemical conversions. In an effort to recruit these advantages for in vitro biotransformations, we have assembled a 10-step catalytic system - a system of biotransformations (SBT) - for the synthesis of unnatural monosaccharides based on the versatile building block dihydroxyacetone phosphate (DHAP). To facilitate the assembly of such a network, we have insulated a production pathway from Escherichia coli's central carbon metabolism. This pathway consists of the endogenous glycolysis without triose-phosphate isomerase to enable accumulation of DHAP and was completed with lactate dehydrogenase to regenerate NAD+. It could be readily extended for the synthesis of unnatural sugar molecules, such as the unnatural monosaccharide phosphate 5,6,7-trideoxy-D-threoheptulose-1-phosphate from DHAP and butanal. Insulation required in particular inactivation of the amn gene encoding the AMP nucleosidase, which otherwise led to glucoseindependent DHAP production from adenosine phosphates. The work demonstrates that a sufficiently insulated in vitro multi-step enzymatic system can be readily assembled from central carbon metabolism pathways. © 2010 Wiley Periodicals, Inc.","author":[{"dropping-particle":"","family":"Bujara","given":"Matthias","non-dropping-particle":"","parse-names":false,"suffix":""},{"dropping-particle":"","family":"Schümperli","given":"Michael","non-dropping-particle":"","parse-names":false,"suffix":""},{"dropping-particle":"","family":"Billerbeck","given":"Sonja","non-dropping-particle":"","parse-names":false,"suffix":""},{"dropping-particle":"","family":"Heinemann","given":"Matthias","non-dropping-particle":"","parse-names":false,"suffix":""},{"dropping-particle":"","family":"Panke","given":"Sven","non-dropping-particle":"","parse-names":false,"suffix":""}],"container-title":"Biotechnology and Bioengineering","id":"ITEM-3","issue":"3","issued":{"date-parts":[["2010","6","15"]]},"page":"376-389","publisher":"Biotechnol Bioeng","title":"Exploiting cell-free systems: Implementation and debugging of a system of biotransformations","type":"article-journal","volume":"106"},"uris":["http://www.mendeley.com/documents/?uuid=dcf05f7d-a050-3deb-b73b-d5fe4b460eed"]},{"id":"ITEM-4","itemData":{"DOI":"10.1021/acssynbio.6b00154","author":[{"dropping-particle":"","family":"Dudley","given":"Quentin M","non-dropping-particle":"","parse-names":false,"suffix":""},{"dropping-particle":"","family":"Anderson","given":"Kim C","non-dropping-particle":"","parse-names":false,"suffix":""},{"dropping-particle":"","family":"Jewett","given":"Michael C","non-dropping-particle":"","parse-names":false,"suffix":""}],"id":"ITEM-4","issued":{"date-parts":[["2016"]]},"title":"Cell-Free Mixing of Escherichia coli Crude Extracts to Prototype and Rationally Engineer High-Titer Mevalonate Synthesis","type":"article-journal"},"uris":["http://www.mendeley.com/documents/?uuid=99336352-fabf-4121-855f-c8567c91a0c0"]}],"mendeley":{"formattedCitation":"&lt;sup&gt;47,53,60,62&lt;/sup&gt;","plainTextFormattedCitation":"47,53,60,62","previouslyFormattedCitation":"&lt;sup&gt;47,53,60,62&lt;/sup&gt;"},"properties":{"noteIndex":0},"schema":"https://github.com/citation-style-language/schema/raw/master/csl-citation.json"}</w:instrText>
      </w:r>
      <w:r w:rsidR="00482929"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47,53,60,62</w:t>
      </w:r>
      <w:r w:rsidR="00482929" w:rsidRPr="00A71FCF">
        <w:rPr>
          <w:rFonts w:eastAsia="Times New Roman" w:cs="Arial"/>
          <w:color w:val="000000"/>
          <w:szCs w:val="22"/>
        </w:rPr>
        <w:fldChar w:fldCharType="end"/>
      </w:r>
      <w:r w:rsidR="00E43B04" w:rsidRPr="00E43B04">
        <w:rPr>
          <w:rFonts w:eastAsia="Times New Roman" w:cs="Arial"/>
          <w:color w:val="000000"/>
          <w:szCs w:val="22"/>
        </w:rPr>
        <w:t>.</w:t>
      </w:r>
      <w:r w:rsidR="00D35A35">
        <w:rPr>
          <w:rFonts w:eastAsia="Times New Roman" w:cs="Arial"/>
          <w:color w:val="000000"/>
          <w:szCs w:val="22"/>
        </w:rPr>
        <w:t xml:space="preserve"> Previous efforts to increase flux through endogenous lysate metabolism involve knocking out genes from source strains</w:t>
      </w:r>
      <w:r w:rsidR="00D35A35"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{"citationItems":[{"id":"ITEM-1","itemData":{"DOI":"10.1002/bit.22666","ISSN":"00063592","PMID":"20091765","abstract":"The orchestration of a multitude of enzyme catalysts allows cells to carry out complex and thermodynamically unfavorable chemical conversions. In an effort to recruit these advantages for in vitro biotransformations, we have assembled a 10-step catalytic system - a system of biotransformations (SBT) - for the synthesis of unnatural monosaccharides based on the versatile building block dihydroxyacetone phosphate (DHAP). To facilitate the assembly of such a network, we have insulated a production pathway from Escherichia coli's central carbon metabolism. This pathway consists of the endogenous glycolysis without triose-phosphate isomerase to enable accumulation of DHAP and was completed with lactate dehydrogenase to regenerate NAD+. It could be readily extended for the synthesis of unnatural sugar molecules, such as the unnatural monosaccharide phosphate 5,6,7-trideoxy-D-threoheptulose-1-phosphate from DHAP and butanal. Insulation required in particular inactivation of the amn gene encoding the AMP nucleosidase, which otherwise led to glucoseindependent DHAP production from adenosine phosphates. The work demonstrates that a sufficiently insulated in vitro multi-step enzymatic system can be readily assembled from central carbon metabolism pathways. © 2010 Wiley Periodicals, Inc.","author":[{"dropping-particle":"","family":"Bujara","given":"Matthias","non-dropping-particle":"","parse-names":false,"suffix":""},{"dropping-particle":"","family":"Schümperli","given":"Michael","non-dropping-particle":"","parse-names":false,"suffix":""},{"dropping-particle":"","family":"Billerbeck","given":"Sonja","non-dropping-particle":"","parse-names":false,"suffix":""},{"dropping-particle":"","family":"Heinemann","given":"Matthias","non-dropping-particle":"","parse-names":false,"suffix":""},{"dropping-particle":"","family":"Panke","given":"Sven","non-dropping-particle":"","parse-names":false,"suffix":""}],"container-title":"Biotechnology and Bioengineering","id":"ITEM-1","issue":"3","issued":{"date-parts":[["2010","6","15"]]},"page":"376-389","publisher":"Biotechnol Bioeng","title":"Exploiting cell-free systems: Implementation and debugging of a system of biotransformations","type":"article-journal","volume":"106"},"uris":["http://www.mendeley.com/documents/?uuid=dcf05f7d-a050-3deb-b73b-d5fe4b460eed"]},{"id":"ITEM-2","itemData":{"DOI":"10.1021/acssynbio.6b00154","author":[{"dropping-particle":"","family":"Dudley","given":"Quentin M","non-dropping-particle":"","parse-names":false,"suffix":""},{"dropping-particle":"","family":"Anderson","given":"Kim C","non-dropping-particle":"","parse-names":false,"suffix":""},{"dropping-particle":"","family":"Jewett","given":"Michael C","non-dropping-particle":"","parse-names":false,"suffix":""}],"id":"ITEM-2","issued":{"date-parts":[["2016"]]},"title":"Cell-Free Mixing of Escherichia coli Crude Extracts to Prototype and Rationally Engineer High-Titer Mevalonate Synthesis","type":"article-journal"},"uris":["http://www.mendeley.com/documents/?uuid=99336352-fabf-4121-855f-c8567c91a0c0"]},{"id":"ITEM-3","itemData":{"DOI":"10.1038/s41467-021-25233-y","ISSN":"20411723","abstract":"Cell-free systems using crude cell extracts present appealing opportunities for designing biosynthetic pathways and enabling sustainable chemical synthesis. However, the lack of tools to effectively manipulate the underlying host metabolism in vitro limits the potential of these systems. Here, we create an integrated framework to address this gap that leverages cell extracts from host strains genetically rewired by multiplexed CRISPR-dCas9 modulation and other metabolic engineering techniques. As a model, we explore conversion of glucose to 2,3-butanediol in extracts from flux-enhanced Saccharomyces cerevisiae strains. We show that cellular flux rewiring in several strains of S. cerevisiae combined with systematic optimization of the cell-free reaction environment significantly increases 2,3-butanediol titers and volumetric productivities, reaching productivities greater than 0.9 g/L-h. We then show the generalizability of the framework by improving cell-free itaconic acid and glycerol biosynthesis. Our coupled in vivo/in vitro metabolic engineering approach opens opportunities for synthetic biology prototyping efforts and cell-free biomanufacturing.","author":[{"dropping-particle":"","family":"Rasor","given":"Blake J.","non-dropping-particle":"","parse-names":false,"suffix":""},{"dropping-particle":"","family":"Yi","given":"Xiunan","non-dropping-particle":"","parse-names":false,"suffix":""},{"dropping-particle":"","family":"Brown","given":"Hunter","non-dropping-particle":"","parse-names":false,"suffix":""},{"dropping-particle":"","family":"Alper","given":"Hal S.","non-dropping-particle":"","parse-names":false,"suffix":""},{"dropping-particle":"","family":"Jewett","given":"Michael C.","non-dropping-particle":"","parse-names":false,"suffix":""}],"container-title":"Nature Communications","id":"ITEM-3","issue":"1","issued":{"date-parts":[["2021"]]},"title":"An integrated in vivo/in vitro framework to enhance cell-free biosynthesis with metabolically rewired yeast extracts","type":"article-journal","volume":"12"},"uris":["http://www.mendeley.com/documents/?uuid=de3655a6-6de6-3969-b0d9-b134deac4cdc"]}],"mendeley":{"formattedCitation":"&lt;sup&gt;47,53,62&lt;/sup&gt;","plainTextFormattedCitation":"47,53,62","previouslyFormattedCitation":"&lt;sup&gt;47,53,62&lt;/sup&gt;"},"properties":{"noteIndex":0},"schema":"https://github.com/citation-style-language/schema/raw/master/csl-citation.json"}</w:instrText>
      </w:r>
      <w:r w:rsidR="00D35A35"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47,53,62</w:t>
      </w:r>
      <w:r w:rsidR="00D35A35" w:rsidRPr="00A71FCF">
        <w:rPr>
          <w:rFonts w:eastAsia="Times New Roman" w:cs="Arial"/>
          <w:color w:val="000000"/>
          <w:szCs w:val="22"/>
        </w:rPr>
        <w:fldChar w:fldCharType="end"/>
      </w:r>
      <w:r w:rsidR="009E167B">
        <w:rPr>
          <w:rFonts w:eastAsia="Times New Roman" w:cs="Arial"/>
          <w:color w:val="000000"/>
          <w:szCs w:val="22"/>
        </w:rPr>
        <w:t>.</w:t>
      </w:r>
      <w:r w:rsidR="00D35A35">
        <w:rPr>
          <w:rFonts w:eastAsia="Times New Roman" w:cs="Arial"/>
          <w:color w:val="000000"/>
          <w:szCs w:val="22"/>
        </w:rPr>
        <w:t xml:space="preserve"> </w:t>
      </w:r>
      <w:r w:rsidR="006667AC" w:rsidRPr="001F4A37">
        <w:rPr>
          <w:rFonts w:eastAsia="Times New Roman" w:cs="Arial"/>
          <w:color w:val="000000"/>
          <w:szCs w:val="22"/>
        </w:rPr>
        <w:t>However, this approach is highly constrained by source strain viability, given that genes selected for deletion typically contribute to the organism’s central metabolism</w:t>
      </w:r>
      <w:r w:rsidR="001F4A37" w:rsidRPr="001F4A37">
        <w:rPr>
          <w:rFonts w:eastAsia="Times New Roman" w:cs="Arial"/>
          <w:color w:val="000000"/>
          <w:szCs w:val="22"/>
        </w:rPr>
        <w:t>.</w:t>
      </w:r>
      <w:r w:rsidR="006667AC" w:rsidRPr="001F4A37">
        <w:rPr>
          <w:rFonts w:eastAsia="Times New Roman" w:cs="Arial"/>
          <w:color w:val="000000"/>
          <w:szCs w:val="22"/>
        </w:rPr>
        <w:t xml:space="preserve"> Knocking out these reactions from the source strain compromise growth and may be lethal, so that a limited number of gene deletions are allowed</w:t>
      </w:r>
      <w:r w:rsidR="009150B7" w:rsidRPr="001F4A37">
        <w:rPr>
          <w:rFonts w:eastAsia="Times New Roman" w:cs="Arial"/>
          <w:color w:val="000000"/>
          <w:szCs w:val="22"/>
        </w:rPr>
        <w:t xml:space="preserve"> without significant strain optimization</w:t>
      </w:r>
      <w:r w:rsidR="001F4A37" w:rsidRPr="001F4A37">
        <w:rPr>
          <w:rFonts w:eastAsia="Times New Roman" w:cs="Arial"/>
          <w:color w:val="000000"/>
          <w:szCs w:val="22"/>
        </w:rPr>
        <w:fldChar w:fldCharType="begin" w:fldLock="1"/>
      </w:r>
      <w:r w:rsidR="001F4A37" w:rsidRPr="001F4A37">
        <w:rPr>
          <w:rFonts w:eastAsia="Times New Roman" w:cs="Arial"/>
          <w:color w:val="000000"/>
          <w:szCs w:val="22"/>
        </w:rPr>
        <w:instrText>ADDIN CSL_CITATION {"citationItems":[{"id":"ITEM-1","itemData":{"DOI":"10.1146/annurev-chembioeng-061312-103312","ISSN":"1947-5438","abstract":"We present here a broad overview of the field of metabolic engineering, describing in the first section the key fundamental principles that define and distinguish it, as well as the technological and intellectual developments over the past approximately 20 years that have led to the current state of the art. Discussion of concepts such as metabolic flux analysis, metabolic control analysis, and rational and combinatorial methods is facilitated by illustrative examples of their application drawn from the extensive metabolic engineering literature. In the second section, we present some of the rapidly emerging technologies that we think will play pivotal roles in the continued growth of the field, from improving production metrics to expanding the range of attainable compounds. Expected final online publication date for the Annual Review of Chemical and Biomolecular Engineering Volume 4 is June 07, 2013. Please see http://www.annualreviews.org/catalog/pubdates.aspx for revised estimates.","author":[{"dropping-particle":"","family":"Woolston","given":"Benjamin M.","non-dropping-particle":"","parse-names":false,"suffix":""},{"dropping-particle":"","family":"Edgar","given":"Steven","non-dropping-particle":"","parse-names":false,"suffix":""},{"dropping-particle":"","family":"Stephanopoulos","given":"Gregory","non-dropping-particle":"","parse-names":false,"suffix":""}],"container-title":"Annual Review of Chemical and Biomolecular Engineering","id":"ITEM-1","issue":"1","issued":{"date-parts":[["2013","6","7"]]},"page":"259-288","publisher":"Annual Reviews","title":"Metabolic Engineering: Past and Future","type":"article-journal","volume":"4"},"uris":["http://www.mendeley.com/documents/?uuid=53a9df93-ae7e-398c-8ec2-88534a6bd011"]}],"mendeley":{"formattedCitation":"&lt;sup&gt;13&lt;/sup&gt;","plainTextFormattedCitation":"13","previouslyFormattedCitation":"&lt;sup&gt;13&lt;/sup&gt;"},"properties":{"noteIndex":0},"schema":"https://github.com/citation-style-language/schema/raw/master/csl-citation.json"}</w:instrText>
      </w:r>
      <w:r w:rsidR="001F4A37" w:rsidRPr="001F4A37">
        <w:rPr>
          <w:rFonts w:eastAsia="Times New Roman" w:cs="Arial"/>
          <w:color w:val="000000"/>
          <w:szCs w:val="22"/>
        </w:rPr>
        <w:fldChar w:fldCharType="separate"/>
      </w:r>
      <w:r w:rsidR="001F4A37" w:rsidRPr="001F4A37">
        <w:rPr>
          <w:rFonts w:eastAsia="Times New Roman" w:cs="Arial"/>
          <w:noProof/>
          <w:color w:val="000000"/>
          <w:szCs w:val="22"/>
          <w:vertAlign w:val="superscript"/>
        </w:rPr>
        <w:t>13</w:t>
      </w:r>
      <w:r w:rsidR="001F4A37" w:rsidRPr="001F4A37">
        <w:rPr>
          <w:rFonts w:eastAsia="Times New Roman" w:cs="Arial"/>
          <w:color w:val="000000"/>
          <w:szCs w:val="22"/>
        </w:rPr>
        <w:fldChar w:fldCharType="end"/>
      </w:r>
      <w:r w:rsidR="009150B7" w:rsidRPr="001F4A37">
        <w:rPr>
          <w:rFonts w:eastAsia="Times New Roman" w:cs="Arial"/>
          <w:color w:val="000000"/>
          <w:szCs w:val="22"/>
        </w:rPr>
        <w:t>. Thus, this technique still requires long DBTL cycles that are characteristic of cell-based metabolic engineering campaigns.</w:t>
      </w:r>
      <w:r w:rsidR="009150B7">
        <w:rPr>
          <w:rFonts w:eastAsia="Times New Roman" w:cs="Arial"/>
          <w:color w:val="000000"/>
          <w:szCs w:val="22"/>
        </w:rPr>
        <w:t xml:space="preserve"> </w:t>
      </w:r>
    </w:p>
    <w:p w14:paraId="3F736226" w14:textId="2715C8FF" w:rsidR="009E167B" w:rsidRPr="001A4064" w:rsidRDefault="00E0688D" w:rsidP="00E0688D">
      <w:pPr>
        <w:ind w:firstLine="720"/>
        <w:contextualSpacing/>
        <w:rPr>
          <w:rFonts w:eastAsia="Times New Roman" w:cs="Arial"/>
          <w:color w:val="000000"/>
          <w:szCs w:val="22"/>
        </w:rPr>
      </w:pPr>
      <w:r w:rsidRPr="00A71FCF">
        <w:rPr>
          <w:rFonts w:eastAsia="Times New Roman" w:cs="Arial"/>
          <w:color w:val="000000"/>
          <w:szCs w:val="22"/>
        </w:rPr>
        <w:t>High-value bioconversions typically necessitate</w:t>
      </w:r>
      <w:r w:rsidRPr="00E43B04">
        <w:rPr>
          <w:rFonts w:eastAsia="Times New Roman" w:cs="Arial"/>
          <w:color w:val="000000"/>
          <w:szCs w:val="22"/>
        </w:rPr>
        <w:t xml:space="preserve"> the construction of heterologous metabolic pathways </w:t>
      </w:r>
      <w:r w:rsidRPr="00A71FCF">
        <w:rPr>
          <w:rFonts w:eastAsia="Times New Roman" w:cs="Arial"/>
          <w:color w:val="000000"/>
          <w:szCs w:val="22"/>
        </w:rPr>
        <w:t xml:space="preserve">that </w:t>
      </w:r>
      <w:r w:rsidR="001D6560">
        <w:rPr>
          <w:rFonts w:eastAsia="Times New Roman" w:cs="Arial"/>
          <w:color w:val="000000"/>
          <w:szCs w:val="22"/>
        </w:rPr>
        <w:t>feed off pooled endogenous precursors for conversion to a target product</w:t>
      </w:r>
      <w:r w:rsidR="001D6560" w:rsidRPr="00A71FCF">
        <w:rPr>
          <w:rFonts w:eastAsia="Times New Roman" w:cs="Arial"/>
          <w:color w:val="000000"/>
          <w:szCs w:val="22"/>
        </w:rPr>
        <w:fldChar w:fldCharType="begin" w:fldLock="1"/>
      </w:r>
      <w:r w:rsidR="001D6560" w:rsidRPr="00A71FCF">
        <w:rPr>
          <w:rFonts w:eastAsia="Times New Roman" w:cs="Arial"/>
          <w:color w:val="000000"/>
          <w:szCs w:val="22"/>
        </w:rPr>
        <w:instrText>ADDIN CSL_CITATION {"citationItems":[{"id":"ITEM-1","itemData":{"DOI":"10.1007/s10295-016-1863-2","ISSN":"14765535","abstract":"Biomanufacturing is a type of manufacturing that utilizes biological systems (e.g., living microorganisms, resting cells, animal cells, plant cells, tissues, enzymes, or in vitro synthetic (enzymatic) systems) to produce commercially important biomolecules for use in the agricultural, food, material, energy, and pharmaceutical industries. History of biomanufacturing could be classified into the three revolutions in terms of respective product types (mainly), production platforms, and research technologies. Biomanufacturing 1.0 focuses on the production of primary metabolites (e.g., butanol, acetone, ethanol, citric acid) by using mono-culture fermentation; biomanufacturing 2.0 focuses on the production of secondary metabolites (e.g., penicillin, streptomycin) by using a dedicated mutant and aerobic submerged liquid fermentation; and biomanufacturing 3.0 focuses on the production of large-size biomolecules—proteins and enzymes (e.g., erythropoietin, insulin, growth hormone, amylase, DNA polymerase) by using recombinant DNA technology and advanced cell culture. Biomanufacturing 4.0 could focus on new products, for example, human tissues or cells made by regenerative medicine, artificial starch made by in vitro synthetic biosystems, isobutanol fermented by metabolic engineering, and synthetic biology-driven microorganisms, as well as exiting products produced by far better approaches. Biomanufacturing 4.0 would help address some of the most important challenges of humankind, such as food security, energy security and sustainability, water crisis, climate change, health issues, and conflict related to the energy, food, and water nexus.","author":[{"dropping-particle":"","family":"Zhang","given":"Yi Heng Percival","non-dropping-particle":"","parse-names":false,"suffix":""},{"dropping-particle":"","family":"Sun","given":"Jibin","non-dropping-particle":"","parse-names":false,"suffix":""},{"dropping-particle":"","family":"Ma","given":"Yanhe","non-dropping-particle":"","parse-names":false,"suffix":""}],"container-title":"Journal of Industrial Microbiology and Biotechnology","id":"ITEM-1","issue":"4-5","issued":{"date-parts":[["2017","5","1"]]},"page":"773-784","publisher":"Springer Verlag","title":"Biomanufacturing: history and perspective","type":"article","volume":"44"},"uris":["http://www.mendeley.com/documents/?uuid=4f19c6ff-b9bd-3db8-9e9c-a237aa114695"]}],"mendeley":{"formattedCitation":"&lt;sup&gt;10&lt;/sup&gt;","plainTextFormattedCitation":"10","previouslyFormattedCitation":"&lt;sup&gt;10&lt;/sup&gt;"},"properties":{"noteIndex":0},"schema":"https://github.com/citation-style-language/schema/raw/master/csl-citation.json"}</w:instrText>
      </w:r>
      <w:r w:rsidR="001D6560" w:rsidRPr="00A71FCF">
        <w:rPr>
          <w:rFonts w:eastAsia="Times New Roman" w:cs="Arial"/>
          <w:color w:val="000000"/>
          <w:szCs w:val="22"/>
        </w:rPr>
        <w:fldChar w:fldCharType="separate"/>
      </w:r>
      <w:r w:rsidR="001D6560" w:rsidRPr="00A71FCF">
        <w:rPr>
          <w:rFonts w:eastAsia="Times New Roman" w:cs="Arial"/>
          <w:noProof/>
          <w:color w:val="000000"/>
          <w:szCs w:val="22"/>
          <w:vertAlign w:val="superscript"/>
        </w:rPr>
        <w:t>10</w:t>
      </w:r>
      <w:r w:rsidR="001D6560" w:rsidRPr="00A71FCF">
        <w:rPr>
          <w:rFonts w:eastAsia="Times New Roman" w:cs="Arial"/>
          <w:color w:val="000000"/>
          <w:szCs w:val="22"/>
        </w:rPr>
        <w:fldChar w:fldCharType="end"/>
      </w:r>
      <w:r w:rsidR="001D6560" w:rsidRPr="00E43B04">
        <w:rPr>
          <w:rFonts w:eastAsia="Times New Roman" w:cs="Arial"/>
          <w:color w:val="000000"/>
          <w:szCs w:val="22"/>
        </w:rPr>
        <w:t>.</w:t>
      </w:r>
      <w:r w:rsidR="00D35A35">
        <w:rPr>
          <w:rFonts w:eastAsia="Times New Roman" w:cs="Arial"/>
          <w:color w:val="000000"/>
          <w:szCs w:val="22"/>
        </w:rPr>
        <w:t xml:space="preserve"> Overexpressing </w:t>
      </w:r>
      <w:r w:rsidR="001D6560">
        <w:rPr>
          <w:rFonts w:eastAsia="Times New Roman" w:cs="Arial"/>
          <w:color w:val="000000"/>
          <w:szCs w:val="22"/>
        </w:rPr>
        <w:t xml:space="preserve">heterologous enzymes in </w:t>
      </w:r>
      <w:r w:rsidR="00D35A35">
        <w:rPr>
          <w:rFonts w:eastAsia="Times New Roman" w:cs="Arial"/>
          <w:color w:val="000000"/>
          <w:szCs w:val="22"/>
        </w:rPr>
        <w:t>a metabolic pathway is</w:t>
      </w:r>
      <w:r w:rsidR="001D6560">
        <w:rPr>
          <w:rFonts w:eastAsia="Times New Roman" w:cs="Arial"/>
          <w:color w:val="000000"/>
          <w:szCs w:val="22"/>
        </w:rPr>
        <w:t xml:space="preserve"> thus necessary to </w:t>
      </w:r>
      <w:r w:rsidR="00D35A35">
        <w:rPr>
          <w:rFonts w:eastAsia="Times New Roman" w:cs="Arial"/>
          <w:color w:val="000000"/>
          <w:szCs w:val="22"/>
        </w:rPr>
        <w:t>drive flux towards the desired metabolite with high yield</w:t>
      </w:r>
      <w:r w:rsidR="001D6560"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Engineering","id":"ITEM-1","issued":{"date-parts":[["2015"]]},"page":"133-142","title":"Lysate of engineered Escherichia coli supports high-level conversion of glucose to 2,3-butanediol","type":"article-journal","volume":"32"},"uris":["http://www.mendeley.com/documents/?uuid=cb5185b2-2e9e-42b5-808e-ce918d13a7be"]}],"mendeley":{"formattedCitation":"&lt;sup&gt;46&lt;/sup&gt;","plainTextFormattedCitation":"46","previouslyFormattedCitation":"&lt;sup&gt;46&lt;/sup&gt;"},"properties":{"noteIndex":0},"schema":"https://github.com/citation-style-language/schema/raw/master/csl-citation.json"}</w:instrText>
      </w:r>
      <w:r w:rsidR="001D6560"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46</w:t>
      </w:r>
      <w:r w:rsidR="001D6560" w:rsidRPr="00A71FCF">
        <w:rPr>
          <w:rFonts w:eastAsia="Times New Roman" w:cs="Arial"/>
          <w:color w:val="000000"/>
          <w:szCs w:val="22"/>
        </w:rPr>
        <w:fldChar w:fldCharType="end"/>
      </w:r>
      <w:r w:rsidR="001D6560">
        <w:rPr>
          <w:rFonts w:eastAsia="Times New Roman" w:cs="Arial"/>
          <w:color w:val="000000"/>
          <w:szCs w:val="22"/>
        </w:rPr>
        <w:t xml:space="preserve">. </w:t>
      </w:r>
      <w:r w:rsidR="00D35A35">
        <w:rPr>
          <w:rFonts w:eastAsia="Times New Roman" w:cs="Arial"/>
          <w:color w:val="000000"/>
          <w:szCs w:val="22"/>
        </w:rPr>
        <w:t xml:space="preserve">The common approach for doing this in lysate-based systems is </w:t>
      </w:r>
      <w:r w:rsidR="001D6560">
        <w:rPr>
          <w:rFonts w:eastAsia="Times New Roman" w:cs="Arial"/>
          <w:color w:val="000000"/>
          <w:szCs w:val="22"/>
        </w:rPr>
        <w:t xml:space="preserve"> </w:t>
      </w:r>
      <w:r w:rsidR="00D35A35">
        <w:rPr>
          <w:rFonts w:eastAsia="Times New Roman" w:cs="Arial"/>
          <w:color w:val="000000"/>
          <w:szCs w:val="22"/>
        </w:rPr>
        <w:t>by overexpressing these proteins in the source strain, then deriving enzyme-enriched extracts for cell-free conversion</w:t>
      </w:r>
      <w:r w:rsidR="009E167B"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{"citationItems":[{"id":"ITEM-1","itemData":{"DOI":"10.1021/acssynbio.6b00154","author":[{"dropping-particle":"","family":"Dudley","given":"Quentin M","non-dropping-particle":"","parse-names":false,"suffix":""},{"dropping-particle":"","family":"Anderson","given":"Kim C","non-dropping-particle":"","parse-names":false,"suffix":""},{"dropping-particle":"","family":"Jewett","given":"Michael C","non-dropping-particle":"","parse-names":false,"suffix":""}],"id":"ITEM-1","issued":{"date-parts":[["2016"]]},"title":"Cell-Free Mixing of Escherichia coli Crude Extracts to Prototype and Rationally Engineer High-Titer Mevalonate Synthesis","type":"article-journal"},"uris":["http://www.mendeley.com/documents/?uuid=99336352-fabf-4121-855f-c8567c91a0c0"]},{"id":"ITEM-2","itemData":{"DOI":"10.1016/j.ymben.2015.09.015","ISSN":"10967184","PMID":"26428449","abstract":"Cell-free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Engineering","id":"ITEM-2","issued":{"date-parts":[["2015"]]},"page":"133-142","title":"Lysate of engineered Escherichia coli supports high-level conversion of glucose to 2,3-butanediol","type":"article-journal","volume":"32"},"uris":["http://www.mendeley.com/documents/?uuid=cb5185b2-2e9e-42b5-808e-ce918d13a7be"]},{"id":"ITEM-3","itemData":{"DOI":"10.1016/J.YMBEN.2020.05.009","ISSN":"1096-7176","PMID":"32502620","abstract":"Styrene is an important petroleum-derived molecule that is polymerized to make versatile plastics, including disposable silverware and foamed packaging materials. Finding more sustainable methods, such as biosynthesis, for producing styrene is essential due to the increasing severity of climate change as well as the limited supply of fossil fuels. Recent metabolic engineering efforts have enabled the biological production of styrene in Escherichia coli, but styrene toxicity and volatility limit biosynthesis in cells. To address these limitations, we have developed a cell-free styrene biosynthesis platform. The cell-free system provides an open reaction environment without cell viability constraints, which allows exquisite control over reaction conditions and greater carbon flux toward product formation rather than cell growth. The two biosynthetic enzymes required for styrene production were generated via cell-free protein synthesis and mixed in defined ratios with supplemented L-phenylalanine and buffer. By altering the time, temperature, pH, and enzyme concentrations in the reaction, this approach increased the cell-free titer of styrene from 5.36 ± 0.63 mM to 40.33 ± 1.03 mM, the highest amount achieved using biosynthesis without process modifications and product removal strategies. Cell-free systems offer a complimentary approach to cellular synthesis of small molecules, which can provide particular benefits for producing toxic molecules.","author":[{"dropping-particle":"","family":"Grubbe","given":"William S.","non-dropping-particle":"","parse-names":false,"suffix":""},{"dropping-particle":"","family":"Rasor","given":"Blake J.","non-dropping-particle":"","parse-names":false,"suffix":""},{"dropping-particle":"","family":"Krüger","given":"Antje","non-dropping-particle":"","parse-names":false,"suffix":""},{"dropping-particle":"","family":"Jewett","given":"Michael C.","non-dropping-particle":"","parse-names":false,"suffix":""},{"dropping-particle":"","family":"Karim","given":"Ashty S.","non-dropping-particle":"","parse-names":false,"suffix":""}],"container-title":"Metabolic Engineering","id":"ITEM-3","issued":{"date-parts":[["2020","9","1"]]},"page":"89-95","publisher":"Academic Press","title":"Cell-free styrene biosynthesis at high titers","type":"article-journal","volume":"61"},"uris":["http://www.mendeley.com/documents/?uuid=392ffd54-774c-3eee-bbde-70b91225bd34"]}],"mendeley":{"formattedCitation":"&lt;sup&gt;46,51,53&lt;/sup&gt;","plainTextFormattedCitation":"46,51,53","previouslyFormattedCitation":"&lt;sup&gt;46,51,53&lt;/sup&gt;"},"properties":{"noteIndex":0},"schema":"https://github.com/citation-style-language/schema/raw/master/csl-citation.json"}</w:instrText>
      </w:r>
      <w:r w:rsidR="009E167B"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46,51,53</w:t>
      </w:r>
      <w:r w:rsidR="009E167B" w:rsidRPr="00A71FCF">
        <w:rPr>
          <w:rFonts w:eastAsia="Times New Roman" w:cs="Arial"/>
          <w:color w:val="000000"/>
          <w:szCs w:val="22"/>
        </w:rPr>
        <w:fldChar w:fldCharType="end"/>
      </w:r>
      <w:r w:rsidR="00D35A35">
        <w:rPr>
          <w:rFonts w:eastAsia="Times New Roman" w:cs="Arial"/>
          <w:color w:val="000000"/>
          <w:szCs w:val="22"/>
        </w:rPr>
        <w:t xml:space="preserve">. </w:t>
      </w:r>
      <w:r w:rsidR="009150B7">
        <w:rPr>
          <w:rFonts w:eastAsia="Times New Roman" w:cs="Arial"/>
          <w:color w:val="000000"/>
          <w:szCs w:val="22"/>
        </w:rPr>
        <w:t>Unfortunately, overexpression can drain the cell’s physiological resources to make proteins, imposing metabolic burden on the organism</w:t>
      </w:r>
      <w:r w:rsidR="001F4A37">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{"citationItems":[{"id":"ITEM-1","itemData":{"DOI":"10.1016/J.TIBTECH.2016.02.010","ISSN":"0167-7799","PMID":"26996613","abstract":"Engineering cell metabolism for bioproduction not only consumes building blocks and energy molecules (e.g., ATP) but also triggers energetic inefficiency inside the cell. The metabolic burdens on microbial workhorses lead to undesirable physiological changes, placing hidden constraints on host productivity. We discuss cell physiological responses to metabolic burdens, as well as strategies to identify and resolve the carbon and energy burden problems, including metabolic balancing, enhancing respiration, dynamic regulatory systems, chromosomal engineering, decoupling cell growth with production phases, and co-utilization of nutrient resources. To design robust strains with high chances of success in industrial settings, novel genome-scale models (GSMs), 13C-metabolic flux analysis (MFA), and machine-learning approaches are needed for weighting, standardizing, and predicting metabolic costs.","author":[{"dropping-particle":"","family":"Wu","given":"Gang","non-dropping-particle":"","parse-names":false,"suffix":""},{"dropping-particle":"","family":"Yan","given":"Qiang","non-dropping-particle":"","parse-names":false,"suffix":""},{"dropping-particle":"","family":"Jones","given":"J. Andrew","non-dropping-particle":"","parse-names":false,"suffix":""},{"dropping-particle":"","family":"Tang","given":"Yinjie J.","non-dropping-particle":"","parse-names":false,"suffix":""},{"dropping-particle":"","family":"Fong","given":"Stephen S.","non-dropping-particle":"","parse-names":false,"suffix":""},{"dropping-particle":"","family":"Koffas","given":"Mattheos A.G.","non-dropping-particle":"","parse-names":false,"suffix":""}],"container-title":"Trends in Biotechnology","id":"ITEM-1","issue":"8","issued":{"date-parts":[["2016","8","1"]]},"page":"652-664","publisher":"Elsevier Current Trends","title":"Metabolic Burden: Cornerstones in Synthetic Biology and Metabolic Engineering Applications","type":"article-journal","volume":"34"},"uris":["http://www.mendeley.com/documents/?uuid=6cff7243-7aa4-32ae-8c5e-010eef5fbb54"]}],"mendeley":{"formattedCitation":"&lt;sup&gt;25&lt;/sup&gt;","plainTextFormattedCitation":"25","previouslyFormattedCitation":"&lt;sup&gt;25&lt;/sup&gt;"},"properties":{"noteIndex":0},"schema":"https://github.com/citation-style-language/schema/raw/master/csl-citation.json"}</w:instrText>
      </w:r>
      <w:r w:rsidR="001F4A37">
        <w:rPr>
          <w:rFonts w:eastAsia="Times New Roman" w:cs="Arial"/>
          <w:color w:val="000000"/>
          <w:szCs w:val="22"/>
        </w:rPr>
        <w:fldChar w:fldCharType="separate"/>
      </w:r>
      <w:r w:rsidR="001F4A37" w:rsidRPr="001F4A37">
        <w:rPr>
          <w:rFonts w:eastAsia="Times New Roman" w:cs="Arial"/>
          <w:noProof/>
          <w:color w:val="000000"/>
          <w:szCs w:val="22"/>
          <w:vertAlign w:val="superscript"/>
        </w:rPr>
        <w:t>25</w:t>
      </w:r>
      <w:r w:rsidR="001F4A37">
        <w:rPr>
          <w:rFonts w:eastAsia="Times New Roman" w:cs="Arial"/>
          <w:color w:val="000000"/>
          <w:szCs w:val="22"/>
        </w:rPr>
        <w:fldChar w:fldCharType="end"/>
      </w:r>
      <w:r w:rsidR="009150B7">
        <w:rPr>
          <w:rFonts w:eastAsia="Times New Roman" w:cs="Arial"/>
          <w:color w:val="000000"/>
          <w:szCs w:val="22"/>
        </w:rPr>
        <w:t xml:space="preserve">. </w:t>
      </w:r>
      <w:r w:rsidR="006560B9">
        <w:rPr>
          <w:rFonts w:eastAsia="Times New Roman" w:cs="Arial"/>
          <w:color w:val="000000"/>
          <w:szCs w:val="22"/>
        </w:rPr>
        <w:t>The physicochemical properties of m</w:t>
      </w:r>
      <w:r w:rsidR="009150B7">
        <w:rPr>
          <w:rFonts w:eastAsia="Times New Roman" w:cs="Arial"/>
          <w:color w:val="000000"/>
          <w:szCs w:val="22"/>
        </w:rPr>
        <w:t>etabolic enzymes that are non-native to the cell can also introduce complications</w:t>
      </w:r>
      <w:r w:rsidR="006560B9">
        <w:rPr>
          <w:rFonts w:eastAsia="Times New Roman" w:cs="Arial"/>
          <w:color w:val="000000"/>
          <w:szCs w:val="22"/>
        </w:rPr>
        <w:t xml:space="preserve"> in the host</w:t>
      </w:r>
      <w:r w:rsidR="009150B7">
        <w:rPr>
          <w:rFonts w:eastAsia="Times New Roman" w:cs="Arial"/>
          <w:color w:val="000000"/>
          <w:szCs w:val="22"/>
        </w:rPr>
        <w:t>. For example, these proteins and their metabolic products may be cytotoxic,</w:t>
      </w:r>
      <w:r w:rsidR="001A4064">
        <w:rPr>
          <w:rFonts w:eastAsia="Times New Roman" w:cs="Arial"/>
          <w:color w:val="000000"/>
          <w:szCs w:val="22"/>
        </w:rPr>
        <w:t xml:space="preserve"> or these enzymes may</w:t>
      </w:r>
      <w:r w:rsidR="009150B7">
        <w:rPr>
          <w:rFonts w:eastAsia="Times New Roman" w:cs="Arial"/>
          <w:color w:val="000000"/>
          <w:szCs w:val="22"/>
        </w:rPr>
        <w:t xml:space="preserve"> </w:t>
      </w:r>
      <w:r w:rsidR="001A4064">
        <w:rPr>
          <w:rFonts w:eastAsia="Times New Roman" w:cs="Arial"/>
          <w:color w:val="000000"/>
          <w:szCs w:val="22"/>
        </w:rPr>
        <w:t>can cause cofactor imbalances when interfacing with endogenous metabolism</w:t>
      </w:r>
      <w:r w:rsidR="001F4A37" w:rsidRPr="00A71FCF">
        <w:rPr>
          <w:rFonts w:eastAsia="Times New Roman" w:cs="Arial"/>
          <w:color w:val="000000"/>
          <w:szCs w:val="22"/>
        </w:rPr>
        <w:fldChar w:fldCharType="begin" w:fldLock="1"/>
      </w:r>
      <w:r w:rsidR="001F4A37" w:rsidRPr="00A71FCF">
        <w:rPr>
          <w:rFonts w:eastAsia="Times New Roman" w:cs="Arial"/>
          <w:color w:val="000000"/>
          <w:szCs w:val="22"/>
        </w:rPr>
        <w:instrText>ADDIN CSL_CITATION {"citationItems":[{"id":"ITEM-1","itemData":{"DOI":"10.1038/s41589-020-0559-0","ISSN":"1552-4469","PMID":"32541965","abstract":"The design and optimization of biosynthetic pathways for industrially relevant, non-model organisms is challenging due to transformation idiosyncrasies, reduced numbers of validated genetic parts and a lack of high-throughput workflows. Here we describe a platform for in vitro prototyping and rapid optimization of biosynthetic enzymes (iPROBE) to accelerate this process. In iPROBE, cell lysates are enriched with biosynthetic enzymes by cell-free protein synthesis and then metabolic pathways are assembled in a mix-and-match fashion to assess pathway performance. We demonstrate iPROBE by screening 54 different cell-free pathways for 3-hydroxybutyrate production and optimizing a six-step butanol pathway across 205 permutations using data-driven design. Observing a strong correlation (r = 0.79) between cell-free and cellular performance, we then scaled up our highest-performing pathway, which improved in vivo 3-HB production in Clostridium by 20-fold to 14.63 ± 0.48 g l−1. We expect iPROBE to accelerate design–build–test cycles for industrial biotechnology. The iPROBE platform accelerates the design and optimization of engineered biosynthetic pathways using a combination of cell-free protein synthesis, in vitro pathway assembly and a scoring system to identify high-performing combinations.","author":[{"dropping-particle":"","family":"Karim","given":"Ashty S.","non-dropping-particle":"","parse-names":false,"suffix":""},{"dropping-particle":"","family":"Dudley","given":"Quentin M.","non-dropping-particle":"","parse-names":false,"suffix":""},{"dropping-particle":"","family":"Juminaga","given":"Alex","non-dropping-particle":"","parse-names":false,"suffix":""},{"dropping-particle":"","family":"Yuan","given":"Yongbo","non-dropping-particle":"","parse-names":false,"suffix":""},{"dropping-particle":"","family":"Crowe","given":"Samantha A.","non-dropping-particle":"","parse-names":false,"suffix":""},{"dropping-particle":"","family":"Heggestad","given":"Jacob T.","non-dropping-particle":"","parse-names":false,"suffix":""},{"dropping-particle":"","family":"Garg","given":"Shivani","non-dropping-particle":"","parse-names":false,"suffix":""},{"dropping-particle":"","family":"Abdalla","given":"Tanus","non-dropping-particle":"","parse-names":false,"suffix":""},{"dropping-particle":"","family":"Grubbe","given":"William S.","non-dropping-particle":"","parse-names":false,"suffix":""},{"dropping-particle":"","family":"Rasor","given":"Blake J.","non-dropping-particle":"","parse-names":false,"suffix":""},{"dropping-particle":"","family":"Coar","given":"David N.","non-dropping-particle":"","parse-names":false,"suffix":""},{"dropping-particle":"","family":"Torculas","given":"Maria","non-dropping-particle":"","parse-names":false,"suffix":""},{"dropping-particle":"","family":"Krein","given":"Michael","non-dropping-particle":"","parse-names":false,"suffix":""},{"dropping-particle":"","family":"Liew","given":"Fung Min (Eric)","non-dropping-particle":"","parse-names":false,"suffix":""},{"dropping-particle":"","family":"Quattlebaum","given":"Amy","non-dropping-particle":"","parse-names":false,"suffix":""},{"dropping-particle":"","family":"Jensen","given":"Rasmus O.","non-dropping-particle":"","parse-names":false,"suffix":""},{"dropping-particle":"","family":"Stuart","given":"Jeffrey A.","non-dropping-particle":"","parse-names":false,"suffix":""},{"dropping-particle":"","family":"Simpson","given":"Sean D.","non-dropping-particle":"","parse-names":false,"suffix":""},{"dropping-particle":"","family":"Köpke","given":"Michael","non-dropping-particle":"","parse-names":false,"suffix":""},{"dropping-particle":"","family":"Jewett","given":"Michael C.","non-dropping-particle":"","parse-names":false,"suffix":""}],"container-title":"Nature Chemical Biology 2020 16:8","id":"ITEM-1","issue":"8","issued":{"date-parts":[["2020","6","15"]]},"page":"912-919","publisher":"Nature Publishing Group","title":"In vitro prototyping and rapid optimization of biosynthetic enzymes for cell design","type":"article-journal","volume":"16"},"uris":["http://www.mendeley.com/documents/?uuid=ea324de2-b505-3c8c-9eb3-a32744b0e992"]},{"id":"ITEM-2","itemData":{"DOI":"10.1016/J.YMBEN.2020.05.006","ISSN":"1096-7184","PMID":"32464283","abstract":"Metabolic engineering of microorganisms to produce sustainable chemicals has emerged as an important part of the global bioeconomy. Unfortunately, efforts to design and engineer microbial cell factories are challenging because design-build-test cycles, iterations of re-engineering organisms to test and optimize new sets of enzymes, are slow. To alleviate this challenge, we demonstrate a cell-free approach termed in vitro Prototyping and Rapid Optimization of Biosynthetic Enzymes (or iPROBE). In iPROBE, a large number of pathway combinations can be rapidly built and optimized. The key idea is to use cell-free protein synthesis (CFPS) to manufacture pathway enzymes in separate reactions that are then mixed to modularly assemble multiple, distinct biosynthetic pathways. As a model, we apply our approach to the 9-step heterologous enzyme pathway to limonene in extracts from Escherichia coli. In iterative cycles of design, we studied the impact of 54 enzyme homologs, multiple enzyme levels, and cofactor concentrations on pathway performance. In total, we screened over 150 unique sets of enzymes in 580 unique pathway conditions to increase limonene production in 24 h from 0.2 to 4.5 mM (23–610 mg/L). Finally, to demonstrate the modularity of this pathway, we also synthesized the biofuel precursors pinene and bisabolene. We anticipate that iPROBE will accelerate design-build-test cycles for metabolic engineering, enabling data-driven multiplexed cell-free methods for testing large combinations of biosynthetic enzymes to inform cellular design.","author":[{"dropping-particle":"","family":"Dudley","given":"Quentin M.","non-dropping-particle":"","parse-names":false,"suffix":""},{"dropping-particle":"","family":"Karim","given":"Ashty S.","non-dropping-particle":"","parse-names":false,"suffix":""},{"dropping-particle":"","family":"Nash","given":"Connor J.","non-dropping-particle":"","parse-names":false,"suffix":""},{"dropping-particle":"","family":"Jewett","given":"Michael C.","non-dropping-particle":"","parse-names":false,"suffix":""}],"container-title":"Metabolic engineering","id":"ITEM-2","issued":{"date-parts":[["2020","9","1"]]},"page":"251-260","publisher":"Metab Eng","title":"In vitro prototyping of limonene biosynthesis using cell-free protein synthesis","type":"article-journal","volume":"61"},"uris":["http://www.mendeley.com/documents/?uuid=7d7b987c-1e82-3450-b6a7-7724d3b6a8e1"]}],"mendeley":{"formattedCitation":"&lt;sup&gt;23,24&lt;/sup&gt;","plainTextFormattedCitation":"23,24","previouslyFormattedCitation":"&lt;sup&gt;23,24&lt;/sup&gt;"},"properties":{"noteIndex":0},"schema":"https://github.com/citation-style-language/schema/raw/master/csl-citation.json"}</w:instrText>
      </w:r>
      <w:r w:rsidR="001F4A37" w:rsidRPr="00A71FCF">
        <w:rPr>
          <w:rFonts w:eastAsia="Times New Roman" w:cs="Arial"/>
          <w:color w:val="000000"/>
          <w:szCs w:val="22"/>
        </w:rPr>
        <w:fldChar w:fldCharType="separate"/>
      </w:r>
      <w:r w:rsidR="001F4A37" w:rsidRPr="00A71FCF">
        <w:rPr>
          <w:rFonts w:eastAsia="Times New Roman" w:cs="Arial"/>
          <w:noProof/>
          <w:color w:val="000000"/>
          <w:szCs w:val="22"/>
          <w:vertAlign w:val="superscript"/>
        </w:rPr>
        <w:t>23,24</w:t>
      </w:r>
      <w:r w:rsidR="001F4A37" w:rsidRPr="00A71FCF">
        <w:rPr>
          <w:rFonts w:eastAsia="Times New Roman" w:cs="Arial"/>
          <w:color w:val="000000"/>
          <w:szCs w:val="22"/>
        </w:rPr>
        <w:fldChar w:fldCharType="end"/>
      </w:r>
      <w:r w:rsidR="001A4064">
        <w:rPr>
          <w:rFonts w:eastAsia="Times New Roman" w:cs="Arial"/>
          <w:color w:val="000000"/>
          <w:szCs w:val="22"/>
        </w:rPr>
        <w:t xml:space="preserve">. </w:t>
      </w:r>
    </w:p>
    <w:p w14:paraId="2F9D480F" w14:textId="77777777" w:rsidR="00857C48" w:rsidRDefault="001A4064" w:rsidP="009E167B">
      <w:pPr>
        <w:ind w:firstLine="720"/>
        <w:contextualSpacing/>
        <w:rPr>
          <w:rFonts w:eastAsia="Times New Roman" w:cs="Arial"/>
          <w:color w:val="000000"/>
          <w:szCs w:val="22"/>
        </w:rPr>
      </w:pPr>
      <w:r>
        <w:rPr>
          <w:rFonts w:eastAsia="Times New Roman" w:cs="Arial"/>
          <w:color w:val="000000"/>
          <w:szCs w:val="22"/>
        </w:rPr>
        <w:t>A major advantage of lysates is that they can</w:t>
      </w:r>
      <w:r w:rsidR="009E167B">
        <w:rPr>
          <w:rFonts w:eastAsia="Times New Roman" w:cs="Arial"/>
          <w:color w:val="000000"/>
          <w:szCs w:val="22"/>
        </w:rPr>
        <w:t xml:space="preserve"> support</w:t>
      </w:r>
      <w:r w:rsidR="001F167A">
        <w:rPr>
          <w:rFonts w:eastAsia="Times New Roman" w:cs="Arial"/>
          <w:color w:val="000000"/>
          <w:szCs w:val="22"/>
        </w:rPr>
        <w:t xml:space="preserve"> rapid pathway construction because they </w:t>
      </w:r>
      <w:r w:rsidR="001F167A">
        <w:rPr>
          <w:rFonts w:cs="Arial"/>
          <w:szCs w:val="22"/>
          <w:lang w:val="en-US"/>
        </w:rPr>
        <w:t>are free from cell-based biochemical (i.e., resource competition between metabolite and biomass production) and biophysical (i.e., cell membrane barrier) constraints</w:t>
      </w:r>
      <w:r w:rsidR="009E167B">
        <w:rPr>
          <w:rFonts w:cs="Arial"/>
          <w:szCs w:val="22"/>
          <w:lang w:val="en-US"/>
        </w:rPr>
        <w:t>. They have the potential</w:t>
      </w:r>
      <w:r w:rsidR="009E167B">
        <w:rPr>
          <w:rFonts w:eastAsia="Times New Roman" w:cs="Arial"/>
          <w:color w:val="000000"/>
          <w:szCs w:val="22"/>
        </w:rPr>
        <w:t xml:space="preserve"> be easy-to-build, sustainable manufacturing platforms which, in turn, can accelerate the expansion of the commercial bioproduct space. </w:t>
      </w:r>
      <w:r w:rsidR="009E167B">
        <w:rPr>
          <w:rFonts w:cs="Arial"/>
          <w:szCs w:val="22"/>
          <w:lang w:val="en-US"/>
        </w:rPr>
        <w:t xml:space="preserve">However, current </w:t>
      </w:r>
      <w:r w:rsidR="009E167B">
        <w:rPr>
          <w:rFonts w:eastAsia="Times New Roman" w:cs="Arial"/>
          <w:color w:val="000000"/>
          <w:szCs w:val="22"/>
        </w:rPr>
        <w:t xml:space="preserve">CFME approaches to improve </w:t>
      </w:r>
      <w:r w:rsidR="009E167B">
        <w:rPr>
          <w:rFonts w:eastAsia="Times New Roman" w:cs="Arial"/>
          <w:color w:val="000000"/>
          <w:szCs w:val="22"/>
        </w:rPr>
        <w:lastRenderedPageBreak/>
        <w:t>an industrially relevant metric in these systems</w:t>
      </w:r>
      <w:r>
        <w:rPr>
          <w:rFonts w:eastAsia="Times New Roman" w:cs="Arial"/>
          <w:color w:val="000000"/>
          <w:szCs w:val="22"/>
        </w:rPr>
        <w:t xml:space="preserve"> rely on</w:t>
      </w:r>
      <w:r w:rsidR="009E167B">
        <w:rPr>
          <w:rFonts w:eastAsia="Times New Roman" w:cs="Arial"/>
          <w:color w:val="000000"/>
          <w:szCs w:val="22"/>
        </w:rPr>
        <w:t xml:space="preserve"> techniques that can introduce deleterious phenotypes in source strain</w:t>
      </w:r>
      <w:r>
        <w:rPr>
          <w:rFonts w:eastAsia="Times New Roman" w:cs="Arial"/>
          <w:color w:val="000000"/>
          <w:szCs w:val="22"/>
        </w:rPr>
        <w:t xml:space="preserve">s (i.e., gene knockouts and overexpression). </w:t>
      </w:r>
      <w:r w:rsidR="009E167B" w:rsidRPr="00A71FCF">
        <w:rPr>
          <w:rFonts w:eastAsia="Times New Roman" w:cs="Arial"/>
          <w:color w:val="000000"/>
          <w:szCs w:val="22"/>
        </w:rPr>
        <w:t xml:space="preserve">These strategies </w:t>
      </w:r>
      <w:r w:rsidR="009E167B">
        <w:rPr>
          <w:rFonts w:eastAsia="Times New Roman" w:cs="Arial"/>
          <w:color w:val="000000"/>
          <w:szCs w:val="22"/>
        </w:rPr>
        <w:t>reintroduce steps into CFME workflows that are constrained by host</w:t>
      </w:r>
      <w:r w:rsidR="009E167B" w:rsidRPr="00A71FCF">
        <w:rPr>
          <w:rFonts w:eastAsia="Times New Roman" w:cs="Arial"/>
          <w:color w:val="000000"/>
          <w:szCs w:val="22"/>
        </w:rPr>
        <w:t xml:space="preserve"> viability</w:t>
      </w:r>
      <w:r w:rsidR="009E167B">
        <w:rPr>
          <w:rFonts w:eastAsia="Times New Roman" w:cs="Arial"/>
          <w:color w:val="000000"/>
          <w:szCs w:val="22"/>
        </w:rPr>
        <w:t xml:space="preserve">, which is counterintuitive to realizing </w:t>
      </w:r>
      <w:r w:rsidR="006560B9">
        <w:rPr>
          <w:rFonts w:eastAsia="Times New Roman" w:cs="Arial"/>
          <w:color w:val="000000"/>
          <w:szCs w:val="22"/>
        </w:rPr>
        <w:t>streamlined</w:t>
      </w:r>
      <w:r w:rsidR="009E167B">
        <w:rPr>
          <w:rFonts w:eastAsia="Times New Roman" w:cs="Arial"/>
          <w:color w:val="000000"/>
          <w:szCs w:val="22"/>
        </w:rPr>
        <w:t xml:space="preserve"> pathway construction in cell-free systems. Efforts to improve pathway yield in lysate-based biomanufacturing systems would thus benefit from </w:t>
      </w:r>
      <w:r w:rsidR="009E167B" w:rsidRPr="00A71FCF">
        <w:rPr>
          <w:rFonts w:eastAsia="Times New Roman" w:cs="Arial"/>
          <w:color w:val="000000"/>
          <w:szCs w:val="22"/>
        </w:rPr>
        <w:t xml:space="preserve">strategies </w:t>
      </w:r>
      <w:r w:rsidR="00001BB3">
        <w:rPr>
          <w:rFonts w:eastAsia="Times New Roman" w:cs="Arial"/>
          <w:color w:val="000000"/>
          <w:szCs w:val="22"/>
        </w:rPr>
        <w:t>that do not alter source strain metabolism</w:t>
      </w:r>
      <w:r>
        <w:rPr>
          <w:rFonts w:eastAsia="Times New Roman" w:cs="Arial"/>
          <w:color w:val="000000"/>
          <w:szCs w:val="22"/>
        </w:rPr>
        <w:t xml:space="preserve">. </w:t>
      </w:r>
      <w:r w:rsidR="00001BB3">
        <w:rPr>
          <w:rFonts w:eastAsia="Times New Roman" w:cs="Arial"/>
          <w:color w:val="000000"/>
          <w:szCs w:val="22"/>
        </w:rPr>
        <w:t xml:space="preserve">That is, restructuring lysate </w:t>
      </w:r>
      <w:r w:rsidR="00001BB3" w:rsidRPr="00A71FCF">
        <w:rPr>
          <w:rFonts w:eastAsia="Times New Roman" w:cs="Arial"/>
          <w:color w:val="000000"/>
          <w:szCs w:val="22"/>
        </w:rPr>
        <w:t>endogenous</w:t>
      </w:r>
      <w:r w:rsidR="00001BB3">
        <w:rPr>
          <w:rFonts w:eastAsia="Times New Roman" w:cs="Arial"/>
          <w:color w:val="000000"/>
          <w:szCs w:val="22"/>
        </w:rPr>
        <w:t xml:space="preserve"> </w:t>
      </w:r>
      <w:r w:rsidR="00001BB3" w:rsidRPr="00A71FCF">
        <w:rPr>
          <w:rFonts w:eastAsia="Times New Roman" w:cs="Arial"/>
          <w:color w:val="000000"/>
          <w:szCs w:val="22"/>
        </w:rPr>
        <w:t xml:space="preserve">metabolism and </w:t>
      </w:r>
      <w:r w:rsidR="005C0F82">
        <w:rPr>
          <w:rFonts w:eastAsia="Times New Roman" w:cs="Arial"/>
          <w:color w:val="000000"/>
          <w:szCs w:val="22"/>
        </w:rPr>
        <w:t xml:space="preserve">enriching lysates with </w:t>
      </w:r>
      <w:r w:rsidR="00001BB3">
        <w:rPr>
          <w:rFonts w:eastAsia="Times New Roman" w:cs="Arial"/>
          <w:color w:val="000000"/>
          <w:szCs w:val="22"/>
        </w:rPr>
        <w:t>heterologous enzyme</w:t>
      </w:r>
      <w:r w:rsidR="005C0F82">
        <w:rPr>
          <w:rFonts w:eastAsia="Times New Roman" w:cs="Arial"/>
          <w:color w:val="000000"/>
          <w:szCs w:val="22"/>
        </w:rPr>
        <w:t xml:space="preserve">s should be done via totally cell-free approaches. </w:t>
      </w:r>
    </w:p>
    <w:p w14:paraId="19E28F18" w14:textId="3EC06690" w:rsidR="009E167B" w:rsidRDefault="006560B9" w:rsidP="009E167B">
      <w:pPr>
        <w:ind w:firstLine="720"/>
        <w:contextualSpacing/>
        <w:rPr>
          <w:rFonts w:eastAsia="Times New Roman" w:cs="Arial"/>
          <w:color w:val="000000"/>
          <w:szCs w:val="22"/>
        </w:rPr>
      </w:pPr>
      <w:r>
        <w:rPr>
          <w:rFonts w:eastAsia="Times New Roman" w:cs="Arial"/>
          <w:color w:val="000000"/>
          <w:szCs w:val="22"/>
        </w:rPr>
        <w:t>The removal of select enzymes</w:t>
      </w:r>
      <w:r w:rsidR="00857C48">
        <w:rPr>
          <w:rFonts w:eastAsia="Times New Roman" w:cs="Arial"/>
          <w:color w:val="000000"/>
          <w:szCs w:val="22"/>
        </w:rPr>
        <w:t xml:space="preserve"> from the lysate itself instead of the cell</w:t>
      </w:r>
      <w:r>
        <w:rPr>
          <w:rFonts w:eastAsia="Times New Roman" w:cs="Arial"/>
          <w:color w:val="000000"/>
          <w:szCs w:val="22"/>
        </w:rPr>
        <w:t xml:space="preserve"> is an opportunity for rewiring lysate endogenous metabolism without altering the source strain’s growth phenotype. If this can</w:t>
      </w:r>
      <w:r w:rsidR="00857C48">
        <w:rPr>
          <w:rFonts w:eastAsia="Times New Roman" w:cs="Arial"/>
          <w:color w:val="000000"/>
          <w:szCs w:val="22"/>
        </w:rPr>
        <w:t xml:space="preserve"> be performed successfully, the number of reactions that can be eliminated from the lysate proteome would only be limited by the efficiency of the removal strategy. </w:t>
      </w:r>
      <w:r w:rsidR="00664F81">
        <w:rPr>
          <w:rFonts w:eastAsia="Times New Roman" w:cs="Arial"/>
          <w:color w:val="000000"/>
          <w:szCs w:val="22"/>
        </w:rPr>
        <w:t xml:space="preserve">Further, changes to metabolic proteome in lysates should be more predictable and tractable because, unlike in cells, making such modifications does not induce the genome-regulated optimization of competing objectives (e.g., biomass production). Thus, complementing such an approach with knowledge of lysate endogenous metabolism will simplify efforts to model high-yield pathway designs in lysates.  However, a </w:t>
      </w:r>
      <w:r w:rsidR="00857C48">
        <w:rPr>
          <w:rFonts w:eastAsia="Times New Roman" w:cs="Arial"/>
          <w:color w:val="000000"/>
          <w:szCs w:val="22"/>
        </w:rPr>
        <w:t xml:space="preserve">post-lysis metabolic enzyme removal </w:t>
      </w:r>
      <w:r w:rsidR="00664F81">
        <w:rPr>
          <w:rFonts w:eastAsia="Times New Roman" w:cs="Arial"/>
          <w:color w:val="000000"/>
          <w:szCs w:val="22"/>
        </w:rPr>
        <w:t xml:space="preserve">strategy </w:t>
      </w:r>
      <w:r w:rsidR="00857C48">
        <w:rPr>
          <w:rFonts w:eastAsia="Times New Roman" w:cs="Arial"/>
          <w:color w:val="000000"/>
          <w:szCs w:val="22"/>
        </w:rPr>
        <w:t xml:space="preserve">has not yet been </w:t>
      </w:r>
      <w:r w:rsidR="00664F81">
        <w:rPr>
          <w:rFonts w:eastAsia="Times New Roman" w:cs="Arial"/>
          <w:color w:val="000000"/>
          <w:szCs w:val="22"/>
        </w:rPr>
        <w:t>reported</w:t>
      </w:r>
      <w:r w:rsidR="00857C48">
        <w:rPr>
          <w:rFonts w:eastAsia="Times New Roman" w:cs="Arial"/>
          <w:color w:val="000000"/>
          <w:szCs w:val="22"/>
        </w:rPr>
        <w:t xml:space="preserve"> and the feasibility of this approach for future CFME campaigns requires investigation</w:t>
      </w:r>
      <w:r w:rsidR="00664F81">
        <w:rPr>
          <w:rFonts w:eastAsia="Times New Roman" w:cs="Arial"/>
          <w:color w:val="000000"/>
          <w:szCs w:val="22"/>
        </w:rPr>
        <w:t xml:space="preserve"> and demonstration</w:t>
      </w:r>
      <w:r w:rsidR="00857C48">
        <w:rPr>
          <w:rFonts w:eastAsia="Times New Roman" w:cs="Arial"/>
          <w:color w:val="000000"/>
          <w:szCs w:val="22"/>
        </w:rPr>
        <w:t xml:space="preserve">. </w:t>
      </w:r>
    </w:p>
    <w:p w14:paraId="175A3DB2" w14:textId="0ADBAAA5" w:rsidR="003B6663" w:rsidRDefault="00E0688D" w:rsidP="00857C48">
      <w:pPr>
        <w:ind w:firstLine="720"/>
        <w:contextualSpacing/>
        <w:rPr>
          <w:rFonts w:eastAsia="Times New Roman" w:cs="Arial"/>
          <w:color w:val="000000"/>
          <w:szCs w:val="22"/>
        </w:rPr>
      </w:pPr>
      <w:r w:rsidRPr="00E43B04">
        <w:rPr>
          <w:rFonts w:eastAsia="Times New Roman" w:cs="Arial"/>
          <w:color w:val="000000"/>
          <w:szCs w:val="22"/>
        </w:rPr>
        <w:t>CFE is a promising approach for rapidly building heterologous pathways into lysate-based biomanufacturing platforms</w:t>
      </w:r>
      <w:r w:rsidR="00857C48">
        <w:rPr>
          <w:rFonts w:eastAsia="Times New Roman" w:cs="Arial"/>
          <w:color w:val="000000"/>
          <w:szCs w:val="22"/>
        </w:rPr>
        <w:t xml:space="preserve"> since it is completely decoupled from cell growth</w:t>
      </w:r>
      <w:r w:rsidRPr="00A71FCF">
        <w:rPr>
          <w:rFonts w:eastAsia="Times New Roman" w:cs="Arial"/>
          <w:color w:val="000000"/>
          <w:szCs w:val="22"/>
        </w:rPr>
        <w:fldChar w:fldCharType="begin" w:fldLock="1"/>
      </w:r>
      <w:r w:rsidRPr="00A71FCF">
        <w:rPr>
          <w:rFonts w:eastAsia="Times New Roman" w:cs="Arial"/>
          <w:color w:val="000000"/>
          <w:szCs w:val="22"/>
        </w:rPr>
        <w:instrText>ADDIN CSL_CITATION {"citationItems":[{"id":"ITEM-1","itemData":{"DOI":"10.1016/j.csbj.2017.01.006","ISSN":"20010370","PMID":"28179978","abstract":"With the breakthroughs in biomolecular engineering and synthetic biology, many valuable biologically active compound and commodity chemicals have been successfully manufactured using cell-based approaches in the past decade. However, because of the high complexity of cell metabolism, the identification and optimization of rate-limiting metabolic pathways for improving the product yield is often difficult, which represents a significant and unavoidable barrier of traditional in vivo metabolic engineering. Recently, some in vitro engineering approaches were proposed as alternative strategies to solve this problem. In brief, by reconstituting a biosynthetic pathway in a cell-free environment with the supplement of cofactors and substrates, the performance of each biosynthetic pathway could be evaluated and optimized systematically. Several value-added products, including chemicals, nutraceuticals, and drug precursors, have been biosynthesized as proof-of-concept demonstrations of in vitro metabolic engineering. This mini-review summarizes the recent progresses on the emerging topic of in vitro metabolic engineering and comments on the potential application of cell-free technology to speed up the “design-build-test” cycles of biomanufacturing.","author":[{"dropping-particle":"","family":"Guo","given":"Weihua","non-dropping-particle":"","parse-names":false,"suffix":""},{"dropping-particle":"","family":"Sheng","given":"Jiayuan","non-dropping-particle":"","parse-names":false,"suffix":""},{"dropping-particle":"","family":"Feng","given":"Xueyang","non-dropping-particle":"","parse-names":false,"suffix":""}],"container-title":"Computational and Structural Biotechnology Journal","id":"ITEM-1","issued":{"date-parts":[["2017","1","1"]]},"page":"161-167","publisher":"Elsevier B.V.","title":"Mini-review: In vitro Metabolic Engineering for Biomanufacturing of High-value Products","type":"article","volume":"15"},"uris":["http://www.mendeley.com/documents/?uuid=8dd364d8-64f4-34a9-9365-7026bb960e30"]}],"mendeley":{"formattedCitation":"&lt;sup&gt;18&lt;/sup&gt;","plainTextFormattedCitation":"18","previouslyFormattedCitation":"&lt;sup&gt;18&lt;/sup&gt;"},"properties":{"noteIndex":0},"schema":"https://github.com/citation-style-language/schema/raw/master/csl-citation.json"}</w:instrText>
      </w:r>
      <w:r w:rsidRPr="00A71FCF">
        <w:rPr>
          <w:rFonts w:eastAsia="Times New Roman" w:cs="Arial"/>
          <w:color w:val="000000"/>
          <w:szCs w:val="22"/>
        </w:rPr>
        <w:fldChar w:fldCharType="separate"/>
      </w:r>
      <w:r w:rsidRPr="00A71FCF">
        <w:rPr>
          <w:rFonts w:eastAsia="Times New Roman" w:cs="Arial"/>
          <w:noProof/>
          <w:color w:val="000000"/>
          <w:szCs w:val="22"/>
          <w:vertAlign w:val="superscript"/>
        </w:rPr>
        <w:t>18</w:t>
      </w:r>
      <w:r w:rsidRPr="00A71FCF">
        <w:rPr>
          <w:rFonts w:eastAsia="Times New Roman" w:cs="Arial"/>
          <w:color w:val="000000"/>
          <w:szCs w:val="22"/>
        </w:rPr>
        <w:fldChar w:fldCharType="end"/>
      </w:r>
      <w:r w:rsidRPr="00E43B04">
        <w:rPr>
          <w:rFonts w:eastAsia="Times New Roman" w:cs="Arial"/>
          <w:color w:val="000000"/>
          <w:szCs w:val="22"/>
        </w:rPr>
        <w:t xml:space="preserve">. It can also produce functionally active </w:t>
      </w:r>
      <w:r w:rsidR="00664F81">
        <w:rPr>
          <w:rFonts w:eastAsia="Times New Roman" w:cs="Arial"/>
          <w:color w:val="000000"/>
          <w:szCs w:val="22"/>
        </w:rPr>
        <w:t>enzymes</w:t>
      </w:r>
      <w:r w:rsidRPr="00E43B04">
        <w:rPr>
          <w:rFonts w:eastAsia="Times New Roman" w:cs="Arial"/>
          <w:color w:val="000000"/>
          <w:szCs w:val="22"/>
        </w:rPr>
        <w:t xml:space="preserve"> that are typically difficult to express </w:t>
      </w:r>
      <w:r w:rsidRPr="00E43B04">
        <w:rPr>
          <w:rFonts w:eastAsia="Times New Roman" w:cs="Arial"/>
          <w:i/>
          <w:iCs/>
          <w:color w:val="000000"/>
          <w:szCs w:val="22"/>
        </w:rPr>
        <w:t xml:space="preserve">in vivo </w:t>
      </w:r>
      <w:r w:rsidRPr="00E43B04">
        <w:rPr>
          <w:rFonts w:eastAsia="Times New Roman" w:cs="Arial"/>
          <w:color w:val="000000"/>
          <w:szCs w:val="22"/>
        </w:rPr>
        <w:t>due to size, complexity, or solubility</w:t>
      </w:r>
      <w:r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{"citationItems":[{"id":"ITEM-1","itemData":{"DOI":"10.1038/s41576-019-0186-3","ISSN":"14710064","PMID":"31780816","abstract":"Cell-free biology is the activation of biological processes without the use of intact living cells. It has been used for more than 50 years across the life sciences as a foundational research tool, but a recent technical renaissance has facilitated high-yielding (grams of protein per litre), cell-free gene expression systems from model bacteria, the development of cell-free platforms from non-model organisms and multiplexed strategies for rapidly assessing biological design. These advances provide exciting opportunities to profoundly transform synthetic biology by enabling new approaches to the model-driven design of synthetic gene networks, the fast and portable sensing of compounds, on-demand biomanufacturing, building cells from the bottom up, and next-generation educational kits.","author":[{"dropping-particle":"","family":"Silverman","given":"Adam D.","non-dropping-particle":"","parse-names":false,"suffix":""},{"dropping-particle":"","family":"Karim","given":"Ashty S.","non-dropping-particle":"","parse-names":false,"suffix":""},{"dropping-particle":"","family":"Jewett","given":"Michael C.","non-dropping-particle":"","parse-names":false,"suffix":""}],"container-title":"Nature Reviews Genetics","id":"ITEM-1","issue":"3","issued":{"date-parts":[["2020","3","1"]]},"page":"151-170","publisher":"Nature Research","title":"Cell-free gene expression: an expanded repertoire of applications","type":"article","volume":"21"},"uris":["http://www.mendeley.com/documents/?uuid=2cc18847-7f0d-3d9c-a024-e99bf14f47ce"]},{"id":"ITEM-2","itemData":{"DOI":"10.1016/j.bej.2018.07.013","ISSN":"1873295X","abstract":"Biomanufacturing requires the stable production of active biological molecules including proteins. However, a significant percentage of genes cannot be expressed efficiently in a cell-based system due to cellular homeostasis. Upon overproduction, proteins often form inclusion bodies by becoming insoluble, lose biological activities due to improper folding, or are easily degraded by proteases. Many molecular tools and protocols have been established to improve the production yield of ‘difficult-to-express’ proteins in cell-based systems; however, in vivo approaches have a substantial limitation in that the host strains should be maintained healthy for stable protein production and folding. Cell-free protein synthesis (CFPS) offers superior advantages in synthesizing ‘difficult-to-express’ proteins due to reaction environment openness and no cell viability constraints. In CFPS systems, active protein production can be maximized by optimizing the reaction environment with selective supplements of positive effectors and the elimination of negative effectors. This review summarizes current strategies for the high-quality production of difficult-to-express proteins including toxic cancer therapeutics, antimicrobial peptides/proteins, toxins, vaccines, antibodies, membrane proteins, and proteins containing nonstandard amino acids.","author":[{"dropping-particle":"","family":"Jin","given":"Xing","non-dropping-particle":"","parse-names":false,"suffix":""},{"dropping-particle":"","family":"Hong","given":"Seok Hoon","non-dropping-particle":"","parse-names":false,"suffix":""}],"container-title":"Biochemical Engineering Journal","id":"ITEM-2","issued":{"date-parts":[["2018","10","15"]]},"page":"156-164","publisher":"Elsevier B.V.","title":"Cell-free protein synthesis for producing ‘difficult-to-express’ proteins","type":"article","volume":"138"},"uris":["http://www.mendeley.com/documents/?uuid=119301b8-f71a-399f-8d69-093bc49d604f"]}],"mendeley":{"formattedCitation":"&lt;sup&gt;30,63&lt;/sup&gt;","plainTextFormattedCitation":"30,63","previouslyFormattedCitation":"&lt;sup&gt;30,63&lt;/sup&gt;"},"properties":{"noteIndex":0},"schema":"https://github.com/citation-style-language/schema/raw/master/csl-citation.json"}</w:instrText>
      </w:r>
      <w:r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30,63</w:t>
      </w:r>
      <w:r w:rsidRPr="00A71FCF">
        <w:rPr>
          <w:rFonts w:eastAsia="Times New Roman" w:cs="Arial"/>
          <w:color w:val="000000"/>
          <w:szCs w:val="22"/>
        </w:rPr>
        <w:fldChar w:fldCharType="end"/>
      </w:r>
      <w:r w:rsidRPr="00E43B04">
        <w:rPr>
          <w:rFonts w:eastAsia="Times New Roman" w:cs="Arial"/>
          <w:color w:val="000000"/>
          <w:szCs w:val="22"/>
        </w:rPr>
        <w:t>.</w:t>
      </w:r>
      <w:r w:rsidRPr="00A71FCF">
        <w:rPr>
          <w:rFonts w:eastAsia="Times New Roman" w:cs="Arial"/>
          <w:color w:val="000000"/>
          <w:szCs w:val="22"/>
        </w:rPr>
        <w:t xml:space="preserve"> </w:t>
      </w:r>
      <w:r w:rsidR="00664F81">
        <w:rPr>
          <w:rFonts w:eastAsia="Times New Roman" w:cs="Arial"/>
          <w:color w:val="000000"/>
          <w:szCs w:val="22"/>
        </w:rPr>
        <w:t xml:space="preserve">Thus, leveraging CFE for pathway overexpression bypasses the laborious optimization of source strains to produce non-native enzymes that can be deleterious to their health, accelerating pathway build stages. </w:t>
      </w:r>
      <w:r w:rsidRPr="00E43B04">
        <w:rPr>
          <w:rFonts w:eastAsia="Times New Roman" w:cs="Arial"/>
          <w:color w:val="000000"/>
          <w:szCs w:val="22"/>
        </w:rPr>
        <w:t>However,</w:t>
      </w:r>
      <w:r w:rsidR="00664F81">
        <w:rPr>
          <w:rFonts w:eastAsia="Times New Roman" w:cs="Arial"/>
          <w:color w:val="000000"/>
          <w:szCs w:val="22"/>
        </w:rPr>
        <w:t xml:space="preserve"> the</w:t>
      </w:r>
      <w:r w:rsidRPr="00E43B04">
        <w:rPr>
          <w:rFonts w:eastAsia="Times New Roman" w:cs="Arial"/>
          <w:color w:val="000000"/>
          <w:szCs w:val="22"/>
        </w:rPr>
        <w:t xml:space="preserve"> dearth of information on how </w:t>
      </w:r>
      <w:r w:rsidR="00664F81">
        <w:rPr>
          <w:rFonts w:eastAsia="Times New Roman" w:cs="Arial"/>
          <w:color w:val="000000"/>
          <w:szCs w:val="22"/>
        </w:rPr>
        <w:t xml:space="preserve">most </w:t>
      </w:r>
      <w:r w:rsidRPr="00E43B04">
        <w:rPr>
          <w:rFonts w:eastAsia="Times New Roman" w:cs="Arial"/>
          <w:color w:val="000000"/>
          <w:szCs w:val="22"/>
        </w:rPr>
        <w:t>biosynthetic enzyme</w:t>
      </w:r>
      <w:r w:rsidRPr="00A71FCF">
        <w:rPr>
          <w:rFonts w:eastAsia="Times New Roman" w:cs="Arial"/>
          <w:color w:val="000000"/>
          <w:szCs w:val="22"/>
        </w:rPr>
        <w:t>s</w:t>
      </w:r>
      <w:r w:rsidRPr="00E43B04">
        <w:rPr>
          <w:rFonts w:eastAsia="Times New Roman" w:cs="Arial"/>
          <w:color w:val="000000"/>
          <w:szCs w:val="22"/>
        </w:rPr>
        <w:t xml:space="preserve"> are transcribed and translated in the cell-free environment</w:t>
      </w:r>
      <w:r w:rsidR="00664F81">
        <w:rPr>
          <w:rFonts w:eastAsia="Times New Roman" w:cs="Arial"/>
          <w:color w:val="000000"/>
          <w:szCs w:val="22"/>
        </w:rPr>
        <w:t xml:space="preserve"> is a barrier to CFE’s application as a CFME tool beyond pathway prototyping</w:t>
      </w:r>
      <w:r w:rsidRPr="00E43B04">
        <w:rPr>
          <w:rFonts w:eastAsia="Times New Roman" w:cs="Arial"/>
          <w:color w:val="000000"/>
          <w:szCs w:val="22"/>
        </w:rPr>
        <w:t>. </w:t>
      </w:r>
      <w:r w:rsidR="00664F81">
        <w:rPr>
          <w:rFonts w:eastAsia="Times New Roman" w:cs="Arial"/>
          <w:color w:val="000000"/>
          <w:szCs w:val="22"/>
        </w:rPr>
        <w:t xml:space="preserve">Investigating and optimizing </w:t>
      </w:r>
      <w:r w:rsidR="00664F81">
        <w:rPr>
          <w:rFonts w:eastAsia="Times New Roman" w:cs="Arial"/>
          <w:color w:val="000000"/>
          <w:szCs w:val="22"/>
        </w:rPr>
        <w:lastRenderedPageBreak/>
        <w:t xml:space="preserve">the synthesis of metabolic enzymes in lysates will enable the use of CFE for optimizing flux through heterologous pathways. </w:t>
      </w:r>
      <w:r w:rsidRPr="00E43B04">
        <w:rPr>
          <w:rFonts w:eastAsia="Times New Roman" w:cs="Arial"/>
          <w:color w:val="000000"/>
          <w:szCs w:val="22"/>
        </w:rPr>
        <w:t xml:space="preserve">The efficiency of an enzyme’s </w:t>
      </w:r>
      <w:r w:rsidR="00664F81">
        <w:rPr>
          <w:rFonts w:eastAsia="Times New Roman" w:cs="Arial"/>
          <w:color w:val="000000"/>
          <w:szCs w:val="22"/>
        </w:rPr>
        <w:t>expression</w:t>
      </w:r>
      <w:r w:rsidRPr="00E43B04">
        <w:rPr>
          <w:rFonts w:eastAsia="Times New Roman" w:cs="Arial"/>
          <w:color w:val="000000"/>
          <w:szCs w:val="22"/>
        </w:rPr>
        <w:t xml:space="preserve"> and catalytic activity </w:t>
      </w:r>
      <w:r w:rsidR="00664F81">
        <w:rPr>
          <w:rFonts w:eastAsia="Times New Roman" w:cs="Arial"/>
          <w:color w:val="000000"/>
          <w:szCs w:val="22"/>
        </w:rPr>
        <w:t xml:space="preserve">in lysates </w:t>
      </w:r>
      <w:r w:rsidRPr="00E43B04">
        <w:rPr>
          <w:rFonts w:eastAsia="Times New Roman" w:cs="Arial"/>
          <w:color w:val="000000"/>
          <w:szCs w:val="22"/>
        </w:rPr>
        <w:t>depends on the availability of supplement</w:t>
      </w:r>
      <w:r>
        <w:rPr>
          <w:rFonts w:eastAsia="Times New Roman" w:cs="Arial"/>
          <w:color w:val="000000"/>
          <w:szCs w:val="22"/>
        </w:rPr>
        <w:t xml:space="preserve">al </w:t>
      </w:r>
      <w:r w:rsidRPr="00E43B04">
        <w:rPr>
          <w:rFonts w:eastAsia="Times New Roman" w:cs="Arial"/>
          <w:color w:val="000000"/>
          <w:szCs w:val="22"/>
        </w:rPr>
        <w:t>resources (i.e., energy substrates, salts, amino acids, etc.) that energize the TX-TL machinery and other reaction conditions (e.g., temperature)</w:t>
      </w:r>
      <w:r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{"citationItems":[{"id":"ITEM-1","itemData":{"DOI":"10.1016/j.bej.2018.07.013","ISSN":"1873295X","abstract":"Biomanufacturing requires the stable production of active biological molecules including proteins. However, a significant percentage of genes cannot be expressed efficiently in a cell-based system due to cellular homeostasis. Upon overproduction, proteins often form inclusion bodies by becoming insoluble, lose biological activities due to improper folding, or are easily degraded by proteases. Many molecular tools and protocols have been established to improve the production yield of ‘difficult-to-express’ proteins in cell-based systems; however, in vivo approaches have a substantial limitation in that the host strains should be maintained healthy for stable protein production and folding. Cell-free protein synthesis (CFPS) offers superior advantages in synthesizing ‘difficult-to-express’ proteins due to reaction environment openness and no cell viability constraints. In CFPS systems, active protein production can be maximized by optimizing the reaction environment with selective supplements of positive effectors and the elimination of negative effectors. This review summarizes current strategies for the high-quality production of difficult-to-express proteins including toxic cancer therapeutics, antimicrobial peptides/proteins, toxins, vaccines, antibodies, membrane proteins, and proteins containing nonstandard amino acids.","author":[{"dropping-particle":"","family":"Jin","given":"Xing","non-dropping-particle":"","parse-names":false,"suffix":""},{"dropping-particle":"","family":"Hong","given":"Seok Hoon","non-dropping-particle":"","parse-names":false,"suffix":""}],"container-title":"Biochemical Engineering Journal","id":"ITEM-1","issued":{"date-parts":[["2018","10","15"]]},"page":"156-164","publisher":"Elsevier B.V.","title":"Cell-free protein synthesis for producing ‘difficult-to-express’ proteins","type":"article","volume":"138"},"uris":["http://www.mendeley.com/documents/?uuid=119301b8-f71a-399f-8d69-093bc49d604f"]},{"id":"ITEM-2","itemData":{"DOI":"10.1016/J.BIOTECHADV.2018.12.006","ISSN":"0734-9750","PMID":"30572024","abstract":"Cell-free protein synthesis (CFPS) has become an established biotechnology tool for rapid protein expression. Over the past few decades many advances have elevated CFPS from a niche, low-efficiency system to one now capable of biomanufacturing custom proteins. Many research papers and reviews exist on the advances made in CFPS genetic template and cell extract preparation for use in E. coli systems. What is currently missing from the literature is a comprehensive review on the myriad of supplement recipes added to the CFPS reaction to support metabolism, transcription, and translation. This list of supplements has changed over the years, with a general drive towards greater simplification. Herein we provide a comprehensive list of the supplements used in CFPS, tracing major recipe classes as the field has evolved. We also provide an in-depth analysis of the proposed biochemical purpose each supplement has in the reaction. This review reveals the significance of correct supplements on overall CFPS productivity; however, the large range of supplements accommodated by CFPS also shows an inherent flexibility in the CFPS reaction as well as additional room for optimization and recipe simplification.","author":[{"dropping-particle":"","family":"Dopp","given":"By Jared L.","non-dropping-particle":"","parse-names":false,"suffix":""},{"dropping-particle":"","family":"Tamiev","given":"Denis D.","non-dropping-particle":"","parse-names":false,"suffix":""},{"dropping-particle":"","family":"Reuel","given":"Nigel F.","non-dropping-particle":"","parse-names":false,"suffix":""}],"container-title":"Biotechnology Advances","id":"ITEM-2","issue":"1","issued":{"date-parts":[["2019","1","1"]]},"page":"246-258","publisher":"Elsevier","title":"Cell-free supplement mixtures: Elucidating the history and biochemical utility of additives used to support in vitro protein synthesis in E. coli extract","type":"article-journal","volume":"37"},"uris":["http://www.mendeley.com/documents/?uuid=3aec71c1-29b8-354a-9fe6-8398360c3cff"]},{"id":"ITEM-3","itemData":{"DOI":"10.3389/FBIOE.2018.00182/BIBTEX","ISSN":"22964185","abstract":"Cell-free TX-TL is an increasingly mature and useful platform for prototyping, testing, and engineering biological parts and systems. However, to fully accomplish the promises of synthetic biology, mathematical models are required to facilitate the design and predict the behavior of biological components in cell-free extracts. We review here the latest models accounting for transcription, translation, competition, and depletion of resources as well as genome scale models for lysate-based cell-free TX-TL systems, including their current limitations. These models will have to find ways to account for batch-to-batch variability before being quantitatively predictive in cell-free lysate-based platforms.","author":[{"dropping-particle":"","family":"Koch","given":"Mathilde","non-dropping-particle":"","parse-names":false,"suffix":""},{"dropping-particle":"","family":"Faulon","given":"Jean Loup","non-dropping-particle":"","parse-names":false,"suffix":""},{"dropping-particle":"","family":"Borkowski","given":"Olivier","non-dropping-particle":"","parse-names":false,"suffix":""}],"container-title":"Frontiers in Bioengineering and Biotechnology","id":"ITEM-3","issue":"NOV","issued":{"date-parts":[["2018","11","29"]]},"page":"182","publisher":"Frontiers Media S.A.","title":"Models for cell-free synthetic biology: Make prototyping easier, better, and faster","type":"article-journal","volume":"6"},"uris":["http://www.mendeley.com/documents/?uuid=dd3cbb7a-7c11-3f31-b9c5-3114abfe87b0"]}],"mendeley":{"formattedCitation":"&lt;sup&gt;63–65&lt;/sup&gt;","plainTextFormattedCitation":"63–65","previouslyFormattedCitation":"&lt;sup&gt;63–65&lt;/sup&gt;"},"properties":{"noteIndex":0},"schema":"https://github.com/citation-style-language/schema/raw/master/csl-citation.json"}</w:instrText>
      </w:r>
      <w:r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63–65</w:t>
      </w:r>
      <w:r w:rsidRPr="00A71FCF">
        <w:rPr>
          <w:rFonts w:eastAsia="Times New Roman" w:cs="Arial"/>
          <w:color w:val="000000"/>
          <w:szCs w:val="22"/>
        </w:rPr>
        <w:fldChar w:fldCharType="end"/>
      </w:r>
      <w:r w:rsidRPr="00A71FCF">
        <w:rPr>
          <w:rFonts w:eastAsia="Times New Roman" w:cs="Arial"/>
          <w:color w:val="000000"/>
          <w:szCs w:val="22"/>
        </w:rPr>
        <w:t>. In theory, reaction condition sets for optimal CFE vary based on the target enzyme’s physicochemical properties which include its size, folding, and biosynthetic activity</w:t>
      </w:r>
      <w:r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{"citationItems":[{"id":"ITEM-1","itemData":{"DOI":"10.1016/j.bej.2018.07.013","ISSN":"1873295X","abstract":"Biomanufacturing requires the stable production of active biological molecules including proteins. However, a significant percentage of genes cannot be expressed efficiently in a cell-based system due to cellular homeostasis. Upon overproduction, proteins often form inclusion bodies by becoming insoluble, lose biological activities due to improper folding, or are easily degraded by proteases. Many molecular tools and protocols have been established to improve the production yield of ‘difficult-to-express’ proteins in cell-based systems; however, in vivo approaches have a substantial limitation in that the host strains should be maintained healthy for stable protein production and folding. Cell-free protein synthesis (CFPS) offers superior advantages in synthesizing ‘difficult-to-express’ proteins due to reaction environment openness and no cell viability constraints. In CFPS systems, active protein production can be maximized by optimizing the reaction environment with selective supplements of positive effectors and the elimination of negative effectors. This review summarizes current strategies for the high-quality production of difficult-to-express proteins including toxic cancer therapeutics, antimicrobial peptides/proteins, toxins, vaccines, antibodies, membrane proteins, and proteins containing nonstandard amino acids.","author":[{"dropping-particle":"","family":"Jin","given":"Xing","non-dropping-particle":"","parse-names":false,"suffix":""},{"dropping-particle":"","family":"Hong","given":"Seok Hoon","non-dropping-particle":"","parse-names":false,"suffix":""}],"container-title":"Biochemical Engineering Journal","id":"ITEM-1","issued":{"date-parts":[["2018","10","15"]]},"page":"156-164","publisher":"Elsevier B.V.","title":"Cell-free protein synthesis for producing ‘difficult-to-express’ proteins","type":"article","volume":"138"},"uris":["http://www.mendeley.com/documents/?uuid=119301b8-f71a-399f-8d69-093bc49d604f"]},{"id":"ITEM-2","itemData":{"DOI":"10.1021/acssynbio.8b00450","ISSN":"21615063","abstract":"Quantification of biology's central dogma (transcription and translation) is pursued by a variety of methods. Direct, immediate, and ongoing quantification of these events is difficult to achieve. Common practice is to use fluorescent or luminescent proteins to report indirectly on prior cellular events, such as turning on a gene in a genetic circuit. We present an alternative approach, PURExpress-ReAsH-Spinach In-vitro Analysis (PERSIA). PERSIA provides information on the production of RNA and protein during cell-free reactions by employing short RNA and peptide tags. Upon synthesis, these tags yield quantifiable fluorescent signal without interfering with other biochemical events. We demonstrate the applicability of PERSIA in measuring cell-free transcription, translation, and other enzymatic activity in a variety of applications: from sequence-structure-function studies, to genetic code engineering, to testing antiviral drug resistance.","author":[{"dropping-particle":"","family":"Wick","given":"Scott","non-dropping-particle":"","parse-names":false,"suffix":""},{"dropping-particle":"","family":"Walsh","given":"David I.","non-dropping-particle":"","parse-names":false,"suffix":""},{"dropping-particle":"","family":"Bobrow","given":"Johanna","non-dropping-particle":"","parse-names":false,"suffix":""},{"dropping-particle":"","family":"Hamad-Schifferli","given":"Kimberly","non-dropping-particle":"","parse-names":false,"suffix":""},{"dropping-particle":"","family":"Kong","given":"David S.","non-dropping-particle":"","parse-names":false,"suffix":""},{"dropping-particle":"","family":"Thorsen","given":"Todd","non-dropping-particle":"","parse-names":false,"suffix":""},{"dropping-particle":"","family":"Mroszczyk","given":"Keri","non-dropping-particle":"","parse-names":false,"suffix":""},{"dropping-particle":"","family":"Carr","given":"Peter A.","non-dropping-particle":"","parse-names":false,"suffix":""}],"container-title":"ACS Synthetic Biology","id":"ITEM-2","issue":"5","issued":{"date-parts":[["2019","5","17"]]},"page":"1010-1025","publisher":"American Chemical Society","title":"PERSIA for Direct Fluorescence Measurements of Transcription, Translation, and Enzyme Activity in Cell-Free Systems","type":"article-journal","volume":"8"},"uris":["http://www.mendeley.com/documents/?uuid=79833328-8f4e-3b17-b24d-cbbb3d3525b3"]}],"mendeley":{"formattedCitation":"&lt;sup&gt;63,66&lt;/sup&gt;","plainTextFormattedCitation":"63,66","previouslyFormattedCitation":"&lt;sup&gt;63,66&lt;/sup&gt;"},"properties":{"noteIndex":0},"schema":"https://github.com/citation-style-language/schema/raw/master/csl-citation.json"}</w:instrText>
      </w:r>
      <w:r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63,66</w:t>
      </w:r>
      <w:r w:rsidRPr="00A71FCF">
        <w:rPr>
          <w:rFonts w:eastAsia="Times New Roman" w:cs="Arial"/>
          <w:color w:val="000000"/>
          <w:szCs w:val="22"/>
        </w:rPr>
        <w:fldChar w:fldCharType="end"/>
      </w:r>
      <w:r w:rsidRPr="00A71FCF">
        <w:rPr>
          <w:rFonts w:eastAsia="Times New Roman" w:cs="Arial"/>
          <w:color w:val="000000"/>
          <w:szCs w:val="22"/>
        </w:rPr>
        <w:t>.</w:t>
      </w:r>
      <w:r w:rsidR="00664F81">
        <w:rPr>
          <w:rFonts w:eastAsia="Times New Roman" w:cs="Arial"/>
          <w:color w:val="000000"/>
          <w:szCs w:val="22"/>
        </w:rPr>
        <w:t xml:space="preserve"> </w:t>
      </w:r>
      <w:r w:rsidR="00664F81" w:rsidRPr="00E43B04">
        <w:rPr>
          <w:rFonts w:eastAsia="Times New Roman" w:cs="Arial"/>
          <w:color w:val="000000"/>
          <w:szCs w:val="22"/>
        </w:rPr>
        <w:t>Achieving the sufficient expression of</w:t>
      </w:r>
      <w:r w:rsidR="00664F81" w:rsidRPr="00A71FCF">
        <w:rPr>
          <w:rFonts w:eastAsia="Times New Roman" w:cs="Arial"/>
          <w:color w:val="000000"/>
          <w:szCs w:val="22"/>
        </w:rPr>
        <w:t xml:space="preserve"> different</w:t>
      </w:r>
      <w:r w:rsidR="00664F81" w:rsidRPr="00E43B04">
        <w:rPr>
          <w:rFonts w:eastAsia="Times New Roman" w:cs="Arial"/>
          <w:color w:val="000000"/>
          <w:szCs w:val="22"/>
        </w:rPr>
        <w:t xml:space="preserve"> </w:t>
      </w:r>
      <w:r w:rsidR="00664F81">
        <w:rPr>
          <w:rFonts w:eastAsia="Times New Roman" w:cs="Arial"/>
          <w:color w:val="000000"/>
          <w:szCs w:val="22"/>
        </w:rPr>
        <w:t>non-native biosynthetic enzymes via CFE</w:t>
      </w:r>
      <w:r w:rsidR="00664F81" w:rsidRPr="00E43B04">
        <w:rPr>
          <w:rFonts w:eastAsia="Times New Roman" w:cs="Arial"/>
          <w:color w:val="000000"/>
          <w:szCs w:val="22"/>
        </w:rPr>
        <w:t xml:space="preserve"> will thus require sampling different reaction </w:t>
      </w:r>
      <w:r w:rsidR="00664F81" w:rsidRPr="00A71FCF">
        <w:rPr>
          <w:rFonts w:eastAsia="Times New Roman" w:cs="Arial"/>
          <w:color w:val="000000"/>
          <w:szCs w:val="22"/>
        </w:rPr>
        <w:t>parameters</w:t>
      </w:r>
      <w:r w:rsidR="00664F81">
        <w:rPr>
          <w:rFonts w:eastAsia="Times New Roman" w:cs="Arial"/>
          <w:color w:val="000000"/>
          <w:szCs w:val="22"/>
        </w:rPr>
        <w:t xml:space="preserve"> first</w:t>
      </w:r>
      <w:r w:rsidR="00664F81" w:rsidRPr="00E43B04">
        <w:rPr>
          <w:rFonts w:eastAsia="Times New Roman" w:cs="Arial"/>
          <w:color w:val="000000"/>
          <w:szCs w:val="22"/>
        </w:rPr>
        <w:t>. Unfortunately, this process is currently bottlenecked by slow or inaccessible detection methods (e.g., SDS-PAGE or mass spectrometry).</w:t>
      </w:r>
      <w:r w:rsidR="00664F81">
        <w:rPr>
          <w:rFonts w:eastAsia="Times New Roman" w:cs="Arial"/>
          <w:color w:val="000000"/>
          <w:szCs w:val="22"/>
        </w:rPr>
        <w:t xml:space="preserve"> Generalizable reporter tools for studying and improving biosynthetic enzyme expression in lysates will accelerate overexpression optimization via CFE, enabling the quicker and easier construction of efficient lysate-based biomanufacturing platforms. </w:t>
      </w:r>
    </w:p>
    <w:p w14:paraId="08B221FC" w14:textId="77777777" w:rsidR="002A2F83" w:rsidRPr="006C5A5B" w:rsidRDefault="002A2F83" w:rsidP="006C5A5B">
      <w:pPr>
        <w:ind w:firstLine="720"/>
        <w:contextualSpacing/>
        <w:rPr>
          <w:rFonts w:cs="Arial"/>
          <w:szCs w:val="22"/>
          <w:lang w:val="en-US"/>
        </w:rPr>
      </w:pPr>
    </w:p>
    <w:p w14:paraId="7C950E75" w14:textId="39E19A7E" w:rsidR="00E43B04" w:rsidRPr="00E43B04" w:rsidRDefault="00CF73B7" w:rsidP="00786690">
      <w:pPr>
        <w:pStyle w:val="ChapterHeading"/>
      </w:pPr>
      <w:bookmarkStart w:id="4" w:name="_Toc129700998"/>
      <w:r>
        <w:t>1.4</w:t>
      </w:r>
      <w:r w:rsidR="008E289D">
        <w:t>.</w:t>
      </w:r>
      <w:r>
        <w:t xml:space="preserve"> </w:t>
      </w:r>
      <w:r w:rsidR="006B1192">
        <w:t>S</w:t>
      </w:r>
      <w:r w:rsidR="00E43B04" w:rsidRPr="00E43B04">
        <w:t>cope of Dissertation</w:t>
      </w:r>
      <w:bookmarkEnd w:id="4"/>
    </w:p>
    <w:p w14:paraId="7D588DC5" w14:textId="26AE0032" w:rsidR="00E43B04" w:rsidRPr="00F92F8E" w:rsidRDefault="00E43B04" w:rsidP="00F92F8E">
      <w:pPr>
        <w:ind w:firstLine="720"/>
        <w:contextualSpacing/>
        <w:rPr>
          <w:rFonts w:eastAsia="Times New Roman" w:cs="Arial"/>
          <w:color w:val="000000"/>
          <w:szCs w:val="22"/>
        </w:rPr>
      </w:pPr>
      <w:r w:rsidRPr="00E43B04">
        <w:rPr>
          <w:rFonts w:eastAsia="Times New Roman" w:cs="Arial"/>
          <w:color w:val="000000"/>
          <w:szCs w:val="22"/>
        </w:rPr>
        <w:t xml:space="preserve">This dissertation </w:t>
      </w:r>
      <w:r w:rsidR="00CA6C8D">
        <w:rPr>
          <w:rFonts w:eastAsia="Times New Roman" w:cs="Arial"/>
          <w:color w:val="000000"/>
          <w:szCs w:val="22"/>
        </w:rPr>
        <w:t>aims</w:t>
      </w:r>
      <w:r w:rsidRPr="00E43B04">
        <w:rPr>
          <w:rFonts w:eastAsia="Times New Roman" w:cs="Arial"/>
          <w:color w:val="000000"/>
          <w:szCs w:val="22"/>
        </w:rPr>
        <w:t xml:space="preserve"> to expand the current </w:t>
      </w:r>
      <w:r w:rsidR="00843D69">
        <w:rPr>
          <w:rFonts w:eastAsia="Times New Roman" w:cs="Arial"/>
          <w:color w:val="000000"/>
          <w:szCs w:val="22"/>
        </w:rPr>
        <w:t>CFME</w:t>
      </w:r>
      <w:r w:rsidR="00CA6C8D">
        <w:rPr>
          <w:rFonts w:eastAsia="Times New Roman" w:cs="Arial"/>
          <w:color w:val="000000"/>
          <w:szCs w:val="22"/>
        </w:rPr>
        <w:t xml:space="preserve"> </w:t>
      </w:r>
      <w:r w:rsidRPr="00E43B04">
        <w:rPr>
          <w:rFonts w:eastAsia="Times New Roman" w:cs="Arial"/>
          <w:color w:val="000000"/>
          <w:szCs w:val="22"/>
        </w:rPr>
        <w:t xml:space="preserve">toolkit for </w:t>
      </w:r>
      <w:r w:rsidR="00A431BF">
        <w:rPr>
          <w:rFonts w:eastAsia="Times New Roman" w:cs="Arial"/>
          <w:color w:val="000000"/>
          <w:szCs w:val="22"/>
        </w:rPr>
        <w:t xml:space="preserve">building high-yield pathway designs in </w:t>
      </w:r>
      <w:r w:rsidR="00FB2EFC">
        <w:rPr>
          <w:rFonts w:eastAsia="Times New Roman" w:cs="Arial"/>
          <w:color w:val="000000"/>
          <w:szCs w:val="22"/>
        </w:rPr>
        <w:t>extracts</w:t>
      </w:r>
      <w:r w:rsidR="00CA6C8D">
        <w:rPr>
          <w:rFonts w:eastAsia="Times New Roman" w:cs="Arial"/>
          <w:color w:val="000000"/>
          <w:szCs w:val="22"/>
        </w:rPr>
        <w:t xml:space="preserve">. </w:t>
      </w:r>
      <w:r w:rsidR="00CA4688">
        <w:rPr>
          <w:rFonts w:eastAsia="Times New Roman" w:cs="Arial"/>
          <w:color w:val="000000"/>
          <w:szCs w:val="22"/>
        </w:rPr>
        <w:t>The focus is</w:t>
      </w:r>
      <w:r w:rsidR="00CA6C8D">
        <w:rPr>
          <w:rFonts w:eastAsia="Times New Roman" w:cs="Arial"/>
          <w:color w:val="000000"/>
          <w:szCs w:val="22"/>
        </w:rPr>
        <w:t xml:space="preserve"> on </w:t>
      </w:r>
      <w:r w:rsidRPr="00E43B04">
        <w:rPr>
          <w:rFonts w:eastAsia="Times New Roman" w:cs="Arial"/>
          <w:color w:val="000000"/>
          <w:szCs w:val="22"/>
        </w:rPr>
        <w:t xml:space="preserve">providing strategies </w:t>
      </w:r>
      <w:r w:rsidR="00CA6C8D">
        <w:rPr>
          <w:rFonts w:eastAsia="Times New Roman" w:cs="Arial"/>
          <w:color w:val="000000"/>
          <w:szCs w:val="22"/>
        </w:rPr>
        <w:t xml:space="preserve">for </w:t>
      </w:r>
      <w:r w:rsidR="00A431BF">
        <w:rPr>
          <w:rFonts w:eastAsia="Times New Roman" w:cs="Arial"/>
          <w:color w:val="000000"/>
          <w:szCs w:val="22"/>
        </w:rPr>
        <w:t xml:space="preserve">engineering </w:t>
      </w:r>
      <w:r w:rsidRPr="00E43B04">
        <w:rPr>
          <w:rFonts w:eastAsia="Times New Roman" w:cs="Arial"/>
          <w:color w:val="000000"/>
          <w:szCs w:val="22"/>
        </w:rPr>
        <w:t>endogenous</w:t>
      </w:r>
      <w:r w:rsidR="00A431BF">
        <w:rPr>
          <w:rFonts w:eastAsia="Times New Roman" w:cs="Arial"/>
          <w:color w:val="000000"/>
          <w:szCs w:val="22"/>
        </w:rPr>
        <w:t xml:space="preserve"> and heterologous</w:t>
      </w:r>
      <w:r w:rsidRPr="00E43B04">
        <w:rPr>
          <w:rFonts w:eastAsia="Times New Roman" w:cs="Arial"/>
          <w:color w:val="000000"/>
          <w:szCs w:val="22"/>
        </w:rPr>
        <w:t xml:space="preserve"> </w:t>
      </w:r>
      <w:r w:rsidR="00A431BF">
        <w:rPr>
          <w:rFonts w:eastAsia="Times New Roman" w:cs="Arial"/>
          <w:color w:val="000000"/>
          <w:szCs w:val="22"/>
        </w:rPr>
        <w:t xml:space="preserve">lysate </w:t>
      </w:r>
      <w:r w:rsidRPr="00E43B04">
        <w:rPr>
          <w:rFonts w:eastAsia="Times New Roman" w:cs="Arial"/>
          <w:color w:val="000000"/>
          <w:szCs w:val="22"/>
        </w:rPr>
        <w:t>metabolism</w:t>
      </w:r>
      <w:r w:rsidR="00CA6C8D">
        <w:rPr>
          <w:rFonts w:eastAsia="Times New Roman" w:cs="Arial"/>
          <w:color w:val="000000"/>
          <w:szCs w:val="22"/>
        </w:rPr>
        <w:t xml:space="preserve"> that do not rely on deleterious cell-based engineering techniques, </w:t>
      </w:r>
      <w:r w:rsidR="004D7AE6">
        <w:rPr>
          <w:rFonts w:eastAsia="Times New Roman" w:cs="Arial"/>
          <w:color w:val="000000"/>
          <w:szCs w:val="22"/>
        </w:rPr>
        <w:t xml:space="preserve">avoiding global </w:t>
      </w:r>
      <w:r w:rsidR="00CA6C8D">
        <w:rPr>
          <w:rFonts w:eastAsia="Times New Roman" w:cs="Arial"/>
          <w:color w:val="000000"/>
          <w:szCs w:val="22"/>
        </w:rPr>
        <w:t>alterations to source strain metabolism</w:t>
      </w:r>
      <w:r w:rsidR="00664F81">
        <w:rPr>
          <w:rFonts w:eastAsia="Times New Roman" w:cs="Arial"/>
          <w:color w:val="000000"/>
          <w:szCs w:val="22"/>
        </w:rPr>
        <w:t xml:space="preserve"> that are deleterious to host health</w:t>
      </w:r>
      <w:r w:rsidR="00473E0A">
        <w:rPr>
          <w:rFonts w:eastAsia="Times New Roman" w:cs="Arial"/>
          <w:color w:val="000000"/>
          <w:szCs w:val="22"/>
        </w:rPr>
        <w:t xml:space="preserve">. </w:t>
      </w:r>
      <w:r w:rsidR="00F92F8E">
        <w:rPr>
          <w:rFonts w:eastAsia="Times New Roman" w:cs="Arial"/>
          <w:color w:val="000000"/>
          <w:szCs w:val="22"/>
        </w:rPr>
        <w:t>T</w:t>
      </w:r>
      <w:r w:rsidR="00473E0A">
        <w:rPr>
          <w:rFonts w:eastAsia="Times New Roman" w:cs="Arial"/>
          <w:color w:val="000000"/>
          <w:szCs w:val="22"/>
        </w:rPr>
        <w:t xml:space="preserve">he approaches </w:t>
      </w:r>
      <w:r w:rsidR="00555FA8">
        <w:rPr>
          <w:rFonts w:eastAsia="Times New Roman" w:cs="Arial"/>
          <w:color w:val="000000"/>
          <w:szCs w:val="22"/>
        </w:rPr>
        <w:t>can help</w:t>
      </w:r>
      <w:r w:rsidRPr="00E43B04">
        <w:rPr>
          <w:rFonts w:eastAsia="Times New Roman" w:cs="Arial"/>
          <w:color w:val="000000"/>
          <w:szCs w:val="22"/>
        </w:rPr>
        <w:t xml:space="preserve"> advance lysates as </w:t>
      </w:r>
      <w:r w:rsidR="004D7AE6">
        <w:rPr>
          <w:rFonts w:eastAsia="Times New Roman" w:cs="Arial"/>
          <w:color w:val="000000"/>
          <w:szCs w:val="22"/>
        </w:rPr>
        <w:t>easy-to-build, sustainable</w:t>
      </w:r>
      <w:r w:rsidRPr="00E43B04">
        <w:rPr>
          <w:rFonts w:eastAsia="Times New Roman" w:cs="Arial"/>
          <w:color w:val="000000"/>
          <w:szCs w:val="22"/>
        </w:rPr>
        <w:t xml:space="preserve"> biomanufacturing technologies</w:t>
      </w:r>
      <w:r w:rsidR="00473E0A">
        <w:rPr>
          <w:rFonts w:eastAsia="Times New Roman" w:cs="Arial"/>
          <w:color w:val="000000"/>
          <w:szCs w:val="22"/>
        </w:rPr>
        <w:t xml:space="preserve"> which, in turn, </w:t>
      </w:r>
      <w:r w:rsidR="00555FA8">
        <w:rPr>
          <w:rFonts w:eastAsia="Times New Roman" w:cs="Arial"/>
          <w:color w:val="000000"/>
          <w:szCs w:val="22"/>
        </w:rPr>
        <w:t xml:space="preserve">can </w:t>
      </w:r>
      <w:r w:rsidR="00A431BF">
        <w:rPr>
          <w:rFonts w:eastAsia="Times New Roman" w:cs="Arial"/>
          <w:color w:val="000000"/>
          <w:szCs w:val="22"/>
        </w:rPr>
        <w:t>accelerat</w:t>
      </w:r>
      <w:r w:rsidR="00473E0A">
        <w:rPr>
          <w:rFonts w:eastAsia="Times New Roman" w:cs="Arial"/>
          <w:color w:val="000000"/>
          <w:szCs w:val="22"/>
        </w:rPr>
        <w:t>e</w:t>
      </w:r>
      <w:r w:rsidR="00A431BF">
        <w:rPr>
          <w:rFonts w:eastAsia="Times New Roman" w:cs="Arial"/>
          <w:color w:val="000000"/>
          <w:szCs w:val="22"/>
        </w:rPr>
        <w:t xml:space="preserve"> the expansion of</w:t>
      </w:r>
      <w:r w:rsidRPr="00E43B04">
        <w:rPr>
          <w:rFonts w:eastAsia="Times New Roman" w:cs="Arial"/>
          <w:color w:val="000000"/>
          <w:szCs w:val="22"/>
        </w:rPr>
        <w:t xml:space="preserve"> </w:t>
      </w:r>
      <w:r w:rsidR="00A431BF">
        <w:rPr>
          <w:rFonts w:eastAsia="Times New Roman" w:cs="Arial"/>
          <w:color w:val="000000"/>
          <w:szCs w:val="22"/>
        </w:rPr>
        <w:t>the commercial bioproduct space.</w:t>
      </w:r>
    </w:p>
    <w:p w14:paraId="4943B4BA" w14:textId="0198D350" w:rsidR="00E43B04" w:rsidRPr="00A71FCF" w:rsidRDefault="00E43B04" w:rsidP="0008141D">
      <w:pPr>
        <w:contextualSpacing/>
        <w:rPr>
          <w:rFonts w:eastAsia="Times New Roman" w:cs="Arial"/>
          <w:szCs w:val="22"/>
        </w:rPr>
      </w:pPr>
    </w:p>
    <w:p w14:paraId="5EEF51EB" w14:textId="734940F1" w:rsidR="00501BC8" w:rsidRPr="00E43B04" w:rsidRDefault="006B1192" w:rsidP="006C5A5B">
      <w:pPr>
        <w:pStyle w:val="ChapterHeading"/>
      </w:pPr>
      <w:bookmarkStart w:id="5" w:name="_Toc129700999"/>
      <w:r w:rsidRPr="00FB2EFC">
        <w:t>1.</w:t>
      </w:r>
      <w:r w:rsidR="006C5A5B">
        <w:t>5</w:t>
      </w:r>
      <w:r w:rsidR="008E289D">
        <w:t>.</w:t>
      </w:r>
      <w:r w:rsidRPr="00FB2EFC">
        <w:t xml:space="preserve"> </w:t>
      </w:r>
      <w:r w:rsidR="00555FA8">
        <w:t>Focusing</w:t>
      </w:r>
      <w:r w:rsidRPr="00FB2EFC">
        <w:t xml:space="preserve"> </w:t>
      </w:r>
      <w:r w:rsidR="00501BC8" w:rsidRPr="00FB2EFC">
        <w:t>Endogenous Metaboli</w:t>
      </w:r>
      <w:r w:rsidR="00555FA8">
        <w:t>c Flux in Lysates</w:t>
      </w:r>
      <w:r w:rsidR="00664F81">
        <w:t xml:space="preserve"> Post-lysis</w:t>
      </w:r>
      <w:bookmarkEnd w:id="5"/>
    </w:p>
    <w:p w14:paraId="5DDD62F5" w14:textId="5683C6B4" w:rsidR="006C5A5B" w:rsidRPr="00664F81" w:rsidRDefault="00664F81" w:rsidP="00664F81">
      <w:pPr>
        <w:ind w:firstLine="720"/>
        <w:contextualSpacing/>
        <w:rPr>
          <w:rFonts w:eastAsia="Times New Roman" w:cs="Arial"/>
          <w:szCs w:val="22"/>
        </w:rPr>
      </w:pPr>
      <w:r>
        <w:rPr>
          <w:rFonts w:eastAsia="Times New Roman" w:cs="Arial"/>
          <w:color w:val="000000"/>
          <w:szCs w:val="22"/>
        </w:rPr>
        <w:t xml:space="preserve">Rapid pathway optimization in lysates can be realized by rewiring endogenous metabolic flux post-lysis. </w:t>
      </w:r>
      <w:r w:rsidR="00E43B04" w:rsidRPr="00E43B04">
        <w:rPr>
          <w:rFonts w:eastAsia="Times New Roman" w:cs="Arial"/>
          <w:color w:val="000000"/>
          <w:szCs w:val="22"/>
        </w:rPr>
        <w:t>T</w:t>
      </w:r>
      <w:r>
        <w:rPr>
          <w:rFonts w:eastAsia="Times New Roman" w:cs="Arial"/>
          <w:color w:val="000000"/>
          <w:szCs w:val="22"/>
        </w:rPr>
        <w:t>o design high-yield pathways, t</w:t>
      </w:r>
      <w:r w:rsidR="00E43B04" w:rsidRPr="00E43B04">
        <w:rPr>
          <w:rFonts w:eastAsia="Times New Roman" w:cs="Arial"/>
          <w:color w:val="000000"/>
          <w:szCs w:val="22"/>
        </w:rPr>
        <w:t>he</w:t>
      </w:r>
      <w:r>
        <w:rPr>
          <w:rFonts w:eastAsia="Times New Roman" w:cs="Arial"/>
          <w:color w:val="000000"/>
          <w:szCs w:val="22"/>
        </w:rPr>
        <w:t xml:space="preserve"> movement of carbon from common feedstocks </w:t>
      </w:r>
      <w:r>
        <w:rPr>
          <w:rFonts w:eastAsia="Times New Roman" w:cs="Arial"/>
          <w:color w:val="000000"/>
          <w:szCs w:val="22"/>
        </w:rPr>
        <w:lastRenderedPageBreak/>
        <w:t>through</w:t>
      </w:r>
      <w:r w:rsidR="00E43B04" w:rsidRPr="00E43B04">
        <w:rPr>
          <w:rFonts w:eastAsia="Times New Roman" w:cs="Arial"/>
          <w:color w:val="000000"/>
          <w:szCs w:val="22"/>
        </w:rPr>
        <w:t xml:space="preserve"> </w:t>
      </w:r>
      <w:r>
        <w:rPr>
          <w:rFonts w:eastAsia="Times New Roman" w:cs="Arial"/>
          <w:color w:val="000000"/>
          <w:szCs w:val="22"/>
        </w:rPr>
        <w:t xml:space="preserve">lysate </w:t>
      </w:r>
      <w:r w:rsidR="00E43B04" w:rsidRPr="00E43B04">
        <w:rPr>
          <w:rFonts w:eastAsia="Times New Roman" w:cs="Arial"/>
          <w:color w:val="000000"/>
          <w:szCs w:val="22"/>
        </w:rPr>
        <w:t xml:space="preserve">endogenous metabolism in lysates </w:t>
      </w:r>
      <w:r>
        <w:rPr>
          <w:rFonts w:eastAsia="Times New Roman" w:cs="Arial"/>
          <w:color w:val="000000"/>
          <w:szCs w:val="22"/>
        </w:rPr>
        <w:t xml:space="preserve">should first be understood. </w:t>
      </w:r>
      <w:r w:rsidR="00E43B04" w:rsidRPr="00E43B04">
        <w:rPr>
          <w:rFonts w:eastAsia="Times New Roman" w:cs="Arial"/>
          <w:color w:val="000000"/>
          <w:szCs w:val="22"/>
        </w:rPr>
        <w:t xml:space="preserve">In line with this, potential channels through which carbon derived from glucose, a readily available and inexpensive substrate, can flow in the model </w:t>
      </w:r>
      <w:r w:rsidR="00E43B04" w:rsidRPr="00E43B04">
        <w:rPr>
          <w:rFonts w:eastAsia="Times New Roman" w:cs="Arial"/>
          <w:i/>
          <w:iCs/>
          <w:color w:val="000000"/>
          <w:szCs w:val="22"/>
        </w:rPr>
        <w:t xml:space="preserve">Escherichia coli </w:t>
      </w:r>
      <w:r w:rsidR="00E43B04" w:rsidRPr="00E43B04">
        <w:rPr>
          <w:rFonts w:eastAsia="Times New Roman" w:cs="Arial"/>
          <w:color w:val="000000"/>
          <w:szCs w:val="22"/>
        </w:rPr>
        <w:t xml:space="preserve">lysate </w:t>
      </w:r>
      <w:r w:rsidR="00A22B25" w:rsidRPr="00E43B04">
        <w:rPr>
          <w:rFonts w:eastAsia="Times New Roman" w:cs="Arial"/>
          <w:color w:val="000000"/>
          <w:szCs w:val="22"/>
        </w:rPr>
        <w:t xml:space="preserve">are mapped out </w:t>
      </w:r>
      <w:r w:rsidR="00E43B04" w:rsidRPr="00E43B04">
        <w:rPr>
          <w:rFonts w:eastAsia="Times New Roman" w:cs="Arial"/>
          <w:color w:val="000000"/>
          <w:szCs w:val="22"/>
        </w:rPr>
        <w:t xml:space="preserve">(Chapter 2). This investigation leverages liquid chromatography coupled to a mass spectrometric detector and fully </w:t>
      </w:r>
      <w:r w:rsidR="00E43B04" w:rsidRPr="005243FC">
        <w:rPr>
          <w:rFonts w:eastAsia="Times New Roman" w:cs="Arial"/>
          <w:color w:val="000000"/>
          <w:szCs w:val="22"/>
          <w:vertAlign w:val="superscript"/>
        </w:rPr>
        <w:t>13</w:t>
      </w:r>
      <w:r w:rsidR="00E43B04" w:rsidRPr="00E43B04">
        <w:rPr>
          <w:rFonts w:eastAsia="Times New Roman" w:cs="Arial"/>
          <w:color w:val="000000"/>
          <w:szCs w:val="22"/>
        </w:rPr>
        <w:t xml:space="preserve">C-labeled glucose to track possible metabolic endpoints of glucose-derived carbon. </w:t>
      </w:r>
      <w:r>
        <w:rPr>
          <w:rFonts w:eastAsia="Times New Roman" w:cs="Arial"/>
          <w:color w:val="000000"/>
          <w:szCs w:val="22"/>
        </w:rPr>
        <w:t>To manipulate this carbon flow, a</w:t>
      </w:r>
      <w:r w:rsidR="00E43B04" w:rsidRPr="00E43B04">
        <w:rPr>
          <w:rFonts w:eastAsia="Times New Roman" w:cs="Arial"/>
          <w:color w:val="000000"/>
          <w:szCs w:val="22"/>
        </w:rPr>
        <w:t xml:space="preserve"> lysate proteome engineering strategy is developed (Chapter 3). This is demonstrated in model </w:t>
      </w:r>
      <w:r w:rsidR="00E43B04" w:rsidRPr="00E43B04">
        <w:rPr>
          <w:rFonts w:eastAsia="Times New Roman" w:cs="Arial"/>
          <w:i/>
          <w:iCs/>
          <w:color w:val="000000"/>
          <w:szCs w:val="22"/>
        </w:rPr>
        <w:t xml:space="preserve">Escherichia coli </w:t>
      </w:r>
      <w:r w:rsidR="00E43B04" w:rsidRPr="00E43B04">
        <w:rPr>
          <w:rFonts w:eastAsia="Times New Roman" w:cs="Arial"/>
          <w:color w:val="000000"/>
          <w:szCs w:val="22"/>
        </w:rPr>
        <w:t xml:space="preserve">lysates that are fed glucose and made to accumulate the central metabolic precursor pyruvate. The approach takes advantage of a genome engineering method to insert affinity tags into the termini of pyruvate-consuming enzymes, enabling the selective reduction of these proteins’ concentrations in processed extracts. With </w:t>
      </w:r>
      <w:r w:rsidR="00C26B27" w:rsidRPr="00A71FCF">
        <w:rPr>
          <w:rFonts w:eastAsia="Times New Roman" w:cs="Arial"/>
          <w:color w:val="000000"/>
          <w:szCs w:val="22"/>
        </w:rPr>
        <w:t>an</w:t>
      </w:r>
      <w:r w:rsidR="00E43B04" w:rsidRPr="00E43B04">
        <w:rPr>
          <w:rFonts w:eastAsia="Times New Roman" w:cs="Arial"/>
          <w:color w:val="000000"/>
          <w:szCs w:val="22"/>
        </w:rPr>
        <w:t xml:space="preserve"> understanding of lysate metabolism and a proteome engineering strategy in-hand, the full depletion of target enzymes </w:t>
      </w:r>
      <w:r w:rsidR="00C26B27" w:rsidRPr="00A71FCF">
        <w:rPr>
          <w:rFonts w:eastAsia="Times New Roman" w:cs="Arial"/>
          <w:color w:val="000000"/>
          <w:szCs w:val="22"/>
        </w:rPr>
        <w:t xml:space="preserve">in an </w:t>
      </w:r>
      <w:r w:rsidR="00C26B27" w:rsidRPr="00A71FCF">
        <w:rPr>
          <w:rFonts w:eastAsia="Times New Roman" w:cs="Arial"/>
          <w:i/>
          <w:iCs/>
          <w:color w:val="000000"/>
          <w:szCs w:val="22"/>
        </w:rPr>
        <w:t xml:space="preserve">E. coli </w:t>
      </w:r>
      <w:r w:rsidR="00C26B27" w:rsidRPr="00A71FCF">
        <w:rPr>
          <w:rFonts w:eastAsia="Times New Roman" w:cs="Arial"/>
          <w:color w:val="000000"/>
          <w:szCs w:val="22"/>
        </w:rPr>
        <w:t xml:space="preserve">lysate </w:t>
      </w:r>
      <w:r w:rsidR="00E43B04" w:rsidRPr="00E43B04">
        <w:rPr>
          <w:rFonts w:eastAsia="Times New Roman" w:cs="Arial"/>
          <w:color w:val="000000"/>
          <w:szCs w:val="22"/>
        </w:rPr>
        <w:t xml:space="preserve">can be achieved, as demonstrated with </w:t>
      </w:r>
      <w:r w:rsidR="00C26B27" w:rsidRPr="00A71FCF">
        <w:rPr>
          <w:rFonts w:eastAsia="Times New Roman" w:cs="Arial"/>
          <w:color w:val="000000"/>
          <w:szCs w:val="22"/>
        </w:rPr>
        <w:t xml:space="preserve">ethanol, </w:t>
      </w:r>
      <w:r w:rsidR="00E43B04" w:rsidRPr="00E43B04">
        <w:rPr>
          <w:rFonts w:eastAsia="Times New Roman" w:cs="Arial"/>
          <w:color w:val="000000"/>
          <w:szCs w:val="22"/>
        </w:rPr>
        <w:t xml:space="preserve">a tractable end-product of endogenous metabolism (Chapter 4). The selective enzyme depletion approach is </w:t>
      </w:r>
      <w:r w:rsidR="007A7F7A" w:rsidRPr="00A71FCF">
        <w:rPr>
          <w:rFonts w:eastAsia="Times New Roman" w:cs="Arial"/>
          <w:color w:val="000000"/>
          <w:szCs w:val="22"/>
        </w:rPr>
        <w:t xml:space="preserve">optimized and </w:t>
      </w:r>
      <w:r w:rsidR="00E43B04" w:rsidRPr="00E43B04">
        <w:rPr>
          <w:rFonts w:eastAsia="Times New Roman" w:cs="Arial"/>
          <w:color w:val="000000"/>
          <w:szCs w:val="22"/>
        </w:rPr>
        <w:t xml:space="preserve">coupled with other </w:t>
      </w:r>
      <w:r w:rsidR="00843D69">
        <w:rPr>
          <w:rFonts w:eastAsia="Times New Roman" w:cs="Arial"/>
          <w:color w:val="000000"/>
          <w:szCs w:val="22"/>
        </w:rPr>
        <w:t>CFME</w:t>
      </w:r>
      <w:r w:rsidR="00E43B04" w:rsidRPr="00E43B04">
        <w:rPr>
          <w:rFonts w:eastAsia="Times New Roman" w:cs="Arial"/>
          <w:color w:val="000000"/>
          <w:szCs w:val="22"/>
        </w:rPr>
        <w:t xml:space="preserve"> approaches to focus and drive carbon flux from glucose to ethanol</w:t>
      </w:r>
      <w:r w:rsidR="007A7F7A" w:rsidRPr="00A71FCF">
        <w:rPr>
          <w:rFonts w:eastAsia="Times New Roman" w:cs="Arial"/>
          <w:color w:val="000000"/>
          <w:szCs w:val="22"/>
        </w:rPr>
        <w:t xml:space="preserve">, </w:t>
      </w:r>
      <w:r w:rsidR="00E43B04" w:rsidRPr="00E43B04">
        <w:rPr>
          <w:rFonts w:eastAsia="Times New Roman" w:cs="Arial"/>
          <w:color w:val="000000"/>
          <w:szCs w:val="22"/>
        </w:rPr>
        <w:t>achieving maximum (100%) conversion yield through this native pathway. This is the first report of an engineering method that can confer a lysate’s low-yield pathway with industrially relevant performance. Uniquely, the approach does not introduce gene knockouts, knockdowns, or overexpression and consequently does not impose observable metabolic burden on the source strain. This therefore represents a strategy for high-yield endogenous pathway construction in lysates that is free from cellular viability constraints. </w:t>
      </w:r>
    </w:p>
    <w:p w14:paraId="00292D10" w14:textId="77777777" w:rsidR="007B20D7" w:rsidRDefault="007B20D7" w:rsidP="006C5A5B">
      <w:pPr>
        <w:pStyle w:val="ChapterHeading"/>
      </w:pPr>
    </w:p>
    <w:p w14:paraId="581E9B21" w14:textId="4C26BABA" w:rsidR="00664F81" w:rsidRPr="006C5A5B" w:rsidRDefault="006C5A5B" w:rsidP="00664F81">
      <w:pPr>
        <w:pStyle w:val="ChapterHeading"/>
      </w:pPr>
      <w:bookmarkStart w:id="6" w:name="_Toc129701000"/>
      <w:r>
        <w:t>1.6</w:t>
      </w:r>
      <w:r w:rsidR="008E289D">
        <w:t>.</w:t>
      </w:r>
      <w:r w:rsidR="00555FA8" w:rsidRPr="00555FA8">
        <w:t xml:space="preserve"> </w:t>
      </w:r>
      <w:r w:rsidR="00664F81">
        <w:t>Improving</w:t>
      </w:r>
      <w:r w:rsidR="00CF6B68">
        <w:t xml:space="preserve"> Lysate-based CFE for Heterologous </w:t>
      </w:r>
      <w:r w:rsidR="00664F81">
        <w:t>Pathway Building</w:t>
      </w:r>
      <w:bookmarkEnd w:id="6"/>
    </w:p>
    <w:p w14:paraId="709FE549" w14:textId="648B2962" w:rsidR="00E43B04" w:rsidRPr="00A71FCF" w:rsidRDefault="00664F81" w:rsidP="0008141D">
      <w:pPr>
        <w:ind w:firstLine="720"/>
        <w:contextualSpacing/>
        <w:rPr>
          <w:rFonts w:eastAsia="Times New Roman" w:cs="Arial"/>
          <w:color w:val="000000"/>
          <w:szCs w:val="22"/>
        </w:rPr>
      </w:pPr>
      <w:r>
        <w:rPr>
          <w:rFonts w:eastAsia="Times New Roman" w:cs="Arial"/>
          <w:color w:val="000000"/>
          <w:szCs w:val="22"/>
        </w:rPr>
        <w:t>Heterologous</w:t>
      </w:r>
      <w:r w:rsidRPr="00A71FCF">
        <w:rPr>
          <w:rFonts w:eastAsia="Times New Roman" w:cs="Arial"/>
          <w:color w:val="000000"/>
          <w:szCs w:val="22"/>
        </w:rPr>
        <w:t xml:space="preserve"> pathway building and optimization via</w:t>
      </w:r>
      <w:r w:rsidRPr="00E43B04">
        <w:rPr>
          <w:rFonts w:eastAsia="Times New Roman" w:cs="Arial"/>
          <w:color w:val="000000"/>
          <w:szCs w:val="22"/>
        </w:rPr>
        <w:t xml:space="preserve"> CFE</w:t>
      </w:r>
      <w:r>
        <w:rPr>
          <w:rFonts w:eastAsia="Times New Roman" w:cs="Arial"/>
          <w:color w:val="000000"/>
          <w:szCs w:val="22"/>
        </w:rPr>
        <w:t>,</w:t>
      </w:r>
      <w:r w:rsidRPr="00A71FCF">
        <w:rPr>
          <w:rFonts w:eastAsia="Times New Roman" w:cs="Arial"/>
          <w:color w:val="000000"/>
          <w:szCs w:val="22"/>
        </w:rPr>
        <w:t xml:space="preserve"> as opposed to cell-based engineering approaches, will be useful for </w:t>
      </w:r>
      <w:r w:rsidR="00BD13DA">
        <w:rPr>
          <w:rFonts w:eastAsia="Times New Roman" w:cs="Arial"/>
          <w:color w:val="000000"/>
          <w:szCs w:val="22"/>
        </w:rPr>
        <w:t xml:space="preserve">rapidly </w:t>
      </w:r>
      <w:r>
        <w:rPr>
          <w:rFonts w:eastAsia="Times New Roman" w:cs="Arial"/>
          <w:color w:val="000000"/>
          <w:szCs w:val="22"/>
        </w:rPr>
        <w:t xml:space="preserve">constructing lysate-based biomanufacturing platforms </w:t>
      </w:r>
      <w:r w:rsidR="00BD13DA">
        <w:rPr>
          <w:rFonts w:eastAsia="Times New Roman" w:cs="Arial"/>
          <w:color w:val="000000"/>
          <w:szCs w:val="22"/>
        </w:rPr>
        <w:t>that efficiently synthesize</w:t>
      </w:r>
      <w:r>
        <w:rPr>
          <w:rFonts w:eastAsia="Times New Roman" w:cs="Arial"/>
          <w:color w:val="000000"/>
          <w:szCs w:val="22"/>
        </w:rPr>
        <w:t xml:space="preserve"> high-value </w:t>
      </w:r>
      <w:r w:rsidR="00BD13DA">
        <w:rPr>
          <w:rFonts w:eastAsia="Times New Roman" w:cs="Arial"/>
          <w:color w:val="000000"/>
          <w:szCs w:val="22"/>
        </w:rPr>
        <w:t>molecules from pooled endogenous precursors</w:t>
      </w:r>
      <w:r w:rsidRPr="00E43B04">
        <w:rPr>
          <w:rFonts w:eastAsia="Times New Roman" w:cs="Arial"/>
          <w:color w:val="000000"/>
          <w:szCs w:val="22"/>
        </w:rPr>
        <w:t>.</w:t>
      </w:r>
      <w:r w:rsidR="00653CFD">
        <w:rPr>
          <w:rFonts w:eastAsia="Times New Roman" w:cs="Arial"/>
          <w:color w:val="000000"/>
          <w:szCs w:val="22"/>
        </w:rPr>
        <w:t xml:space="preserve"> </w:t>
      </w:r>
      <w:r w:rsidR="00BD13DA">
        <w:rPr>
          <w:rFonts w:eastAsia="Times New Roman" w:cs="Arial"/>
          <w:color w:val="000000"/>
          <w:szCs w:val="22"/>
        </w:rPr>
        <w:lastRenderedPageBreak/>
        <w:t xml:space="preserve">To enable </w:t>
      </w:r>
      <w:r w:rsidR="00653CFD">
        <w:rPr>
          <w:rFonts w:eastAsia="Times New Roman" w:cs="Arial"/>
          <w:color w:val="000000"/>
          <w:szCs w:val="22"/>
        </w:rPr>
        <w:t xml:space="preserve">CFE as a tool for overexpressing metabolic enzymes in lysates, </w:t>
      </w:r>
      <w:r w:rsidR="00E85981" w:rsidRPr="00E43B04">
        <w:rPr>
          <w:rFonts w:eastAsia="Times New Roman" w:cs="Arial"/>
          <w:color w:val="000000"/>
          <w:szCs w:val="22"/>
        </w:rPr>
        <w:t xml:space="preserve">rapid </w:t>
      </w:r>
      <w:r w:rsidR="003E5B5A" w:rsidRPr="00A71FCF">
        <w:rPr>
          <w:rFonts w:eastAsia="Times New Roman" w:cs="Arial"/>
          <w:color w:val="000000"/>
          <w:szCs w:val="22"/>
        </w:rPr>
        <w:t xml:space="preserve">reaction condition </w:t>
      </w:r>
      <w:r w:rsidR="00E85981" w:rsidRPr="00E43B04">
        <w:rPr>
          <w:rFonts w:eastAsia="Times New Roman" w:cs="Arial"/>
          <w:color w:val="000000"/>
          <w:szCs w:val="22"/>
        </w:rPr>
        <w:t xml:space="preserve">testing </w:t>
      </w:r>
      <w:r w:rsidR="00653CFD">
        <w:rPr>
          <w:rFonts w:eastAsia="Times New Roman" w:cs="Arial"/>
          <w:color w:val="000000"/>
          <w:szCs w:val="22"/>
        </w:rPr>
        <w:t>is necessary. A</w:t>
      </w:r>
      <w:r w:rsidR="003E5B5A" w:rsidRPr="00A71FCF">
        <w:rPr>
          <w:rFonts w:eastAsia="Times New Roman" w:cs="Arial"/>
          <w:color w:val="000000"/>
          <w:szCs w:val="22"/>
        </w:rPr>
        <w:t xml:space="preserve"> reporter-based strategy for measuring full-length protein expression is developed in </w:t>
      </w:r>
      <w:r w:rsidR="00653CFD" w:rsidRPr="00E43B04">
        <w:rPr>
          <w:rFonts w:eastAsia="Times New Roman" w:cs="Arial"/>
          <w:i/>
          <w:iCs/>
          <w:color w:val="000000"/>
          <w:szCs w:val="22"/>
        </w:rPr>
        <w:t xml:space="preserve">E. coli </w:t>
      </w:r>
      <w:r w:rsidR="00653CFD" w:rsidRPr="00E43B04">
        <w:rPr>
          <w:rFonts w:eastAsia="Times New Roman" w:cs="Arial"/>
          <w:color w:val="000000"/>
          <w:szCs w:val="22"/>
        </w:rPr>
        <w:t>lysate</w:t>
      </w:r>
      <w:r w:rsidR="00653CFD">
        <w:rPr>
          <w:rFonts w:eastAsia="Times New Roman" w:cs="Arial"/>
          <w:color w:val="000000"/>
          <w:szCs w:val="22"/>
        </w:rPr>
        <w:t>s</w:t>
      </w:r>
      <w:r>
        <w:rPr>
          <w:rFonts w:eastAsia="Times New Roman" w:cs="Arial"/>
          <w:color w:val="000000"/>
          <w:szCs w:val="22"/>
        </w:rPr>
        <w:t xml:space="preserve"> (Chapter 5)</w:t>
      </w:r>
      <w:r w:rsidR="003E5B5A" w:rsidRPr="00A71FCF">
        <w:rPr>
          <w:rFonts w:eastAsia="Times New Roman" w:cs="Arial"/>
          <w:color w:val="000000"/>
          <w:szCs w:val="22"/>
        </w:rPr>
        <w:t>.</w:t>
      </w:r>
      <w:r w:rsidR="00E85981" w:rsidRPr="00E43B04">
        <w:rPr>
          <w:rFonts w:eastAsia="Times New Roman" w:cs="Arial"/>
          <w:color w:val="000000"/>
          <w:szCs w:val="22"/>
        </w:rPr>
        <w:t xml:space="preserve"> </w:t>
      </w:r>
      <w:r w:rsidR="003E5B5A" w:rsidRPr="00A71FCF">
        <w:rPr>
          <w:rFonts w:eastAsia="Times New Roman" w:cs="Arial"/>
          <w:color w:val="000000"/>
          <w:szCs w:val="22"/>
        </w:rPr>
        <w:t xml:space="preserve">A </w:t>
      </w:r>
      <w:proofErr w:type="spellStart"/>
      <w:r w:rsidR="00E85981" w:rsidRPr="00E43B04">
        <w:rPr>
          <w:rFonts w:eastAsia="Times New Roman" w:cs="Arial"/>
          <w:color w:val="000000"/>
          <w:szCs w:val="22"/>
        </w:rPr>
        <w:t>tetracysteine</w:t>
      </w:r>
      <w:proofErr w:type="spellEnd"/>
      <w:r w:rsidR="00E85981" w:rsidRPr="00E43B04">
        <w:rPr>
          <w:rFonts w:eastAsia="Times New Roman" w:cs="Arial"/>
          <w:color w:val="000000"/>
          <w:szCs w:val="22"/>
        </w:rPr>
        <w:t xml:space="preserve"> (TC) peptide tag with activatable fluorescence is conjugated to the C-terminus of </w:t>
      </w:r>
      <w:r w:rsidR="000041C3" w:rsidRPr="00A71FCF">
        <w:rPr>
          <w:rFonts w:eastAsia="Times New Roman" w:cs="Arial"/>
          <w:color w:val="000000"/>
          <w:szCs w:val="22"/>
        </w:rPr>
        <w:t>a</w:t>
      </w:r>
      <w:r w:rsidR="003E5B5A" w:rsidRPr="00A71FCF">
        <w:rPr>
          <w:rFonts w:eastAsia="Times New Roman" w:cs="Arial"/>
          <w:color w:val="000000"/>
          <w:szCs w:val="22"/>
        </w:rPr>
        <w:t xml:space="preserve"> biosynthetic enzyme</w:t>
      </w:r>
      <w:r w:rsidR="000041C3" w:rsidRPr="00A71FCF">
        <w:rPr>
          <w:rFonts w:eastAsia="Times New Roman" w:cs="Arial"/>
          <w:color w:val="000000"/>
          <w:szCs w:val="22"/>
        </w:rPr>
        <w:t xml:space="preserve">. </w:t>
      </w:r>
      <w:r w:rsidR="000041C3" w:rsidRPr="00E43B04">
        <w:rPr>
          <w:rFonts w:eastAsia="Times New Roman" w:cs="Arial"/>
          <w:color w:val="000000"/>
          <w:szCs w:val="22"/>
        </w:rPr>
        <w:t xml:space="preserve">A method for activating and measuring the fluorescence of this tag in the noisy lysate environment is then optimized, allowing quick detection of full-length </w:t>
      </w:r>
      <w:r>
        <w:rPr>
          <w:rFonts w:eastAsia="Times New Roman" w:cs="Arial"/>
          <w:color w:val="000000"/>
          <w:szCs w:val="22"/>
        </w:rPr>
        <w:t xml:space="preserve">biosynthetic enzymes produced </w:t>
      </w:r>
      <w:r w:rsidR="000041C3" w:rsidRPr="00E43B04">
        <w:rPr>
          <w:rFonts w:eastAsia="Times New Roman" w:cs="Arial"/>
          <w:color w:val="000000"/>
          <w:szCs w:val="22"/>
        </w:rPr>
        <w:t xml:space="preserve">in </w:t>
      </w:r>
      <w:r>
        <w:rPr>
          <w:rFonts w:eastAsia="Times New Roman" w:cs="Arial"/>
          <w:color w:val="000000"/>
          <w:szCs w:val="22"/>
        </w:rPr>
        <w:t xml:space="preserve">lysate-based </w:t>
      </w:r>
      <w:r w:rsidR="000041C3" w:rsidRPr="00E43B04">
        <w:rPr>
          <w:rFonts w:eastAsia="Times New Roman" w:cs="Arial"/>
          <w:color w:val="000000"/>
          <w:szCs w:val="22"/>
        </w:rPr>
        <w:t xml:space="preserve">CFE reactions. This technique is generalizable and can be used to quickly </w:t>
      </w:r>
      <w:r>
        <w:rPr>
          <w:rFonts w:eastAsia="Times New Roman" w:cs="Arial"/>
          <w:color w:val="000000"/>
          <w:szCs w:val="22"/>
        </w:rPr>
        <w:t xml:space="preserve">measure heterologous metabolic enzyme </w:t>
      </w:r>
      <w:r w:rsidR="000041C3" w:rsidRPr="00E43B04">
        <w:rPr>
          <w:rFonts w:eastAsia="Times New Roman" w:cs="Arial"/>
          <w:color w:val="000000"/>
          <w:szCs w:val="22"/>
        </w:rPr>
        <w:t xml:space="preserve">CFE </w:t>
      </w:r>
      <w:r>
        <w:rPr>
          <w:rFonts w:eastAsia="Times New Roman" w:cs="Arial"/>
          <w:color w:val="000000"/>
          <w:szCs w:val="22"/>
        </w:rPr>
        <w:t>under different reaction conditions</w:t>
      </w:r>
      <w:r w:rsidR="000041C3" w:rsidRPr="00E43B04">
        <w:rPr>
          <w:rFonts w:eastAsia="Times New Roman" w:cs="Arial"/>
          <w:color w:val="000000"/>
          <w:szCs w:val="22"/>
        </w:rPr>
        <w:t xml:space="preserve">. </w:t>
      </w:r>
      <w:r>
        <w:rPr>
          <w:rFonts w:eastAsia="Times New Roman" w:cs="Arial"/>
          <w:color w:val="000000"/>
          <w:szCs w:val="22"/>
        </w:rPr>
        <w:t>This knowledge can be leveraged to</w:t>
      </w:r>
      <w:r w:rsidR="000041C3" w:rsidRPr="00E43B04">
        <w:rPr>
          <w:rFonts w:eastAsia="Times New Roman" w:cs="Arial"/>
          <w:color w:val="000000"/>
          <w:szCs w:val="22"/>
        </w:rPr>
        <w:t xml:space="preserve"> </w:t>
      </w:r>
      <w:r w:rsidR="00BD13DA">
        <w:rPr>
          <w:rFonts w:eastAsia="Times New Roman" w:cs="Arial"/>
          <w:color w:val="000000"/>
          <w:szCs w:val="22"/>
        </w:rPr>
        <w:t>overexpress</w:t>
      </w:r>
      <w:r w:rsidR="000041C3" w:rsidRPr="00E43B04">
        <w:rPr>
          <w:rFonts w:eastAsia="Times New Roman" w:cs="Arial"/>
          <w:color w:val="000000"/>
          <w:szCs w:val="22"/>
        </w:rPr>
        <w:t xml:space="preserve"> biosynthetic enzymes at higher concentrations in lysates</w:t>
      </w:r>
      <w:r w:rsidR="00BD13DA">
        <w:rPr>
          <w:rFonts w:eastAsia="Times New Roman" w:cs="Arial"/>
          <w:color w:val="000000"/>
          <w:szCs w:val="22"/>
        </w:rPr>
        <w:t xml:space="preserve"> and drive flux through heterologous reactions</w:t>
      </w:r>
      <w:r w:rsidR="000041C3" w:rsidRPr="00E43B04">
        <w:rPr>
          <w:rFonts w:eastAsia="Times New Roman" w:cs="Arial"/>
          <w:color w:val="000000"/>
          <w:szCs w:val="22"/>
        </w:rPr>
        <w:t>.</w:t>
      </w:r>
      <w:r w:rsidR="000041C3" w:rsidRPr="00A71FCF">
        <w:rPr>
          <w:rFonts w:eastAsia="Times New Roman" w:cs="Arial"/>
          <w:color w:val="000000"/>
          <w:szCs w:val="22"/>
        </w:rPr>
        <w:t xml:space="preserve"> The approach is demonstrated with</w:t>
      </w:r>
      <w:r w:rsidR="00BD13DA">
        <w:rPr>
          <w:rFonts w:eastAsia="Times New Roman" w:cs="Arial"/>
          <w:color w:val="000000"/>
          <w:szCs w:val="22"/>
        </w:rPr>
        <w:t xml:space="preserve"> the investigation and optimization of </w:t>
      </w:r>
      <w:proofErr w:type="spellStart"/>
      <w:r w:rsidR="00BD13DA">
        <w:rPr>
          <w:rFonts w:eastAsia="Times New Roman" w:cs="Arial"/>
          <w:color w:val="000000"/>
          <w:szCs w:val="22"/>
        </w:rPr>
        <w:t>nonribosomal</w:t>
      </w:r>
      <w:proofErr w:type="spellEnd"/>
      <w:r w:rsidR="00BD13DA">
        <w:rPr>
          <w:rFonts w:eastAsia="Times New Roman" w:cs="Arial"/>
          <w:color w:val="000000"/>
          <w:szCs w:val="22"/>
        </w:rPr>
        <w:t xml:space="preserve"> peptide synthetase (NRPS) CFE.</w:t>
      </w:r>
      <w:r w:rsidR="003E5B5A" w:rsidRPr="00A71FCF">
        <w:rPr>
          <w:rFonts w:eastAsia="Times New Roman" w:cs="Arial"/>
          <w:color w:val="000000"/>
          <w:szCs w:val="22"/>
        </w:rPr>
        <w:t xml:space="preserve"> </w:t>
      </w:r>
      <w:r w:rsidR="000041C3" w:rsidRPr="00E43B04">
        <w:rPr>
          <w:rFonts w:eastAsia="Times New Roman" w:cs="Arial"/>
          <w:color w:val="000000"/>
          <w:szCs w:val="22"/>
        </w:rPr>
        <w:t xml:space="preserve">NRPSs synthesize </w:t>
      </w:r>
      <w:proofErr w:type="spellStart"/>
      <w:r w:rsidR="000041C3" w:rsidRPr="00E43B04">
        <w:rPr>
          <w:rFonts w:eastAsia="Times New Roman" w:cs="Arial"/>
          <w:color w:val="000000"/>
          <w:szCs w:val="22"/>
        </w:rPr>
        <w:t>nonribosomal</w:t>
      </w:r>
      <w:proofErr w:type="spellEnd"/>
      <w:r w:rsidR="000041C3" w:rsidRPr="00E43B04">
        <w:rPr>
          <w:rFonts w:eastAsia="Times New Roman" w:cs="Arial"/>
          <w:color w:val="000000"/>
          <w:szCs w:val="22"/>
        </w:rPr>
        <w:t xml:space="preserve"> peptides, natural products with diverse commercially relevant biological properties (i.e., antimicrobial, anticancer, immunosuppressive, and insecticidal activity)</w:t>
      </w:r>
      <w:r w:rsidR="002D028B"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{"citationItems":[{"id":"ITEM-1","itemData":{"DOI":"10.1002/PSC.2907","ISSN":"1099-1387","PMID":"27465074","abstract":"From the evolutionary melting pot of natural product synthetase genes, microorganisms elicit antibiotics, communication tools, and iron scavengers. Chemical biologists manipulate these genes to recreate similarly diverse and potent biological activities not on evolutionary time scales but within months. Enzyme engineering has progressed considerably in recent years and offers new screening, modelling, and design tools for natural product designers. Here, recent advances in enzyme engineering and their application to nonribosomal peptide synthetases are reviewed. Among the nonribosomal peptides that have been subjected to biosynthetic engineering are the antibiotics daptomycin, calcium-dependent antibiotic, and gramicidin S. With these peptides, incorporation of unnatural building blocks and modulation of bioactivities via various structural modifications have been successfully demonstrated. Natural product engineering on the biosynthetic level is not a reliable method yet. However, progress in the understanding and manipulation of biosynthetic pathways may enable the routine production of optimized peptide drugs in the near future. Copyright © 2016 European Peptide Society and John Wiley &amp; Sons, Ltd.","author":[{"dropping-particle":"","family":"Kries","given":"Hajo","non-dropping-particle":"","parse-names":false,"suffix":""}],"container-title":"Journal of Peptide Science","id":"ITEM-1","issue":"9","issued":{"date-parts":[["2016","9","1"]]},"page":"564-570","publisher":"John Wiley &amp; Sons, Ltd","title":"Biosynthetic engineering of nonribosomal peptide synthetases","type":"article-journal","volume":"22"},"uris":["http://www.mendeley.com/documents/?uuid=ad9b4bc9-9c73-3ad4-95f6-8fd6d1480190"]}],"mendeley":{"formattedCitation":"&lt;sup&gt;67&lt;/sup&gt;","plainTextFormattedCitation":"67","previouslyFormattedCitation":"&lt;sup&gt;67&lt;/sup&gt;"},"properties":{"noteIndex":0},"schema":"https://github.com/citation-style-language/schema/raw/master/csl-citation.json"}</w:instrText>
      </w:r>
      <w:r w:rsidR="002D028B"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67</w:t>
      </w:r>
      <w:r w:rsidR="002D028B" w:rsidRPr="00A71FCF">
        <w:rPr>
          <w:rFonts w:eastAsia="Times New Roman" w:cs="Arial"/>
          <w:color w:val="000000"/>
          <w:szCs w:val="22"/>
        </w:rPr>
        <w:fldChar w:fldCharType="end"/>
      </w:r>
      <w:r w:rsidR="000041C3" w:rsidRPr="00A71FCF">
        <w:rPr>
          <w:rFonts w:eastAsia="Times New Roman" w:cs="Arial"/>
          <w:color w:val="000000"/>
          <w:szCs w:val="22"/>
        </w:rPr>
        <w:t xml:space="preserve">. </w:t>
      </w:r>
      <w:r w:rsidR="003E5B5A" w:rsidRPr="00A71FCF">
        <w:rPr>
          <w:rFonts w:eastAsia="Times New Roman" w:cs="Arial"/>
          <w:color w:val="000000"/>
          <w:szCs w:val="22"/>
        </w:rPr>
        <w:t xml:space="preserve">CFE is being increasingly considered for </w:t>
      </w:r>
      <w:r w:rsidR="003E5B5A" w:rsidRPr="00E43B04">
        <w:rPr>
          <w:rFonts w:eastAsia="Times New Roman" w:cs="Arial"/>
          <w:color w:val="000000"/>
          <w:szCs w:val="22"/>
        </w:rPr>
        <w:t>NRPS</w:t>
      </w:r>
      <w:r w:rsidR="003E5B5A" w:rsidRPr="00A71FCF">
        <w:rPr>
          <w:rFonts w:eastAsia="Times New Roman" w:cs="Arial"/>
          <w:color w:val="000000"/>
          <w:szCs w:val="22"/>
        </w:rPr>
        <w:t xml:space="preserve"> synthesis since their large (&gt; 100 </w:t>
      </w:r>
      <w:proofErr w:type="spellStart"/>
      <w:r w:rsidR="003E5B5A" w:rsidRPr="00A71FCF">
        <w:rPr>
          <w:rFonts w:eastAsia="Times New Roman" w:cs="Arial"/>
          <w:color w:val="000000"/>
          <w:szCs w:val="22"/>
        </w:rPr>
        <w:t>kDa</w:t>
      </w:r>
      <w:proofErr w:type="spellEnd"/>
      <w:r w:rsidR="003E5B5A" w:rsidRPr="00A71FCF">
        <w:rPr>
          <w:rFonts w:eastAsia="Times New Roman" w:cs="Arial"/>
          <w:color w:val="000000"/>
          <w:szCs w:val="22"/>
        </w:rPr>
        <w:t xml:space="preserve">) and complex structures </w:t>
      </w:r>
      <w:r w:rsidR="000041C3" w:rsidRPr="00A71FCF">
        <w:rPr>
          <w:rFonts w:eastAsia="Times New Roman" w:cs="Arial"/>
          <w:color w:val="000000"/>
          <w:szCs w:val="22"/>
        </w:rPr>
        <w:t>make them</w:t>
      </w:r>
      <w:r w:rsidR="003E5B5A" w:rsidRPr="00E43B04">
        <w:rPr>
          <w:rFonts w:eastAsia="Times New Roman" w:cs="Arial"/>
          <w:color w:val="000000"/>
          <w:szCs w:val="22"/>
        </w:rPr>
        <w:t xml:space="preserve"> </w:t>
      </w:r>
      <w:r w:rsidR="003E5B5A" w:rsidRPr="00A71FCF">
        <w:rPr>
          <w:rFonts w:eastAsia="Times New Roman" w:cs="Arial"/>
          <w:color w:val="000000"/>
          <w:szCs w:val="22"/>
        </w:rPr>
        <w:t xml:space="preserve">difficult to express </w:t>
      </w:r>
      <w:r w:rsidR="003E5B5A" w:rsidRPr="00A71FCF">
        <w:rPr>
          <w:rFonts w:eastAsia="Times New Roman" w:cs="Arial"/>
          <w:i/>
          <w:iCs/>
          <w:color w:val="000000"/>
          <w:szCs w:val="22"/>
        </w:rPr>
        <w:t>in vivo</w:t>
      </w:r>
      <w:r w:rsidR="002D028B" w:rsidRPr="00A71FCF">
        <w:rPr>
          <w:rFonts w:eastAsia="Times New Roman" w:cs="Arial"/>
          <w:i/>
          <w:iCs/>
          <w:color w:val="000000"/>
          <w:szCs w:val="22"/>
        </w:rPr>
        <w:fldChar w:fldCharType="begin" w:fldLock="1"/>
      </w:r>
      <w:r w:rsidR="00567FF4">
        <w:rPr>
          <w:rFonts w:eastAsia="Times New Roman" w:cs="Arial"/>
          <w:i/>
          <w:iCs/>
          <w:color w:val="000000"/>
          <w:szCs w:val="22"/>
        </w:rPr>
        <w:instrText>ADDIN CSL_CITATION {"citationItems":[{"id":"ITEM-1","itemData":{"DOI":"10.1002/CBIC.202000452","ISSN":"1439-7633","PMID":"32783358","abstract":"Natural products and secondary metabolites comprise an indispensable resource from living organisms that have transformed areas of medicine, agriculture, and biotechnology. Recent advances in high-throughput DNA sequencing and computational analysis suggest that the vast majority of natural products remain undiscovered. To accelerate the natural product discovery pipeline, cell-free metabolic engineering approaches used to develop robust catalytic networks are being repurposed to access new chemical scaffolds, and new enzymes capable of performing diverse chemistries. Such enzymes could serve as flexible biocatalytic tools to further expand the unique chemical space of natural products and secondary metabolites, and provide a more sustainable route to manufacture these molecules. Herein, we highlight select examples of natural product biosynthesis using cell-free systems and propose how cell-free technologies could facilitate our ability to access and modify these structures to transform synthetic and chemical biology.","author":[{"dropping-particle":"","family":"Bogart","given":"Jonathan W.","non-dropping-particle":"","parse-names":false,"suffix":""},{"dropping-particle":"","family":"Cabezas","given":"Maria D.","non-dropping-particle":"","parse-names":false,"suffix":""},{"dropping-particle":"","family":"Vögeli","given":"Bastian","non-dropping-particle":"","parse-names":false,"suffix":""},{"dropping-particle":"","family":"Wong","given":"Derek A.","non-dropping-particle":"","parse-names":false,"suffix":""},{"dropping-particle":"","family":"Karim","given":"Ashty S.","non-dropping-particle":"","parse-names":false,"suffix":""},{"dropping-particle":"","family":"Jewett","given":"Michael C.","non-dropping-particle":"","parse-names":false,"suffix":""}],"container-title":"ChemBioChem","id":"ITEM-1","issue":"1","issued":{"date-parts":[["2021","1","5"]]},"page":"84-91","publisher":"John Wiley &amp; Sons, Ltd","title":"Cell-Free Exploration of the Natural Product Chemical Space","type":"article-journal","volume":"22"},"uris":["http://www.mendeley.com/documents/?uuid=2c0a0937-7132-37c3-8935-67f1b28b1702"]},{"id":"ITEM-2","itemData":{"DOI":"10.1016/J.MIB.2022.102142","ISSN":"1369-5274","abstract":"Natural products have complex chemical structures and exhibit diverse bioactivities. To harness these high-value natural compounds, robust approaches are required for their rapid and sustainable production. Recently, cell-free systems as one promising solution have been applied to produce natural products by reconstitution of their entire biosynthetic pathways in vitro. Here, we highlight recent advances in cell-free biosynthesis of natural products and discuss future challenges and opportunities. We envision that cell-free technology holds tremendous potential for natural product research such as high-throughput screening of peptide-based natural product analogs/variants, expression of toxic metabolic pathways, characterization of enzyme functions, and activation of silent biosynthetic gene clusters.","author":[{"dropping-particle":"","family":"Ji","given":"Xiangyang","non-dropping-particle":"","parse-names":false,"suffix":""},{"dropping-particle":"","family":"Liu","given":"Wan Qiu","non-dropping-particle":"","parse-names":false,"suffix":""},{"dropping-particle":"","family":"Li","given":"Jian","non-dropping-particle":"","parse-names":false,"suffix":""}],"container-title":"Current Opinion in Microbiology","id":"ITEM-2","issued":{"date-parts":[["2022","6","1"]]},"page":"102142","publisher":"Elsevier Current Trends","title":"Recent advances in applying cell-free systems for high-value and complex natural product biosynthesis","type":"article-journal","volume":"67"},"uris":["http://www.mendeley.com/documents/?uuid=9d50fc49-8d79-3875-b37d-cd4dd69e2101"]}],"mendeley":{"formattedCitation":"&lt;sup&gt;28,68&lt;/sup&gt;","plainTextFormattedCitation":"28,68","previouslyFormattedCitation":"&lt;sup&gt;28,68&lt;/sup&gt;"},"properties":{"noteIndex":0},"schema":"https://github.com/citation-style-language/schema/raw/master/csl-citation.json"}</w:instrText>
      </w:r>
      <w:r w:rsidR="002D028B" w:rsidRPr="00A71FCF">
        <w:rPr>
          <w:rFonts w:eastAsia="Times New Roman" w:cs="Arial"/>
          <w:i/>
          <w:iCs/>
          <w:color w:val="000000"/>
          <w:szCs w:val="22"/>
        </w:rPr>
        <w:fldChar w:fldCharType="separate"/>
      </w:r>
      <w:r w:rsidR="00567FF4" w:rsidRPr="00567FF4">
        <w:rPr>
          <w:rFonts w:eastAsia="Times New Roman" w:cs="Arial"/>
          <w:iCs/>
          <w:noProof/>
          <w:color w:val="000000"/>
          <w:szCs w:val="22"/>
          <w:vertAlign w:val="superscript"/>
        </w:rPr>
        <w:t>28,68</w:t>
      </w:r>
      <w:r w:rsidR="002D028B" w:rsidRPr="00A71FCF">
        <w:rPr>
          <w:rFonts w:eastAsia="Times New Roman" w:cs="Arial"/>
          <w:i/>
          <w:iCs/>
          <w:color w:val="000000"/>
          <w:szCs w:val="22"/>
        </w:rPr>
        <w:fldChar w:fldCharType="end"/>
      </w:r>
      <w:r w:rsidR="003E5B5A" w:rsidRPr="00E43B04">
        <w:rPr>
          <w:rFonts w:eastAsia="Times New Roman" w:cs="Arial"/>
          <w:color w:val="000000"/>
          <w:szCs w:val="22"/>
        </w:rPr>
        <w:t xml:space="preserve">. </w:t>
      </w:r>
      <w:r w:rsidR="00BD13DA">
        <w:rPr>
          <w:rFonts w:eastAsia="Times New Roman" w:cs="Arial"/>
          <w:color w:val="000000"/>
          <w:szCs w:val="22"/>
        </w:rPr>
        <w:t xml:space="preserve">CFE conditions optimized via this technique for </w:t>
      </w:r>
      <w:r w:rsidR="00BD13DA" w:rsidRPr="00A71FCF">
        <w:rPr>
          <w:rFonts w:eastAsia="Times New Roman" w:cs="Arial"/>
          <w:color w:val="000000"/>
          <w:szCs w:val="22"/>
        </w:rPr>
        <w:t>blue pigment synthetase A (</w:t>
      </w:r>
      <w:proofErr w:type="spellStart"/>
      <w:r w:rsidR="00BD13DA" w:rsidRPr="00A71FCF">
        <w:rPr>
          <w:rFonts w:eastAsia="Times New Roman" w:cs="Arial"/>
          <w:color w:val="000000"/>
          <w:szCs w:val="22"/>
        </w:rPr>
        <w:t>BpsA</w:t>
      </w:r>
      <w:proofErr w:type="spellEnd"/>
      <w:r w:rsidR="00BD13DA" w:rsidRPr="00A71FCF">
        <w:rPr>
          <w:rFonts w:eastAsia="Times New Roman" w:cs="Arial"/>
          <w:color w:val="000000"/>
          <w:szCs w:val="22"/>
        </w:rPr>
        <w:t xml:space="preserve">), a model </w:t>
      </w:r>
      <w:proofErr w:type="spellStart"/>
      <w:r w:rsidR="00BD13DA" w:rsidRPr="00A71FCF">
        <w:rPr>
          <w:rFonts w:eastAsia="Times New Roman" w:cs="Arial"/>
          <w:color w:val="000000"/>
          <w:szCs w:val="22"/>
        </w:rPr>
        <w:t>nonribosomal</w:t>
      </w:r>
      <w:proofErr w:type="spellEnd"/>
      <w:r w:rsidR="00BD13DA" w:rsidRPr="00A71FCF">
        <w:rPr>
          <w:rFonts w:eastAsia="Times New Roman" w:cs="Arial"/>
          <w:color w:val="000000"/>
          <w:szCs w:val="22"/>
        </w:rPr>
        <w:t xml:space="preserve"> peptide synthetase (NRPS)</w:t>
      </w:r>
      <w:r w:rsidR="00BD13DA" w:rsidRPr="00A71FCF">
        <w:rPr>
          <w:rFonts w:eastAsia="Times New Roman" w:cs="Arial"/>
          <w:color w:val="000000"/>
          <w:szCs w:val="22"/>
        </w:rPr>
        <w:fldChar w:fldCharType="begin" w:fldLock="1"/>
      </w:r>
      <w:r w:rsidR="00567FF4">
        <w:rPr>
          <w:rFonts w:eastAsia="Times New Roman" w:cs="Arial"/>
          <w:color w:val="000000"/>
          <w:szCs w:val="22"/>
        </w:rPr>
        <w:instrText>ADDIN CSL_CITATION {"citationItems":[{"id":"ITEM-1","itemData":{"DOI":"10.1038/srep41745","ISSN":"20452322","abstract":"The ability to rapidly, economically and accurately measure L-glutamine concentrations in biological samples is important for many areas of research, medicine or industry, however there is room for improvement on existing methods. We describe here how the enzyme BpsA, a single-module non-ribosomal peptide synthetase able to convert L-glutamine into the blue pigment indigoidine, can be used to accurately measure L-glutamine in biological samples. Although indigoidine has low solubility in aqueous solutions, meaning direct measurements of indigoidine synthesis do not reliably yield linear standard curves, we demonstrate that resolubilisation of the reaction end-products in DMSO overcomes this issue and that spontaneous reduction to colourless leuco-indigoidine occurs too slowly to interfere with assay accuracy. Our protocol is amenable to a 96-well microtitre format and can be used to measure L-glutamine in common bacterial and mammalian culture media, urine, and deproteinated plasma. We show that active BpsA can be prepared in high yield by expressing it in the apo-form to avoid the toxicity of indigoidine to Escherichia coli host cells, then activating it to the holo-form in cell lysates prior to purification; and that BpsA has a lengthy shelf-life, retaining &gt;95% activity when stored at either -20 °C or 4 °C for 24 weeks.","author":[{"dropping-particle":"","family":"Brown","given":"Alistair S.","non-dropping-particle":"","parse-names":false,"suffix":""},{"dropping-particle":"","family":"Robins","given":"Katherine J.","non-dropping-particle":"","parse-names":false,"suffix":""},{"dropping-particle":"","family":"Ackerley","given":"David F.","non-dropping-particle":"","parse-names":false,"suffix":""}],"container-title":"Scientific Reports","id":"ITEM-1","issue":"1","issued":{"date-parts":[["2017","1","31"]]},"page":"1-13","publisher":"Nature Publishing Group","title":"A sensitive single-enzyme assay system using the non-ribosomal peptide synthetase BpsA for measurement of L-glutamine in biological samples","type":"article-journal","volume":"7"},"uris":["http://www.mendeley.com/documents/?uuid=dda65998-f29d-3848-91b7-4a30a37396e6"]}],"mendeley":{"formattedCitation":"&lt;sup&gt;69&lt;/sup&gt;","plainTextFormattedCitation":"69","previouslyFormattedCitation":"&lt;sup&gt;69&lt;/sup&gt;"},"properties":{"noteIndex":0},"schema":"https://github.com/citation-style-language/schema/raw/master/csl-citation.json"}</w:instrText>
      </w:r>
      <w:r w:rsidR="00BD13DA" w:rsidRPr="00A71FCF">
        <w:rPr>
          <w:rFonts w:eastAsia="Times New Roman" w:cs="Arial"/>
          <w:color w:val="000000"/>
          <w:szCs w:val="22"/>
        </w:rPr>
        <w:fldChar w:fldCharType="separate"/>
      </w:r>
      <w:r w:rsidR="00567FF4" w:rsidRPr="00567FF4">
        <w:rPr>
          <w:rFonts w:eastAsia="Times New Roman" w:cs="Arial"/>
          <w:noProof/>
          <w:color w:val="000000"/>
          <w:szCs w:val="22"/>
          <w:vertAlign w:val="superscript"/>
        </w:rPr>
        <w:t>69</w:t>
      </w:r>
      <w:r w:rsidR="00BD13DA" w:rsidRPr="00A71FCF">
        <w:rPr>
          <w:rFonts w:eastAsia="Times New Roman" w:cs="Arial"/>
          <w:color w:val="000000"/>
          <w:szCs w:val="22"/>
        </w:rPr>
        <w:fldChar w:fldCharType="end"/>
      </w:r>
      <w:r w:rsidR="00BD13DA">
        <w:rPr>
          <w:rFonts w:eastAsia="Times New Roman" w:cs="Arial"/>
          <w:color w:val="000000"/>
          <w:szCs w:val="22"/>
        </w:rPr>
        <w:t xml:space="preserve">, improve the expression of other NRPSs as well. Further, improving </w:t>
      </w:r>
      <w:proofErr w:type="spellStart"/>
      <w:r w:rsidR="00BD13DA">
        <w:rPr>
          <w:rFonts w:eastAsia="Times New Roman" w:cs="Arial"/>
          <w:color w:val="000000"/>
          <w:szCs w:val="22"/>
        </w:rPr>
        <w:t>BpsA</w:t>
      </w:r>
      <w:proofErr w:type="spellEnd"/>
      <w:r w:rsidR="00BD13DA">
        <w:rPr>
          <w:rFonts w:eastAsia="Times New Roman" w:cs="Arial"/>
          <w:color w:val="000000"/>
          <w:szCs w:val="22"/>
        </w:rPr>
        <w:t xml:space="preserve"> expression in lysates increases the production of its pigment product from glutamine, a central metabolite that can be endogenously made in lysates. </w:t>
      </w:r>
    </w:p>
    <w:p w14:paraId="4C389312" w14:textId="77777777" w:rsidR="00CF73B7" w:rsidRDefault="00CF73B7" w:rsidP="0008141D">
      <w:pPr>
        <w:contextualSpacing/>
        <w:rPr>
          <w:rFonts w:eastAsia="Times New Roman" w:cs="Arial"/>
          <w:szCs w:val="22"/>
        </w:rPr>
      </w:pPr>
    </w:p>
    <w:p w14:paraId="2294133F" w14:textId="00D52D8D" w:rsidR="00304A75" w:rsidRPr="00CF73B7" w:rsidRDefault="00CF73B7" w:rsidP="006C5A5B">
      <w:pPr>
        <w:pStyle w:val="ChapterHeading"/>
      </w:pPr>
      <w:bookmarkStart w:id="7" w:name="_Toc129701001"/>
      <w:r>
        <w:t>1.</w:t>
      </w:r>
      <w:r w:rsidR="006C5A5B">
        <w:t>7</w:t>
      </w:r>
      <w:r w:rsidR="00E033D4">
        <w:t>.</w:t>
      </w:r>
      <w:r>
        <w:t xml:space="preserve"> O</w:t>
      </w:r>
      <w:r w:rsidR="00E43B04" w:rsidRPr="00CF73B7">
        <w:t>rganization of Dissertation</w:t>
      </w:r>
      <w:bookmarkEnd w:id="7"/>
    </w:p>
    <w:p w14:paraId="525367C4" w14:textId="1D8885D6" w:rsidR="003E5AE9" w:rsidRDefault="00E43B04" w:rsidP="002232AF">
      <w:pPr>
        <w:contextualSpacing/>
        <w:rPr>
          <w:rFonts w:eastAsia="Times New Roman" w:cs="Arial"/>
          <w:color w:val="000000"/>
          <w:szCs w:val="22"/>
          <w:shd w:val="clear" w:color="auto" w:fill="FFFFFF"/>
        </w:rPr>
      </w:pPr>
      <w:r w:rsidRPr="00E43B04">
        <w:rPr>
          <w:rFonts w:eastAsia="Times New Roman" w:cs="Arial"/>
          <w:b/>
          <w:bCs/>
          <w:color w:val="000000"/>
          <w:szCs w:val="22"/>
        </w:rPr>
        <w:tab/>
      </w:r>
      <w:r w:rsidRPr="00E43B04">
        <w:rPr>
          <w:rFonts w:eastAsia="Times New Roman" w:cs="Arial"/>
          <w:color w:val="000000"/>
          <w:szCs w:val="22"/>
        </w:rPr>
        <w:t>Part I of this dissertation encompasses Chapters 2-4 which describe the development</w:t>
      </w:r>
      <w:r w:rsidR="002C5C44">
        <w:rPr>
          <w:rFonts w:eastAsia="Times New Roman" w:cs="Arial"/>
          <w:color w:val="000000"/>
          <w:szCs w:val="22"/>
        </w:rPr>
        <w:t xml:space="preserve"> of an effective lysate proteome engineering approach for restructuring endogenous metabolism in </w:t>
      </w:r>
      <w:r w:rsidR="002C5C44">
        <w:rPr>
          <w:rFonts w:eastAsia="Times New Roman" w:cs="Arial"/>
          <w:i/>
          <w:iCs/>
          <w:color w:val="000000"/>
          <w:szCs w:val="22"/>
        </w:rPr>
        <w:t xml:space="preserve">E. coli </w:t>
      </w:r>
      <w:r w:rsidR="002C5C44">
        <w:rPr>
          <w:rFonts w:eastAsia="Times New Roman" w:cs="Arial"/>
          <w:color w:val="000000"/>
          <w:szCs w:val="22"/>
        </w:rPr>
        <w:t>extracts</w:t>
      </w:r>
      <w:r w:rsidR="002232AF">
        <w:rPr>
          <w:rFonts w:eastAsia="Times New Roman" w:cs="Arial"/>
          <w:color w:val="000000"/>
          <w:szCs w:val="22"/>
        </w:rPr>
        <w:t>.</w:t>
      </w:r>
      <w:r w:rsidRPr="00E43B04">
        <w:rPr>
          <w:rFonts w:eastAsia="Times New Roman" w:cs="Arial"/>
          <w:color w:val="000000"/>
          <w:szCs w:val="22"/>
        </w:rPr>
        <w:t xml:space="preserve"> Chapter 2 is adapted from the article “</w:t>
      </w:r>
      <w:r w:rsidRPr="00E43B04">
        <w:rPr>
          <w:rFonts w:eastAsia="Times New Roman" w:cs="Arial"/>
          <w:color w:val="000000"/>
          <w:szCs w:val="22"/>
          <w:shd w:val="clear" w:color="auto" w:fill="FFFFFF"/>
        </w:rPr>
        <w:t xml:space="preserve">Liquid Chromatography Coupled to Refractive Index or Mass Spectrometric Detection for Metabolite Profiling in Lysate-based Cell-free Systems” which was published in the </w:t>
      </w:r>
      <w:r w:rsidRPr="00E43B04">
        <w:rPr>
          <w:rFonts w:eastAsia="Times New Roman" w:cs="Arial"/>
          <w:i/>
          <w:iCs/>
          <w:color w:val="000000"/>
          <w:szCs w:val="22"/>
          <w:shd w:val="clear" w:color="auto" w:fill="FFFFFF"/>
        </w:rPr>
        <w:t xml:space="preserve">Journal of Visualized Experiments </w:t>
      </w:r>
      <w:r w:rsidRPr="00E43B04">
        <w:rPr>
          <w:rFonts w:eastAsia="Times New Roman" w:cs="Arial"/>
          <w:color w:val="000000"/>
          <w:szCs w:val="22"/>
          <w:shd w:val="clear" w:color="auto" w:fill="FFFFFF"/>
        </w:rPr>
        <w:t xml:space="preserve">in 2021. Chapter 3 </w:t>
      </w:r>
      <w:r w:rsidRPr="00E43B04">
        <w:rPr>
          <w:rFonts w:eastAsia="Times New Roman" w:cs="Arial"/>
          <w:color w:val="000000"/>
          <w:szCs w:val="22"/>
          <w:shd w:val="clear" w:color="auto" w:fill="FFFFFF"/>
        </w:rPr>
        <w:lastRenderedPageBreak/>
        <w:t xml:space="preserve">is adapted from the article “A Lysate Proteome Engineering Strategy for Enhancing Cell-Free Metabolite Production” originally published in </w:t>
      </w:r>
      <w:r w:rsidRPr="00E43B04">
        <w:rPr>
          <w:rFonts w:eastAsia="Times New Roman" w:cs="Arial"/>
          <w:i/>
          <w:iCs/>
          <w:color w:val="000000"/>
          <w:szCs w:val="22"/>
          <w:shd w:val="clear" w:color="auto" w:fill="FFFFFF"/>
        </w:rPr>
        <w:t xml:space="preserve">Metabolic Engineering Communications </w:t>
      </w:r>
      <w:r w:rsidRPr="00E43B04">
        <w:rPr>
          <w:rFonts w:eastAsia="Times New Roman" w:cs="Arial"/>
          <w:color w:val="000000"/>
          <w:szCs w:val="22"/>
          <w:shd w:val="clear" w:color="auto" w:fill="FFFFFF"/>
        </w:rPr>
        <w:t xml:space="preserve">in 2021. Chapter 4 is entitled “Rewiring Cell-free Metabolic Flux in </w:t>
      </w:r>
      <w:r w:rsidRPr="00E43B04">
        <w:rPr>
          <w:rFonts w:eastAsia="Times New Roman" w:cs="Arial"/>
          <w:i/>
          <w:iCs/>
          <w:color w:val="000000"/>
          <w:szCs w:val="22"/>
          <w:shd w:val="clear" w:color="auto" w:fill="FFFFFF"/>
        </w:rPr>
        <w:t xml:space="preserve">E. coli </w:t>
      </w:r>
      <w:r w:rsidRPr="00E43B04">
        <w:rPr>
          <w:rFonts w:eastAsia="Times New Roman" w:cs="Arial"/>
          <w:color w:val="000000"/>
          <w:szCs w:val="22"/>
          <w:shd w:val="clear" w:color="auto" w:fill="FFFFFF"/>
        </w:rPr>
        <w:t xml:space="preserve">Lysates using a Block-Push-Pull Approach” and is currently under review for publication as a research article in </w:t>
      </w:r>
      <w:r w:rsidRPr="00E43B04">
        <w:rPr>
          <w:rFonts w:eastAsia="Times New Roman" w:cs="Arial"/>
          <w:i/>
          <w:iCs/>
          <w:color w:val="000000"/>
          <w:szCs w:val="22"/>
          <w:shd w:val="clear" w:color="auto" w:fill="FFFFFF"/>
        </w:rPr>
        <w:t>Synthetic Biology</w:t>
      </w:r>
      <w:r w:rsidRPr="00E43B04">
        <w:rPr>
          <w:rFonts w:eastAsia="Times New Roman" w:cs="Arial"/>
          <w:color w:val="000000"/>
          <w:szCs w:val="22"/>
          <w:shd w:val="clear" w:color="auto" w:fill="FFFFFF"/>
        </w:rPr>
        <w:t>.</w:t>
      </w:r>
      <w:r w:rsidR="002232AF">
        <w:rPr>
          <w:rFonts w:eastAsia="Times New Roman" w:cs="Arial"/>
          <w:color w:val="000000"/>
          <w:szCs w:val="22"/>
          <w:shd w:val="clear" w:color="auto" w:fill="FFFFFF"/>
        </w:rPr>
        <w:t xml:space="preserve"> </w:t>
      </w:r>
      <w:r w:rsidRPr="00E43B04">
        <w:rPr>
          <w:rFonts w:eastAsia="Times New Roman" w:cs="Arial"/>
          <w:color w:val="000000"/>
          <w:szCs w:val="22"/>
          <w:shd w:val="clear" w:color="auto" w:fill="FFFFFF"/>
        </w:rPr>
        <w:t xml:space="preserve">Part II of this manuscript consists of Chapter 5 </w:t>
      </w:r>
      <w:r w:rsidR="002C5C44">
        <w:rPr>
          <w:rFonts w:eastAsia="Times New Roman" w:cs="Arial"/>
          <w:color w:val="000000"/>
          <w:szCs w:val="22"/>
          <w:shd w:val="clear" w:color="auto" w:fill="FFFFFF"/>
        </w:rPr>
        <w:t xml:space="preserve">and </w:t>
      </w:r>
      <w:r w:rsidR="002C5C44" w:rsidRPr="00E43B04">
        <w:rPr>
          <w:rFonts w:eastAsia="Times New Roman" w:cs="Arial"/>
          <w:color w:val="000000"/>
          <w:szCs w:val="22"/>
          <w:shd w:val="clear" w:color="auto" w:fill="FFFFFF"/>
        </w:rPr>
        <w:t>de</w:t>
      </w:r>
      <w:r w:rsidR="002C5C44">
        <w:rPr>
          <w:rFonts w:eastAsia="Times New Roman" w:cs="Arial"/>
          <w:color w:val="000000"/>
          <w:szCs w:val="22"/>
          <w:shd w:val="clear" w:color="auto" w:fill="FFFFFF"/>
        </w:rPr>
        <w:t xml:space="preserve">tails the optimization of a reporter-based tool that </w:t>
      </w:r>
      <w:r w:rsidR="002232AF">
        <w:rPr>
          <w:rFonts w:eastAsia="Times New Roman" w:cs="Arial"/>
          <w:color w:val="000000"/>
          <w:szCs w:val="22"/>
          <w:shd w:val="clear" w:color="auto" w:fill="FFFFFF"/>
        </w:rPr>
        <w:t>enables</w:t>
      </w:r>
      <w:r w:rsidR="002C5C44">
        <w:rPr>
          <w:rFonts w:eastAsia="Times New Roman" w:cs="Arial"/>
          <w:color w:val="000000"/>
          <w:szCs w:val="22"/>
          <w:shd w:val="clear" w:color="auto" w:fill="FFFFFF"/>
        </w:rPr>
        <w:t xml:space="preserve"> higher </w:t>
      </w:r>
      <w:r w:rsidR="002C5C44" w:rsidRPr="00E43B04">
        <w:rPr>
          <w:rFonts w:eastAsia="Times New Roman" w:cs="Arial"/>
          <w:color w:val="000000"/>
          <w:szCs w:val="22"/>
          <w:shd w:val="clear" w:color="auto" w:fill="FFFFFF"/>
        </w:rPr>
        <w:t xml:space="preserve">heterologous </w:t>
      </w:r>
      <w:r w:rsidR="002C5C44">
        <w:rPr>
          <w:rFonts w:eastAsia="Times New Roman" w:cs="Arial"/>
          <w:color w:val="000000"/>
          <w:szCs w:val="22"/>
          <w:shd w:val="clear" w:color="auto" w:fill="FFFFFF"/>
        </w:rPr>
        <w:t>expression</w:t>
      </w:r>
      <w:r w:rsidR="002232AF">
        <w:rPr>
          <w:rFonts w:eastAsia="Times New Roman" w:cs="Arial"/>
          <w:color w:val="000000"/>
          <w:szCs w:val="22"/>
          <w:shd w:val="clear" w:color="auto" w:fill="FFFFFF"/>
        </w:rPr>
        <w:t xml:space="preserve"> of functional biosynthetic enzymes</w:t>
      </w:r>
      <w:r w:rsidR="002C5C44" w:rsidRPr="00E43B04">
        <w:rPr>
          <w:rFonts w:eastAsia="Times New Roman" w:cs="Arial"/>
          <w:color w:val="000000"/>
          <w:szCs w:val="22"/>
          <w:shd w:val="clear" w:color="auto" w:fill="FFFFFF"/>
        </w:rPr>
        <w:t>.</w:t>
      </w:r>
      <w:r w:rsidR="002232AF">
        <w:rPr>
          <w:rFonts w:eastAsia="Times New Roman" w:cs="Arial"/>
          <w:color w:val="000000"/>
          <w:szCs w:val="22"/>
          <w:shd w:val="clear" w:color="auto" w:fill="FFFFFF"/>
        </w:rPr>
        <w:t xml:space="preserve"> It</w:t>
      </w:r>
      <w:r w:rsidRPr="00E43B04">
        <w:rPr>
          <w:rFonts w:eastAsia="Times New Roman" w:cs="Arial"/>
          <w:color w:val="000000"/>
          <w:szCs w:val="22"/>
          <w:shd w:val="clear" w:color="auto" w:fill="FFFFFF"/>
        </w:rPr>
        <w:t xml:space="preserve"> is adapted from the article “Applying Reporters to Investigate and Optimize Lysate-Based Cell-Free Expression for </w:t>
      </w:r>
      <w:proofErr w:type="spellStart"/>
      <w:r w:rsidRPr="00E43B04">
        <w:rPr>
          <w:rFonts w:eastAsia="Times New Roman" w:cs="Arial"/>
          <w:color w:val="000000"/>
          <w:szCs w:val="22"/>
          <w:shd w:val="clear" w:color="auto" w:fill="FFFFFF"/>
        </w:rPr>
        <w:t>Nonribosomal</w:t>
      </w:r>
      <w:proofErr w:type="spellEnd"/>
      <w:r w:rsidRPr="00E43B04">
        <w:rPr>
          <w:rFonts w:eastAsia="Times New Roman" w:cs="Arial"/>
          <w:color w:val="000000"/>
          <w:szCs w:val="22"/>
          <w:shd w:val="clear" w:color="auto" w:fill="FFFFFF"/>
        </w:rPr>
        <w:t xml:space="preserve"> Peptide Production” which is currently under review for publication as a research article in </w:t>
      </w:r>
      <w:r w:rsidRPr="00E43B04">
        <w:rPr>
          <w:rFonts w:eastAsia="Times New Roman" w:cs="Arial"/>
          <w:i/>
          <w:iCs/>
          <w:color w:val="000000"/>
          <w:szCs w:val="22"/>
          <w:shd w:val="clear" w:color="auto" w:fill="FFFFFF"/>
        </w:rPr>
        <w:t>ACS Synthetic Biology</w:t>
      </w:r>
      <w:r w:rsidRPr="00E43B04">
        <w:rPr>
          <w:rFonts w:eastAsia="Times New Roman" w:cs="Arial"/>
          <w:color w:val="000000"/>
          <w:szCs w:val="22"/>
          <w:shd w:val="clear" w:color="auto" w:fill="FFFFFF"/>
        </w:rPr>
        <w:t xml:space="preserve">. The Appendix section at the end of each chapter includes the Supplementary Information associated with each article. The References of each chapter are collated at the end of this dissertation. </w:t>
      </w:r>
    </w:p>
    <w:p w14:paraId="65A8B70B" w14:textId="77777777" w:rsidR="003E5AE9" w:rsidRDefault="003E5AE9" w:rsidP="0008141D">
      <w:pPr>
        <w:contextualSpacing/>
        <w:rPr>
          <w:rFonts w:eastAsia="Times New Roman" w:cs="Arial"/>
          <w:color w:val="000000"/>
          <w:szCs w:val="22"/>
          <w:shd w:val="clear" w:color="auto" w:fill="FFFFFF"/>
        </w:rPr>
      </w:pPr>
      <w:r>
        <w:rPr>
          <w:rFonts w:eastAsia="Times New Roman" w:cs="Arial"/>
          <w:color w:val="000000"/>
          <w:szCs w:val="22"/>
          <w:shd w:val="clear" w:color="auto" w:fill="FFFFFF"/>
        </w:rPr>
        <w:br w:type="page"/>
      </w:r>
    </w:p>
    <w:p w14:paraId="36E2B06E" w14:textId="292C0F08" w:rsidR="0038757A" w:rsidRPr="009A0B4C" w:rsidRDefault="0038757A" w:rsidP="009A0B4C">
      <w:pPr>
        <w:jc w:val="center"/>
        <w:rPr>
          <w:rFonts w:cs="Arial"/>
          <w:b/>
          <w:bCs/>
          <w:sz w:val="32"/>
          <w:szCs w:val="32"/>
        </w:rPr>
      </w:pPr>
      <w:r w:rsidRPr="008E1BDB">
        <w:rPr>
          <w:rFonts w:cs="Arial"/>
          <w:b/>
          <w:bCs/>
          <w:sz w:val="32"/>
          <w:szCs w:val="32"/>
        </w:rPr>
        <w:lastRenderedPageBreak/>
        <w:t xml:space="preserve">CHAPTER </w:t>
      </w:r>
      <w:r w:rsidR="001C508F" w:rsidRPr="008E1BDB">
        <w:rPr>
          <w:rFonts w:cs="Arial"/>
          <w:b/>
          <w:bCs/>
          <w:sz w:val="32"/>
          <w:szCs w:val="32"/>
        </w:rPr>
        <w:t>2</w:t>
      </w:r>
    </w:p>
    <w:p w14:paraId="5266D108" w14:textId="03217DC5" w:rsidR="0008141D" w:rsidRPr="008E1BDB" w:rsidRDefault="0008141D" w:rsidP="008E1BDB">
      <w:pPr>
        <w:pStyle w:val="ChapterTitle"/>
      </w:pPr>
      <w:bookmarkStart w:id="8" w:name="_Toc129701002"/>
      <w:r w:rsidRPr="008E1BDB">
        <w:t>LIQUID CHROMATOGRAPHY COUPLED TO REFRACTIVE INDEX OR MASS SPECTROMETRIC DETECTION FOR METABOLITE PROFILING IN LYSATE-BASED CELL-FREE SYSTEMS</w:t>
      </w:r>
      <w:bookmarkEnd w:id="8"/>
    </w:p>
    <w:p w14:paraId="3EFC4C99" w14:textId="70135854" w:rsidR="003E5AE9" w:rsidRDefault="003E5AE9" w:rsidP="0008141D">
      <w:pPr>
        <w:contextualSpacing/>
        <w:rPr>
          <w:rFonts w:eastAsia="Times New Roman" w:cs="Arial"/>
          <w:color w:val="000000"/>
          <w:szCs w:val="22"/>
          <w:shd w:val="clear" w:color="auto" w:fill="FFFFFF"/>
        </w:rPr>
      </w:pPr>
    </w:p>
    <w:p w14:paraId="31308B0C" w14:textId="77777777" w:rsidR="003E5AE9" w:rsidRPr="00A71FCF" w:rsidRDefault="003E5AE9" w:rsidP="0008141D">
      <w:pPr>
        <w:contextualSpacing/>
        <w:rPr>
          <w:rFonts w:eastAsia="Times New Roman" w:cs="Arial"/>
          <w:color w:val="000000"/>
          <w:szCs w:val="22"/>
          <w:shd w:val="clear" w:color="auto" w:fill="FFFFFF"/>
        </w:rPr>
      </w:pPr>
    </w:p>
    <w:p w14:paraId="58AF1F1C" w14:textId="77777777" w:rsidR="00F2412B" w:rsidRPr="00A71FCF" w:rsidRDefault="00F2412B" w:rsidP="0008141D">
      <w:pPr>
        <w:contextualSpacing/>
        <w:rPr>
          <w:rFonts w:eastAsia="Times New Roman" w:cs="Arial"/>
          <w:color w:val="000000"/>
          <w:szCs w:val="22"/>
          <w:shd w:val="clear" w:color="auto" w:fill="FFFFFF"/>
        </w:rPr>
      </w:pPr>
      <w:r w:rsidRPr="00A71FCF">
        <w:rPr>
          <w:rFonts w:eastAsia="Times New Roman" w:cs="Arial"/>
          <w:color w:val="000000"/>
          <w:szCs w:val="22"/>
          <w:shd w:val="clear" w:color="auto" w:fill="FFFFFF"/>
        </w:rPr>
        <w:br w:type="page"/>
      </w:r>
    </w:p>
    <w:p w14:paraId="2C918637" w14:textId="36F8C2F4" w:rsidR="00F97102" w:rsidRDefault="00FB0690" w:rsidP="004E2DE7">
      <w:pPr>
        <w:ind w:firstLine="720"/>
        <w:contextualSpacing/>
        <w:rPr>
          <w:rFonts w:cs="Arial"/>
          <w:szCs w:val="22"/>
        </w:rPr>
      </w:pPr>
      <w:r w:rsidRPr="00F97102">
        <w:rPr>
          <w:rFonts w:eastAsia="Times New Roman" w:cs="Arial"/>
          <w:szCs w:val="22"/>
        </w:rPr>
        <w:lastRenderedPageBreak/>
        <w:t xml:space="preserve">A version of this chapter was originally published by </w:t>
      </w:r>
      <w:r w:rsidRPr="00F97102">
        <w:rPr>
          <w:rFonts w:cs="Arial"/>
          <w:szCs w:val="22"/>
        </w:rPr>
        <w:t xml:space="preserve">Jaime Lorenzo N. Dinglasan, David T. Reeves, Robert L. Hettich, and Mitchel J. </w:t>
      </w:r>
      <w:proofErr w:type="spellStart"/>
      <w:r w:rsidRPr="00F97102">
        <w:rPr>
          <w:rFonts w:cs="Arial"/>
          <w:szCs w:val="22"/>
        </w:rPr>
        <w:t>Doktycz</w:t>
      </w:r>
      <w:proofErr w:type="spellEnd"/>
      <w:r w:rsidRPr="00F97102">
        <w:rPr>
          <w:rFonts w:cs="Arial"/>
          <w:szCs w:val="22"/>
        </w:rPr>
        <w:t xml:space="preserve">: </w:t>
      </w:r>
    </w:p>
    <w:p w14:paraId="005BD619" w14:textId="77777777" w:rsidR="009C3EF9" w:rsidRPr="004E2DE7" w:rsidRDefault="009C3EF9" w:rsidP="004E2DE7">
      <w:pPr>
        <w:ind w:firstLine="720"/>
        <w:contextualSpacing/>
        <w:rPr>
          <w:rFonts w:cs="Arial"/>
          <w:szCs w:val="22"/>
        </w:rPr>
      </w:pPr>
    </w:p>
    <w:p w14:paraId="1D029ACE" w14:textId="5F7AF055" w:rsidR="00F97102" w:rsidRDefault="00FB0690" w:rsidP="004E2DE7">
      <w:pPr>
        <w:ind w:left="720"/>
        <w:rPr>
          <w:rFonts w:cs="Arial"/>
          <w:bCs/>
          <w:szCs w:val="22"/>
        </w:rPr>
      </w:pPr>
      <w:r w:rsidRPr="00F97102">
        <w:rPr>
          <w:rFonts w:cs="Arial"/>
          <w:b/>
          <w:szCs w:val="22"/>
        </w:rPr>
        <w:t>Dinglasan, J. L. N.,</w:t>
      </w:r>
      <w:r w:rsidRPr="00F97102">
        <w:rPr>
          <w:rFonts w:cs="Arial"/>
          <w:bCs/>
          <w:szCs w:val="22"/>
        </w:rPr>
        <w:t xml:space="preserve"> Reeves, D. T., Hettich, R. L., </w:t>
      </w:r>
      <w:proofErr w:type="spellStart"/>
      <w:r w:rsidRPr="00F97102">
        <w:rPr>
          <w:rFonts w:cs="Arial"/>
          <w:bCs/>
          <w:szCs w:val="22"/>
        </w:rPr>
        <w:t>Doktycz</w:t>
      </w:r>
      <w:proofErr w:type="spellEnd"/>
      <w:r w:rsidRPr="00F97102">
        <w:rPr>
          <w:rFonts w:cs="Arial"/>
          <w:bCs/>
          <w:szCs w:val="22"/>
        </w:rPr>
        <w:t xml:space="preserve">, M. J. (2021) Liquid Chromatography Coupled to Refractive Index or Mass Spectrometric Detection for Metabolite Profiling in Lysate-based Cell-free Systems.  </w:t>
      </w:r>
      <w:r w:rsidRPr="00F97102">
        <w:rPr>
          <w:rFonts w:cs="Arial"/>
          <w:bCs/>
          <w:i/>
          <w:iCs/>
          <w:szCs w:val="22"/>
        </w:rPr>
        <w:t>Journal of Visualized Experiments</w:t>
      </w:r>
      <w:r w:rsidRPr="00F97102">
        <w:rPr>
          <w:rFonts w:cs="Arial"/>
          <w:bCs/>
          <w:szCs w:val="22"/>
        </w:rPr>
        <w:t xml:space="preserve"> (175), e62852, doi:10.3791/62852</w:t>
      </w:r>
    </w:p>
    <w:p w14:paraId="45606B58" w14:textId="77777777" w:rsidR="004E2DE7" w:rsidRPr="00F97102" w:rsidRDefault="004E2DE7" w:rsidP="004E2DE7">
      <w:pPr>
        <w:rPr>
          <w:rFonts w:cs="Arial"/>
          <w:bCs/>
          <w:szCs w:val="22"/>
        </w:rPr>
      </w:pPr>
    </w:p>
    <w:p w14:paraId="20F08D98" w14:textId="37C676D6" w:rsidR="00AB1BFA" w:rsidRPr="00F97102" w:rsidRDefault="00AB1BFA" w:rsidP="00F97102">
      <w:pPr>
        <w:ind w:firstLine="720"/>
        <w:rPr>
          <w:rFonts w:eastAsia="Times New Roman" w:cs="Arial"/>
          <w:szCs w:val="22"/>
        </w:rPr>
      </w:pPr>
      <w:r w:rsidRPr="00AB1BFA">
        <w:rPr>
          <w:rFonts w:eastAsia="Times New Roman" w:cs="Arial"/>
          <w:szCs w:val="22"/>
        </w:rPr>
        <w:t>This chapter has been adapted from its published format to accommodate new Figure, Table, and Equation enumeration. The Supplementary Information associated with this work may be found in the Appendix</w:t>
      </w:r>
      <w:r w:rsidR="00FB0690" w:rsidRPr="00F97102">
        <w:rPr>
          <w:rFonts w:eastAsia="Times New Roman" w:cs="Arial"/>
          <w:szCs w:val="22"/>
        </w:rPr>
        <w:t xml:space="preserve"> section of this chapter. All</w:t>
      </w:r>
      <w:r w:rsidRPr="00AB1BFA">
        <w:rPr>
          <w:rFonts w:eastAsia="Times New Roman" w:cs="Arial"/>
          <w:szCs w:val="22"/>
        </w:rPr>
        <w:t xml:space="preserve"> references are located at the end of the document. </w:t>
      </w:r>
    </w:p>
    <w:p w14:paraId="658E4945" w14:textId="77777777" w:rsidR="00AB1BFA" w:rsidRDefault="00AB1BFA" w:rsidP="00F97102">
      <w:pPr>
        <w:contextualSpacing/>
        <w:rPr>
          <w:rFonts w:cs="Arial"/>
          <w:b/>
          <w:sz w:val="28"/>
          <w:szCs w:val="28"/>
        </w:rPr>
      </w:pPr>
    </w:p>
    <w:p w14:paraId="07A3E89E" w14:textId="4774C3F4" w:rsidR="00F2412B" w:rsidRPr="003E5AE9" w:rsidRDefault="003E5AE9" w:rsidP="006C5A5B">
      <w:pPr>
        <w:pStyle w:val="ChapterHeading"/>
      </w:pPr>
      <w:bookmarkStart w:id="9" w:name="_Toc129701003"/>
      <w:r w:rsidRPr="003E5AE9">
        <w:t>2.1</w:t>
      </w:r>
      <w:r w:rsidR="008E289D">
        <w:t>.</w:t>
      </w:r>
      <w:r w:rsidRPr="003E5AE9">
        <w:t xml:space="preserve"> Abstract</w:t>
      </w:r>
      <w:bookmarkEnd w:id="9"/>
    </w:p>
    <w:p w14:paraId="361F9E89" w14:textId="77777777" w:rsidR="00F2412B" w:rsidRPr="00A71FCF" w:rsidRDefault="00F2412B" w:rsidP="0008141D">
      <w:pPr>
        <w:ind w:firstLine="720"/>
        <w:contextualSpacing/>
        <w:rPr>
          <w:rFonts w:cs="Arial"/>
          <w:szCs w:val="22"/>
        </w:rPr>
      </w:pPr>
      <w:r w:rsidRPr="00A71FCF">
        <w:rPr>
          <w:rFonts w:cs="Arial"/>
          <w:szCs w:val="22"/>
        </w:rPr>
        <w:t xml:space="preserve">Engineering cellular metabolism for targeted biosynthesis can require extensive design-build-test-learn (DBTL) cycles as the engineer works around the cell’s survival requirements. Alternatively, carrying out DBTL cycles in cell-free environments can accelerate this process and alleviate concerns with host compatibility. A promising approach to cell-free metabolic engineering (CFME) leverages metabolically active crude cell extracts as platforms for biomanufacturing and for rapidly discovering and prototyping modified proteins and pathways. Realizing these capabilities and optimizing CFME performance requires methods to characterize the metabolome of lysate-based cell-free platforms. That is, analytical tools are necessary for monitoring improvements in targeted metabolite conversions and in elucidating alterations to metabolite flux when manipulating lysate metabolism. Here, metabolite analyses using high-performance liquid chromatography (HPLC) coupled to either optical or mass spectrometric detection were applied </w:t>
      </w:r>
      <w:r w:rsidRPr="00A71FCF">
        <w:rPr>
          <w:rFonts w:cs="Arial"/>
          <w:szCs w:val="22"/>
        </w:rPr>
        <w:lastRenderedPageBreak/>
        <w:t xml:space="preserve">for characterizing metabolite production and flux in </w:t>
      </w:r>
      <w:r w:rsidRPr="00A71FCF">
        <w:rPr>
          <w:rFonts w:cs="Arial"/>
          <w:i/>
          <w:iCs/>
          <w:szCs w:val="22"/>
        </w:rPr>
        <w:t xml:space="preserve">E. coli </w:t>
      </w:r>
      <w:r w:rsidRPr="00A71FCF">
        <w:rPr>
          <w:rFonts w:cs="Arial"/>
          <w:szCs w:val="22"/>
        </w:rPr>
        <w:t xml:space="preserve">S30 lysates. Specifically, this report describes the preparation of samples from CFME lysates for HPLC analyses using refractive index detection (RID) to quantify the generation of central metabolic intermediates and by-products in the conversion of low-cost substrates (i.e., glucose) to various high-value products. The analysis of metabolite conversion in CFME reactions fed with </w:t>
      </w:r>
      <w:r w:rsidRPr="00A71FCF">
        <w:rPr>
          <w:rFonts w:cs="Arial"/>
          <w:szCs w:val="22"/>
          <w:vertAlign w:val="superscript"/>
        </w:rPr>
        <w:t>13</w:t>
      </w:r>
      <w:r w:rsidRPr="00A71FCF">
        <w:rPr>
          <w:rFonts w:cs="Arial"/>
          <w:szCs w:val="22"/>
        </w:rPr>
        <w:t xml:space="preserve">C-labeled glucose through reversed-phase liquid chromatography coupled to tandem mass spectrometry (MS/MS), a powerful tool for characterizing specific metabolite yields and lysate metabolic flux from starting materials, is also presented. Altogether, applying these analytical methods to CFME lysate metabolism enables the advancement of these systems as alternative platforms for executing faster or novel metabolic engineering tasks. </w:t>
      </w:r>
    </w:p>
    <w:p w14:paraId="3B4334B4" w14:textId="1C49A21B" w:rsidR="003E5AE9" w:rsidRDefault="003E5AE9" w:rsidP="0008141D">
      <w:pPr>
        <w:contextualSpacing/>
        <w:rPr>
          <w:rFonts w:cs="Arial"/>
          <w:b/>
          <w:szCs w:val="22"/>
        </w:rPr>
      </w:pPr>
    </w:p>
    <w:p w14:paraId="4FDC96F6" w14:textId="423741F4" w:rsidR="003E5AE9" w:rsidRPr="00E337ED" w:rsidRDefault="003E5AE9" w:rsidP="00E337ED">
      <w:pPr>
        <w:pStyle w:val="ChapterHeading"/>
      </w:pPr>
      <w:bookmarkStart w:id="10" w:name="_Toc129701004"/>
      <w:r w:rsidRPr="00E337ED">
        <w:t>2.2</w:t>
      </w:r>
      <w:r w:rsidR="008E289D" w:rsidRPr="00E337ED">
        <w:t>.</w:t>
      </w:r>
      <w:r w:rsidRPr="00E337ED">
        <w:t xml:space="preserve"> Introduction</w:t>
      </w:r>
      <w:bookmarkEnd w:id="10"/>
    </w:p>
    <w:p w14:paraId="3CF67533" w14:textId="25968D5C" w:rsidR="001F1281" w:rsidRPr="00A71FCF" w:rsidRDefault="00F2412B" w:rsidP="0008141D">
      <w:pPr>
        <w:ind w:firstLine="720"/>
        <w:contextualSpacing/>
        <w:rPr>
          <w:rFonts w:cs="Arial"/>
          <w:color w:val="000000" w:themeColor="text1"/>
          <w:szCs w:val="22"/>
        </w:rPr>
      </w:pPr>
      <w:r w:rsidRPr="00A71FCF">
        <w:rPr>
          <w:rFonts w:cs="Arial"/>
          <w:color w:val="000000" w:themeColor="text1"/>
          <w:szCs w:val="22"/>
        </w:rPr>
        <w:t xml:space="preserve">Limitations in engineering microbes for chemical production can be addressed by recapitulating biochemical reactions </w:t>
      </w:r>
      <w:r w:rsidRPr="00A71FCF">
        <w:rPr>
          <w:rFonts w:cs="Arial"/>
          <w:i/>
          <w:iCs/>
          <w:color w:val="000000" w:themeColor="text1"/>
          <w:szCs w:val="22"/>
        </w:rPr>
        <w:t>in vitro</w:t>
      </w:r>
      <w:r w:rsidRPr="00A71FCF">
        <w:rPr>
          <w:rFonts w:cs="Arial"/>
          <w:color w:val="000000" w:themeColor="text1"/>
          <w:szCs w:val="22"/>
        </w:rPr>
        <w:t xml:space="preserve"> where competing cellular survival functions are absent</w:t>
      </w:r>
      <w:r w:rsidRPr="00A71FCF">
        <w:rPr>
          <w:rFonts w:cs="Arial"/>
          <w:color w:val="000000" w:themeColor="text1"/>
          <w:szCs w:val="22"/>
        </w:rPr>
        <w:fldChar w:fldCharType="begin" w:fldLock="1"/>
      </w:r>
      <w:r w:rsidRPr="00A71FCF">
        <w:rPr>
          <w:rFonts w:cs="Arial"/>
          <w:color w:val="000000" w:themeColor="text1"/>
          <w:szCs w:val="22"/>
        </w:rPr>
        <w:instrText>ADDIN CSL_CITATION {"citationItems":[{"id":"ITEM-1","itemData":{"DOI":"10.1016/j.tibtech.2019.12.024","ISSN":"18793096","abstract":"Metabolic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Biotechnology","id":"ITEM-1","issued":{"date-parts":[["2020","1","23"]]},"publisher":"Elsevier Ltd","title":"Synthetic Biochemistry: The Bio-inspired Cell-Free Approach to Commodity Chemical Production","type":"article"},"uris":["http://www.mendeley.com/documents/?uuid=2e6836a8-603b-33f3-ac63-5bc4a65d2485"]}],"mendeley":{"formattedCitation":"&lt;sup&gt;20&lt;/sup&gt;","plainTextFormattedCitation":"20","previouslyFormattedCitation":"&lt;sup&gt;20&lt;/sup&gt;"},"properties":{"noteIndex":0},"schema":"https://github.com/citation-style-language/schema/raw/master/csl-citation.json"}</w:instrText>
      </w:r>
      <w:r w:rsidRPr="00A71FCF">
        <w:rPr>
          <w:rFonts w:cs="Arial"/>
          <w:color w:val="000000" w:themeColor="text1"/>
          <w:szCs w:val="22"/>
        </w:rPr>
        <w:fldChar w:fldCharType="separate"/>
      </w:r>
      <w:r w:rsidRPr="00A71FCF">
        <w:rPr>
          <w:rFonts w:cs="Arial"/>
          <w:noProof/>
          <w:color w:val="000000" w:themeColor="text1"/>
          <w:szCs w:val="22"/>
          <w:vertAlign w:val="superscript"/>
        </w:rPr>
        <w:t>20</w:t>
      </w:r>
      <w:r w:rsidRPr="00A71FCF">
        <w:rPr>
          <w:rFonts w:cs="Arial"/>
          <w:color w:val="000000" w:themeColor="text1"/>
          <w:szCs w:val="22"/>
        </w:rPr>
        <w:fldChar w:fldCharType="end"/>
      </w:r>
      <w:r w:rsidRPr="00A71FCF">
        <w:rPr>
          <w:rFonts w:cs="Arial"/>
          <w:color w:val="000000" w:themeColor="text1"/>
          <w:szCs w:val="22"/>
        </w:rPr>
        <w:t>. Moreover, the open reaction environment (i.e., absence of a cell membrane) is more amenable to manipulation and is easier to monitor compared to live cells. This foundational concept of cell-free metabolic engineering (CFME) has been elegantly demonstrated by the reconstitution of metabolic pathways to synthesize valuable chemicals like hydrogen and monoterpenes with production metrics that are orders of magnitude higher than presented in microbial cell factories thus far</w:t>
      </w:r>
      <w:r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{"citationItems":[{"id":"ITEM-1","itemData":{"DOI":"10.1073/pnas.1417719112","ISSN":"10916490","PMID":"25848015","abstract":"The use of hydrogen (H&lt;inf&gt;2&lt;/inf&gt;) as a fuel offers enhanced energy conversion efficiency and tremendous potential to decrease greenhouse gas emissions, but producing it in a distributed, carbon-neutral, low-cost manner requires new technologies. Herein we demonstrate the complete conversion of glucose and xylose from plant biomass to H&lt;inf&gt;2&lt;/inf&gt; and CO&lt;inf&gt;2&lt;/inf&gt; based on an in vitro synthetic enzymatic pathway. Glucose and xylose were simultaneously converted to H&lt;inf&gt;2&lt;/inf&gt; with a yield of two H&lt;inf&gt;2&lt;/inf&gt; per carbon, the maximum possible yield. Parameters of a nonlinear kinetic model were fitted with experimental data using a genetic algorithm, and a global sensitivity analysis was used to identify the enzymes that have the greatest impact on reaction rate and yield. After optimizing enzyme loadings using this model, volumetric H&lt;inf&gt;2&lt;/inf&gt; productivity was increased 3-fold to 32 mmol H&lt;inf&gt;2&lt;/inf&gt;·L&lt;sup&gt;-1&lt;/sup&gt;·h&lt;sup&gt;-1&lt;/sup&gt;. The productivity was further enhanced to 54 mmol H&lt;inf&gt;2&lt;/inf&gt;·L&lt;sup&gt;-1&lt;/sup&gt;·h&lt;sup&gt;-1&lt;/sup&gt; by increasing reaction temperature, substrate, and enzyme concentrations - an increase of 67-fold compared with the initial studies using this method. The production of hydrogen from locally produced biomass is a promising means to achieve global green energy production.","author":[{"dropping-particle":"","family":"Rollin","given":"Joseph A.","non-dropping-particle":"","parse-names":false,"suffix":""},{"dropping-particle":"","family":"Campo","given":"Julia Martin","non-dropping-particle":"Del","parse-names":false,"suffix":""},{"dropping-particle":"","family":"Myung","given":"Suwan","non-dropping-particle":"","parse-names":false,"suffix":""},{"dropping-particle":"","family":"Sun","given":"Fangfang","non-dropping-particle":"","parse-names":false,"suffix":""},{"dropping-particle":"","family":"You","given":"Chun","non-dropping-particle":"","parse-names":false,"suffix":""},{"dropping-particle":"","family":"Bakovic","given":"Allison","non-dropping-particle":"","parse-names":false,"suffix":""},{"dropping-particle":"","family":"Castro","given":"Roberto","non-dropping-particle":"","parse-names":false,"suffix":""},{"dropping-particle":"","family":"Chandrayan","given":"Sanjeev K.","non-dropping-particle":"","parse-names":false,"suffix":""},{"dropping-particle":"","family":"Wu","given":"Chang Hao","non-dropping-particle":"","parse-names":false,"suffix":""},{"dropping-particle":"","family":"Adams","given":"Michael W.W.","non-dropping-particle":"","parse-names":false,"suffix":""},{"dropping-particle":"","family":"Senger","given":"Ryan S.","non-dropping-particle":"","parse-names":false,"suffix":""},{"dropping-particle":"","family":"Zhang","given":"Y. H.Percival","non-dropping-particle":"","parse-names":false,"suffix":""}],"container-title":"Proceedings of the National Academy of Sciences of the United States of America","id":"ITEM-1","issue":"16","issued":{"date-parts":[["2015","4","21"]]},"page":"4964-4969","publisher":"National Academy of Sciences","title":"High-yield hydrogen production from biomass by in vitro metabolic engineering: Mixed sugars coutilization and kinetic modeling","type":"article-journal","volume":"112"},"uris":["http://www.mendeley.com/documents/?uuid=076ee310-9af2-31da-b847-b10c3a81f3cb"]},{"id":"ITEM-2","itemData":{"DOI":"10.1016/j.tibtech.2019.12.024","ISSN":"18793096","abstract":"Metabolic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Biotechnology","id":"ITEM-2","issued":{"date-parts":[["2020","1","23"]]},"publisher":"Elsevier Ltd","title":"Synthetic Biochemistry: The Bio-inspired Cell-Free Approach to Commodity Chemical Production","type":"article"},"uris":["http://www.mendeley.com/documents/?uuid=2e6836a8-603b-33f3-ac63-5bc4a65d2485"]},{"id":"ITEM-3","itemData":{"DOI":"10.1038/ncomms15526","ISSN":"20411723","abstract":"Cell-free systems designed to perform complex chemical conversions of biomass to biofuels or commodity chemicals are emerging as promising alternatives to the metabolic engineering of living cells. Here we design a system comprises 27 enzymes for the conversion of glucose into monoterpenes that generates both NAD(P)H and ATP in a modified glucose breakdown module and utilizes both cofactors for building terpenes. Different monoterpenes are produced in our system by changing the terpene synthase enzyme. The system is stable for the production of limonene, pinene and sabinene, and can operate continuously for at least 5 days from a single addition of glucose. We obtain conversion yields 495% and titres 415 g l À 1 . The titres are an order of magnitude over cellular toxicity limits and thus difficult to achieve using cell-based systems. Overall, these results highlight the potential of synthetic biochemistry approaches for producing bio-based chemicals.","author":[{"dropping-particle":"","family":"Korman","given":"Tyler P.","non-dropping-particle":"","parse-names":false,"suffix":""},{"dropping-particle":"","family":"Opgenorth","given":"Paul H.","non-dropping-particle":"","parse-names":false,"suffix":""},{"dropping-particle":"","family":"Bowie","given":"James U.","non-dropping-particle":"","parse-names":false,"suffix":""}],"container-title":"Nature Communications","id":"ITEM-3","issue":"May","issued":{"date-parts":[["2017"]]},"page":"1-8","publisher":"Nature Publishing Group","title":"A synthetic biochemistry platform for cell free production of monoterpenes from glucose","type":"article-journal","volume":"8"},"uris":["http://www.mendeley.com/documents/?uuid=dcddd9f5-5244-43c2-984f-ffa62b217d88"]}],"mendeley":{"formattedCitation":"&lt;sup&gt;20,40,70&lt;/sup&gt;","plainTextFormattedCitation":"20,40,70","previouslyFormattedCitation":"&lt;sup&gt;20,40,70&lt;/sup&gt;"},"properties":{"noteIndex":0},"schema":"https://github.com/citation-style-language/schema/raw/master/csl-citation.json"}</w:instrText>
      </w:r>
      <w:r w:rsidRPr="00A71FCF">
        <w:rPr>
          <w:rFonts w:cs="Arial"/>
          <w:color w:val="000000" w:themeColor="text1"/>
          <w:szCs w:val="22"/>
        </w:rPr>
        <w:fldChar w:fldCharType="separate"/>
      </w:r>
      <w:r w:rsidR="00567FF4" w:rsidRPr="00567FF4">
        <w:rPr>
          <w:rFonts w:cs="Arial"/>
          <w:noProof/>
          <w:color w:val="000000" w:themeColor="text1"/>
          <w:szCs w:val="22"/>
          <w:vertAlign w:val="superscript"/>
        </w:rPr>
        <w:t>20,40,70</w:t>
      </w:r>
      <w:r w:rsidRPr="00A71FCF">
        <w:rPr>
          <w:rFonts w:cs="Arial"/>
          <w:color w:val="000000" w:themeColor="text1"/>
          <w:szCs w:val="22"/>
        </w:rPr>
        <w:fldChar w:fldCharType="end"/>
      </w:r>
      <w:r w:rsidRPr="00A71FCF">
        <w:rPr>
          <w:rFonts w:cs="Arial"/>
          <w:color w:val="000000" w:themeColor="text1"/>
          <w:szCs w:val="22"/>
        </w:rPr>
        <w:t>. Methods for purifying whole pathways, however, are currently constrained by time and cost. Alternatively, cell-free metabolic systems can be derived from crude cell extracts through rapid and inexpensive methods relative to whole pathway reconstitution</w:t>
      </w:r>
      <w:r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{"citationItems":[{"id":"ITEM-1","itemData":{"DOI":"10.1093/SYNBIO/YSZ003","author":[{"dropping-particle":"","family":"Dudley","given":"Quentin M","non-dropping-particle":"","parse-names":false,"suffix":""},{"dropping-particle":"","family":"Nash","given":"Connor J","non-dropping-particle":"","parse-names":false,"suffix":""},{"dropping-particle":"","family":"Jewett","given":"Michael C","non-dropping-particle":"","parse-names":false,"suffix":""}],"container-title":"Synthetic Biology","id":"ITEM-1","issue":"1","issued":{"date-parts":[["2019","1","1"]]},"publisher":"Oxford Academic","title":"Cell-free biosynthesis of limonene using enzyme-enriched Escherichia coli lysates","type":"article-journal","volume":"4"},"uris":["http://www.mendeley.com/documents/?uuid=577985a1-9cd6-3f2a-94a3-08a91160af41"]}],"mendeley":{"formattedCitation":"&lt;sup&gt;71&lt;/sup&gt;","plainTextFormattedCitation":"71","previouslyFormattedCitation":"&lt;sup&gt;71&lt;/sup&gt;"},"properties":{"noteIndex":0},"schema":"https://github.com/citation-style-language/schema/raw/master/csl-citation.json"}</w:instrText>
      </w:r>
      <w:r w:rsidRPr="00A71FCF">
        <w:rPr>
          <w:rFonts w:cs="Arial"/>
          <w:color w:val="000000" w:themeColor="text1"/>
          <w:szCs w:val="22"/>
        </w:rPr>
        <w:fldChar w:fldCharType="separate"/>
      </w:r>
      <w:r w:rsidR="00567FF4" w:rsidRPr="00567FF4">
        <w:rPr>
          <w:rFonts w:cs="Arial"/>
          <w:noProof/>
          <w:color w:val="000000" w:themeColor="text1"/>
          <w:szCs w:val="22"/>
          <w:vertAlign w:val="superscript"/>
        </w:rPr>
        <w:t>71</w:t>
      </w:r>
      <w:r w:rsidRPr="00A71FCF">
        <w:rPr>
          <w:rFonts w:cs="Arial"/>
          <w:color w:val="000000" w:themeColor="text1"/>
          <w:szCs w:val="22"/>
        </w:rPr>
        <w:fldChar w:fldCharType="end"/>
      </w:r>
      <w:r w:rsidRPr="00A71FCF">
        <w:rPr>
          <w:rFonts w:cs="Arial"/>
          <w:color w:val="000000" w:themeColor="text1"/>
          <w:szCs w:val="22"/>
        </w:rPr>
        <w:t>.</w:t>
      </w:r>
      <w:r w:rsidR="000A1B7D" w:rsidRPr="00A71FCF">
        <w:rPr>
          <w:rFonts w:cs="Arial"/>
          <w:color w:val="000000" w:themeColor="text1"/>
          <w:szCs w:val="22"/>
        </w:rPr>
        <w:t xml:space="preserve"> The central metabolism that is retained in cell extracts can be supplemented with energy substrates (e.g., glucose and enzymatic cofactors) and salts in buffered solutions to generate central metabolic precursors for over 24 h</w:t>
      </w:r>
      <w:r w:rsidR="000A1B7D"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{"citationItems":[{"id":"ITEM-1","itemData":{"DOI":"10.1093/synbio/ysy006","ISSN":"2397-7000","author":[{"dropping-particle":"","family":"Garcia","given":"David C","non-dropping-particle":"","parse-names":false,"suffix":""},{"dropping-particle":"","family":"Mohr","given":"Benjamin P","non-dropping-particle":"","parse-names":false,"suffix":""},{"dropping-particle":"","family":"Dovgan","given":"Jakob T","non-dropping-particle":"","parse-names":false,"suffix":""},{"dropping-particle":"","family":"Hurst","given":"Gregory B","non-dropping-particle":"","parse-names":false,"suffix":""},{"dropping-particle":"","family":"Standaert","given":"Robert F","non-dropping-particle":"","parse-names":false,"suffix":""},{"dropping-particle":"","family":"Doktycz","given":"Mitchel J","non-dropping-particle":"","parse-names":false,"suffix":""}],"container-title":"Synthetic Biology","id":"ITEM-1","issue":"1","issued":{"date-parts":[["2018","1"]]},"title":"Elucidating the potential of crude cell extracts for producing pyruvate from glucose","type":"article-journal","volume":"3"},"uris":["http://www.mendeley.com/documents/?uuid=93e10a3d-9076-4efb-9000-4a5595e16d6a"]},{"id":"ITEM-2","itemData":{"DOI":"10.1016/j.ymben.2015.09.015","ISSN":"10967184","PMID":"26428449","abstract":"Cell-free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Engineering","id":"ITEM-2","issued":{"date-parts":[["2015"]]},"page":"133-142","title":"Lysate of engineered Escherichia coli supports high-level conversion of glucose to 2,3-butanediol","type":"article-journal","volume":"32"},"uris":["http://www.mendeley.com/documents/?uuid=cb5185b2-2e9e-42b5-808e-ce918d13a7be"]}],"mendeley":{"formattedCitation":"&lt;sup&gt;46,72&lt;/sup&gt;","plainTextFormattedCitation":"46,72","previouslyFormattedCitation":"&lt;sup&gt;46,72&lt;/sup&gt;"},"properties":{"noteIndex":0},"schema":"https://github.com/citation-style-language/schema/raw/master/csl-citation.json"}</w:instrText>
      </w:r>
      <w:r w:rsidR="000A1B7D" w:rsidRPr="00A71FCF">
        <w:rPr>
          <w:rFonts w:cs="Arial"/>
          <w:color w:val="000000" w:themeColor="text1"/>
          <w:szCs w:val="22"/>
        </w:rPr>
        <w:fldChar w:fldCharType="separate"/>
      </w:r>
      <w:r w:rsidR="00567FF4" w:rsidRPr="00567FF4">
        <w:rPr>
          <w:rFonts w:cs="Arial"/>
          <w:noProof/>
          <w:color w:val="000000" w:themeColor="text1"/>
          <w:szCs w:val="22"/>
          <w:vertAlign w:val="superscript"/>
        </w:rPr>
        <w:t>46,72</w:t>
      </w:r>
      <w:r w:rsidR="000A1B7D" w:rsidRPr="00A71FCF">
        <w:rPr>
          <w:rFonts w:cs="Arial"/>
          <w:color w:val="000000" w:themeColor="text1"/>
          <w:szCs w:val="22"/>
        </w:rPr>
        <w:fldChar w:fldCharType="end"/>
      </w:r>
      <w:r w:rsidR="00050E51" w:rsidRPr="00A71FCF">
        <w:rPr>
          <w:rFonts w:cs="Arial"/>
          <w:color w:val="000000" w:themeColor="text1"/>
          <w:szCs w:val="22"/>
        </w:rPr>
        <w:t>. Adding exogenous enzymes to the lysate-</w:t>
      </w:r>
      <w:r w:rsidR="00050E51" w:rsidRPr="00A71FCF">
        <w:rPr>
          <w:rFonts w:cs="Arial"/>
          <w:color w:val="000000" w:themeColor="text1"/>
          <w:szCs w:val="22"/>
        </w:rPr>
        <w:lastRenderedPageBreak/>
        <w:t>based CFME reaction allows more complex bio-transformations of glucose into more valuable chemicals at high titers</w:t>
      </w:r>
      <w:r w:rsidR="00050E51"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{"citationItems":[{"id":"ITEM-1","itemData":{"DOI":"10.1093/SYNBIO/YSZ003","author":[{"dropping-particle":"","family":"Dudley","given":"Quentin M","non-dropping-particle":"","parse-names":false,"suffix":""},{"dropping-particle":"","family":"Nash","given":"Connor J","non-dropping-particle":"","parse-names":false,"suffix":""},{"dropping-particle":"","family":"Jewett","given":"Michael C","non-dropping-particle":"","parse-names":false,"suffix":""}],"container-title":"Synthetic Biology","id":"ITEM-1","issue":"1","issued":{"date-parts":[["2019","1","1"]]},"publisher":"Oxford Academic","title":"Cell-free biosynthesis of limonene using enzyme-enriched Escherichia coli lysates","type":"article-journal","volume":"4"},"uris":["http://www.mendeley.com/documents/?uuid=577985a1-9cd6-3f2a-94a3-08a91160af41"]},{"id":"ITEM-2","itemData":{"DOI":"10.1016/j.ymben.2015.09.015","ISSN":"10967184","PMID":"26428449","abstract":"Cell-free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Engineering","id":"ITEM-2","issued":{"date-parts":[["2015"]]},"page":"133-142","title":"Lysate of engineered Escherichia coli supports high-level conversion of glucose to 2,3-butanediol","type":"article-journal","volume":"32"},"uris":["http://www.mendeley.com/documents/?uuid=cb5185b2-2e9e-42b5-808e-ce918d13a7be"]},{"id":"ITEM-3","itemData":{"DOI":"10.1021/acssynbio.9b00524","ISSN":"21615063","PMID":"33044063","abstract":"Progress in cell-free protein synthesis (CFPS) has spurred resurgent interest in engineering complex biological metabolism outside of the cell. Unlike purified enzyme systems, crude cell-free systems can be prepared for a fraction of the cost and contain endogenous cellular pathways that can be activated for biosynthesis. Endogenous activity performs essential functions in cell-free systems including substrate biosynthesis and energy regeneration; however, use of crude cell-free systems for bioproduction has been hampered by the under-described complexity of the metabolic networks inherent to a crude lysate. Physical and chemical cultivation parameters influence the endogenous activity of the resulting lysate, but targeted efforts to engineer this activity by manipulation of these nongenetic factors has been limited. Here growth medium composition was manipulated to improve the one-pot in vitro biosynthesis of phenol from glucose via the expression of Pasteurella multocida phenol-tyrosine lyase in crude E. coli lysates. Crude cell lysate metabolic activity was focused toward the limiting precursor tyrosine by targeted growth medium dropouts guided by proteomics. The result is the activation of a 25-step enzymatic reaction cascade involving at least three endogenous E. coli metabolic pathways. Additional modification of this system, through CFPS of feedback intolerant AroG improves yield. This effort demonstrates the ability to activate a long, complex pathway in vitro and provides a framework for harnessing the metabolic potential of diverse organisms for cell-free metabolic engineering. The more than 6-fold increase in phenol yield with limited genetic manipulation demonstrates the benefits of optimizing growth medium for crude cell-free extract production and illustrates the advantages of a systems approach to cell-free metabolic engineering.","author":[{"dropping-particle":"","family":"Mohr","given":"Benjamin","non-dropping-particle":"","parse-names":false,"suffix":""},{"dropping-particle":"","family":"Giannone","given":"Richard J.","non-dropping-particle":"","parse-names":false,"suffix":""},{"dropping-particle":"","family":"Hettich","given":"Robert L.","non-dropping-particle":"","parse-names":false,"suffix":""},{"dropping-particle":"","family":"Doktycz","given":"Mitchel J.","non-dropping-particle":"","parse-names":false,"suffix":""}],"container-title":"ACS Synthetic Biology","id":"ITEM-3","issue":"11","issued":{"date-parts":[["2020","11","20"]]},"page":"2986-2997","publisher":"American Chemical Society","title":"Targeted growth medium dropouts promote aromatic compound synthesis in crude E. Coli cell-free systems","type":"article-journal","volume":"9"},"uris":["http://www.mendeley.com/documents/?uuid=5056c735-c966-306b-80ed-9bbc3ce44183"]}],"mendeley":{"formattedCitation":"&lt;sup&gt;46,71,73&lt;/sup&gt;","plainTextFormattedCitation":"46,71,73","previouslyFormattedCitation":"&lt;sup&gt;46,71,73&lt;/sup&gt;"},"properties":{"noteIndex":0},"schema":"https://github.com/citation-style-language/schema/raw/master/csl-citation.json"}</w:instrText>
      </w:r>
      <w:r w:rsidR="00050E51" w:rsidRPr="00A71FCF">
        <w:rPr>
          <w:rFonts w:cs="Arial"/>
          <w:color w:val="000000" w:themeColor="text1"/>
          <w:szCs w:val="22"/>
        </w:rPr>
        <w:fldChar w:fldCharType="separate"/>
      </w:r>
      <w:r w:rsidR="00567FF4" w:rsidRPr="00567FF4">
        <w:rPr>
          <w:rFonts w:cs="Arial"/>
          <w:noProof/>
          <w:color w:val="000000" w:themeColor="text1"/>
          <w:szCs w:val="22"/>
          <w:vertAlign w:val="superscript"/>
        </w:rPr>
        <w:t>46,71,73</w:t>
      </w:r>
      <w:r w:rsidR="00050E51" w:rsidRPr="00A71FCF">
        <w:rPr>
          <w:rFonts w:cs="Arial"/>
          <w:color w:val="000000" w:themeColor="text1"/>
          <w:szCs w:val="22"/>
        </w:rPr>
        <w:fldChar w:fldCharType="end"/>
      </w:r>
      <w:r w:rsidR="001F1281" w:rsidRPr="00A71FCF">
        <w:rPr>
          <w:rFonts w:cs="Arial"/>
          <w:color w:val="000000" w:themeColor="text1"/>
          <w:szCs w:val="22"/>
        </w:rPr>
        <w:t>. Although yield tends to be compromised in these systems due to their cell-like metabolic complexity, unique methods to curate lysate proteomes for higher yield conversion have been and are being developed</w:t>
      </w:r>
      <w:r w:rsidR="001F1281"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{"citationItems":[{"id":"ITEM-1","itemData":{"DOI":"10.1093/synbio/ysy006","ISSN":"2397-7000","author":[{"dropping-particle":"","family":"Garcia","given":"David C","non-dropping-particle":"","parse-names":false,"suffix":""},{"dropping-particle":"","family":"Mohr","given":"Benjamin P","non-dropping-particle":"","parse-names":false,"suffix":""},{"dropping-particle":"","family":"Dovgan","given":"Jakob T","non-dropping-particle":"","parse-names":false,"suffix":""},{"dropping-particle":"","family":"Hurst","given":"Gregory B","non-dropping-particle":"","parse-names":false,"suffix":""},{"dropping-particle":"","family":"Standaert","given":"Robert F","non-dropping-particle":"","parse-names":false,"suffix":""},{"dropping-particle":"","family":"Doktycz","given":"Mitchel J","non-dropping-particle":"","parse-names":false,"suffix":""}],"container-title":"Synthetic Biology","id":"ITEM-1","issue":"1","issued":{"date-parts":[["2018","1"]]},"title":"Elucidating the potential of crude cell extracts for producing pyruvate from glucose","type":"article-journal","volume":"3"},"uris":["http://www.mendeley.com/documents/?uuid=93e10a3d-9076-4efb-9000-4a5595e16d6a"]},{"id":"ITEM-2","itemData":{"DOI":"10.1016/j.mec.2021.e00162","ISSN":"22140301","abstract":"Cell-free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Communications","id":"ITEM-2","issued":{"date-parts":[["2021","6","1"]]},"page":"e00162","publisher":"Elsevier B.V.","title":"A lysate proteome engineering strategy for enhancing cell-free metabolite production","type":"article-journal","volume":"12"},"uris":["http://www.mendeley.com/documents/?uuid=babcd1d7-dd2c-32bc-b636-c7ebdf6b2dd4"]}],"mendeley":{"formattedCitation":"&lt;sup&gt;72,74&lt;/sup&gt;","plainTextFormattedCitation":"72,74","previouslyFormattedCitation":"&lt;sup&gt;72,74&lt;/sup&gt;"},"properties":{"noteIndex":0},"schema":"https://github.com/citation-style-language/schema/raw/master/csl-citation.json"}</w:instrText>
      </w:r>
      <w:r w:rsidR="001F1281" w:rsidRPr="00A71FCF">
        <w:rPr>
          <w:rFonts w:cs="Arial"/>
          <w:color w:val="000000" w:themeColor="text1"/>
          <w:szCs w:val="22"/>
        </w:rPr>
        <w:fldChar w:fldCharType="separate"/>
      </w:r>
      <w:r w:rsidR="00567FF4" w:rsidRPr="00567FF4">
        <w:rPr>
          <w:rFonts w:cs="Arial"/>
          <w:noProof/>
          <w:color w:val="000000" w:themeColor="text1"/>
          <w:szCs w:val="22"/>
          <w:vertAlign w:val="superscript"/>
        </w:rPr>
        <w:t>72,74</w:t>
      </w:r>
      <w:r w:rsidR="001F1281" w:rsidRPr="00A71FCF">
        <w:rPr>
          <w:rFonts w:cs="Arial"/>
          <w:color w:val="000000" w:themeColor="text1"/>
          <w:szCs w:val="22"/>
        </w:rPr>
        <w:fldChar w:fldCharType="end"/>
      </w:r>
      <w:r w:rsidR="001F1281" w:rsidRPr="00A71FCF">
        <w:rPr>
          <w:rFonts w:cs="Arial"/>
          <w:color w:val="000000" w:themeColor="text1"/>
          <w:szCs w:val="22"/>
        </w:rPr>
        <w:t xml:space="preserve">. </w:t>
      </w:r>
    </w:p>
    <w:p w14:paraId="4470FB60" w14:textId="36B22223" w:rsidR="001F1281" w:rsidRPr="00A71FCF" w:rsidRDefault="001F1281" w:rsidP="0008141D">
      <w:pPr>
        <w:ind w:firstLine="720"/>
        <w:contextualSpacing/>
        <w:rPr>
          <w:rFonts w:cs="Arial"/>
          <w:color w:val="000000" w:themeColor="text1"/>
          <w:szCs w:val="22"/>
        </w:rPr>
      </w:pPr>
      <w:r w:rsidRPr="00A71FCF">
        <w:rPr>
          <w:rFonts w:cs="Arial"/>
          <w:color w:val="000000" w:themeColor="text1"/>
          <w:szCs w:val="22"/>
        </w:rPr>
        <w:t xml:space="preserve">The ease of carrying out metabolic transformations in lysate-based cell-free systems makes these excellent platforms for either moving chemical manufacturing outside of the cell altogether or for prototyping new pathways with high throughput before building and testing these designs </w:t>
      </w:r>
      <w:r w:rsidRPr="00A71FCF">
        <w:rPr>
          <w:rFonts w:cs="Arial"/>
          <w:i/>
          <w:iCs/>
          <w:color w:val="000000" w:themeColor="text1"/>
          <w:szCs w:val="22"/>
        </w:rPr>
        <w:t>in vivo</w:t>
      </w:r>
      <w:r w:rsidRPr="00A71FCF">
        <w:rPr>
          <w:rFonts w:cs="Arial"/>
          <w:i/>
          <w:iCs/>
          <w:color w:val="000000" w:themeColor="text1"/>
          <w:szCs w:val="22"/>
        </w:rPr>
        <w:fldChar w:fldCharType="begin" w:fldLock="1"/>
      </w:r>
      <w:r w:rsidRPr="00A71FCF">
        <w:rPr>
          <w:rFonts w:cs="Arial"/>
          <w:i/>
          <w:iCs/>
          <w:color w:val="000000" w:themeColor="text1"/>
          <w:szCs w:val="22"/>
        </w:rPr>
        <w:instrText>ADDIN CSL_CITATION {"citationItems":[{"id":"ITEM-1","itemData":{"DOI":"10.1016/j.tibtech.2019.12.024","ISSN":"18793096","abstract":"Metabolic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Biotechnology","id":"ITEM-1","issued":{"date-parts":[["2020","1","23"]]},"publisher":"Elsevier Ltd","title":"Synthetic Biochemistry: The Bio-inspired Cell-Free Approach to Commodity Chemical Production","type":"article"},"uris":["http://www.mendeley.com/documents/?uuid=2e6836a8-603b-33f3-ac63-5bc4a65d2485"]},{"id":"ITEM-2","itemData":{"DOI":"10.1016/bs.mie.2018.04.029","ISBN":"9780128151488","ISSN":"15577988","abstract":"Engineering biological systems for the production of biofuels and bioproducts holds great potential to transform the bioeconomy, but often requires laborious, time-consuming design-build-test cycles. For decades cell-free systems have offered quick and facile approaches to study enzymes with hopes of informing cellular processes, mainly in the form of purified single-enzyme activity assays. Over the past 20 years, cell-free systems have grown to include multienzymatic systems, both purified and crude. By decoupling cellular growth objectives from enzyme pathway engineering objectives, cell-free systems provide a controllable environment to direct substrates toward a single, desired product. Cell-free approaches are being developed for prototyping and for biomanufacturing. In prototyping applications, the idea is to use cell-free systems to test and optimize biosynthetic pathways before implementation in live cells and scale-up. We present a detailed method for the generation of crude lysates for cell-free pathway prototyping, mix-and-match cell-free metabolic engineering using preenriched lysates, and cell-free protein synthesis driven cell-free metabolic engineering. The cell-free synthetic biology methods described herein are generalizable to any biosynthetic pathway of interest and provide a powerful approach to building pathways in crude lysates for the purpose of prototyping. The foundational principle of the presented approach is that we can construct discrete metabolic pathways through modular assembly of cell-free lysates containing enzyme components produced by overexpression in the lysate chassis strain or by cell-free protein synthesis (in vitro production). Overall, the modular and cell-free nature of our pathway prototyping framework is poised to facilitate multiplexed, automated study of biosynthetic pathways to inform systems-level cellular design.","author":[{"dropping-particle":"","family":"Karim","given":"Ashty S.","non-dropping-particle":"","parse-names":false,"suffix":""},{"dropping-particle":"","family":"Jewett","given":"Michael C.","non-dropping-particle":"","parse-names":false,"suffix":""}],"container-title":"Methods in Enzymology","id":"ITEM-2","issued":{"date-parts":[["2018","1","1"]]},"page":"31-57","publisher":"Academic Press Inc.","title":"Cell-Free Synthetic Biology for Pathway Prototyping","type":"chapter","volume":"608"},"uris":["http://www.mendeley.com/documents/?uuid=2ee231d6-cf3f-3340-bed1-c04dac8a4127"]}],"mendeley":{"formattedCitation":"&lt;sup&gt;20,22&lt;/sup&gt;","plainTextFormattedCitation":"20,22","previouslyFormattedCitation":"&lt;sup&gt;20,22&lt;/sup&gt;"},"properties":{"noteIndex":0},"schema":"https://github.com/citation-style-language/schema/raw/master/csl-citation.json"}</w:instrText>
      </w:r>
      <w:r w:rsidRPr="00A71FCF">
        <w:rPr>
          <w:rFonts w:cs="Arial"/>
          <w:i/>
          <w:iCs/>
          <w:color w:val="000000" w:themeColor="text1"/>
          <w:szCs w:val="22"/>
        </w:rPr>
        <w:fldChar w:fldCharType="separate"/>
      </w:r>
      <w:r w:rsidRPr="00A71FCF">
        <w:rPr>
          <w:rFonts w:cs="Arial"/>
          <w:iCs/>
          <w:noProof/>
          <w:color w:val="000000" w:themeColor="text1"/>
          <w:szCs w:val="22"/>
          <w:vertAlign w:val="superscript"/>
        </w:rPr>
        <w:t>20,22</w:t>
      </w:r>
      <w:r w:rsidRPr="00A71FCF">
        <w:rPr>
          <w:rFonts w:cs="Arial"/>
          <w:i/>
          <w:iCs/>
          <w:color w:val="000000" w:themeColor="text1"/>
          <w:szCs w:val="22"/>
        </w:rPr>
        <w:fldChar w:fldCharType="end"/>
      </w:r>
      <w:r w:rsidRPr="00A71FCF">
        <w:rPr>
          <w:rFonts w:cs="Arial"/>
          <w:i/>
          <w:iCs/>
          <w:color w:val="000000" w:themeColor="text1"/>
          <w:szCs w:val="22"/>
        </w:rPr>
        <w:t xml:space="preserve">. </w:t>
      </w:r>
      <w:r w:rsidRPr="00A71FCF">
        <w:rPr>
          <w:rFonts w:cs="Arial"/>
          <w:color w:val="000000" w:themeColor="text1"/>
          <w:szCs w:val="22"/>
        </w:rPr>
        <w:t>For either application, tools for monitoring metabolic conversions or observing overall alterations to metabolic flux in lysates are integral to the advancement of CFME. High-performance liquid chromatography (HPLC) can be used to separate the chemical constituents of CFME reactions with high-resolution and can be coupled to optical or mass-spectrometric detectors for metabolite quantification</w:t>
      </w:r>
      <w:r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{"citationItems":[{"id":"ITEM-1","itemData":{"DOI":"10.1093/synbio/ysy006","ISSN":"2397-7000","author":[{"dropping-particle":"","family":"Garcia","given":"David C","non-dropping-particle":"","parse-names":false,"suffix":""},{"dropping-particle":"","family":"Mohr","given":"Benjamin P","non-dropping-particle":"","parse-names":false,"suffix":""},{"dropping-particle":"","family":"Dovgan","given":"Jakob T","non-dropping-particle":"","parse-names":false,"suffix":""},{"dropping-particle":"","family":"Hurst","given":"Gregory B","non-dropping-particle":"","parse-names":false,"suffix":""},{"dropping-particle":"","family":"Standaert","given":"Robert F","non-dropping-particle":"","parse-names":false,"suffix":""},{"dropping-particle":"","family":"Doktycz","given":"Mitchel J","non-dropping-particle":"","parse-names":false,"suffix":""}],"container-title":"Synthetic Biology","id":"ITEM-1","issue":"1","issued":{"date-parts":[["2018","1"]]},"title":"Elucidating the potential of crude cell extracts for producing pyruvate from glucose","type":"article-journal","volume":"3"},"uris":["http://www.mendeley.com/documents/?uuid=93e10a3d-9076-4efb-9000-4a5595e16d6a"]},{"id":"ITEM-2","itemData":{"DOI":"10.3389/fenrg.2020.00072","ISSN":"2296-598X","abstract":"The cellulolytic bacterium Clostridium thermocellum is a promising candidate for lignocellulosic biofuel production; however, ethanol titer needs to be improved for commercialization. To understand the factors limiting ethanol titer in C. thermocellum, we developed a cell-free extract reaction (CFER) system. We demonstrated that 15 mM cellobiose could be converted, in vitro, to 25 mM ethanol and that this reaction functions both at thermophilic (55°C) and mesophilic (37°C) temperatures. Although the yield was similar to that produced by whole cells, the rate was much slower (~0.5 vs. 12 mM/h). In order to reliably quantify metabolites, rapid CFER quenching is necessary. Among the methods tested, filtration with a 3-kDa molecular weight cutoff filter proved to be the most effective. Metabolomic analysis revealed high levels of glucose-6-phosphate (G6P) and fructose-6-phosphate (F6P) in the CFER, identifying potential rate-limiting enzymes downstream of F6P. NADH was also found to accumulate in the CFER, suggesting that NADH recycling is rate-limiting. We used two complementary strategies to identify enzymes that limit metabolic flux, including feeding different substrates and supplementing with exogenous enzymes. In the enzyme addition experiment, the largest improvement was observed with the addition of yeast alcohol dehydrogenase (ADH), indicating a limitation at that reaction. The development of a CFER system for C. thermocellum, combined with detailed measurements of intermediate metabolites, allowed us to directly observe the metabolism of this organism, and suggested several potential metabolic engineering interventions for increasing ethanol titer. This demonstrates a technique that may be of general use for metabolic engineering in non-model organisms.","author":[{"dropping-particle":"","family":"Cui","given":"Jingxuan","non-dropping-particle":"","parse-names":false,"suffix":""},{"dropping-particle":"","family":"Stevenson","given":"David","non-dropping-particle":"","parse-names":false,"suffix":""},{"dropping-particle":"","family":"Korosh","given":"Travis","non-dropping-particle":"","parse-names":false,"suffix":""},{"dropping-particle":"","family":"Amador-Noguez","given":"Daniel","non-dropping-particle":"","parse-names":false,"suffix":""},{"dropping-particle":"","family":"Olson","given":"Daniel G.","non-dropping-particle":"","parse-names":false,"suffix":""},{"dropping-particle":"","family":"Lynd","given":"Lee R.","non-dropping-particle":"","parse-names":false,"suffix":""}],"container-title":"Frontiers in Energy Research","id":"ITEM-2","issued":{"date-parts":[["2020","6","4"]]},"page":"72","publisher":"Frontiers Media S.A.","title":"Developing a Cell-Free Extract Reaction (CFER) System in Clostridium thermocellum to Identify Metabolic Limitations to Ethanol Production","type":"article-journal","volume":"8"},"uris":["http://www.mendeley.com/documents/?uuid=fcd3200d-59e5-3e1d-8f91-be31a9007467"]}],"mendeley":{"formattedCitation":"&lt;sup&gt;48,72&lt;/sup&gt;","plainTextFormattedCitation":"48,72","previouslyFormattedCitation":"&lt;sup&gt;48,72&lt;/sup&gt;"},"properties":{"noteIndex":0},"schema":"https://github.com/citation-style-language/schema/raw/master/csl-citation.json"}</w:instrText>
      </w:r>
      <w:r w:rsidRPr="00A71FCF">
        <w:rPr>
          <w:rFonts w:cs="Arial"/>
          <w:color w:val="000000" w:themeColor="text1"/>
          <w:szCs w:val="22"/>
        </w:rPr>
        <w:fldChar w:fldCharType="separate"/>
      </w:r>
      <w:r w:rsidR="00567FF4" w:rsidRPr="00567FF4">
        <w:rPr>
          <w:rFonts w:cs="Arial"/>
          <w:noProof/>
          <w:color w:val="000000" w:themeColor="text1"/>
          <w:szCs w:val="22"/>
          <w:vertAlign w:val="superscript"/>
        </w:rPr>
        <w:t>48,72</w:t>
      </w:r>
      <w:r w:rsidRPr="00A71FCF">
        <w:rPr>
          <w:rFonts w:cs="Arial"/>
          <w:color w:val="000000" w:themeColor="text1"/>
          <w:szCs w:val="22"/>
        </w:rPr>
        <w:fldChar w:fldCharType="end"/>
      </w:r>
      <w:r w:rsidRPr="00A71FCF">
        <w:rPr>
          <w:rFonts w:cs="Arial"/>
          <w:color w:val="000000" w:themeColor="text1"/>
          <w:szCs w:val="22"/>
        </w:rPr>
        <w:t>. The underlying principle of HPLC is that analytes dissolved in a solvent (i.e., mobile phase) and pumped through a column will interact with the specific column packing material (i.e., stationary phase)</w:t>
      </w:r>
      <w:r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{"citationItems":[{"id":"ITEM-1","itemData":{"DOI":"10.14744/nci.2016.32757","ISSN":"21484902","PMID":"28058406","abstract":"Chromatography is an important biophysical technique that enables the separation, identification, and purification of the components of a mixture for qualitative and quantitative analysis. Proteins can be purified based on characteristics such as size and shape, total charge, hydrophobic groups present on the surface, and binding capacity with the stationary phase. Four separation techniques based on molecular characteristics and interaction type use mechanisms of ion exchange, surface adsorption, partition, and size exclusion. Other chromatography techniques are based on the stationary bed, including column, thin layer, and paper chromatography. Column chromatography is one of the most common methods of protein purification.","author":[{"dropping-particle":"","family":"Coskun","given":"Ozlem","non-dropping-particle":"","parse-names":false,"suffix":""}],"container-title":"Northern Clinics of Istanbul","id":"ITEM-1","issue":"2","issued":{"date-parts":[["2016"]]},"page":"156","publisher":"Kare Publishing","title":"Separation Tecniques: CHROMATOGRAPHY","type":"article-journal","volume":"3"},"uris":["http://www.mendeley.com/documents/?uuid=ae3ca54f-8dcb-38ab-8d0d-98644c930cc4"]}],"mendeley":{"formattedCitation":"&lt;sup&gt;75&lt;/sup&gt;","plainTextFormattedCitation":"75","previouslyFormattedCitation":"&lt;sup&gt;75&lt;/sup&gt;"},"properties":{"noteIndex":0},"schema":"https://github.com/citation-style-language/schema/raw/master/csl-citation.json"}</w:instrText>
      </w:r>
      <w:r w:rsidRPr="00A71FCF">
        <w:rPr>
          <w:rFonts w:cs="Arial"/>
          <w:color w:val="000000" w:themeColor="text1"/>
          <w:szCs w:val="22"/>
        </w:rPr>
        <w:fldChar w:fldCharType="separate"/>
      </w:r>
      <w:r w:rsidR="00567FF4" w:rsidRPr="00567FF4">
        <w:rPr>
          <w:rFonts w:cs="Arial"/>
          <w:noProof/>
          <w:color w:val="000000" w:themeColor="text1"/>
          <w:szCs w:val="22"/>
          <w:vertAlign w:val="superscript"/>
        </w:rPr>
        <w:t>75</w:t>
      </w:r>
      <w:r w:rsidRPr="00A71FCF">
        <w:rPr>
          <w:rFonts w:cs="Arial"/>
          <w:color w:val="000000" w:themeColor="text1"/>
          <w:szCs w:val="22"/>
        </w:rPr>
        <w:fldChar w:fldCharType="end"/>
      </w:r>
      <w:r w:rsidRPr="00A71FCF">
        <w:rPr>
          <w:rFonts w:cs="Arial"/>
          <w:color w:val="000000" w:themeColor="text1"/>
          <w:szCs w:val="22"/>
        </w:rPr>
        <w:t xml:space="preserve">. Depending on their chemical properties, these analytes exhibit varying retention times before they are eventually eluted from the stationary phase and carried by the mobile phase to a detector. This report details the preparation and analysis of </w:t>
      </w:r>
      <w:r w:rsidRPr="00A71FCF">
        <w:rPr>
          <w:rFonts w:cs="Arial"/>
          <w:i/>
          <w:iCs/>
          <w:color w:val="000000" w:themeColor="text1"/>
          <w:szCs w:val="22"/>
        </w:rPr>
        <w:t>E. coli</w:t>
      </w:r>
      <w:r w:rsidRPr="00A71FCF">
        <w:rPr>
          <w:rFonts w:cs="Arial"/>
          <w:color w:val="000000" w:themeColor="text1"/>
          <w:szCs w:val="22"/>
        </w:rPr>
        <w:t xml:space="preserve"> lysate-based CFME reactions through HPLC-based methods leveraging RID and MS/MS detection. </w:t>
      </w:r>
    </w:p>
    <w:p w14:paraId="0359ECF4" w14:textId="0E808C02" w:rsidR="004A0256" w:rsidRPr="00A71FCF" w:rsidRDefault="00EB6E50" w:rsidP="0008141D">
      <w:pPr>
        <w:contextualSpacing/>
        <w:rPr>
          <w:rFonts w:cs="Arial"/>
          <w:color w:val="000000" w:themeColor="text1"/>
          <w:szCs w:val="22"/>
        </w:rPr>
      </w:pPr>
      <w:r w:rsidRPr="00A71FCF">
        <w:rPr>
          <w:rFonts w:cs="Arial"/>
          <w:color w:val="000000" w:themeColor="text1"/>
          <w:szCs w:val="22"/>
        </w:rPr>
        <w:tab/>
        <w:t>HPLC coupled to refractive index detection (HPLC-RID) is a generally accessible method for quickly identifying central metabolic precursors and end-products. Briefly, RID measures how analytes change the deflection of light by the mobile phase</w:t>
      </w:r>
      <w:r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{"citationItems":[{"id":"ITEM-1","itemData":{"DOI":"10.1080/03067319.2019.1666833","ISSN":"10290397","abstract":"The composition of sugarcane vinasse varies according to the substrate of alcoholic fermentation, e.g. if it is sugarcane juice and/or molasses. Regardless of the origin, the main organic compounds found in sugarcane vinasse are organic acids, alcohols and a low amount of carbohydrates. To access the organic composition of such wastewater, the present paper describes a high-performance liquid chromatography (HPLC) separation method coupled to a Refractive Index Detector (RID) in order to quantify the organic acids (C1 to C6) and alcohols in sugarcane vinasse. The analysed substances were acetic acid, butyric acid, caproic acid, citric acid, lactic acid, propionic acid, succinic acid, valeric acid, butanol, ethanol, glycerol and methanol. A validation study of the method was performed taking into account the matrix effect exerted by vinasse samples in natura. In conclusion, it was proved that the method is suitable for assessing the organic composition of vinasse: able to separate 12 analytes, with excellent linearity (R2 &gt; 0.999), with adequate working ranges, high precision (recovery ranging from 83% to 102%), and low matrix effects (&lt;5%).","author":[{"dropping-particle":"","family":"Bernardes","given":"Alan Nascimento","non-dropping-particle":"","parse-names":false,"suffix":""},{"dropping-particle":"","family":"Godoi","given":"Leandro Augusto Gouvêa","non-dropping-particle":"","parse-names":false,"suffix":""},{"dropping-particle":"","family":"Camiloti","given":"Priscila Rosseto","non-dropping-particle":"","parse-names":false,"suffix":""},{"dropping-particle":"","family":"Gomes","given":"Absai da Conceição","non-dropping-particle":"","parse-names":false,"suffix":""},{"dropping-particle":"","family":"Sanchez","given":"Bruna Larissa Sandy","non-dropping-particle":"","parse-names":false,"suffix":""},{"dropping-particle":"","family":"Torres","given":"Ana Paula Rodrigues","non-dropping-particle":"","parse-names":false,"suffix":""},{"dropping-particle":"","family":"Botta","given":"Lívia Silva","non-dropping-particle":"","parse-names":false,"suffix":""}],"container-title":"International Journal of Environmental Analytical Chemistry","id":"ITEM-1","issue":"3","issued":{"date-parts":[["2021","2","19"]]},"page":"325-336","publisher":"Taylor and Francis Ltd.","title":"Organic acids and alcohols quantification by HPLC/RID in sugarcane vinasse: analytical method validation and matrix effect assessment","type":"article-journal","volume":"101"},"uris":["http://www.mendeley.com/documents/?uuid=f0b0e69b-4341-3169-9567-cd0dea0ec4c8"]}],"mendeley":{"formattedCitation":"&lt;sup&gt;76&lt;/sup&gt;","plainTextFormattedCitation":"76","previouslyFormattedCitation":"&lt;sup&gt;76&lt;/sup&gt;"},"properties":{"noteIndex":0},"schema":"https://github.com/citation-style-language/schema/raw/master/csl-citation.json"}</w:instrText>
      </w:r>
      <w:r w:rsidRPr="00A71FCF">
        <w:rPr>
          <w:rFonts w:cs="Arial"/>
          <w:color w:val="000000" w:themeColor="text1"/>
          <w:szCs w:val="22"/>
        </w:rPr>
        <w:fldChar w:fldCharType="separate"/>
      </w:r>
      <w:r w:rsidR="00567FF4" w:rsidRPr="00567FF4">
        <w:rPr>
          <w:rFonts w:cs="Arial"/>
          <w:noProof/>
          <w:color w:val="000000" w:themeColor="text1"/>
          <w:szCs w:val="22"/>
          <w:vertAlign w:val="superscript"/>
        </w:rPr>
        <w:t>76</w:t>
      </w:r>
      <w:r w:rsidRPr="00A71FCF">
        <w:rPr>
          <w:rFonts w:cs="Arial"/>
          <w:color w:val="000000" w:themeColor="text1"/>
          <w:szCs w:val="22"/>
        </w:rPr>
        <w:fldChar w:fldCharType="end"/>
      </w:r>
      <w:r w:rsidRPr="00A71FCF">
        <w:rPr>
          <w:rFonts w:cs="Arial"/>
          <w:color w:val="000000" w:themeColor="text1"/>
          <w:szCs w:val="22"/>
        </w:rPr>
        <w:t>. RID signals corresponding to target analytes in samples can then be quantified by comparisons with RID signals of standard solutions. In CFME applications, this mode of detection has been most commonly used with HPLC columns that separate compounds based on a combination of size exclusion and ligand exchange mechanisms, or ion-moderated partition chromatography</w:t>
      </w:r>
      <w:r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{"citationItems":[{"id":"ITEM-1","itemData":{"DOI":"10.1093/synbio/ysy006","ISSN":"2397-7000","author":[{"dropping-particle":"","family":"Garcia","given":"David C","non-dropping-particle":"","parse-names":false,"suffix":""},{"dropping-particle":"","family":"Mohr","given":"Benjamin P","non-dropping-particle":"","parse-names":false,"suffix":""},{"dropping-particle":"","family":"Dovgan","given":"Jakob T","non-dropping-particle":"","parse-names":false,"suffix":""},{"dropping-particle":"","family":"Hurst","given":"Gregory B","non-dropping-particle":"","parse-names":false,"suffix":""},{"dropping-particle":"","family":"Standaert","given":"Robert F","non-dropping-particle":"","parse-names":false,"suffix":""},{"dropping-particle":"","family":"Doktycz","given":"Mitchel J","non-dropping-particle":"","parse-names":false,"suffix":""}],"container-title":"Synthetic Biology","id":"ITEM-1","issue":"1","issued":{"date-parts":[["2018","1"]]},"title":"Elucidating the potential of crude cell extracts for producing pyruvate from glucose","type":"article-journal","volume":"3"},"uris":["http://www.mendeley.com/documents/?uuid=93e10a3d-9076-4efb-9000-4a5595e16d6a"]},{"id":"ITEM-2","itemData":{"DOI":"10.1016/j.ymben.2015.09.015","ISSN":"10967184","PMID":"26428449","abstract":"Cell-free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Engineering","id":"ITEM-2","issued":{"date-parts":[["2015"]]},"page":"133-142","title":"Lysate of engineered Escherichia coli supports high-level conversion of glucose to 2,3-butanediol","type":"article-journal","volume":"32"},"uris":["http://www.mendeley.com/documents/?uuid=cb5185b2-2e9e-42b5-808e-ce918d13a7be"]},{"id":"ITEM-3","itemData":{"DOI":"10.1016/j.mec.2021.e00162","ISSN":"22140301","abstract":"Cell-free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Communications","id":"ITEM-3","issued":{"date-parts":[["2021","6","1"]]},"page":"e00162","publisher":"Elsevier B.V.","title":"A lysate proteome engineering strategy for enhancing cell-free metabolite production","type":"article-journal","volume":"12"},"uris":["http://www.mendeley.com/documents/?uuid=babcd1d7-dd2c-32bc-b636-c7ebdf6b2dd4"]},{"id":"ITEM-4","itemData":{"DOI":"10.1021/acschembio.9b00725","ISSN":"15548937","PMID":"31693336","abstract":"Elucidating the interaction networks associated with secondary metabolite production in microorganisms is an ongoing challenge made all the more daunting by the rate at which DNA sequencing technology reveals new genes and potential pathways. Developing the culturing methods, expression conditions, and genetic systems needed for validating pathways in newly discovered microorganisms is often not possible. Therefore, new tools and techniques are needed for defining complex metabolic pathways. Here, we describe an in vitro computationally assisted pathway description approach that employs bioinformatic searches of genome databases, protein structural modeling, and protein-ligand-docking simulations to predict the gene products most likely to be involved in a particular secondary metabolite production pathway. This information is then used to direct in vitro reconstructions of the pathway and subsequent confirmation of pathway activity using crude enzyme preparations. As a test system, we elucidated the pathway for biosynthesis of indole-3-acetic acid (IAA) in the plant-associated microbe Pantoea sp. YR343. This organism is capable of metabolizing tryptophan into the plant phytohormone IAA. BLAST analyses identified a likely three-step pathway involving an amino transferase, an indole pyruvate decarboxylase, and a dehydrogenase. However, multiple candidate enzymes were identified at each step, resulting in a large number of potential pathway reconstructions (32 different enzyme combinations). Our approach shows the effectiveness of crude extracts to rapidly elucidate enzymes leading to functional pathways. Results are compared to affinity purified enzymes for select combinations and found to yield similar relative activities. Further, in vitro testing of the pathway reconstructions revealed the \"underground\" nature of IAA metabolism in Pantoea sp. YR343 and the various mechanisms used to produce IAA. Importantly, our experiments illustrate the scalable integration of computational tools and cell-free enzymatic reactions to identify and validate metabolic pathways in a broadly applicable manner.","author":[{"dropping-particle":"","family":"Garcia","given":"David C.","non-dropping-particle":"","parse-names":false,"suffix":""},{"dropping-particle":"","family":"Cheng","given":"Xiaolin","non-dropping-particle":"","parse-names":false,"suffix":""},{"dropping-particle":"","family":"Land","given":"Miriam L.","non-dropping-particle":"","parse-names":false,"suffix":""},{"dropping-particle":"","family":"Standaert","given":"Robert F.","non-dropping-particle":"","parse-names":false,"suffix":""},{"dropping-particle":"","family":"Morrell-Falvey","given":"Jennifer L.","non-dropping-particle":"","parse-names":false,"suffix":""},{"dropping-particle":"","family":"Doktycz","given":"Mitchel J.","non-dropping-particle":"","parse-names":false,"suffix":""}],"container-title":"ACS Chemical Biology","id":"ITEM-4","issue":"12","issued":{"date-parts":[["2019","11"]]},"page":"2867-2875","title":"Computationally Guided Discovery and Experimental Validation of Indole-3-acetic Acid Synthesis Pathways","type":"article-journal","volume":"14"},"uris":["http://www.mendeley.com/documents/?uuid=3eab18cf-b92b-4793-8cc5-a7907fafc8e2"]}],"mendeley":{"formattedCitation":"&lt;sup&gt;46,72,74,77&lt;/sup&gt;","plainTextFormattedCitation":"46,72,74,77","previouslyFormattedCitation":"&lt;sup&gt;46,72,74,77&lt;/sup&gt;"},"properties":{"noteIndex":0},"schema":"https://github.com/citation-style-language/schema/raw/master/csl-citation.json"}</w:instrText>
      </w:r>
      <w:r w:rsidRPr="00A71FCF">
        <w:rPr>
          <w:rFonts w:cs="Arial"/>
          <w:color w:val="000000" w:themeColor="text1"/>
          <w:szCs w:val="22"/>
        </w:rPr>
        <w:fldChar w:fldCharType="separate"/>
      </w:r>
      <w:r w:rsidR="00567FF4" w:rsidRPr="00567FF4">
        <w:rPr>
          <w:rFonts w:cs="Arial"/>
          <w:noProof/>
          <w:color w:val="000000" w:themeColor="text1"/>
          <w:szCs w:val="22"/>
          <w:vertAlign w:val="superscript"/>
        </w:rPr>
        <w:t>46,72,74,77</w:t>
      </w:r>
      <w:r w:rsidRPr="00A71FCF">
        <w:rPr>
          <w:rFonts w:cs="Arial"/>
          <w:color w:val="000000" w:themeColor="text1"/>
          <w:szCs w:val="22"/>
        </w:rPr>
        <w:fldChar w:fldCharType="end"/>
      </w:r>
      <w:r w:rsidRPr="00A71FCF">
        <w:rPr>
          <w:rFonts w:cs="Arial"/>
          <w:color w:val="000000" w:themeColor="text1"/>
          <w:szCs w:val="22"/>
        </w:rPr>
        <w:t xml:space="preserve">. This particular technique is used to quickly quantify the consumption of sugar substrates like glucose as well as the formation </w:t>
      </w:r>
      <w:r w:rsidRPr="00A71FCF">
        <w:rPr>
          <w:rFonts w:cs="Arial"/>
          <w:color w:val="000000" w:themeColor="text1"/>
          <w:szCs w:val="22"/>
        </w:rPr>
        <w:lastRenderedPageBreak/>
        <w:t xml:space="preserve">of fermentation products like succinate, lactate, </w:t>
      </w:r>
      <w:proofErr w:type="spellStart"/>
      <w:r w:rsidRPr="00A71FCF">
        <w:rPr>
          <w:rFonts w:cs="Arial"/>
          <w:color w:val="000000" w:themeColor="text1"/>
          <w:szCs w:val="22"/>
        </w:rPr>
        <w:t>formate</w:t>
      </w:r>
      <w:proofErr w:type="spellEnd"/>
      <w:r w:rsidRPr="00A71FCF">
        <w:rPr>
          <w:rFonts w:cs="Arial"/>
          <w:color w:val="000000" w:themeColor="text1"/>
          <w:szCs w:val="22"/>
        </w:rPr>
        <w:t>, acetate, and ethanol in lysate-based CFME reactions</w:t>
      </w:r>
      <w:r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Communications","id":"ITEM-1","issued":{"date-parts":[["2021","6","1"]]},"page":"e00162","publisher":"Elsevier B.V.","title":"A lysate proteome engineering strategy for enhancing cell-free metabolite production","type":"article-journal","volume":"12"},"uris":["http://www.mendeley.com/documents/?uuid=babcd1d7-dd2c-32bc-b636-c7ebdf6b2dd4"]}],"mendeley":{"formattedCitation":"&lt;sup&gt;74&lt;/sup&gt;","plainTextFormattedCitation":"74","previouslyFormattedCitation":"&lt;sup&gt;74&lt;/sup&gt;"},"properties":{"noteIndex":0},"schema":"https://github.com/citation-style-language/schema/raw/master/csl-citation.json"}</w:instrText>
      </w:r>
      <w:r w:rsidRPr="00A71FCF">
        <w:rPr>
          <w:rFonts w:cs="Arial"/>
          <w:color w:val="000000" w:themeColor="text1"/>
          <w:szCs w:val="22"/>
        </w:rPr>
        <w:fldChar w:fldCharType="separate"/>
      </w:r>
      <w:r w:rsidR="00567FF4" w:rsidRPr="00567FF4">
        <w:rPr>
          <w:rFonts w:cs="Arial"/>
          <w:noProof/>
          <w:color w:val="000000" w:themeColor="text1"/>
          <w:szCs w:val="22"/>
          <w:vertAlign w:val="superscript"/>
        </w:rPr>
        <w:t>74</w:t>
      </w:r>
      <w:r w:rsidRPr="00A71FCF">
        <w:rPr>
          <w:rFonts w:cs="Arial"/>
          <w:color w:val="000000" w:themeColor="text1"/>
          <w:szCs w:val="22"/>
        </w:rPr>
        <w:fldChar w:fldCharType="end"/>
      </w:r>
      <w:r w:rsidRPr="00A71FCF">
        <w:rPr>
          <w:rFonts w:cs="Arial"/>
          <w:color w:val="000000" w:themeColor="text1"/>
          <w:szCs w:val="22"/>
        </w:rPr>
        <w:t xml:space="preserve">. </w:t>
      </w:r>
      <w:r w:rsidR="004A0256" w:rsidRPr="00A71FCF">
        <w:rPr>
          <w:rFonts w:cs="Arial"/>
          <w:color w:val="000000" w:themeColor="text1"/>
          <w:szCs w:val="22"/>
        </w:rPr>
        <w:t>Recording the concentration changes of these compounds via HPLC has been useful for both elucidating the potential of crude cell extracts to pool central metabolic precursors and understanding how pathway flux is redirected through fermentative pathways during complex metabolic conversions from glucose in lysates</w:t>
      </w:r>
      <w:r w:rsidR="004A0256"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Engineering","id":"ITEM-1","issued":{"date-parts":[["2015"]]},"page":"133-142","title":"Lysate of engineered Escherichia coli supports high-level conversion of glucose to 2,3-butanediol","type":"article-journal","volume":"32"},"uris":["http://www.mendeley.com/documents/?uuid=cb5185b2-2e9e-42b5-808e-ce918d13a7be"]},{"id":"ITEM-2","itemData":{"DOI":"10.1016/j.mec.2021.e00162","ISSN":"22140301","abstract":"Cell-free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Communications","id":"ITEM-2","issued":{"date-parts":[["2021","6","1"]]},"page":"e00162","publisher":"Elsevier B.V.","title":"A lysate proteome engineering strategy for enhancing cell-free metabolite production","type":"article-journal","volume":"12"},"uris":["http://www.mendeley.com/documents/?uuid=babcd1d7-dd2c-32bc-b636-c7ebdf6b2dd4"]},{"id":"ITEM-3","itemData":{"DOI":"10.1093/synbio/ysz027","abstract":"Engineering metabolism for the synthesis of bio-based products in non-model organisms can be challenging. One specific challenge is that biosynthetic pathways are often built from enzyme candidates sourced from diverse organisms, which can prove difficult to implement in recombinant hosts due to differences in their cellular environments (e.g. pH, cofactor balance). To address this problem, we report a cell-free synthetic biology approach for understanding metabolism in a range of environmental conditions, specifically under varied pH. The key idea is to control the pH of Escherichia coli-based cell-free systems for assessing pathway performance using enzymes sourced from organisms other than E. coli. As a model, we apply this approach to study the impact of pH on the n-butanol biosynthesis pathway derived from clostridia in E. coli lysates. Specifically, we exploit the open, cell-free reaction environment to explore pH outside the habitable range of E. coli, revealing insights into how chemical context impacts the interaction between native metabolism and heterologous enzymes. We find that the pH optimum for butanol production from acetyl-CoA is substantially lower than the optimal pH of glycolysis in E. coli-based crude lysates. In addition, pH is an essential factor to consider when activating metabolic pathways in the cell-free environment due to its effect on reaction yield or enzyme activity, the latter of which is demonstrated in this work for alcohol dehydrogenases from a range of extremophiles. Ultimately, altering metabolism through pH control will allow cell-free systems to be used in studying the metabolic state of organisms and identify suitable enzymes for pathway engineering.","author":[{"dropping-particle":"","family":"Karim","given":"Ashty S","non-dropping-particle":"","parse-names":false,"suffix":""},{"dropping-particle":"","family":"Rasor","given":"Blake J","non-dropping-particle":"","parse-names":false,"suffix":""},{"dropping-particle":"","family":"Jewett","given":"Michael C","non-dropping-particle":"","parse-names":false,"suffix":""}],"container-title":"Synthetic Biology","id":"ITEM-3","issue":"1","issued":{"date-parts":[["2020","1","1"]]},"publisher":"Oxford Academic","title":"Enhancing control of cell-free metabolism through pH modulation","type":"article-journal","volume":"5"},"uris":["http://www.mendeley.com/documents/?uuid=8088fefb-6e17-3ff6-91fc-9aaecbaf8f13"]}],"mendeley":{"formattedCitation":"&lt;sup&gt;46,74,78&lt;/sup&gt;","plainTextFormattedCitation":"46,74,78","previouslyFormattedCitation":"&lt;sup&gt;46,74,78&lt;/sup&gt;"},"properties":{"noteIndex":0},"schema":"https://github.com/citation-style-language/schema/raw/master/csl-citation.json"}</w:instrText>
      </w:r>
      <w:r w:rsidR="004A0256" w:rsidRPr="00A71FCF">
        <w:rPr>
          <w:rFonts w:cs="Arial"/>
          <w:color w:val="000000" w:themeColor="text1"/>
          <w:szCs w:val="22"/>
        </w:rPr>
        <w:fldChar w:fldCharType="separate"/>
      </w:r>
      <w:r w:rsidR="00567FF4" w:rsidRPr="00567FF4">
        <w:rPr>
          <w:rFonts w:cs="Arial"/>
          <w:noProof/>
          <w:color w:val="000000" w:themeColor="text1"/>
          <w:szCs w:val="22"/>
          <w:vertAlign w:val="superscript"/>
        </w:rPr>
        <w:t>46,74,78</w:t>
      </w:r>
      <w:r w:rsidR="004A0256" w:rsidRPr="00A71FCF">
        <w:rPr>
          <w:rFonts w:cs="Arial"/>
          <w:color w:val="000000" w:themeColor="text1"/>
          <w:szCs w:val="22"/>
        </w:rPr>
        <w:fldChar w:fldCharType="end"/>
      </w:r>
      <w:r w:rsidR="004A0256" w:rsidRPr="00A71FCF">
        <w:rPr>
          <w:rFonts w:cs="Arial"/>
          <w:color w:val="000000" w:themeColor="text1"/>
          <w:szCs w:val="22"/>
        </w:rPr>
        <w:t xml:space="preserve">. Seminal CFME studies in </w:t>
      </w:r>
      <w:r w:rsidR="004A0256" w:rsidRPr="00A71FCF">
        <w:rPr>
          <w:rFonts w:cs="Arial"/>
          <w:i/>
          <w:iCs/>
          <w:color w:val="000000" w:themeColor="text1"/>
          <w:szCs w:val="22"/>
        </w:rPr>
        <w:t xml:space="preserve">E. coli </w:t>
      </w:r>
      <w:r w:rsidR="004A0256" w:rsidRPr="00A71FCF">
        <w:rPr>
          <w:rFonts w:cs="Arial"/>
          <w:color w:val="000000" w:themeColor="text1"/>
          <w:szCs w:val="22"/>
        </w:rPr>
        <w:t>cell extracts confirm that fermentation compounds accumulate as end-products of glucose catabolism and also occur as unwanted by-products in lysates that overexpress exogenous enzymes</w:t>
      </w:r>
      <w:r w:rsidR="004A0256"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Engineering","id":"ITEM-1","issued":{"date-parts":[["2015"]]},"page":"133-142","title":"Lysate of engineered Escherichia coli supports high-level conversion of glucose to 2,3-butanediol","type":"article-journal","volume":"32"},"uris":["http://www.mendeley.com/documents/?uuid=cb5185b2-2e9e-42b5-808e-ce918d13a7be"]},{"id":"ITEM-2","itemData":{"DOI":"10.1002/bit.22666","ISSN":"00063592","PMID":"20091765","abstract":"The orchestration of a multitude of enzyme catalysts allows cells to carry out complex and thermodynamically unfavorable chemical conversions. In an effort to recruit these advantages for in vitro biotransformations, we have assembled a 10-step catalytic system - a system of biotransformations (SBT) - for the synthesis of unnatural monosaccharides based on the versatile building block dihydroxyacetone phosphate (DHAP). To facilitate the assembly of such a network, we have insulated a production pathway from Escherichia coli's central carbon metabolism. This pathway consists of the endogenous glycolysis without triose-phosphate isomerase to enable accumulation of DHAP and was completed with lactate dehydrogenase to regenerate NAD+. It could be readily extended for the synthesis of unnatural sugar molecules, such as the unnatural monosaccharide phosphate 5,6,7-trideoxy-D-threoheptulose-1-phosphate from DHAP and butanal. Insulation required in particular inactivation of the amn gene encoding the AMP nucleosidase, which otherwise led to glucoseindependent DHAP production from adenosine phosphates. The work demonstrates that a sufficiently insulated in vitro multi-step enzymatic system can be readily assembled from central carbon metabolism pathways. © 2010 Wiley Periodicals, Inc.","author":[{"dropping-particle":"","family":"Bujara","given":"Matthias","non-dropping-particle":"","parse-names":false,"suffix":""},{"dropping-particle":"","family":"Schümperli","given":"Michael","non-dropping-particle":"","parse-names":false,"suffix":""},{"dropping-particle":"","family":"Billerbeck","given":"Sonja","non-dropping-particle":"","parse-names":false,"suffix":""},{"dropping-particle":"","family":"Heinemann","given":"Matthias","non-dropping-particle":"","parse-names":false,"suffix":""},{"dropping-particle":"","family":"Panke","given":"Sven","non-dropping-particle":"","parse-names":false,"suffix":""}],"container-title":"Biotechnology and Bioengineering","id":"ITEM-2","issue":"3","issued":{"date-parts":[["2010","6","15"]]},"page":"376-389","publisher":"Biotechnol Bioeng","title":"Exploiting cell-free systems: Implementation and debugging of a system of biotransformations","type":"article-journal","volume":"106"},"uris":["http://www.mendeley.com/documents/?uuid=dcf05f7d-a050-3deb-b73b-d5fe4b460eed"]}],"mendeley":{"formattedCitation":"&lt;sup&gt;46,47&lt;/sup&gt;","plainTextFormattedCitation":"46,47","previouslyFormattedCitation":"&lt;sup&gt;46,47&lt;/sup&gt;"},"properties":{"noteIndex":0},"schema":"https://github.com/citation-style-language/schema/raw/master/csl-citation.json"}</w:instrText>
      </w:r>
      <w:r w:rsidR="004A0256" w:rsidRPr="00A71FCF">
        <w:rPr>
          <w:rFonts w:cs="Arial"/>
          <w:color w:val="000000" w:themeColor="text1"/>
          <w:szCs w:val="22"/>
        </w:rPr>
        <w:fldChar w:fldCharType="separate"/>
      </w:r>
      <w:r w:rsidR="00567FF4" w:rsidRPr="00567FF4">
        <w:rPr>
          <w:rFonts w:cs="Arial"/>
          <w:noProof/>
          <w:color w:val="000000" w:themeColor="text1"/>
          <w:szCs w:val="22"/>
          <w:vertAlign w:val="superscript"/>
        </w:rPr>
        <w:t>46,47</w:t>
      </w:r>
      <w:r w:rsidR="004A0256" w:rsidRPr="00A71FCF">
        <w:rPr>
          <w:rFonts w:cs="Arial"/>
          <w:color w:val="000000" w:themeColor="text1"/>
          <w:szCs w:val="22"/>
        </w:rPr>
        <w:fldChar w:fldCharType="end"/>
      </w:r>
      <w:r w:rsidR="004A0256" w:rsidRPr="00A71FCF">
        <w:rPr>
          <w:rFonts w:cs="Arial"/>
          <w:color w:val="000000" w:themeColor="text1"/>
          <w:szCs w:val="22"/>
        </w:rPr>
        <w:t>. It is suggested that fermentative metabolism plays a necessary role in regenerating redox equivalents of cofactors (i.e., NAD(P)H and ATP) to sustain glycolytic reactions</w:t>
      </w:r>
      <w:r w:rsidR="004A0256"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Communications","id":"ITEM-1","issued":{"date-parts":[["2021","6","1"]]},"page":"e00162","publisher":"Elsevier B.V.","title":"A lysate proteome engineering strategy for enhancing cell-free metabolite production","type":"article-journal","volume":"12"},"uris":["http://www.mendeley.com/documents/?uuid=babcd1d7-dd2c-32bc-b636-c7ebdf6b2dd4"]}],"mendeley":{"formattedCitation":"&lt;sup&gt;74&lt;/sup&gt;","plainTextFormattedCitation":"74","previouslyFormattedCitation":"&lt;sup&gt;74&lt;/sup&gt;"},"properties":{"noteIndex":0},"schema":"https://github.com/citation-style-language/schema/raw/master/csl-citation.json"}</w:instrText>
      </w:r>
      <w:r w:rsidR="004A0256" w:rsidRPr="00A71FCF">
        <w:rPr>
          <w:rFonts w:cs="Arial"/>
          <w:color w:val="000000" w:themeColor="text1"/>
          <w:szCs w:val="22"/>
        </w:rPr>
        <w:fldChar w:fldCharType="separate"/>
      </w:r>
      <w:r w:rsidR="00567FF4" w:rsidRPr="00567FF4">
        <w:rPr>
          <w:rFonts w:cs="Arial"/>
          <w:noProof/>
          <w:color w:val="000000" w:themeColor="text1"/>
          <w:szCs w:val="22"/>
          <w:vertAlign w:val="superscript"/>
        </w:rPr>
        <w:t>74</w:t>
      </w:r>
      <w:r w:rsidR="004A0256" w:rsidRPr="00A71FCF">
        <w:rPr>
          <w:rFonts w:cs="Arial"/>
          <w:color w:val="000000" w:themeColor="text1"/>
          <w:szCs w:val="22"/>
        </w:rPr>
        <w:fldChar w:fldCharType="end"/>
      </w:r>
      <w:r w:rsidR="004A0256" w:rsidRPr="00A71FCF">
        <w:rPr>
          <w:rFonts w:cs="Arial"/>
          <w:color w:val="000000" w:themeColor="text1"/>
          <w:szCs w:val="22"/>
        </w:rPr>
        <w:t>. Hence, an HPLC-based optical detection method designed to separate fermentation products is a useful and commonly applied tool when executing various lysate-based CFME tasks</w:t>
      </w:r>
      <w:r w:rsidR="00755A23" w:rsidRPr="00A71FCF">
        <w:rPr>
          <w:rFonts w:cs="Arial"/>
          <w:color w:val="000000" w:themeColor="text1"/>
          <w:szCs w:val="22"/>
        </w:rPr>
        <w:t>.</w:t>
      </w:r>
    </w:p>
    <w:p w14:paraId="65C2A69C" w14:textId="128CACA1" w:rsidR="004A0256" w:rsidRDefault="004A0256" w:rsidP="0008141D">
      <w:pPr>
        <w:contextualSpacing/>
        <w:rPr>
          <w:rFonts w:cs="Arial"/>
          <w:bCs/>
          <w:color w:val="000000" w:themeColor="text1"/>
          <w:szCs w:val="22"/>
        </w:rPr>
      </w:pPr>
      <w:r w:rsidRPr="00A71FCF">
        <w:rPr>
          <w:rFonts w:cs="Arial"/>
          <w:color w:val="000000" w:themeColor="text1"/>
          <w:szCs w:val="22"/>
        </w:rPr>
        <w:tab/>
        <w:t>CFME can be implemented to accumulate metabolic end-products that are not carbohydrates, organic acids, or alcohols</w:t>
      </w:r>
      <w:r w:rsidR="00755A23"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{"citationItems":[{"id":"ITEM-1","itemData":{"DOI":"10.1093/SYNBIO/YSZ003","author":[{"dropping-particle":"","family":"Dudley","given":"Quentin M","non-dropping-particle":"","parse-names":false,"suffix":""},{"dropping-particle":"","family":"Nash","given":"Connor J","non-dropping-particle":"","parse-names":false,"suffix":""},{"dropping-particle":"","family":"Jewett","given":"Michael C","non-dropping-particle":"","parse-names":false,"suffix":""}],"container-title":"Synthetic Biology","id":"ITEM-1","issue":"1","issued":{"date-parts":[["2019","1","1"]]},"publisher":"Oxford Academic","title":"Cell-free biosynthesis of limonene using enzyme-enriched Escherichia coli lysates","type":"article-journal","volume":"4"},"uris":["http://www.mendeley.com/documents/?uuid=577985a1-9cd6-3f2a-94a3-08a91160af41"]}],"mendeley":{"formattedCitation":"&lt;sup&gt;71&lt;/sup&gt;","plainTextFormattedCitation":"71","previouslyFormattedCitation":"&lt;sup&gt;71&lt;/sup&gt;"},"properties":{"noteIndex":0},"schema":"https://github.com/citation-style-language/schema/raw/master/csl-citation.json"}</w:instrText>
      </w:r>
      <w:r w:rsidR="00755A23" w:rsidRPr="00A71FCF">
        <w:rPr>
          <w:rFonts w:cs="Arial"/>
          <w:color w:val="000000" w:themeColor="text1"/>
          <w:szCs w:val="22"/>
        </w:rPr>
        <w:fldChar w:fldCharType="separate"/>
      </w:r>
      <w:r w:rsidR="00567FF4" w:rsidRPr="00567FF4">
        <w:rPr>
          <w:rFonts w:cs="Arial"/>
          <w:noProof/>
          <w:color w:val="000000" w:themeColor="text1"/>
          <w:szCs w:val="22"/>
          <w:vertAlign w:val="superscript"/>
        </w:rPr>
        <w:t>71</w:t>
      </w:r>
      <w:r w:rsidR="00755A23" w:rsidRPr="00A71FCF">
        <w:rPr>
          <w:rFonts w:cs="Arial"/>
          <w:color w:val="000000" w:themeColor="text1"/>
          <w:szCs w:val="22"/>
        </w:rPr>
        <w:fldChar w:fldCharType="end"/>
      </w:r>
      <w:r w:rsidR="00755A23" w:rsidRPr="00A71FCF">
        <w:rPr>
          <w:rFonts w:cs="Arial"/>
          <w:color w:val="000000" w:themeColor="text1"/>
          <w:szCs w:val="22"/>
        </w:rPr>
        <w:t>. The measurement of intermediates that are consumed as quickly as they are synthesized may also be desirable</w:t>
      </w:r>
      <w:r w:rsidR="00755A23"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{"citationItems":[{"id":"ITEM-1","itemData":{"DOI":"10.3389/fenrg.2020.00072","ISSN":"2296-598X","abstract":"The cellulolytic bacterium Clostridium thermocellum is a promising candidate for lignocellulosic biofuel production; however, ethanol titer needs to be improved for commercialization. To understand the factors limiting ethanol titer in C. thermocellum, we developed a cell-free extract reaction (CFER) system. We demonstrated that 15 mM cellobiose could be converted, in vitro, to 25 mM ethanol and that this reaction functions both at thermophilic (55°C) and mesophilic (37°C) temperatures. Although the yield was similar to that produced by whole cells, the rate was much slower (~0.5 vs. 12 mM/h). In order to reliably quantify metabolites, rapid CFER quenching is necessary. Among the methods tested, filtration with a 3-kDa molecular weight cutoff filter proved to be the most effective. Metabolomic analysis revealed high levels of glucose-6-phosphate (G6P) and fructose-6-phosphate (F6P) in the CFER, identifying potential rate-limiting enzymes downstream of F6P. NADH was also found to accumulate in the CFER, suggesting that NADH recycling is rate-limiting. We used two complementary strategies to identify enzymes that limit metabolic flux, including feeding different substrates and supplementing with exogenous enzymes. In the enzyme addition experiment, the largest improvement was observed with the addition of yeast alcohol dehydrogenase (ADH), indicating a limitation at that reaction. The development of a CFER system for C. thermocellum, combined with detailed measurements of intermediate metabolites, allowed us to directly observe the metabolism of this organism, and suggested several potential metabolic engineering interventions for increasing ethanol titer. This demonstrates a technique that may be of general use for metabolic engineering in non-model organisms.","author":[{"dropping-particle":"","family":"Cui","given":"Jingxuan","non-dropping-particle":"","parse-names":false,"suffix":""},{"dropping-particle":"","family":"Stevenson","given":"David","non-dropping-particle":"","parse-names":false,"suffix":""},{"dropping-particle":"","family":"Korosh","given":"Travis","non-dropping-particle":"","parse-names":false,"suffix":""},{"dropping-particle":"","family":"Amador-Noguez","given":"Daniel","non-dropping-particle":"","parse-names":false,"suffix":""},{"dropping-particle":"","family":"Olson","given":"Daniel G.","non-dropping-particle":"","parse-names":false,"suffix":""},{"dropping-particle":"","family":"Lynd","given":"Lee R.","non-dropping-particle":"","parse-names":false,"suffix":""}],"container-title":"Frontiers in Energy Research","id":"ITEM-1","issued":{"date-parts":[["2020","6","4"]]},"page":"72","publisher":"Frontiers Media S.A.","title":"Developing a Cell-Free Extract Reaction (CFER) System in Clostridium thermocellum to Identify Metabolic Limitations to Ethanol Production","type":"article-journal","volume":"8"},"uris":["http://www.mendeley.com/documents/?uuid=fcd3200d-59e5-3e1d-8f91-be31a9007467"]}],"mendeley":{"formattedCitation":"&lt;sup&gt;48&lt;/sup&gt;","plainTextFormattedCitation":"48","previouslyFormattedCitation":"&lt;sup&gt;48&lt;/sup&gt;"},"properties":{"noteIndex":0},"schema":"https://github.com/citation-style-language/schema/raw/master/csl-citation.json"}</w:instrText>
      </w:r>
      <w:r w:rsidR="00755A23" w:rsidRPr="00A71FCF">
        <w:rPr>
          <w:rFonts w:cs="Arial"/>
          <w:color w:val="000000" w:themeColor="text1"/>
          <w:szCs w:val="22"/>
        </w:rPr>
        <w:fldChar w:fldCharType="separate"/>
      </w:r>
      <w:r w:rsidR="00567FF4" w:rsidRPr="00567FF4">
        <w:rPr>
          <w:rFonts w:cs="Arial"/>
          <w:noProof/>
          <w:color w:val="000000" w:themeColor="text1"/>
          <w:szCs w:val="22"/>
          <w:vertAlign w:val="superscript"/>
        </w:rPr>
        <w:t>48</w:t>
      </w:r>
      <w:r w:rsidR="00755A23" w:rsidRPr="00A71FCF">
        <w:rPr>
          <w:rFonts w:cs="Arial"/>
          <w:color w:val="000000" w:themeColor="text1"/>
          <w:szCs w:val="22"/>
        </w:rPr>
        <w:fldChar w:fldCharType="end"/>
      </w:r>
      <w:r w:rsidR="00755A23" w:rsidRPr="00A71FCF">
        <w:rPr>
          <w:rFonts w:cs="Arial"/>
          <w:color w:val="000000" w:themeColor="text1"/>
          <w:szCs w:val="22"/>
        </w:rPr>
        <w:t>. While HPLC-RID is accessible in terms of cost and difficulty, this method is constrained by its ability to only distinguish metabolites based on retention time. A broader range of metabolites can be analyzed when liquid chromatography is coupled to MS/MS detection (LC-MS/MS)</w:t>
      </w:r>
      <w:r w:rsidR="00755A23"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{"citationItems":[{"id":"ITEM-1","itemData":{"DOI":"10.1016/j.trac.2011.08.009","ISSN":"01659936","abstract":"Metabolomics aims at detection and quantitation of all metabolites in biological samples. The presence of metabolites with a wide variety of physicochemical properties and different levels of abundance challenges existing analytical platforms used for identification and quantitation of metabolites. Significant efforts have been made to improve analytical and computational methods for metabolomics studies.This review focuses on the use of liquid chromatography with tandem mass spectrometry (LC-MS/MS) for quantitative and qualitative metabolomics studies. It illustrates recent developments in computational methods for metabolite identification, including ion annotation, spectral interpretation and spectral matching. We also review selected reaction monitoring and high-resolution MS for metabolite quantitation. We discuss current challenges in metabolite identification and quantitation as well as potential solutions. © 2011 Elsevier Ltd.","author":[{"dropping-particle":"","family":"Xiao","given":"Jun Feng","non-dropping-particle":"","parse-names":false,"suffix":""},{"dropping-particle":"","family":"Zhou","given":"Bin","non-dropping-particle":"","parse-names":false,"suffix":""},{"dropping-particle":"","family":"Ressom","given":"Habtom W.","non-dropping-particle":"","parse-names":false,"suffix":""}],"container-title":"TrAC - Trends in Analytical Chemistry","id":"ITEM-1","issued":{"date-parts":[["2012","2"]]},"page":"1-14","publisher":"NIH Public Access","title":"Metabolite identification and quantitation in LC-MS/MS-based metabolomics","type":"article","volume":"32"},"uris":["http://www.mendeley.com/documents/?uuid=9f1e5d0a-fc81-345f-9218-a01c151a2711"]}],"mendeley":{"formattedCitation":"&lt;sup&gt;79&lt;/sup&gt;","plainTextFormattedCitation":"79","previouslyFormattedCitation":"&lt;sup&gt;79&lt;/sup&gt;"},"properties":{"noteIndex":0},"schema":"https://github.com/citation-style-language/schema/raw/master/csl-citation.json"}</w:instrText>
      </w:r>
      <w:r w:rsidR="00755A23" w:rsidRPr="00A71FCF">
        <w:rPr>
          <w:rFonts w:cs="Arial"/>
          <w:color w:val="000000" w:themeColor="text1"/>
          <w:szCs w:val="22"/>
        </w:rPr>
        <w:fldChar w:fldCharType="separate"/>
      </w:r>
      <w:r w:rsidR="00567FF4" w:rsidRPr="00567FF4">
        <w:rPr>
          <w:rFonts w:cs="Arial"/>
          <w:noProof/>
          <w:color w:val="000000" w:themeColor="text1"/>
          <w:szCs w:val="22"/>
          <w:vertAlign w:val="superscript"/>
        </w:rPr>
        <w:t>79</w:t>
      </w:r>
      <w:r w:rsidR="00755A23" w:rsidRPr="00A71FCF">
        <w:rPr>
          <w:rFonts w:cs="Arial"/>
          <w:color w:val="000000" w:themeColor="text1"/>
          <w:szCs w:val="22"/>
        </w:rPr>
        <w:fldChar w:fldCharType="end"/>
      </w:r>
      <w:r w:rsidR="00755A23" w:rsidRPr="00A71FCF">
        <w:rPr>
          <w:rFonts w:cs="Arial"/>
          <w:color w:val="000000" w:themeColor="text1"/>
          <w:szCs w:val="22"/>
        </w:rPr>
        <w:t>. By this method, analytes in the mobile phase are ionized and differentially detected based on each molecule’s mass and charge properties. Knowledge of both the metabolite’s mass-to-charge (m/z) ratio and retention time on the column thus facilitates the separation of most metabolic intermediates and end-products with high resolution</w:t>
      </w:r>
      <w:r w:rsidR="00755A23"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{"citationItems":[{"id":"ITEM-1","itemData":{"DOI":"10.1016/j.trac.2011.08.009","ISSN":"01659936","abstract":"Metabolomics aims at detection and quantitation of all metabolites in biological samples. The presence of metabolites with a wide variety of physicochemical properties and different levels of abundance challenges existing analytical platforms used for identification and quantitation of metabolites. Significant efforts have been made to improve analytical and computational methods for metabolomics studies.This review focuses on the use of liquid chromatography with tandem mass spectrometry (LC-MS/MS) for quantitative and qualitative metabolomics studies. It illustrates recent developments in computational methods for metabolite identification, including ion annotation, spectral interpretation and spectral matching. We also review selected reaction monitoring and high-resolution MS for metabolite quantitation. We discuss current challenges in metabolite identification and quantitation as well as potential solutions. © 2011 Elsevier Ltd.","author":[{"dropping-particle":"","family":"Xiao","given":"Jun Feng","non-dropping-particle":"","parse-names":false,"suffix":""},{"dropping-particle":"","family":"Zhou","given":"Bin","non-dropping-particle":"","parse-names":false,"suffix":""},{"dropping-particle":"","family":"Ressom","given":"Habtom W.","non-dropping-particle":"","parse-names":false,"suffix":""}],"container-title":"TrAC - Trends in Analytical Chemistry","id":"ITEM-1","issued":{"date-parts":[["2012","2"]]},"page":"1-14","publisher":"NIH Public Access","title":"Metabolite identification and quantitation in LC-MS/MS-based metabolomics","type":"article","volume":"32"},"uris":["http://www.mendeley.com/documents/?uuid=9f1e5d0a-fc81-345f-9218-a01c151a2711"]}],"mendeley":{"formattedCitation":"&lt;sup&gt;79&lt;/sup&gt;","plainTextFormattedCitation":"79","previouslyFormattedCitation":"&lt;sup&gt;79&lt;/sup&gt;"},"properties":{"noteIndex":0},"schema":"https://github.com/citation-style-language/schema/raw/master/csl-citation.json"}</w:instrText>
      </w:r>
      <w:r w:rsidR="00755A23" w:rsidRPr="00A71FCF">
        <w:rPr>
          <w:rFonts w:cs="Arial"/>
          <w:color w:val="000000" w:themeColor="text1"/>
          <w:szCs w:val="22"/>
        </w:rPr>
        <w:fldChar w:fldCharType="separate"/>
      </w:r>
      <w:r w:rsidR="00567FF4" w:rsidRPr="00567FF4">
        <w:rPr>
          <w:rFonts w:cs="Arial"/>
          <w:noProof/>
          <w:color w:val="000000" w:themeColor="text1"/>
          <w:szCs w:val="22"/>
          <w:vertAlign w:val="superscript"/>
        </w:rPr>
        <w:t>79</w:t>
      </w:r>
      <w:r w:rsidR="00755A23" w:rsidRPr="00A71FCF">
        <w:rPr>
          <w:rFonts w:cs="Arial"/>
          <w:color w:val="000000" w:themeColor="text1"/>
          <w:szCs w:val="22"/>
        </w:rPr>
        <w:fldChar w:fldCharType="end"/>
      </w:r>
      <w:r w:rsidR="00755A23" w:rsidRPr="00A71FCF">
        <w:rPr>
          <w:rFonts w:cs="Arial"/>
          <w:color w:val="000000" w:themeColor="text1"/>
          <w:szCs w:val="22"/>
        </w:rPr>
        <w:t>. This detection technique can also be coupled to nano-liquid chromatography, which affords much lower flow rates and sample injection volumes, allowing more sensitive detection of small molecules in the complex lysate background</w:t>
      </w:r>
      <w:r w:rsidR="00755A23"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{"citationItems":[{"id":"ITEM-1","itemData":{"DOI":"10.1016/B978-0-12-805393-5.00027-0","ISBN":"9780128053935","abstract":"This chapter presents the main features of nano-liquid chromatography (nano-LC), its advantages over conventional LC techniques, and some selected applications published in the last 5 years. Nano-LC is the miniaturization of HPLC where the analytes separation takes place into capillary columns of thin diameter (&lt;. 100. μm i.d.). Stationary phases (SPs) can be adsorbed or bonded to particles or monolithic material; in some cases, SP can also be on the internal capillary wall. Mobile phase (MP) is pumped into the column at low flow rate (50-800. nL/min). Therefore, the consumption of the MP is very limited with consequent reduced costs. The low flow rate is useful for reducing the chromatographic dilution (increase of mass sensitivity) and perfect coupling with mass spectrometry. Some selected examples concerning applications in the field of proteomics, pharmaceutical, environmental, food, and forensic analysis are presented and discussed.","author":[{"dropping-particle":"","family":"Asensio-Ramos","given":"Maria","non-dropping-particle":"","parse-names":false,"suffix":""},{"dropping-particle":"","family":"Fanali","given":"Chiara","non-dropping-particle":"","parse-names":false,"suffix":""},{"dropping-particle":"","family":"D'Orazio","given":"Giovanni","non-dropping-particle":"","parse-names":false,"suffix":""},{"dropping-particle":"","family":"Fanali","given":"Salvatore","non-dropping-particle":"","parse-names":false,"suffix":""}],"container-title":"Liquid Chromatography: Fundamentals and Instrumentation: Second Edition","id":"ITEM-1","issued":{"date-parts":[["2017","6","21"]]},"page":"637-695","publisher":"Elsevier","title":"Nano-liquid chromatography","type":"chapter","volume":"1"},"uris":["http://www.mendeley.com/documents/?uuid=2a2ddd10-4990-3b87-8064-17a7f7eef2ca"]}],"mendeley":{"formattedCitation":"&lt;sup&gt;80&lt;/sup&gt;","plainTextFormattedCitation":"80","previouslyFormattedCitation":"&lt;sup&gt;80&lt;/sup&gt;"},"properties":{"noteIndex":0},"schema":"https://github.com/citation-style-language/schema/raw/master/csl-citation.json"}</w:instrText>
      </w:r>
      <w:r w:rsidR="00755A23" w:rsidRPr="00A71FCF">
        <w:rPr>
          <w:rFonts w:cs="Arial"/>
          <w:color w:val="000000" w:themeColor="text1"/>
          <w:szCs w:val="22"/>
        </w:rPr>
        <w:fldChar w:fldCharType="separate"/>
      </w:r>
      <w:r w:rsidR="00567FF4" w:rsidRPr="00567FF4">
        <w:rPr>
          <w:rFonts w:cs="Arial"/>
          <w:noProof/>
          <w:color w:val="000000" w:themeColor="text1"/>
          <w:szCs w:val="22"/>
          <w:vertAlign w:val="superscript"/>
        </w:rPr>
        <w:t>80</w:t>
      </w:r>
      <w:r w:rsidR="00755A23" w:rsidRPr="00A71FCF">
        <w:rPr>
          <w:rFonts w:cs="Arial"/>
          <w:color w:val="000000" w:themeColor="text1"/>
          <w:szCs w:val="22"/>
        </w:rPr>
        <w:fldChar w:fldCharType="end"/>
      </w:r>
      <w:r w:rsidR="00755A23" w:rsidRPr="00A71FCF">
        <w:rPr>
          <w:rFonts w:cs="Arial"/>
          <w:color w:val="000000" w:themeColor="text1"/>
          <w:szCs w:val="22"/>
        </w:rPr>
        <w:t xml:space="preserve">. </w:t>
      </w:r>
      <w:r w:rsidR="00CA4ABB" w:rsidRPr="00A71FCF">
        <w:rPr>
          <w:rFonts w:cs="Arial"/>
          <w:color w:val="000000" w:themeColor="text1"/>
          <w:szCs w:val="22"/>
        </w:rPr>
        <w:t>LC-MS/MS can additionally be applied with isotope labeling since incorporated labels impart changes in analytes’ m/z values</w:t>
      </w:r>
      <w:r w:rsidR="00CA4ABB"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{"citationItems":[{"id":"ITEM-1","itemData":{"DOI":"10.1007/978-1-4939-1258-2_1","ISSN":"10643745","PMID":"25270919","abstract":"The field of metabolomics has witnessed an exponential growth in the last decade driven by important applications spanning a wide range of areas in the basic and life sciences and beyond. Mass spectrometry in combination with chromatography and nuclear magnetic resonance are the two major analytical avenues for the analysis of metabolic species in complex biological mixtures. Owing to its inherent significantly higher sensitivity and fast data acquisition, MS plays an increasingly dominant role in the metabolomics field. Propelled by the need to develop simple methods to diagnose and manage the numerous and widespread human diseases, mass spectrometry has witnessed tremendous growth with advances in instrumentation, experimental methods, software, and databases. In response, the metabolomics field has moved far beyond qualitative methods and simple pattern recognition approaches to a range of global and targeted quantitative approaches that are now routinely used and provide reliable data, which instill greater confi- dence in the derived inferences. Powerful isotope labeling and tracing methods have become very popular. The newly emerging ambient ionization techniques such as desorption ionization and rapid evaporative ionization have allowed direct MS analysis in real time, as well as new MS imaging approaches. While the MS-based metabolomics has provided insights into metabolic pathways and fl uxes, and metabolite biomarkers associated with numerous diseases, the increasing realization of the extremely high complexity of biological mixtures underscores numerous challenges including unknown metabolite identification, biomarker validation, and interlaboratory reproducibility that need to be dealt with for realization of the full potential of MS-based metabolomics. This chapter provides a glimpse at the current status of the mass spectrometry-based metabolomics field highlighting the opportunities and challenges.","author":[{"dropping-particle":"","family":"Nagana Gowda","given":"G. A.","non-dropping-particle":"","parse-names":false,"suffix":""},{"dropping-particle":"","family":"Djukovic","given":"Danijel","non-dropping-particle":"","parse-names":false,"suffix":""}],"container-title":"Methods in Molecular Biology","id":"ITEM-1","issued":{"date-parts":[["2014"]]},"page":"3-12","publisher":"Humana Press Inc.","title":"Overview of mass spectrometry-based metabolomics: Opportunities and challenges","type":"article-journal","volume":"1198"},"uris":["http://www.mendeley.com/documents/?uuid=013f1740-99cd-3d40-a437-3052cf205317"]}],"mendeley":{"formattedCitation":"&lt;sup&gt;81&lt;/sup&gt;","plainTextFormattedCitation":"81","previouslyFormattedCitation":"&lt;sup&gt;81&lt;/sup&gt;"},"properties":{"noteIndex":0},"schema":"https://github.com/citation-style-language/schema/raw/master/csl-citation.json"}</w:instrText>
      </w:r>
      <w:r w:rsidR="00CA4ABB" w:rsidRPr="00A71FCF">
        <w:rPr>
          <w:rFonts w:cs="Arial"/>
          <w:color w:val="000000" w:themeColor="text1"/>
          <w:szCs w:val="22"/>
        </w:rPr>
        <w:fldChar w:fldCharType="separate"/>
      </w:r>
      <w:r w:rsidR="00567FF4" w:rsidRPr="00567FF4">
        <w:rPr>
          <w:rFonts w:cs="Arial"/>
          <w:noProof/>
          <w:color w:val="000000" w:themeColor="text1"/>
          <w:szCs w:val="22"/>
          <w:vertAlign w:val="superscript"/>
        </w:rPr>
        <w:t>81</w:t>
      </w:r>
      <w:r w:rsidR="00CA4ABB" w:rsidRPr="00A71FCF">
        <w:rPr>
          <w:rFonts w:cs="Arial"/>
          <w:color w:val="000000" w:themeColor="text1"/>
          <w:szCs w:val="22"/>
        </w:rPr>
        <w:fldChar w:fldCharType="end"/>
      </w:r>
      <w:r w:rsidR="00CA4ABB" w:rsidRPr="00A71FCF">
        <w:rPr>
          <w:rFonts w:cs="Arial"/>
          <w:color w:val="000000" w:themeColor="text1"/>
          <w:szCs w:val="22"/>
        </w:rPr>
        <w:t xml:space="preserve">. Timepoint measurements extracted from a CFME reaction supplemented with a </w:t>
      </w:r>
      <w:r w:rsidR="00CA4ABB" w:rsidRPr="00A71FCF">
        <w:rPr>
          <w:rFonts w:cs="Arial"/>
          <w:color w:val="000000" w:themeColor="text1"/>
          <w:szCs w:val="22"/>
          <w:vertAlign w:val="superscript"/>
        </w:rPr>
        <w:t>13</w:t>
      </w:r>
      <w:r w:rsidR="00CA4ABB" w:rsidRPr="00A71FCF">
        <w:rPr>
          <w:rFonts w:cs="Arial"/>
          <w:color w:val="000000" w:themeColor="text1"/>
          <w:szCs w:val="22"/>
        </w:rPr>
        <w:t>C</w:t>
      </w:r>
      <w:r w:rsidR="00CA4ABB" w:rsidRPr="00A71FCF">
        <w:rPr>
          <w:rFonts w:cs="Arial"/>
          <w:color w:val="000000" w:themeColor="text1"/>
          <w:szCs w:val="22"/>
          <w:vertAlign w:val="subscript"/>
        </w:rPr>
        <w:t>6</w:t>
      </w:r>
      <w:r w:rsidR="00CA4ABB" w:rsidRPr="00A71FCF">
        <w:rPr>
          <w:rFonts w:cs="Arial"/>
          <w:color w:val="000000" w:themeColor="text1"/>
          <w:szCs w:val="22"/>
        </w:rPr>
        <w:t xml:space="preserve">-glucose substrate can thus determine the end- or by-products derived specifically from supplemented </w:t>
      </w:r>
      <w:r w:rsidR="00CA4ABB" w:rsidRPr="00A71FCF">
        <w:rPr>
          <w:rFonts w:cs="Arial"/>
          <w:color w:val="000000" w:themeColor="text1"/>
          <w:szCs w:val="22"/>
        </w:rPr>
        <w:lastRenderedPageBreak/>
        <w:t>glucose. Although this isotope tracing method is not yet commonly applied in CFME studies, it is a powerful tool for understanding metabolic conversions in lysate-based CFME systems, specifically since salt counterions (i.e., acetate and glutamate) in these reactions are also catabolized as secondary substrates</w:t>
      </w:r>
      <w:r w:rsidR="00CA4ABB"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{"citationItems":[{"id":"ITEM-1","itemData":{"DOI":"10.1126/sciadv.aaw9180","ISSN":"23752548","PMID":"31183410","abstract":"Metabolic engineering uses enzymes to produce small molecules with industrial, pharmaceutical, and energy applications. However, efforts to optimize enzymatic pathways for commercial production are limited by the throughput of assays for quantifying metabolic intermediates and end products. We developed a multiplexed method for profiling CoA-dependent pathways that uses a cysteine-terminated peptide to covalently capture CoA-bound metabolites. Captured metabolites are then rapidly separated from the complex mixture by immobilization onto arrays of self-assembled monolayers and directly quantified by SAMDI mass spectrometry. We demonstrate the throughput of the assay by characterizing the cell-free synthesis of HMG-CoA, a key intermediate in the biosynthesis of isoprenoids, collecting over 10,000 individual spectra to map more than 800 unique reaction conditions. We anticipate that our rapid and robust analytical method will accelerate efforts to engineer metabolic pathways.","author":[{"dropping-particle":"","family":"O’Kane","given":"Patrick T.","non-dropping-particle":"","parse-names":false,"suffix":""},{"dropping-particle":"","family":"Dudley","given":"Quentin M.","non-dropping-particle":"","parse-names":false,"suffix":""},{"dropping-particle":"","family":"McMillan","given":"Aislinn K.","non-dropping-particle":"","parse-names":false,"suffix":""},{"dropping-particle":"","family":"Jewett","given":"Michael C.","non-dropping-particle":"","parse-names":false,"suffix":""},{"dropping-particle":"","family":"Mrksich","given":"Milan","non-dropping-particle":"","parse-names":false,"suffix":""}],"container-title":"Science Advances","id":"ITEM-1","issue":"6","issued":{"date-parts":[["2019","6","5"]]},"page":"eaaw9180","publisher":"American Association for the Advancement of Science","title":"High-throughput mapping of CoA metabolites by SAMDI-MS to optimize the cell-free biosynthesis of HMG-CoA","type":"article-journal","volume":"5"},"uris":["http://www.mendeley.com/documents/?uuid=951da1ce-eaa8-3f39-be09-ce82c5d301fd"]}],"mendeley":{"formattedCitation":"&lt;sup&gt;49&lt;/sup&gt;","plainTextFormattedCitation":"49","previouslyFormattedCitation":"&lt;sup&gt;49&lt;/sup&gt;"},"properties":{"noteIndex":0},"schema":"https://github.com/citation-style-language/schema/raw/master/csl-citation.json"}</w:instrText>
      </w:r>
      <w:r w:rsidR="00CA4ABB" w:rsidRPr="00A71FCF">
        <w:rPr>
          <w:rFonts w:cs="Arial"/>
          <w:color w:val="000000" w:themeColor="text1"/>
          <w:szCs w:val="22"/>
        </w:rPr>
        <w:fldChar w:fldCharType="separate"/>
      </w:r>
      <w:r w:rsidR="00567FF4" w:rsidRPr="00567FF4">
        <w:rPr>
          <w:rFonts w:cs="Arial"/>
          <w:noProof/>
          <w:color w:val="000000" w:themeColor="text1"/>
          <w:szCs w:val="22"/>
          <w:vertAlign w:val="superscript"/>
        </w:rPr>
        <w:t>49</w:t>
      </w:r>
      <w:r w:rsidR="00CA4ABB" w:rsidRPr="00A71FCF">
        <w:rPr>
          <w:rFonts w:cs="Arial"/>
          <w:color w:val="000000" w:themeColor="text1"/>
          <w:szCs w:val="22"/>
        </w:rPr>
        <w:fldChar w:fldCharType="end"/>
      </w:r>
      <w:r w:rsidR="00CA4ABB" w:rsidRPr="00A71FCF">
        <w:rPr>
          <w:rFonts w:cs="Arial"/>
          <w:color w:val="000000" w:themeColor="text1"/>
          <w:szCs w:val="22"/>
        </w:rPr>
        <w:t xml:space="preserve">. Leveraging this technique can thus draw a comprehensive picture of glucose metabolism in lysates, which to this day is not completely understood. Here, the protocol details a method for nano-liquid chromatography coupled to </w:t>
      </w:r>
      <w:proofErr w:type="spellStart"/>
      <w:r w:rsidR="00CA4ABB" w:rsidRPr="00A71FCF">
        <w:rPr>
          <w:rFonts w:cs="Arial"/>
          <w:color w:val="000000" w:themeColor="text1"/>
          <w:szCs w:val="22"/>
        </w:rPr>
        <w:t>nanoelectrospray</w:t>
      </w:r>
      <w:proofErr w:type="spellEnd"/>
      <w:r w:rsidR="00CA4ABB" w:rsidRPr="00A71FCF">
        <w:rPr>
          <w:rFonts w:cs="Arial"/>
          <w:color w:val="000000" w:themeColor="text1"/>
          <w:szCs w:val="22"/>
        </w:rPr>
        <w:t xml:space="preserve"> ionization (nano ESI) MS/MS that can be used to interrogate a possible model of glucose metabolism, specifically in </w:t>
      </w:r>
      <w:r w:rsidR="00CA4ABB" w:rsidRPr="00A71FCF">
        <w:rPr>
          <w:rFonts w:cs="Arial"/>
          <w:i/>
          <w:iCs/>
          <w:color w:val="000000" w:themeColor="text1"/>
          <w:szCs w:val="22"/>
        </w:rPr>
        <w:t>E. coli</w:t>
      </w:r>
      <w:r w:rsidR="00CA4ABB" w:rsidRPr="00A71FCF">
        <w:rPr>
          <w:rFonts w:cs="Arial"/>
          <w:color w:val="000000" w:themeColor="text1"/>
          <w:szCs w:val="22"/>
        </w:rPr>
        <w:t xml:space="preserve"> lysates (</w:t>
      </w:r>
      <w:r w:rsidR="00405F98">
        <w:rPr>
          <w:rFonts w:cs="Arial"/>
          <w:b/>
          <w:bCs/>
          <w:color w:val="000000" w:themeColor="text1"/>
          <w:szCs w:val="22"/>
        </w:rPr>
        <w:t>Figure</w:t>
      </w:r>
      <w:r w:rsidR="00CA4ABB" w:rsidRPr="00A71FCF">
        <w:rPr>
          <w:rFonts w:cs="Arial"/>
          <w:b/>
          <w:bCs/>
          <w:color w:val="000000" w:themeColor="text1"/>
          <w:szCs w:val="22"/>
        </w:rPr>
        <w:t xml:space="preserve"> </w:t>
      </w:r>
      <w:r w:rsidR="0062351C">
        <w:rPr>
          <w:rFonts w:cs="Arial"/>
          <w:b/>
          <w:bCs/>
          <w:color w:val="000000" w:themeColor="text1"/>
          <w:szCs w:val="22"/>
        </w:rPr>
        <w:t>2.</w:t>
      </w:r>
      <w:r w:rsidR="00CA4ABB" w:rsidRPr="00A71FCF">
        <w:rPr>
          <w:rFonts w:cs="Arial"/>
          <w:b/>
          <w:bCs/>
          <w:color w:val="000000" w:themeColor="text1"/>
          <w:szCs w:val="22"/>
        </w:rPr>
        <w:t>1</w:t>
      </w:r>
      <w:r w:rsidR="00CA4ABB" w:rsidRPr="00A71FCF">
        <w:rPr>
          <w:rFonts w:cs="Arial"/>
          <w:color w:val="000000" w:themeColor="text1"/>
          <w:szCs w:val="22"/>
        </w:rPr>
        <w:t xml:space="preserve">). The model is based on reports of fermentative pathways and the pentose phosphate pathway being active in </w:t>
      </w:r>
      <w:r w:rsidR="00CA4ABB" w:rsidRPr="00A71FCF">
        <w:rPr>
          <w:rFonts w:cs="Arial"/>
          <w:i/>
          <w:iCs/>
          <w:color w:val="000000" w:themeColor="text1"/>
          <w:szCs w:val="22"/>
        </w:rPr>
        <w:t>E. coli</w:t>
      </w:r>
      <w:r w:rsidR="00CA4ABB" w:rsidRPr="00A71FCF">
        <w:rPr>
          <w:rFonts w:cs="Arial"/>
          <w:color w:val="000000" w:themeColor="text1"/>
          <w:szCs w:val="22"/>
        </w:rPr>
        <w:t xml:space="preserve"> lysates derived from strains grown in rich media</w:t>
      </w:r>
      <w:r w:rsidR="00CA4ABB" w:rsidRPr="00A71FCF">
        <w:rPr>
          <w:rFonts w:cs="Arial"/>
          <w:color w:val="000000" w:themeColor="text1"/>
          <w:szCs w:val="22"/>
        </w:rPr>
        <w:fldChar w:fldCharType="begin" w:fldLock="1"/>
      </w:r>
      <w:r w:rsidR="00567FF4">
        <w:rPr>
          <w:rFonts w:cs="Arial"/>
          <w:color w:val="000000" w:themeColor="text1"/>
          <w:szCs w:val="22"/>
        </w:rPr>
        <w:instrText>ADDIN CSL_CITATION {"citationItems":[{"id":"ITEM-1","itemData":{"DOI":"10.1093/synbio/ysy006","ISSN":"2397-7000","author":[{"dropping-particle":"","family":"Garcia","given":"David C","non-dropping-particle":"","parse-names":false,"suffix":""},{"dropping-particle":"","family":"Mohr","given":"Benjamin P","non-dropping-particle":"","parse-names":false,"suffix":""},{"dropping-particle":"","family":"Dovgan","given":"Jakob T","non-dropping-particle":"","parse-names":false,"suffix":""},{"dropping-particle":"","family":"Hurst","given":"Gregory B","non-dropping-particle":"","parse-names":false,"suffix":""},{"dropping-particle":"","family":"Standaert","given":"Robert F","non-dropping-particle":"","parse-names":false,"suffix":""},{"dropping-particle":"","family":"Doktycz","given":"Mitchel J","non-dropping-particle":"","parse-names":false,"suffix":""}],"container-title":"Synthetic Biology","id":"ITEM-1","issue":"1","issued":{"date-parts":[["2018","1"]]},"title":"Elucidating the potential of crude cell extracts for producing pyruvate from glucose","type":"article-journal","volume":"3"},"uris":["http://www.mendeley.com/documents/?uuid=93e10a3d-9076-4efb-9000-4a5595e16d6a"]},{"id":"ITEM-2","itemData":{"DOI":"10.1016/j.ymben.2015.09.015","ISSN":"10967184","PMID":"26428449","abstract":"Cell-free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Engineering","id":"ITEM-2","issued":{"date-parts":[["2015"]]},"page":"133-142","title":"Lysate of engineered Escherichia coli supports high-level conversion of glucose to 2,3-butanediol","type":"article-journal","volume":"32"},"uris":["http://www.mendeley.com/documents/?uuid=cb5185b2-2e9e-42b5-808e-ce918d13a7be"]},{"id":"ITEM-3","itemData":{"DOI":"10.1016/j.mec.2021.e00162","ISSN":"22140301","abstract":"Cell-free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Communications","id":"ITEM-3","issued":{"date-parts":[["2021","6","1"]]},"page":"e00162","publisher":"Elsevier B.V.","title":"A lysate proteome engineering strategy for enhancing cell-free metabolite production","type":"article-journal","volume":"12"},"uris":["http://www.mendeley.com/documents/?uuid=babcd1d7-dd2c-32bc-b636-c7ebdf6b2dd4"]},{"id":"ITEM-4","itemData":{"DOI":"10.1093/synbio/ysz027","abstract":"Engineering metabolism for the synthesis of bio-based products in non-model organisms can be challenging. One specific challenge is that biosynthetic pathways are often built from enzyme candidates sourced from diverse organisms, which can prove difficult to implement in recombinant hosts due to differences in their cellular environments (e.g. pH, cofactor balance). To address this problem, we report a cell-free synthetic biology approach for understanding metabolism in a range of environmental conditions, specifically under varied pH. The key idea is to control the pH of Escherichia coli-based cell-free systems for assessing pathway performance using enzymes sourced from organisms other than E. coli. As a model, we apply this approach to study the impact of pH on the n-butanol biosynthesis pathway derived from clostridia in E. coli lysates. Specifically, we exploit the open, cell-free reaction environment to explore pH outside the habitable range of E. coli, revealing insights into how chemical context impacts the interaction between native metabolism and heterologous enzymes. We find that the pH optimum for butanol production from acetyl-CoA is substantially lower than the optimal pH of glycolysis in E. coli-based crude lysates. In addition, pH is an essential factor to consider when activating metabolic pathways in the cell-free environment due to its effect on reaction yield or enzyme activity, the latter of which is demonstrated in this work for alcohol dehydrogenases from a range of extremophiles. Ultimately, altering metabolism through pH control will allow cell-free systems to be used in studying the metabolic state of organisms and identify suitable enzymes for pathway engineering.","author":[{"dropping-particle":"","family":"Karim","given":"Ashty S","non-dropping-particle":"","parse-names":false,"suffix":""},{"dropping-particle":"","family":"Rasor","given":"Blake J","non-dropping-particle":"","parse-names":false,"suffix":""},{"dropping-particle":"","family":"Jewett","given":"Michael C","non-dropping-particle":"","parse-names":false,"suffix":""}],"container-title":"Synthetic Biology","id":"ITEM-4","issue":"1","issued":{"date-parts":[["2020","1","1"]]},"publisher":"Oxford Academic","title":"Enhancing control of cell-free metabolism through pH modulation","type":"article-journal","volume":"5"},"uris":["http://www.mendeley.com/documents/?uuid=8088fefb-6e17-3ff6-91fc-9aaecbaf8f13"]}],"mendeley":{"formattedCitation":"&lt;sup&gt;46,72,74,78&lt;/sup&gt;","plainTextFormattedCitation":"46,72,74,78","previouslyFormattedCitation":"&lt;sup&gt;46,72,74,78&lt;/sup&gt;"},"properties":{"noteIndex":0},"schema":"https://github.com/citation-style-language/schema/raw/master/csl-citation.json"}</w:instrText>
      </w:r>
      <w:r w:rsidR="00CA4ABB" w:rsidRPr="00A71FCF">
        <w:rPr>
          <w:rFonts w:cs="Arial"/>
          <w:color w:val="000000" w:themeColor="text1"/>
          <w:szCs w:val="22"/>
        </w:rPr>
        <w:fldChar w:fldCharType="separate"/>
      </w:r>
      <w:r w:rsidR="00567FF4" w:rsidRPr="00567FF4">
        <w:rPr>
          <w:rFonts w:cs="Arial"/>
          <w:noProof/>
          <w:color w:val="000000" w:themeColor="text1"/>
          <w:szCs w:val="22"/>
          <w:vertAlign w:val="superscript"/>
        </w:rPr>
        <w:t>46,72,74,78</w:t>
      </w:r>
      <w:r w:rsidR="00CA4ABB" w:rsidRPr="00A71FCF">
        <w:rPr>
          <w:rFonts w:cs="Arial"/>
          <w:color w:val="000000" w:themeColor="text1"/>
          <w:szCs w:val="22"/>
        </w:rPr>
        <w:fldChar w:fldCharType="end"/>
      </w:r>
      <w:r w:rsidR="00CA4ABB" w:rsidRPr="00A71FCF">
        <w:rPr>
          <w:rFonts w:cs="Arial"/>
          <w:color w:val="000000" w:themeColor="text1"/>
          <w:szCs w:val="22"/>
        </w:rPr>
        <w:t>. The technique is additionally used to investigate amino acid production since</w:t>
      </w:r>
      <w:r w:rsidR="00CA4ABB" w:rsidRPr="00A71FCF">
        <w:rPr>
          <w:rFonts w:cs="Arial"/>
          <w:bCs/>
          <w:color w:val="000000" w:themeColor="text1"/>
          <w:szCs w:val="22"/>
        </w:rPr>
        <w:t xml:space="preserve"> current knowledge on amino acid anabolism from glucose in lysates is limited to a few examples such as the synthesis of aromatic amino acids</w:t>
      </w:r>
      <w:r w:rsidR="00CA4ABB" w:rsidRPr="00A71FCF">
        <w:rPr>
          <w:rFonts w:cs="Arial"/>
          <w:bCs/>
          <w:color w:val="000000" w:themeColor="text1"/>
          <w:szCs w:val="22"/>
        </w:rPr>
        <w:fldChar w:fldCharType="begin" w:fldLock="1"/>
      </w:r>
      <w:r w:rsidR="00567FF4">
        <w:rPr>
          <w:rFonts w:cs="Arial"/>
          <w:bCs/>
          <w:color w:val="000000" w:themeColor="text1"/>
          <w:szCs w:val="22"/>
        </w:rPr>
        <w:instrText>ADDIN CSL_CITATION {"citationItems":[{"id":"ITEM-1","itemData":{"DOI":"10.1021/acssynbio.9b00524","ISSN":"21615063","PMID":"33044063","abstract":"Progress in cell-free protein synthesis (CFPS) has spurred resurgent interest in engineering complex biological metabolism outside of the cell. Unlike purified enzyme systems, crude cell-free systems can be prepared for a fraction of the cost and contain endogenous cellular pathways that can be activated for biosynthesis. Endogenous activity performs essential functions in cell-free systems including substrate biosynthesis and energy regeneration; however, use of crude cell-free systems for bioproduction has been hampered by the under-described complexity of the metabolic networks inherent to a crude lysate. Physical and chemical cultivation parameters influence the endogenous activity of the resulting lysate, but targeted efforts to engineer this activity by manipulation of these nongenetic factors has been limited. Here growth medium composition was manipulated to improve the one-pot in vitro biosynthesis of phenol from glucose via the expression of Pasteurella multocida phenol-tyrosine lyase in crude E. coli lysates. Crude cell lysate metabolic activity was focused toward the limiting precursor tyrosine by targeted growth medium dropouts guided by proteomics. The result is the activation of a 25-step enzymatic reaction cascade involving at least three endogenous E. coli metabolic pathways. Additional modification of this system, through CFPS of feedback intolerant AroG improves yield. This effort demonstrates the ability to activate a long, complex pathway in vitro and provides a framework for harnessing the metabolic potential of diverse organisms for cell-free metabolic engineering. The more than 6-fold increase in phenol yield with limited genetic manipulation demonstrates the benefits of optimizing growth medium for crude cell-free extract production and illustrates the advantages of a systems approach to cell-free metabolic engineering.","author":[{"dropping-particle":"","family":"Mohr","given":"Benjamin","non-dropping-particle":"","parse-names":false,"suffix":""},{"dropping-particle":"","family":"Giannone","given":"Richard J.","non-dropping-particle":"","parse-names":false,"suffix":""},{"dropping-particle":"","family":"Hettich","given":"Robert L.","non-dropping-particle":"","parse-names":false,"suffix":""},{"dropping-particle":"","family":"Doktycz","given":"Mitchel J.","non-dropping-particle":"","parse-names":false,"suffix":""}],"container-title":"ACS Synthetic Biology","id":"ITEM-1","issue":"11","issued":{"date-parts":[["2020","11","20"]]},"page":"2986-2997","publisher":"American Chemical Society","title":"Targeted growth medium dropouts promote aromatic compound synthesis in crude E. Coli cell-free systems","type":"article-journal","volume":"9"},"uris":["http://www.mendeley.com/documents/?uuid=5056c735-c966-306b-80ed-9bbc3ce44183"]}],"mendeley":{"formattedCitation":"&lt;sup&gt;73&lt;/sup&gt;","plainTextFormattedCitation":"73","previouslyFormattedCitation":"&lt;sup&gt;73&lt;/sup&gt;"},"properties":{"noteIndex":0},"schema":"https://github.com/citation-style-language/schema/raw/master/csl-citation.json"}</w:instrText>
      </w:r>
      <w:r w:rsidR="00CA4ABB" w:rsidRPr="00A71FCF">
        <w:rPr>
          <w:rFonts w:cs="Arial"/>
          <w:bCs/>
          <w:color w:val="000000" w:themeColor="text1"/>
          <w:szCs w:val="22"/>
        </w:rPr>
        <w:fldChar w:fldCharType="separate"/>
      </w:r>
      <w:r w:rsidR="00567FF4" w:rsidRPr="00567FF4">
        <w:rPr>
          <w:rFonts w:cs="Arial"/>
          <w:bCs/>
          <w:noProof/>
          <w:color w:val="000000" w:themeColor="text1"/>
          <w:szCs w:val="22"/>
          <w:vertAlign w:val="superscript"/>
        </w:rPr>
        <w:t>73</w:t>
      </w:r>
      <w:r w:rsidR="00CA4ABB" w:rsidRPr="00A71FCF">
        <w:rPr>
          <w:rFonts w:cs="Arial"/>
          <w:bCs/>
          <w:color w:val="000000" w:themeColor="text1"/>
          <w:szCs w:val="22"/>
        </w:rPr>
        <w:fldChar w:fldCharType="end"/>
      </w:r>
      <w:r w:rsidR="00CA4ABB" w:rsidRPr="00A71FCF">
        <w:rPr>
          <w:rFonts w:cs="Arial"/>
          <w:bCs/>
          <w:color w:val="000000" w:themeColor="text1"/>
          <w:szCs w:val="22"/>
        </w:rPr>
        <w:t xml:space="preserve">. Given the mostly polar nature of end-products and intermediates in these pathways (i.e., organic acids, sugar phosphates, and amino acids), reverse-phased liquid chromatography was utilized here.  This technique separates polar compounds by elution from a nonpolar stationary phase. These compounds were then ionized by nano ESI in negative ion mode which permits the detection of analytes with at least one negative elementary charge and is thus useful for detecting acidic compounds. This technique is employed here to analyze glucose-derived </w:t>
      </w:r>
      <w:r w:rsidR="00CA4ABB" w:rsidRPr="00A71FCF">
        <w:rPr>
          <w:rFonts w:cs="Arial"/>
          <w:bCs/>
          <w:color w:val="000000" w:themeColor="text1"/>
          <w:szCs w:val="22"/>
          <w:vertAlign w:val="superscript"/>
        </w:rPr>
        <w:t>13</w:t>
      </w:r>
      <w:r w:rsidR="00CA4ABB" w:rsidRPr="00A71FCF">
        <w:rPr>
          <w:rFonts w:cs="Arial"/>
          <w:bCs/>
          <w:color w:val="000000" w:themeColor="text1"/>
          <w:szCs w:val="22"/>
        </w:rPr>
        <w:t xml:space="preserve">C-incorporating metabolites and demonstrates the utility of LC-MS/MS for understanding glucose metabolism in lysates. </w:t>
      </w:r>
    </w:p>
    <w:p w14:paraId="01B0A3B9" w14:textId="77777777" w:rsidR="00A71FCF" w:rsidRPr="00A71FCF" w:rsidRDefault="00A71FCF" w:rsidP="0008141D">
      <w:pPr>
        <w:contextualSpacing/>
        <w:rPr>
          <w:rFonts w:cs="Arial"/>
          <w:bCs/>
          <w:color w:val="000000" w:themeColor="text1"/>
          <w:szCs w:val="22"/>
        </w:rPr>
      </w:pPr>
    </w:p>
    <w:p w14:paraId="4FB65CEA" w14:textId="77777777" w:rsidR="001C360A" w:rsidRDefault="001C360A">
      <w:pPr>
        <w:spacing w:line="240" w:lineRule="auto"/>
        <w:jc w:val="left"/>
        <w:rPr>
          <w:rFonts w:eastAsia="Times New Roman" w:cs="Arial"/>
          <w:b/>
          <w:bCs/>
          <w:color w:val="000000"/>
          <w:sz w:val="28"/>
          <w:szCs w:val="28"/>
          <w:lang w:val="en-US"/>
        </w:rPr>
      </w:pPr>
      <w:bookmarkStart w:id="11" w:name="_Toc129701005"/>
      <w:r>
        <w:br w:type="page"/>
      </w:r>
    </w:p>
    <w:p w14:paraId="0F89EEE8" w14:textId="7A134120" w:rsidR="003D3681" w:rsidRPr="005D07D6" w:rsidRDefault="003E5AE9" w:rsidP="006C5A5B">
      <w:pPr>
        <w:pStyle w:val="ChapterHeading"/>
        <w:rPr>
          <w:color w:val="000000" w:themeColor="text1"/>
        </w:rPr>
      </w:pPr>
      <w:r w:rsidRPr="003E5AE9">
        <w:lastRenderedPageBreak/>
        <w:t>2.3</w:t>
      </w:r>
      <w:r w:rsidR="008E289D">
        <w:t>.</w:t>
      </w:r>
      <w:r w:rsidRPr="003E5AE9">
        <w:t xml:space="preserve"> </w:t>
      </w:r>
      <w:r w:rsidR="008E1BDB">
        <w:t>Methods</w:t>
      </w:r>
      <w:bookmarkEnd w:id="11"/>
    </w:p>
    <w:p w14:paraId="2175B8C1" w14:textId="06289BB8" w:rsidR="003D3681" w:rsidRPr="003D5F1E" w:rsidRDefault="00385A2E" w:rsidP="00E033D4">
      <w:pPr>
        <w:pStyle w:val="ChapterSub-heading"/>
      </w:pPr>
      <w:bookmarkStart w:id="12" w:name="_Toc129701006"/>
      <w:r>
        <w:t>2.3.</w:t>
      </w:r>
      <w:r w:rsidR="003D3681" w:rsidRPr="00A71FCF">
        <w:t>1. Starting, stopping, and processing time course CFME reactions for HPLC-RID quantification</w:t>
      </w:r>
      <w:bookmarkEnd w:id="12"/>
      <w:r w:rsidR="003D3681" w:rsidRPr="00A71FCF">
        <w:t xml:space="preserve"> </w:t>
      </w:r>
    </w:p>
    <w:p w14:paraId="31F520A7" w14:textId="6FCF6F9F" w:rsidR="00385A2E" w:rsidRDefault="003D3681" w:rsidP="00BC6126">
      <w:pPr>
        <w:pStyle w:val="NormalParagraph"/>
        <w:numPr>
          <w:ilvl w:val="0"/>
          <w:numId w:val="15"/>
        </w:numPr>
      </w:pPr>
      <w:r w:rsidRPr="00A71FCF">
        <w:t xml:space="preserve">Thaw previously prepared </w:t>
      </w:r>
      <w:r w:rsidRPr="00A71FCF">
        <w:rPr>
          <w:i/>
          <w:iCs/>
        </w:rPr>
        <w:t>E. coli</w:t>
      </w:r>
      <w:r w:rsidRPr="00A71FCF">
        <w:t xml:space="preserve"> lysates and prepare the rest of the reaction components on ice.</w:t>
      </w:r>
      <w:r w:rsidR="00385A2E">
        <w:t xml:space="preserve"> </w:t>
      </w:r>
      <w:r w:rsidRPr="00385A2E">
        <w:t xml:space="preserve">NOTE: The lysates reported here were derived from </w:t>
      </w:r>
      <w:r w:rsidRPr="00385A2E">
        <w:rPr>
          <w:i/>
          <w:iCs/>
        </w:rPr>
        <w:t xml:space="preserve">E. coli </w:t>
      </w:r>
      <w:r w:rsidRPr="00385A2E">
        <w:t xml:space="preserve">BL21DE3-Star grown in 2xYPTG (1.8 % glucose) media to mid-log phase. </w:t>
      </w:r>
    </w:p>
    <w:p w14:paraId="3D7B26FA" w14:textId="77777777" w:rsidR="00385A2E" w:rsidRDefault="003D3681" w:rsidP="00385A2E">
      <w:pPr>
        <w:pStyle w:val="ListParagraph"/>
        <w:widowControl w:val="0"/>
        <w:numPr>
          <w:ilvl w:val="1"/>
          <w:numId w:val="15"/>
        </w:numPr>
        <w:spacing w:after="0" w:line="480" w:lineRule="auto"/>
        <w:rPr>
          <w:rFonts w:cs="Arial"/>
          <w:color w:val="000000" w:themeColor="text1"/>
        </w:rPr>
      </w:pPr>
      <w:r w:rsidRPr="00385A2E">
        <w:rPr>
          <w:rFonts w:cs="Arial"/>
          <w:color w:val="000000" w:themeColor="text1"/>
        </w:rPr>
        <w:t xml:space="preserve">Prepare an appropriate volume of filter-sterilized (0.20 </w:t>
      </w:r>
      <w:proofErr w:type="spellStart"/>
      <w:r w:rsidRPr="00385A2E">
        <w:rPr>
          <w:rFonts w:cs="Arial"/>
          <w:color w:val="000000" w:themeColor="text1"/>
        </w:rPr>
        <w:t>μm</w:t>
      </w:r>
      <w:proofErr w:type="spellEnd"/>
      <w:r w:rsidRPr="00385A2E">
        <w:rPr>
          <w:rFonts w:cs="Arial"/>
          <w:color w:val="000000" w:themeColor="text1"/>
        </w:rPr>
        <w:t xml:space="preserve"> pore filter) S30 buffer (1 M Tris-</w:t>
      </w:r>
      <w:proofErr w:type="spellStart"/>
      <w:r w:rsidRPr="00385A2E">
        <w:rPr>
          <w:rFonts w:cs="Arial"/>
          <w:color w:val="000000" w:themeColor="text1"/>
        </w:rPr>
        <w:t>OAc</w:t>
      </w:r>
      <w:proofErr w:type="spellEnd"/>
      <w:r w:rsidRPr="00385A2E">
        <w:rPr>
          <w:rFonts w:cs="Arial"/>
          <w:color w:val="000000" w:themeColor="text1"/>
        </w:rPr>
        <w:t xml:space="preserve"> adjusted to pH 8.2 with glacial acetic acid, 1.4 M </w:t>
      </w:r>
      <w:proofErr w:type="gramStart"/>
      <w:r w:rsidRPr="00385A2E">
        <w:rPr>
          <w:rFonts w:cs="Arial"/>
          <w:color w:val="000000" w:themeColor="text1"/>
        </w:rPr>
        <w:t>Mg(</w:t>
      </w:r>
      <w:proofErr w:type="spellStart"/>
      <w:proofErr w:type="gramEnd"/>
      <w:r w:rsidRPr="00385A2E">
        <w:rPr>
          <w:rFonts w:cs="Arial"/>
          <w:color w:val="000000" w:themeColor="text1"/>
        </w:rPr>
        <w:t>OAc</w:t>
      </w:r>
      <w:proofErr w:type="spellEnd"/>
      <w:r w:rsidRPr="00385A2E">
        <w:rPr>
          <w:rFonts w:cs="Arial"/>
          <w:color w:val="000000" w:themeColor="text1"/>
        </w:rPr>
        <w:t>)</w:t>
      </w:r>
      <w:r w:rsidRPr="00385A2E">
        <w:rPr>
          <w:rFonts w:cs="Arial"/>
          <w:color w:val="000000" w:themeColor="text1"/>
          <w:vertAlign w:val="subscript"/>
        </w:rPr>
        <w:t>2</w:t>
      </w:r>
      <w:r w:rsidRPr="00385A2E">
        <w:rPr>
          <w:rFonts w:cs="Arial"/>
          <w:color w:val="000000" w:themeColor="text1"/>
        </w:rPr>
        <w:t xml:space="preserve">, and 6 M </w:t>
      </w:r>
      <w:proofErr w:type="spellStart"/>
      <w:r w:rsidRPr="00385A2E">
        <w:rPr>
          <w:rFonts w:cs="Arial"/>
          <w:color w:val="000000" w:themeColor="text1"/>
        </w:rPr>
        <w:t>KOAc</w:t>
      </w:r>
      <w:proofErr w:type="spellEnd"/>
      <w:r w:rsidRPr="00385A2E">
        <w:rPr>
          <w:rFonts w:cs="Arial"/>
          <w:color w:val="000000" w:themeColor="text1"/>
        </w:rPr>
        <w:t>).</w:t>
      </w:r>
    </w:p>
    <w:p w14:paraId="23A89FFC" w14:textId="77777777" w:rsidR="00385A2E" w:rsidRPr="00385A2E" w:rsidRDefault="003D3681" w:rsidP="0008141D">
      <w:pPr>
        <w:pStyle w:val="ListParagraph"/>
        <w:widowControl w:val="0"/>
        <w:numPr>
          <w:ilvl w:val="1"/>
          <w:numId w:val="15"/>
        </w:numPr>
        <w:spacing w:after="0" w:line="480" w:lineRule="auto"/>
        <w:rPr>
          <w:rFonts w:cs="Arial"/>
          <w:color w:val="000000" w:themeColor="text1"/>
        </w:rPr>
      </w:pPr>
      <w:r w:rsidRPr="00385A2E">
        <w:rPr>
          <w:rFonts w:cs="Arial"/>
          <w:color w:val="000000" w:themeColor="text1"/>
        </w:rPr>
        <w:t>Prepare an energy mix containing glucose, glutamate salts, ATP, Coenzyme A, NAD+, Bis-</w:t>
      </w:r>
      <w:proofErr w:type="gramStart"/>
      <w:r w:rsidRPr="00385A2E">
        <w:rPr>
          <w:rFonts w:cs="Arial"/>
          <w:color w:val="000000" w:themeColor="text1"/>
        </w:rPr>
        <w:t>Tris</w:t>
      </w:r>
      <w:proofErr w:type="gramEnd"/>
      <w:r w:rsidRPr="00385A2E">
        <w:rPr>
          <w:rFonts w:cs="Arial"/>
          <w:color w:val="000000" w:themeColor="text1"/>
        </w:rPr>
        <w:t xml:space="preserve"> buffer, and dipotassium phosphate in the S30 buffer. Final concentrations in the desired reaction volume used to prepare CFME reactions here were </w:t>
      </w:r>
      <w:r w:rsidRPr="00385A2E">
        <w:rPr>
          <w:rFonts w:eastAsia="Times New Roman" w:cs="Arial"/>
          <w:color w:val="000000" w:themeColor="text1"/>
        </w:rPr>
        <w:t>100 ​mM glucose, 18 ​mM magnesium glutamate, 15 ​mM ammonium glutamate, 195 ​mM potassium glutamate, 1 ​mM ATP, 0.2 ​mM Coenzyme A, 1 ​mM NAD</w:t>
      </w:r>
      <w:r w:rsidRPr="00385A2E">
        <w:rPr>
          <w:rFonts w:eastAsia="Times New Roman" w:cs="Arial"/>
          <w:color w:val="000000" w:themeColor="text1"/>
          <w:vertAlign w:val="superscript"/>
        </w:rPr>
        <w:t>+</w:t>
      </w:r>
      <w:r w:rsidRPr="00385A2E">
        <w:rPr>
          <w:rFonts w:eastAsia="Times New Roman" w:cs="Arial"/>
          <w:color w:val="000000" w:themeColor="text1"/>
        </w:rPr>
        <w:t>, 150 ​mM Bis-Tris, and 10 ​mM dipotassium phosphate.</w:t>
      </w:r>
    </w:p>
    <w:p w14:paraId="7FAE6FB1" w14:textId="77777777" w:rsidR="00385A2E" w:rsidRDefault="003D3681" w:rsidP="0008141D">
      <w:pPr>
        <w:pStyle w:val="ListParagraph"/>
        <w:widowControl w:val="0"/>
        <w:numPr>
          <w:ilvl w:val="0"/>
          <w:numId w:val="15"/>
        </w:numPr>
        <w:spacing w:after="0" w:line="480" w:lineRule="auto"/>
        <w:rPr>
          <w:rFonts w:cs="Arial"/>
          <w:color w:val="000000" w:themeColor="text1"/>
        </w:rPr>
      </w:pPr>
      <w:r w:rsidRPr="00385A2E">
        <w:rPr>
          <w:rFonts w:cs="Arial"/>
          <w:color w:val="000000" w:themeColor="text1"/>
        </w:rPr>
        <w:t xml:space="preserve">Combine the components in 1.5 mL microcentrifuge tubes to prepare final reactions with 4.5 mg/mL of total lysate protein. Here, CFME reactions were prepared with final volumes of 50 </w:t>
      </w:r>
      <w:proofErr w:type="spellStart"/>
      <w:r w:rsidRPr="00385A2E">
        <w:rPr>
          <w:rFonts w:cs="Arial"/>
          <w:color w:val="000000" w:themeColor="text1"/>
        </w:rPr>
        <w:t>μL</w:t>
      </w:r>
      <w:proofErr w:type="spellEnd"/>
      <w:r w:rsidRPr="00385A2E">
        <w:rPr>
          <w:rFonts w:cs="Arial"/>
          <w:color w:val="000000" w:themeColor="text1"/>
        </w:rPr>
        <w:t xml:space="preserve"> in triplicate per timepoint. Incubate the reactions at 37 °C for their respective timeframes.</w:t>
      </w:r>
      <w:r w:rsidR="00385A2E">
        <w:rPr>
          <w:rFonts w:cs="Arial"/>
          <w:color w:val="000000" w:themeColor="text1"/>
        </w:rPr>
        <w:t xml:space="preserve"> </w:t>
      </w:r>
      <w:r w:rsidRPr="00385A2E">
        <w:rPr>
          <w:rFonts w:cs="Arial"/>
          <w:color w:val="000000" w:themeColor="text1"/>
        </w:rPr>
        <w:t xml:space="preserve">NOTE: Work fast and add lysate as the final component of the reaction mix to prevent premature metabolic reactions with glucose and glutamate salts. Minimal glucose consumption can occur depending on how long reaction mixes are incubated on ice. </w:t>
      </w:r>
    </w:p>
    <w:p w14:paraId="2A463CB8" w14:textId="77777777" w:rsidR="00385A2E" w:rsidRDefault="003D3681" w:rsidP="00385A2E">
      <w:pPr>
        <w:pStyle w:val="ListParagraph"/>
        <w:widowControl w:val="0"/>
        <w:numPr>
          <w:ilvl w:val="0"/>
          <w:numId w:val="15"/>
        </w:numPr>
        <w:spacing w:after="0" w:line="480" w:lineRule="auto"/>
        <w:rPr>
          <w:rFonts w:cs="Arial"/>
          <w:color w:val="000000" w:themeColor="text1"/>
        </w:rPr>
      </w:pPr>
      <w:r w:rsidRPr="00385A2E">
        <w:rPr>
          <w:rFonts w:cs="Arial"/>
          <w:color w:val="000000" w:themeColor="text1"/>
        </w:rPr>
        <w:t>Terminate the reactions and process the samples for HPLC-RID analysis.</w:t>
      </w:r>
    </w:p>
    <w:p w14:paraId="611AAE97" w14:textId="77777777" w:rsidR="00385A2E" w:rsidRDefault="003D3681" w:rsidP="00385A2E">
      <w:pPr>
        <w:pStyle w:val="ListParagraph"/>
        <w:widowControl w:val="0"/>
        <w:numPr>
          <w:ilvl w:val="1"/>
          <w:numId w:val="15"/>
        </w:numPr>
        <w:spacing w:after="0" w:line="480" w:lineRule="auto"/>
        <w:rPr>
          <w:rFonts w:cs="Arial"/>
          <w:color w:val="000000" w:themeColor="text1"/>
        </w:rPr>
      </w:pPr>
      <w:r w:rsidRPr="00385A2E">
        <w:rPr>
          <w:rFonts w:cs="Arial"/>
          <w:color w:val="000000" w:themeColor="text1"/>
        </w:rPr>
        <w:t xml:space="preserve">To terminate the triplicate reactions at their appropriate time points, immediately add an equal volume of 5% trichloroacetic acid to each sample’s final reaction volume (i.e., 50 </w:t>
      </w:r>
      <w:proofErr w:type="spellStart"/>
      <w:r w:rsidRPr="00385A2E">
        <w:rPr>
          <w:rFonts w:cs="Arial"/>
          <w:color w:val="000000" w:themeColor="text1"/>
        </w:rPr>
        <w:t>μL</w:t>
      </w:r>
      <w:proofErr w:type="spellEnd"/>
      <w:r w:rsidRPr="00385A2E">
        <w:rPr>
          <w:rFonts w:cs="Arial"/>
          <w:color w:val="000000" w:themeColor="text1"/>
        </w:rPr>
        <w:t xml:space="preserve"> of 5% trichloroacetic acid to a 50 </w:t>
      </w:r>
      <w:proofErr w:type="spellStart"/>
      <w:r w:rsidRPr="00385A2E">
        <w:rPr>
          <w:rFonts w:cs="Arial"/>
          <w:color w:val="000000" w:themeColor="text1"/>
        </w:rPr>
        <w:t>μL</w:t>
      </w:r>
      <w:proofErr w:type="spellEnd"/>
      <w:r w:rsidRPr="00385A2E">
        <w:rPr>
          <w:rFonts w:cs="Arial"/>
          <w:color w:val="000000" w:themeColor="text1"/>
        </w:rPr>
        <w:t xml:space="preserve"> reaction). Dilute each sample with sterile water at 2x the reaction volume (i.e., 100 </w:t>
      </w:r>
      <w:proofErr w:type="spellStart"/>
      <w:r w:rsidRPr="00385A2E">
        <w:rPr>
          <w:rFonts w:cs="Arial"/>
          <w:color w:val="000000" w:themeColor="text1"/>
        </w:rPr>
        <w:t>μL</w:t>
      </w:r>
      <w:proofErr w:type="spellEnd"/>
      <w:r w:rsidRPr="00385A2E">
        <w:rPr>
          <w:rFonts w:cs="Arial"/>
          <w:color w:val="000000" w:themeColor="text1"/>
        </w:rPr>
        <w:t xml:space="preserve">). </w:t>
      </w:r>
    </w:p>
    <w:p w14:paraId="47BD2EA6" w14:textId="77777777" w:rsidR="00385A2E" w:rsidRDefault="003D3681" w:rsidP="00385A2E">
      <w:pPr>
        <w:pStyle w:val="ListParagraph"/>
        <w:widowControl w:val="0"/>
        <w:numPr>
          <w:ilvl w:val="1"/>
          <w:numId w:val="15"/>
        </w:numPr>
        <w:spacing w:after="0" w:line="480" w:lineRule="auto"/>
        <w:rPr>
          <w:rFonts w:cs="Arial"/>
          <w:color w:val="000000" w:themeColor="text1"/>
        </w:rPr>
      </w:pPr>
      <w:r w:rsidRPr="00385A2E">
        <w:rPr>
          <w:rFonts w:cs="Arial"/>
          <w:color w:val="000000" w:themeColor="text1"/>
        </w:rPr>
        <w:lastRenderedPageBreak/>
        <w:t xml:space="preserve">To recapitulate time zero, mix the same volume of 5% trichloroacetic acid as the total final reaction volume (i.e., 50 </w:t>
      </w:r>
      <w:proofErr w:type="spellStart"/>
      <w:r w:rsidRPr="00385A2E">
        <w:rPr>
          <w:rFonts w:cs="Arial"/>
          <w:color w:val="000000" w:themeColor="text1"/>
        </w:rPr>
        <w:t>μL</w:t>
      </w:r>
      <w:proofErr w:type="spellEnd"/>
      <w:r w:rsidRPr="00385A2E">
        <w:rPr>
          <w:rFonts w:cs="Arial"/>
          <w:color w:val="000000" w:themeColor="text1"/>
        </w:rPr>
        <w:t xml:space="preserve">) with the lysate prior to adding the rest of the reaction components. This acidification step precipitates lysate enzymes before they significantly metabolize glucose. </w:t>
      </w:r>
    </w:p>
    <w:p w14:paraId="0628DE29" w14:textId="77777777" w:rsidR="00385A2E" w:rsidRDefault="003D3681" w:rsidP="00385A2E">
      <w:pPr>
        <w:pStyle w:val="ListParagraph"/>
        <w:widowControl w:val="0"/>
        <w:numPr>
          <w:ilvl w:val="1"/>
          <w:numId w:val="15"/>
        </w:numPr>
        <w:spacing w:after="0" w:line="480" w:lineRule="auto"/>
        <w:rPr>
          <w:rFonts w:cs="Arial"/>
          <w:color w:val="000000" w:themeColor="text1"/>
        </w:rPr>
      </w:pPr>
      <w:r w:rsidRPr="00385A2E">
        <w:rPr>
          <w:rFonts w:cs="Arial"/>
          <w:color w:val="000000" w:themeColor="text1"/>
        </w:rPr>
        <w:t xml:space="preserve">Vortex the samples and centrifuge on a benchtop microcentrifuge at 11,600 x </w:t>
      </w:r>
      <w:r w:rsidRPr="00385A2E">
        <w:rPr>
          <w:rFonts w:cs="Arial"/>
          <w:i/>
          <w:iCs/>
          <w:color w:val="000000" w:themeColor="text1"/>
        </w:rPr>
        <w:t>g</w:t>
      </w:r>
      <w:r w:rsidRPr="00385A2E">
        <w:rPr>
          <w:rFonts w:cs="Arial"/>
          <w:color w:val="000000" w:themeColor="text1"/>
        </w:rPr>
        <w:t xml:space="preserve"> for 5 min and transfer supernatants containing the organic analytes to clean tubes. Store the samples at -20 °C if HPLC analyses are to be conducted on a different day. Ensure to thaw the stored samples on ice before proceeding to the next step.</w:t>
      </w:r>
    </w:p>
    <w:p w14:paraId="245C1619" w14:textId="77777777" w:rsidR="00385A2E" w:rsidRDefault="003D3681" w:rsidP="00385A2E">
      <w:pPr>
        <w:pStyle w:val="ListParagraph"/>
        <w:widowControl w:val="0"/>
        <w:numPr>
          <w:ilvl w:val="1"/>
          <w:numId w:val="15"/>
        </w:numPr>
        <w:spacing w:after="0" w:line="480" w:lineRule="auto"/>
        <w:rPr>
          <w:rFonts w:cs="Arial"/>
          <w:color w:val="000000" w:themeColor="text1"/>
        </w:rPr>
      </w:pPr>
      <w:r w:rsidRPr="00385A2E">
        <w:rPr>
          <w:rFonts w:cs="Arial"/>
          <w:color w:val="000000" w:themeColor="text1"/>
        </w:rPr>
        <w:t xml:space="preserve">Filter each supernatant with a 0.22 µm pore filter. As an alternative to syringes, use centrifuge tube filters and centrifuge the supernatants at 16,300 x </w:t>
      </w:r>
      <w:r w:rsidRPr="00385A2E">
        <w:rPr>
          <w:rFonts w:cs="Arial"/>
          <w:i/>
          <w:iCs/>
          <w:color w:val="000000" w:themeColor="text1"/>
        </w:rPr>
        <w:t>g</w:t>
      </w:r>
      <w:r w:rsidRPr="00385A2E">
        <w:rPr>
          <w:rFonts w:cs="Arial"/>
          <w:color w:val="000000" w:themeColor="text1"/>
        </w:rPr>
        <w:t xml:space="preserve"> for 1 min. </w:t>
      </w:r>
    </w:p>
    <w:p w14:paraId="6A7EF1ED" w14:textId="77777777" w:rsidR="00385A2E" w:rsidRDefault="003D3681" w:rsidP="0008141D">
      <w:pPr>
        <w:pStyle w:val="ListParagraph"/>
        <w:widowControl w:val="0"/>
        <w:numPr>
          <w:ilvl w:val="1"/>
          <w:numId w:val="15"/>
        </w:numPr>
        <w:spacing w:after="0" w:line="480" w:lineRule="auto"/>
        <w:rPr>
          <w:rFonts w:cs="Arial"/>
          <w:color w:val="000000" w:themeColor="text1"/>
        </w:rPr>
      </w:pPr>
      <w:r w:rsidRPr="00385A2E">
        <w:rPr>
          <w:rFonts w:cs="Arial"/>
          <w:color w:val="000000" w:themeColor="text1"/>
        </w:rPr>
        <w:t>Transfer each filtrate to a clean HPLC glass vial. Load vials onto the HPLC autosampler tray.</w:t>
      </w:r>
    </w:p>
    <w:p w14:paraId="3FE14CCE" w14:textId="77777777" w:rsidR="00385A2E" w:rsidRDefault="003D3681" w:rsidP="00385A2E">
      <w:pPr>
        <w:pStyle w:val="ListParagraph"/>
        <w:widowControl w:val="0"/>
        <w:numPr>
          <w:ilvl w:val="0"/>
          <w:numId w:val="15"/>
        </w:numPr>
        <w:spacing w:after="0" w:line="480" w:lineRule="auto"/>
        <w:rPr>
          <w:rFonts w:cs="Arial"/>
          <w:color w:val="000000" w:themeColor="text1"/>
        </w:rPr>
      </w:pPr>
      <w:r w:rsidRPr="00385A2E">
        <w:rPr>
          <w:rFonts w:cs="Arial"/>
          <w:color w:val="000000" w:themeColor="text1"/>
        </w:rPr>
        <w:t>Prepare samples for standard curve generation.</w:t>
      </w:r>
    </w:p>
    <w:p w14:paraId="0B8CB808" w14:textId="77777777" w:rsidR="00385A2E" w:rsidRDefault="003D3681" w:rsidP="00385A2E">
      <w:pPr>
        <w:pStyle w:val="ListParagraph"/>
        <w:widowControl w:val="0"/>
        <w:numPr>
          <w:ilvl w:val="1"/>
          <w:numId w:val="15"/>
        </w:numPr>
        <w:spacing w:after="0" w:line="480" w:lineRule="auto"/>
        <w:rPr>
          <w:rFonts w:cs="Arial"/>
          <w:color w:val="000000" w:themeColor="text1"/>
        </w:rPr>
      </w:pPr>
      <w:r w:rsidRPr="00385A2E">
        <w:rPr>
          <w:rFonts w:cs="Arial"/>
          <w:color w:val="000000" w:themeColor="text1"/>
        </w:rPr>
        <w:t xml:space="preserve">Prepare a stock solution of all target analytes dissolved in S30 buffer at equimolar amounts above the starting concentration of glucose in the CFME reactions. Here, a stock solution consisting of 150 µM glucose, succinate, lactate, </w:t>
      </w:r>
      <w:proofErr w:type="spellStart"/>
      <w:r w:rsidRPr="00385A2E">
        <w:rPr>
          <w:rFonts w:cs="Arial"/>
          <w:color w:val="000000" w:themeColor="text1"/>
        </w:rPr>
        <w:t>formate</w:t>
      </w:r>
      <w:proofErr w:type="spellEnd"/>
      <w:r w:rsidRPr="00385A2E">
        <w:rPr>
          <w:rFonts w:cs="Arial"/>
          <w:color w:val="000000" w:themeColor="text1"/>
        </w:rPr>
        <w:t xml:space="preserve">, acetate, and ethanol, was prepared. Perform 1:1 (v/v) serial dilutions from the stock solution to obtain triplicate 50 </w:t>
      </w:r>
      <w:proofErr w:type="spellStart"/>
      <w:r w:rsidRPr="00385A2E">
        <w:rPr>
          <w:rFonts w:cs="Arial"/>
          <w:color w:val="000000" w:themeColor="text1"/>
        </w:rPr>
        <w:t>μL</w:t>
      </w:r>
      <w:proofErr w:type="spellEnd"/>
      <w:r w:rsidRPr="00385A2E">
        <w:rPr>
          <w:rFonts w:cs="Arial"/>
          <w:color w:val="000000" w:themeColor="text1"/>
        </w:rPr>
        <w:t xml:space="preserve"> solutions with final concentrations ranging from 0 µM to the stock concentration (i.e., 150 µM).</w:t>
      </w:r>
    </w:p>
    <w:p w14:paraId="048B6AD3" w14:textId="3832CC8E" w:rsidR="00385A2E" w:rsidRDefault="003D3681" w:rsidP="00385A2E">
      <w:pPr>
        <w:pStyle w:val="ListParagraph"/>
        <w:widowControl w:val="0"/>
        <w:numPr>
          <w:ilvl w:val="1"/>
          <w:numId w:val="15"/>
        </w:numPr>
        <w:spacing w:after="0" w:line="480" w:lineRule="auto"/>
        <w:rPr>
          <w:rFonts w:cs="Arial"/>
          <w:color w:val="000000" w:themeColor="text1"/>
        </w:rPr>
      </w:pPr>
      <w:r w:rsidRPr="00385A2E">
        <w:rPr>
          <w:rFonts w:cs="Arial"/>
          <w:color w:val="000000" w:themeColor="text1"/>
        </w:rPr>
        <w:t xml:space="preserve">Dilute each solution with 50 </w:t>
      </w:r>
      <w:proofErr w:type="spellStart"/>
      <w:r w:rsidRPr="00385A2E">
        <w:rPr>
          <w:rFonts w:cs="Arial"/>
          <w:color w:val="000000" w:themeColor="text1"/>
        </w:rPr>
        <w:t>μL</w:t>
      </w:r>
      <w:proofErr w:type="spellEnd"/>
      <w:r w:rsidRPr="00385A2E">
        <w:rPr>
          <w:rFonts w:cs="Arial"/>
          <w:color w:val="000000" w:themeColor="text1"/>
        </w:rPr>
        <w:t xml:space="preserve"> of 5% trichloroacetic acid and 100 </w:t>
      </w:r>
      <w:proofErr w:type="spellStart"/>
      <w:r w:rsidRPr="00385A2E">
        <w:rPr>
          <w:rFonts w:cs="Arial"/>
          <w:color w:val="000000" w:themeColor="text1"/>
        </w:rPr>
        <w:t>μL</w:t>
      </w:r>
      <w:proofErr w:type="spellEnd"/>
      <w:r w:rsidRPr="00385A2E">
        <w:rPr>
          <w:rFonts w:cs="Arial"/>
          <w:color w:val="000000" w:themeColor="text1"/>
        </w:rPr>
        <w:t xml:space="preserve"> of sterile water. Repeat steps 3.4–3.5</w:t>
      </w:r>
      <w:r w:rsidR="00385A2E">
        <w:rPr>
          <w:rFonts w:cs="Arial"/>
          <w:color w:val="000000" w:themeColor="text1"/>
        </w:rPr>
        <w:t xml:space="preserve">. </w:t>
      </w:r>
      <w:r w:rsidRPr="00385A2E">
        <w:rPr>
          <w:rFonts w:cs="Arial"/>
          <w:color w:val="000000" w:themeColor="text1"/>
        </w:rPr>
        <w:t>NOTE: It is good practice to run solutions for standard curve generation with each batch of samples to ensure accurate quantification of metabolite concentrations.</w:t>
      </w:r>
    </w:p>
    <w:p w14:paraId="0FDE2274" w14:textId="73E19AB5" w:rsidR="00E033D4" w:rsidRDefault="00E033D4" w:rsidP="00E033D4">
      <w:pPr>
        <w:pStyle w:val="ListParagraph"/>
        <w:widowControl w:val="0"/>
        <w:spacing w:after="0" w:line="480" w:lineRule="auto"/>
        <w:ind w:left="792"/>
        <w:rPr>
          <w:rFonts w:cs="Arial"/>
          <w:color w:val="000000" w:themeColor="text1"/>
        </w:rPr>
      </w:pPr>
    </w:p>
    <w:p w14:paraId="30F91781" w14:textId="0C569649" w:rsidR="001C360A" w:rsidRDefault="001C360A" w:rsidP="00E033D4">
      <w:pPr>
        <w:pStyle w:val="ListParagraph"/>
        <w:widowControl w:val="0"/>
        <w:spacing w:after="0" w:line="480" w:lineRule="auto"/>
        <w:ind w:left="792"/>
        <w:rPr>
          <w:rFonts w:cs="Arial"/>
          <w:color w:val="000000" w:themeColor="text1"/>
        </w:rPr>
      </w:pPr>
    </w:p>
    <w:p w14:paraId="70D01C39" w14:textId="77777777" w:rsidR="001C360A" w:rsidRPr="00E033D4" w:rsidRDefault="001C360A" w:rsidP="00E033D4">
      <w:pPr>
        <w:pStyle w:val="ListParagraph"/>
        <w:widowControl w:val="0"/>
        <w:spacing w:after="0" w:line="480" w:lineRule="auto"/>
        <w:ind w:left="792"/>
        <w:rPr>
          <w:rFonts w:cs="Arial"/>
          <w:color w:val="000000" w:themeColor="text1"/>
        </w:rPr>
      </w:pPr>
    </w:p>
    <w:p w14:paraId="141DE86F" w14:textId="5EEA904C" w:rsidR="00385A2E" w:rsidRDefault="003D3681" w:rsidP="00385A2E">
      <w:pPr>
        <w:pStyle w:val="ChapterSub-heading"/>
      </w:pPr>
      <w:bookmarkStart w:id="13" w:name="_Toc129701007"/>
      <w:r w:rsidRPr="00A71FCF">
        <w:lastRenderedPageBreak/>
        <w:t>2.</w:t>
      </w:r>
      <w:r w:rsidR="00385A2E">
        <w:t>3.2.</w:t>
      </w:r>
      <w:r w:rsidRPr="00A71FCF">
        <w:t xml:space="preserve"> Preparing the HPLC system for metabolite detection</w:t>
      </w:r>
      <w:bookmarkEnd w:id="13"/>
      <w:r w:rsidRPr="00A71FCF">
        <w:t xml:space="preserve"> </w:t>
      </w:r>
    </w:p>
    <w:p w14:paraId="1E4F36A1" w14:textId="77777777" w:rsidR="00A604FF" w:rsidRPr="00A604FF" w:rsidRDefault="00385A2E" w:rsidP="00A604FF">
      <w:pPr>
        <w:pStyle w:val="NormalParagraph"/>
      </w:pPr>
      <w:r w:rsidRPr="00A604FF">
        <w:t>Under</w:t>
      </w:r>
      <w:r w:rsidR="003D3681" w:rsidRPr="00A604FF">
        <w:t xml:space="preserve"> a fume hood, prepare a sterilized 5 mM sulfuric acid solution from deionized and filter-sterilized water. Add ~550 µL of a 98% HPLC grade sulfuric acid</w:t>
      </w:r>
      <w:r w:rsidR="003D3681" w:rsidRPr="00A604FF">
        <w:rPr>
          <w:vertAlign w:val="subscript"/>
        </w:rPr>
        <w:t xml:space="preserve"> </w:t>
      </w:r>
      <w:r w:rsidR="003D3681" w:rsidRPr="00A604FF">
        <w:t>solution to 2 L of water to prepare 5 mM sulfuric acid.</w:t>
      </w:r>
      <w:r w:rsidR="00A604FF" w:rsidRPr="00A604FF">
        <w:t xml:space="preserve"> </w:t>
      </w:r>
      <w:r w:rsidR="003D3681" w:rsidRPr="00A604FF">
        <w:t>CAUTION: Sulfuric acid is a hazardous chemical and working under a fume hood with proper lab PPE prevents inhalation, skin contact, and eye contact. Concentrated sulfuric acid</w:t>
      </w:r>
      <w:r w:rsidR="003D3681" w:rsidRPr="00A604FF">
        <w:rPr>
          <w:vertAlign w:val="subscript"/>
        </w:rPr>
        <w:t xml:space="preserve"> </w:t>
      </w:r>
      <w:r w:rsidR="003D3681" w:rsidRPr="00A604FF">
        <w:t>reacts vigorously with water and should be added directly to water, not the other way around. Store in a cool, dry area away from direct sunlight and follow proper waste disposal measures set by the laboratory.</w:t>
      </w:r>
    </w:p>
    <w:p w14:paraId="33D4B0E5" w14:textId="77777777" w:rsidR="00A604FF" w:rsidRPr="00A604FF" w:rsidRDefault="003D3681" w:rsidP="00A604FF">
      <w:pPr>
        <w:pStyle w:val="NormalParagraph"/>
      </w:pPr>
      <w:r w:rsidRPr="00A604FF">
        <w:t>Keep the 2 L bottle of 5 mM sulfuric acid</w:t>
      </w:r>
      <w:r w:rsidRPr="00A604FF">
        <w:rPr>
          <w:vertAlign w:val="subscript"/>
        </w:rPr>
        <w:t xml:space="preserve"> </w:t>
      </w:r>
      <w:r w:rsidRPr="00A604FF">
        <w:t>incubated in a water bath next to the HPLC instrument. Set the water bath to 35 °C. Place tubing with a solvent filter in the solvent bottle and attach the other end to a degasser module in line with the pump module.  NOTE: Purging the system with a freshly prepared solvent prior to installing the column is good instrument handling practice.</w:t>
      </w:r>
    </w:p>
    <w:p w14:paraId="59816A26" w14:textId="77777777" w:rsidR="00A604FF" w:rsidRDefault="003D3681" w:rsidP="00A604FF">
      <w:pPr>
        <w:pStyle w:val="NormalParagraph"/>
      </w:pPr>
      <w:r w:rsidRPr="00A604FF">
        <w:t xml:space="preserve">Equip the HPLC instrument with the HPLC column in line with the RID module. Place the column in the 35 °C water bath if a column thermostat is not available. </w:t>
      </w:r>
    </w:p>
    <w:p w14:paraId="06A04D3B" w14:textId="77777777" w:rsidR="00A604FF" w:rsidRDefault="003D3681" w:rsidP="00A604FF">
      <w:pPr>
        <w:pStyle w:val="NormalParagraph"/>
      </w:pPr>
      <w:r w:rsidRPr="00A604FF">
        <w:t xml:space="preserve">Prepare the RID module for analysis at 35 °C in </w:t>
      </w:r>
      <w:proofErr w:type="spellStart"/>
      <w:r w:rsidRPr="00A604FF">
        <w:t>OpenLab</w:t>
      </w:r>
      <w:proofErr w:type="spellEnd"/>
      <w:r w:rsidRPr="00A604FF">
        <w:t xml:space="preserve"> CDS (Online) 2.15.26 software installed on the system computer. </w:t>
      </w:r>
    </w:p>
    <w:p w14:paraId="1358614C" w14:textId="5412DCE8" w:rsidR="003D3681" w:rsidRPr="00A604FF" w:rsidRDefault="003D3681" w:rsidP="00BC6126">
      <w:pPr>
        <w:pStyle w:val="NormalParagraph"/>
        <w:numPr>
          <w:ilvl w:val="1"/>
          <w:numId w:val="16"/>
        </w:numPr>
      </w:pPr>
      <w:r w:rsidRPr="00A604FF">
        <w:t>In the View menu, select the Method and run Control view. Right-click on the Pump Module &gt; Method. Set the flow rate to 0.55 mL·min</w:t>
      </w:r>
      <w:r w:rsidRPr="00A604FF">
        <w:rPr>
          <w:vertAlign w:val="superscript"/>
        </w:rPr>
        <w:t>-1</w:t>
      </w:r>
      <w:r w:rsidRPr="00A604FF">
        <w:t xml:space="preserve"> and select the On button to initiate the pump.</w:t>
      </w:r>
      <w:r w:rsidR="00A604FF">
        <w:t xml:space="preserve"> </w:t>
      </w:r>
      <w:r w:rsidRPr="00A604FF">
        <w:t>NOTE: If the column was in storage prior to being equipped on the HPLC, ramp up the flow rate to 0.55 mL·min</w:t>
      </w:r>
      <w:r w:rsidRPr="00A604FF">
        <w:rPr>
          <w:vertAlign w:val="superscript"/>
        </w:rPr>
        <w:t xml:space="preserve">-1 </w:t>
      </w:r>
      <w:r w:rsidRPr="00A604FF">
        <w:t>after equilibrating the column following the manufacturer’s instructions.</w:t>
      </w:r>
    </w:p>
    <w:p w14:paraId="5882FBE6" w14:textId="4A220FAC" w:rsidR="003D3681" w:rsidRPr="00A71FCF" w:rsidRDefault="003D3681" w:rsidP="00BC6126">
      <w:pPr>
        <w:pStyle w:val="NormalParagraph"/>
        <w:numPr>
          <w:ilvl w:val="1"/>
          <w:numId w:val="16"/>
        </w:numPr>
      </w:pPr>
      <w:r w:rsidRPr="00A71FCF">
        <w:t>Right-click on the panel corresponding to the RID Module &gt; Method. Set the temperature of the RI detector module to 35 °C and select On to start warming up the RI detector module.</w:t>
      </w:r>
    </w:p>
    <w:p w14:paraId="3B8C7668" w14:textId="24E7C77F" w:rsidR="003D3681" w:rsidRPr="00A71FCF" w:rsidRDefault="003D3681" w:rsidP="00BC6126">
      <w:pPr>
        <w:pStyle w:val="NormalParagraph"/>
        <w:numPr>
          <w:ilvl w:val="1"/>
          <w:numId w:val="16"/>
        </w:numPr>
      </w:pPr>
      <w:r w:rsidRPr="00A71FCF">
        <w:lastRenderedPageBreak/>
        <w:t>Right-click on the panel RID Module &gt; Control. Select On for the Purge Reference Cell for at least 15 min when using a fresh solvent or 1 h if different solvents flowed through the RI detector prior to this setup. Click on the On button.</w:t>
      </w:r>
      <w:r w:rsidR="00BC6126">
        <w:t xml:space="preserve"> NOTE: </w:t>
      </w:r>
      <w:r w:rsidRPr="00A71FCF">
        <w:t xml:space="preserve">Keep the pump and RI detector on until a stable baseline is achieved on the online plot. This is affected by temperature fluctuations in the laboratory and can take up to 4 h or longer. It is recommended that the system is kept on overnight prior to sample loading. </w:t>
      </w:r>
    </w:p>
    <w:p w14:paraId="44C11287" w14:textId="77777777" w:rsidR="00E337ED" w:rsidRDefault="00E337ED" w:rsidP="00BC6126">
      <w:pPr>
        <w:pStyle w:val="ChapterSub-heading"/>
      </w:pPr>
    </w:p>
    <w:p w14:paraId="149E84A6" w14:textId="67AEA520" w:rsidR="003D3681" w:rsidRPr="00A71FCF" w:rsidRDefault="009E4CE7" w:rsidP="00BC6126">
      <w:pPr>
        <w:pStyle w:val="ChapterSub-heading"/>
      </w:pPr>
      <w:bookmarkStart w:id="14" w:name="_Toc129701008"/>
      <w:r>
        <w:t>2.3.</w:t>
      </w:r>
      <w:r w:rsidR="003D3681" w:rsidRPr="00A71FCF">
        <w:t xml:space="preserve">3. Creating a method for the isocratic HPLC separation of organic fermentation products in </w:t>
      </w:r>
      <w:bookmarkStart w:id="15" w:name="_Hlk76393599"/>
      <w:proofErr w:type="spellStart"/>
      <w:r w:rsidR="003D3681" w:rsidRPr="00A71FCF">
        <w:t>OpenLab</w:t>
      </w:r>
      <w:bookmarkEnd w:id="15"/>
      <w:proofErr w:type="spellEnd"/>
      <w:r w:rsidR="003D3681" w:rsidRPr="00A71FCF">
        <w:t xml:space="preserve"> (Online)</w:t>
      </w:r>
      <w:bookmarkEnd w:id="14"/>
      <w:r w:rsidR="003D3681" w:rsidRPr="00A71FCF">
        <w:t xml:space="preserve"> </w:t>
      </w:r>
    </w:p>
    <w:p w14:paraId="1458337D" w14:textId="33BA03F7" w:rsidR="00BC6126" w:rsidRPr="00BC6126" w:rsidRDefault="003D3681" w:rsidP="00BC6126">
      <w:pPr>
        <w:pStyle w:val="NormalParagraph"/>
        <w:numPr>
          <w:ilvl w:val="0"/>
          <w:numId w:val="18"/>
        </w:numPr>
      </w:pPr>
      <w:r w:rsidRPr="00BC6126">
        <w:t>From the menu bar, select Method &gt; New Method. Select Method &gt; Save Method as [</w:t>
      </w:r>
      <w:proofErr w:type="spellStart"/>
      <w:r w:rsidRPr="00BC6126">
        <w:t>MethodName</w:t>
      </w:r>
      <w:proofErr w:type="spellEnd"/>
      <w:r w:rsidRPr="00BC6126">
        <w:t>].M. Select Method &gt; Edit Entire Method &gt; Instrument/Acquisition</w:t>
      </w:r>
      <w:r w:rsidR="00BC6126" w:rsidRPr="00BC6126">
        <w:t>.</w:t>
      </w:r>
    </w:p>
    <w:p w14:paraId="5C9CF010" w14:textId="77777777" w:rsidR="00BC6126" w:rsidRPr="00BC6126" w:rsidRDefault="003D3681" w:rsidP="0008141D">
      <w:pPr>
        <w:pStyle w:val="NormalParagraph"/>
        <w:numPr>
          <w:ilvl w:val="0"/>
          <w:numId w:val="18"/>
        </w:numPr>
      </w:pPr>
      <w:r w:rsidRPr="00BC6126">
        <w:t>Within the Binary Pump tab, set the flow to 0.55 mL·min</w:t>
      </w:r>
      <w:r w:rsidRPr="00BC6126">
        <w:rPr>
          <w:vertAlign w:val="superscript"/>
        </w:rPr>
        <w:t>-1</w:t>
      </w:r>
      <w:r w:rsidRPr="00BC6126">
        <w:t xml:space="preserve">. Under Solvents, select the letter corresponding to the solvent input on the pump module and set it to 100% for isocratic elution. Set Pressure Limits to 0 and 400 bar and input 30 min as the </w:t>
      </w:r>
      <w:proofErr w:type="spellStart"/>
      <w:r w:rsidRPr="00BC6126">
        <w:t>Stoptime</w:t>
      </w:r>
      <w:proofErr w:type="spellEnd"/>
      <w:r w:rsidRPr="00BC6126">
        <w:t>.</w:t>
      </w:r>
    </w:p>
    <w:p w14:paraId="1C3AFACC" w14:textId="77777777" w:rsidR="00BC6126" w:rsidRPr="00BC6126" w:rsidRDefault="003D3681" w:rsidP="0008141D">
      <w:pPr>
        <w:pStyle w:val="NormalParagraph"/>
        <w:numPr>
          <w:ilvl w:val="0"/>
          <w:numId w:val="18"/>
        </w:numPr>
      </w:pPr>
      <w:r w:rsidRPr="00BC6126">
        <w:t xml:space="preserve">Within the Sampler tab, set the Injection Volume to 50 </w:t>
      </w:r>
      <w:proofErr w:type="spellStart"/>
      <w:r w:rsidRPr="00BC6126">
        <w:t>μL</w:t>
      </w:r>
      <w:proofErr w:type="spellEnd"/>
      <w:r w:rsidRPr="00BC6126">
        <w:t xml:space="preserve">. Select the </w:t>
      </w:r>
      <w:proofErr w:type="spellStart"/>
      <w:r w:rsidRPr="00BC6126">
        <w:t>As</w:t>
      </w:r>
      <w:proofErr w:type="spellEnd"/>
      <w:r w:rsidRPr="00BC6126">
        <w:t xml:space="preserve"> Pump/No Limit option under </w:t>
      </w:r>
      <w:proofErr w:type="spellStart"/>
      <w:r w:rsidRPr="00BC6126">
        <w:t>Stoptime</w:t>
      </w:r>
      <w:proofErr w:type="spellEnd"/>
      <w:r w:rsidRPr="00BC6126">
        <w:t xml:space="preserve">. Set the Advanced </w:t>
      </w:r>
      <w:proofErr w:type="spellStart"/>
      <w:r w:rsidRPr="00BC6126">
        <w:t>Auxillary</w:t>
      </w:r>
      <w:proofErr w:type="spellEnd"/>
      <w:r w:rsidRPr="00BC6126">
        <w:t xml:space="preserve"> Settings for Draw Speed, Eject Speed, and Draw Position to 200 μL·min</w:t>
      </w:r>
      <w:r w:rsidRPr="00BC6126">
        <w:rPr>
          <w:vertAlign w:val="superscript"/>
        </w:rPr>
        <w:t>-1</w:t>
      </w:r>
      <w:r w:rsidRPr="00BC6126">
        <w:t>, 200 μL·min</w:t>
      </w:r>
      <w:r w:rsidRPr="00BC6126">
        <w:rPr>
          <w:vertAlign w:val="superscript"/>
        </w:rPr>
        <w:t>-1</w:t>
      </w:r>
      <w:r w:rsidRPr="00BC6126">
        <w:t>, and -0.5 mm.</w:t>
      </w:r>
    </w:p>
    <w:p w14:paraId="648220CD" w14:textId="77777777" w:rsidR="00BC6126" w:rsidRPr="00BC6126" w:rsidRDefault="003D3681" w:rsidP="0008141D">
      <w:pPr>
        <w:pStyle w:val="NormalParagraph"/>
        <w:numPr>
          <w:ilvl w:val="0"/>
          <w:numId w:val="18"/>
        </w:numPr>
      </w:pPr>
      <w:r w:rsidRPr="00BC6126">
        <w:t xml:space="preserve">Within the RID tab, set Optical Unit Temperature to 35 °C. Under Signal, select Acquire for Signal and &gt; 0.2 min for </w:t>
      </w:r>
      <w:proofErr w:type="spellStart"/>
      <w:r w:rsidRPr="00BC6126">
        <w:t>Peakwidth</w:t>
      </w:r>
      <w:proofErr w:type="spellEnd"/>
      <w:r w:rsidRPr="00BC6126">
        <w:t xml:space="preserve">. Select the </w:t>
      </w:r>
      <w:proofErr w:type="spellStart"/>
      <w:r w:rsidRPr="00BC6126">
        <w:t>As</w:t>
      </w:r>
      <w:proofErr w:type="spellEnd"/>
      <w:r w:rsidRPr="00BC6126">
        <w:t xml:space="preserve"> Pump/Injector option for </w:t>
      </w:r>
      <w:proofErr w:type="spellStart"/>
      <w:r w:rsidRPr="00BC6126">
        <w:t>Stoptime</w:t>
      </w:r>
      <w:proofErr w:type="spellEnd"/>
      <w:r w:rsidRPr="00BC6126">
        <w:t>.</w:t>
      </w:r>
    </w:p>
    <w:p w14:paraId="70A19E42" w14:textId="77777777" w:rsidR="00BC6126" w:rsidRPr="00BC6126" w:rsidRDefault="003D3681" w:rsidP="0008141D">
      <w:pPr>
        <w:pStyle w:val="NormalParagraph"/>
        <w:numPr>
          <w:ilvl w:val="0"/>
          <w:numId w:val="18"/>
        </w:numPr>
      </w:pPr>
      <w:r w:rsidRPr="00BC6126">
        <w:t xml:space="preserve">Under Advanced within the RID tab, set Analog Output to 5% Zero Offset and 500,000 </w:t>
      </w:r>
      <w:proofErr w:type="spellStart"/>
      <w:r w:rsidRPr="00BC6126">
        <w:t>nRIU</w:t>
      </w:r>
      <w:proofErr w:type="spellEnd"/>
      <w:r w:rsidRPr="00BC6126">
        <w:t xml:space="preserve"> for Attenuation. Select the Positive option for Signal Polarity and the On option for Automatic Zero Before Analysis. </w:t>
      </w:r>
    </w:p>
    <w:p w14:paraId="3000768F" w14:textId="4B738920" w:rsidR="003D5F1E" w:rsidRDefault="003D3681" w:rsidP="0008141D">
      <w:pPr>
        <w:pStyle w:val="NormalParagraph"/>
        <w:numPr>
          <w:ilvl w:val="0"/>
          <w:numId w:val="18"/>
        </w:numPr>
      </w:pPr>
      <w:r w:rsidRPr="00BC6126">
        <w:t>Save the method by selecting Method &gt; Save Method. Ensure that the method is loaded by selecting Method &gt; Load Method &gt; [</w:t>
      </w:r>
      <w:proofErr w:type="spellStart"/>
      <w:r w:rsidRPr="00BC6126">
        <w:t>MethodName</w:t>
      </w:r>
      <w:proofErr w:type="spellEnd"/>
      <w:r w:rsidRPr="00BC6126">
        <w:t>].M.</w:t>
      </w:r>
    </w:p>
    <w:p w14:paraId="2A60807F" w14:textId="77777777" w:rsidR="00E033D4" w:rsidRPr="00E033D4" w:rsidRDefault="00E033D4" w:rsidP="00E033D4">
      <w:pPr>
        <w:pStyle w:val="NormalParagraph"/>
        <w:numPr>
          <w:ilvl w:val="0"/>
          <w:numId w:val="0"/>
        </w:numPr>
        <w:ind w:left="360"/>
      </w:pPr>
    </w:p>
    <w:p w14:paraId="2B595EEB" w14:textId="32019D95" w:rsidR="003D3681" w:rsidRPr="003D5F1E" w:rsidRDefault="009E4CE7" w:rsidP="009E4CE7">
      <w:pPr>
        <w:pStyle w:val="ChapterSub-heading"/>
      </w:pPr>
      <w:bookmarkStart w:id="16" w:name="_Toc129701009"/>
      <w:r>
        <w:lastRenderedPageBreak/>
        <w:t>2.3.</w:t>
      </w:r>
      <w:r w:rsidR="003D3681" w:rsidRPr="00A71FCF">
        <w:t xml:space="preserve">4. Creating a Sequence Table for </w:t>
      </w:r>
      <w:proofErr w:type="spellStart"/>
      <w:r w:rsidR="003D3681" w:rsidRPr="00A71FCF">
        <w:t>autosampling</w:t>
      </w:r>
      <w:proofErr w:type="spellEnd"/>
      <w:r w:rsidR="003D3681" w:rsidRPr="00A71FCF">
        <w:t xml:space="preserve"> and start the HPLC-RID system for data acquisition</w:t>
      </w:r>
      <w:bookmarkEnd w:id="16"/>
      <w:r w:rsidR="003D3681" w:rsidRPr="00A71FCF">
        <w:t xml:space="preserve"> </w:t>
      </w:r>
    </w:p>
    <w:p w14:paraId="5FB3E8C4" w14:textId="77777777" w:rsidR="00BC6126" w:rsidRPr="00BC6126" w:rsidRDefault="003D3681" w:rsidP="0008141D">
      <w:pPr>
        <w:pStyle w:val="NormalParagraph"/>
        <w:numPr>
          <w:ilvl w:val="0"/>
          <w:numId w:val="19"/>
        </w:numPr>
      </w:pPr>
      <w:r w:rsidRPr="00BC6126">
        <w:t>From the menu bar, select Sequence &gt; New Sequence Template. Select Sequence &gt; Save Sequence Template as [</w:t>
      </w:r>
      <w:proofErr w:type="spellStart"/>
      <w:r w:rsidRPr="00BC6126">
        <w:t>SequenceTemplateName</w:t>
      </w:r>
      <w:proofErr w:type="spellEnd"/>
      <w:r w:rsidRPr="00BC6126">
        <w:t xml:space="preserve">].S. </w:t>
      </w:r>
    </w:p>
    <w:p w14:paraId="0671E13F" w14:textId="77777777" w:rsidR="00BC6126" w:rsidRPr="00BC6126" w:rsidRDefault="003D3681" w:rsidP="0008141D">
      <w:pPr>
        <w:pStyle w:val="NormalParagraph"/>
        <w:numPr>
          <w:ilvl w:val="0"/>
          <w:numId w:val="19"/>
        </w:numPr>
      </w:pPr>
      <w:r w:rsidRPr="00BC6126">
        <w:t xml:space="preserve">Select Sequence &gt; Sequence Table. Append ‘n’ rows corresponding to ‘n’ vials, then input vial positions and sample names under Vial and Sample Name, respectively, according to their arrangement on the autosampler tray. Select the Method generated in step 3 from the Method Name dropdown menu and input 50 </w:t>
      </w:r>
      <w:proofErr w:type="spellStart"/>
      <w:r w:rsidRPr="00BC6126">
        <w:t>μL</w:t>
      </w:r>
      <w:proofErr w:type="spellEnd"/>
      <w:r w:rsidRPr="00BC6126">
        <w:t xml:space="preserve"> as </w:t>
      </w:r>
      <w:proofErr w:type="spellStart"/>
      <w:r w:rsidRPr="00BC6126">
        <w:t>Inj</w:t>
      </w:r>
      <w:proofErr w:type="spellEnd"/>
      <w:r w:rsidRPr="00BC6126">
        <w:t xml:space="preserve">/Vial (Injection per Vial) for each row. </w:t>
      </w:r>
    </w:p>
    <w:p w14:paraId="1B721B66" w14:textId="77777777" w:rsidR="00BC6126" w:rsidRPr="00BC6126" w:rsidRDefault="003D3681" w:rsidP="0008141D">
      <w:pPr>
        <w:pStyle w:val="NormalParagraph"/>
        <w:numPr>
          <w:ilvl w:val="0"/>
          <w:numId w:val="19"/>
        </w:numPr>
      </w:pPr>
      <w:r w:rsidRPr="00BC6126">
        <w:t>Click Apply and save the sequence template by selecting Sequence Template &gt; Save Sequence Template. Ensure the sequence template is loaded by selecting Sequence &gt; Load Sequence Template &gt; [</w:t>
      </w:r>
      <w:proofErr w:type="spellStart"/>
      <w:r w:rsidRPr="00BC6126">
        <w:t>SequenceTemplateName</w:t>
      </w:r>
      <w:proofErr w:type="spellEnd"/>
      <w:r w:rsidRPr="00BC6126">
        <w:t>].S.</w:t>
      </w:r>
    </w:p>
    <w:p w14:paraId="4FE2024C" w14:textId="7E6CD026" w:rsidR="003D3681" w:rsidRDefault="003D3681" w:rsidP="0008141D">
      <w:pPr>
        <w:pStyle w:val="NormalParagraph"/>
        <w:numPr>
          <w:ilvl w:val="0"/>
          <w:numId w:val="19"/>
        </w:numPr>
      </w:pPr>
      <w:r w:rsidRPr="00BC6126">
        <w:t xml:space="preserve">Once a stable baseline is achieved on the online plot, right-click the panel RID Module &gt; Control &gt; Off Recycling Valve to ensure that solvent flow through the RID detector is directed to waste. To start data acquisition, select  Sequence from the menu bar,  Sequence &gt; Run. </w:t>
      </w:r>
    </w:p>
    <w:p w14:paraId="2F7A2F20" w14:textId="77777777" w:rsidR="00E033D4" w:rsidRPr="00E033D4" w:rsidRDefault="00E033D4" w:rsidP="00E033D4">
      <w:pPr>
        <w:pStyle w:val="NormalParagraph"/>
        <w:numPr>
          <w:ilvl w:val="0"/>
          <w:numId w:val="0"/>
        </w:numPr>
        <w:ind w:left="360"/>
      </w:pPr>
    </w:p>
    <w:p w14:paraId="2C7F07DC" w14:textId="0307389F" w:rsidR="003D3681" w:rsidRPr="00A71FCF" w:rsidRDefault="009E4CE7" w:rsidP="009E4CE7">
      <w:pPr>
        <w:pStyle w:val="ChapterSub-heading"/>
      </w:pPr>
      <w:bookmarkStart w:id="17" w:name="_Toc129701010"/>
      <w:r>
        <w:t>2.3.</w:t>
      </w:r>
      <w:r w:rsidR="003D3681" w:rsidRPr="00A71FCF">
        <w:t>5. Extracting and analyzing data post-run</w:t>
      </w:r>
      <w:bookmarkEnd w:id="17"/>
      <w:r w:rsidR="003D3681" w:rsidRPr="00A71FCF">
        <w:t xml:space="preserve">  </w:t>
      </w:r>
    </w:p>
    <w:p w14:paraId="77FBE6AB" w14:textId="77777777" w:rsidR="00BC6126" w:rsidRPr="009E4CE7" w:rsidRDefault="003D3681" w:rsidP="0008141D">
      <w:pPr>
        <w:pStyle w:val="NormalParagraph"/>
        <w:numPr>
          <w:ilvl w:val="0"/>
          <w:numId w:val="20"/>
        </w:numPr>
      </w:pPr>
      <w:r w:rsidRPr="009E4CE7">
        <w:t>Select Data Analysis view from the View menu. Locate the Sequence File name from the File List on the left-hand side of the screen. On the center panel on the screen, go to the Signal View Selection &gt; RID Signal to view the sample chromatograms.</w:t>
      </w:r>
    </w:p>
    <w:p w14:paraId="3F420B90" w14:textId="77777777" w:rsidR="00BC6126" w:rsidRPr="009E4CE7" w:rsidRDefault="003D3681" w:rsidP="0008141D">
      <w:pPr>
        <w:pStyle w:val="NormalParagraph"/>
        <w:numPr>
          <w:ilvl w:val="0"/>
          <w:numId w:val="20"/>
        </w:numPr>
      </w:pPr>
      <w:r w:rsidRPr="00BC6126">
        <w:t xml:space="preserve">Select a row corresponding to a high concentration standard sample from the top panel on the screen. Take note of retention times for the target analyte peaks on the displayed chromatogram. Peaks corresponding to the target analytes will be arranged along the retention time axis as glucose, succinate, lactate, </w:t>
      </w:r>
      <w:proofErr w:type="spellStart"/>
      <w:r w:rsidRPr="00BC6126">
        <w:t>formate</w:t>
      </w:r>
      <w:proofErr w:type="spellEnd"/>
      <w:r w:rsidRPr="00BC6126">
        <w:t xml:space="preserve">, acetate, and ethanol </w:t>
      </w:r>
      <w:r w:rsidRPr="00BC6126">
        <w:rPr>
          <w:b/>
          <w:bCs/>
        </w:rPr>
        <w:t>(</w:t>
      </w:r>
      <w:r w:rsidR="00405F98" w:rsidRPr="00BC6126">
        <w:rPr>
          <w:b/>
          <w:bCs/>
        </w:rPr>
        <w:t>Appendix</w:t>
      </w:r>
      <w:r w:rsidRPr="00BC6126">
        <w:rPr>
          <w:b/>
          <w:bCs/>
        </w:rPr>
        <w:t xml:space="preserve"> </w:t>
      </w:r>
      <w:r w:rsidR="00405F98" w:rsidRPr="00BC6126">
        <w:rPr>
          <w:b/>
          <w:bCs/>
        </w:rPr>
        <w:t>Figure</w:t>
      </w:r>
      <w:r w:rsidRPr="00BC6126">
        <w:rPr>
          <w:b/>
          <w:bCs/>
        </w:rPr>
        <w:t xml:space="preserve"> </w:t>
      </w:r>
      <w:r w:rsidR="00405F98" w:rsidRPr="00BC6126">
        <w:rPr>
          <w:b/>
          <w:bCs/>
        </w:rPr>
        <w:t>2.7</w:t>
      </w:r>
      <w:r w:rsidRPr="00BC6126">
        <w:rPr>
          <w:b/>
          <w:bCs/>
        </w:rPr>
        <w:t>)</w:t>
      </w:r>
      <w:r w:rsidRPr="00BC6126">
        <w:t xml:space="preserve">. NOTE: The first large peak on the chromatogram corresponds to trichloroacetic </w:t>
      </w:r>
      <w:r w:rsidRPr="009E4CE7">
        <w:t xml:space="preserve">acid. Its RI units should be consistent across all standard curve samples. Validate the retention time of each target analyte by running each compound as a separate sample. </w:t>
      </w:r>
    </w:p>
    <w:p w14:paraId="5162DF31" w14:textId="77777777" w:rsidR="00BC6126" w:rsidRPr="009E4CE7" w:rsidRDefault="003D3681" w:rsidP="00BC6126">
      <w:pPr>
        <w:pStyle w:val="NormalParagraph"/>
        <w:numPr>
          <w:ilvl w:val="0"/>
          <w:numId w:val="20"/>
        </w:numPr>
      </w:pPr>
      <w:r w:rsidRPr="009E4CE7">
        <w:lastRenderedPageBreak/>
        <w:t xml:space="preserve">Extract peak areas for each target analyte from chromatograms of standards and reaction samples. </w:t>
      </w:r>
    </w:p>
    <w:p w14:paraId="555FACDF" w14:textId="77777777" w:rsidR="00BC6126" w:rsidRPr="009E4CE7" w:rsidRDefault="003D3681" w:rsidP="00BC6126">
      <w:pPr>
        <w:pStyle w:val="NormalParagraph"/>
        <w:numPr>
          <w:ilvl w:val="1"/>
          <w:numId w:val="20"/>
        </w:numPr>
      </w:pPr>
      <w:r w:rsidRPr="009E4CE7">
        <w:t>Discern whether peaks-of-interest are well integrated by the software. Draw the red line as the base of each peak to obtain an accurately integrated area under the curve. If automatic integration fails (i.e., red line is askew), select the Manual Integration button from the Integration Tool Set and manually draw a peak base to integrate the peak area.</w:t>
      </w:r>
      <w:r w:rsidR="00BC6126" w:rsidRPr="009E4CE7">
        <w:t xml:space="preserve"> </w:t>
      </w:r>
      <w:r w:rsidRPr="009E4CE7">
        <w:t xml:space="preserve">NOTE: If manual integration must be performed for a target analyte in one sample, keep consistent and manually integrate the same analyte across all samples. </w:t>
      </w:r>
    </w:p>
    <w:p w14:paraId="081C2045" w14:textId="77777777" w:rsidR="00BC6126" w:rsidRPr="009E4CE7" w:rsidRDefault="003D3681" w:rsidP="00BC6126">
      <w:pPr>
        <w:pStyle w:val="NormalParagraph"/>
        <w:numPr>
          <w:ilvl w:val="1"/>
          <w:numId w:val="20"/>
        </w:numPr>
      </w:pPr>
      <w:r w:rsidRPr="009E4CE7">
        <w:t xml:space="preserve">Select the Cursor tool from the Common Tool Set to click on properly integrated peaks. The peak area and corresponding reaction time of the select peak will be highlighted as a table row on the bottom panel of the screen. </w:t>
      </w:r>
    </w:p>
    <w:p w14:paraId="1641B452" w14:textId="77777777" w:rsidR="00BC6126" w:rsidRPr="009E4CE7" w:rsidRDefault="003D3681" w:rsidP="0008141D">
      <w:pPr>
        <w:pStyle w:val="NormalParagraph"/>
        <w:numPr>
          <w:ilvl w:val="1"/>
          <w:numId w:val="20"/>
        </w:numPr>
      </w:pPr>
      <w:r w:rsidRPr="009E4CE7">
        <w:t xml:space="preserve">To export peak areas, select File &gt; Export &gt; Integration Results. </w:t>
      </w:r>
    </w:p>
    <w:p w14:paraId="3149A63F" w14:textId="77777777" w:rsidR="00BC6126" w:rsidRPr="009E4CE7" w:rsidRDefault="003D3681" w:rsidP="00BC6126">
      <w:pPr>
        <w:pStyle w:val="NormalParagraph"/>
        <w:numPr>
          <w:ilvl w:val="0"/>
          <w:numId w:val="20"/>
        </w:numPr>
      </w:pPr>
      <w:r w:rsidRPr="009E4CE7">
        <w:t xml:space="preserve">Quantify the target analyte concentrations using standard curves. </w:t>
      </w:r>
    </w:p>
    <w:p w14:paraId="64CCC878" w14:textId="77777777" w:rsidR="00BC6126" w:rsidRPr="009E4CE7" w:rsidRDefault="003D3681" w:rsidP="00BC6126">
      <w:pPr>
        <w:pStyle w:val="NormalParagraph"/>
        <w:numPr>
          <w:ilvl w:val="1"/>
          <w:numId w:val="20"/>
        </w:numPr>
      </w:pPr>
      <w:r w:rsidRPr="009E4CE7">
        <w:t xml:space="preserve">Plot peak area values vs. known concentrations of samples (spreadsheet). Right-click on the plotted data, Add Trendline &gt; Format Trendline &gt; Display Equation on Chart. </w:t>
      </w:r>
    </w:p>
    <w:p w14:paraId="62FE9A59" w14:textId="0BBD5E1C" w:rsidR="003D3681" w:rsidRDefault="003D3681" w:rsidP="0008141D">
      <w:pPr>
        <w:pStyle w:val="NormalParagraph"/>
        <w:numPr>
          <w:ilvl w:val="1"/>
          <w:numId w:val="20"/>
        </w:numPr>
      </w:pPr>
      <w:r w:rsidRPr="00BC6126">
        <w:t xml:space="preserve">In a separate spreadsheet, use the equations of standard curve trendlines to convert peak area values to concentrations for every analyte from each sample. Calculate average peak areas and standard error values across triplicates for data visualization. </w:t>
      </w:r>
    </w:p>
    <w:p w14:paraId="7AD006D9" w14:textId="77777777" w:rsidR="00E033D4" w:rsidRPr="00E033D4" w:rsidRDefault="00E033D4" w:rsidP="00E033D4">
      <w:pPr>
        <w:pStyle w:val="NormalParagraph"/>
        <w:numPr>
          <w:ilvl w:val="0"/>
          <w:numId w:val="0"/>
        </w:numPr>
        <w:ind w:left="792"/>
      </w:pPr>
    </w:p>
    <w:p w14:paraId="73464A7E" w14:textId="4713D6EC" w:rsidR="003D3681" w:rsidRPr="003D5F1E" w:rsidRDefault="009E4CE7" w:rsidP="009E4CE7">
      <w:pPr>
        <w:pStyle w:val="ChapterSub-heading"/>
      </w:pPr>
      <w:bookmarkStart w:id="18" w:name="_Toc129701011"/>
      <w:r>
        <w:t>2.3.</w:t>
      </w:r>
      <w:r w:rsidR="003D3681" w:rsidRPr="00A71FCF">
        <w:t>6. Starting, stopping, and processing time course isotope tracing CFME reactions for LC-MS/MS quantification</w:t>
      </w:r>
      <w:bookmarkEnd w:id="18"/>
      <w:r w:rsidR="003D3681" w:rsidRPr="00A71FCF">
        <w:t xml:space="preserve"> </w:t>
      </w:r>
    </w:p>
    <w:p w14:paraId="05C1445B" w14:textId="77777777" w:rsidR="00BC6126" w:rsidRDefault="003D3681" w:rsidP="0008141D">
      <w:pPr>
        <w:pStyle w:val="ListParagraph"/>
        <w:numPr>
          <w:ilvl w:val="0"/>
          <w:numId w:val="22"/>
        </w:numPr>
        <w:spacing w:line="480" w:lineRule="auto"/>
        <w:rPr>
          <w:rFonts w:cs="Arial"/>
          <w:color w:val="000000" w:themeColor="text1"/>
        </w:rPr>
      </w:pPr>
      <w:r w:rsidRPr="00BC6126">
        <w:rPr>
          <w:rFonts w:cs="Arial"/>
          <w:color w:val="000000" w:themeColor="text1"/>
        </w:rPr>
        <w:t xml:space="preserve">Set up triplicate reactions per time point (except time zero) on ice as described in 1.1–1.2. However, instead of glucose, use a final concentration of 100 mM </w:t>
      </w:r>
      <w:r w:rsidRPr="00BC6126">
        <w:rPr>
          <w:rFonts w:cs="Arial"/>
          <w:color w:val="000000" w:themeColor="text1"/>
          <w:vertAlign w:val="superscript"/>
        </w:rPr>
        <w:t>13</w:t>
      </w:r>
      <w:r w:rsidRPr="00BC6126">
        <w:rPr>
          <w:rFonts w:cs="Arial"/>
          <w:color w:val="000000" w:themeColor="text1"/>
        </w:rPr>
        <w:t>C</w:t>
      </w:r>
      <w:r w:rsidRPr="00BC6126">
        <w:rPr>
          <w:rFonts w:cs="Arial"/>
          <w:color w:val="000000" w:themeColor="text1"/>
          <w:vertAlign w:val="subscript"/>
        </w:rPr>
        <w:t>6</w:t>
      </w:r>
      <w:r w:rsidRPr="00BC6126">
        <w:rPr>
          <w:rFonts w:cs="Arial"/>
          <w:color w:val="000000" w:themeColor="text1"/>
        </w:rPr>
        <w:t>-glucose in the reactions. Here, the reactions</w:t>
      </w:r>
      <w:r w:rsidR="003D5F1E" w:rsidRPr="00BC6126">
        <w:rPr>
          <w:rFonts w:cs="Arial"/>
          <w:color w:val="000000" w:themeColor="text1"/>
        </w:rPr>
        <w:t xml:space="preserve"> </w:t>
      </w:r>
      <w:r w:rsidRPr="00BC6126">
        <w:rPr>
          <w:rFonts w:cs="Arial"/>
          <w:color w:val="000000" w:themeColor="text1"/>
        </w:rPr>
        <w:t xml:space="preserve">were incubated at 37 °C for 1 h, 2 h, and 3 h.  </w:t>
      </w:r>
    </w:p>
    <w:p w14:paraId="47E1152C" w14:textId="77777777" w:rsidR="00BC6126" w:rsidRDefault="003D3681" w:rsidP="0008141D">
      <w:pPr>
        <w:pStyle w:val="ListParagraph"/>
        <w:numPr>
          <w:ilvl w:val="0"/>
          <w:numId w:val="22"/>
        </w:numPr>
        <w:spacing w:line="480" w:lineRule="auto"/>
        <w:rPr>
          <w:rFonts w:cs="Arial"/>
          <w:color w:val="000000" w:themeColor="text1"/>
        </w:rPr>
      </w:pPr>
      <w:r w:rsidRPr="00BC6126">
        <w:rPr>
          <w:rFonts w:cs="Arial"/>
          <w:color w:val="000000" w:themeColor="text1"/>
        </w:rPr>
        <w:t>To terminate, flash freeze the reactions in liquid nitrogen and store at -80 °C.  This storage step can be skipped for same-day analysis</w:t>
      </w:r>
      <w:r w:rsidR="00BC6126">
        <w:rPr>
          <w:rFonts w:cs="Arial"/>
          <w:color w:val="000000" w:themeColor="text1"/>
        </w:rPr>
        <w:t xml:space="preserve">. </w:t>
      </w:r>
      <w:r w:rsidRPr="00BC6126">
        <w:rPr>
          <w:rFonts w:cs="Arial"/>
          <w:color w:val="000000" w:themeColor="text1"/>
        </w:rPr>
        <w:t xml:space="preserve">NOTE: Trichloroacetic acid was not used to stop </w:t>
      </w:r>
      <w:r w:rsidRPr="00BC6126">
        <w:rPr>
          <w:rFonts w:cs="Arial"/>
          <w:color w:val="000000" w:themeColor="text1"/>
        </w:rPr>
        <w:lastRenderedPageBreak/>
        <w:t>reactions due to interference from the acid when detecting some central carbon metabolites via LC-MS/MS. Instead, extraction solvent containing formic acid (step 6.3) is used to precipitate metabolic proteins since formic acid’s mass is below the detection limit of the reported MS/MS method.</w:t>
      </w:r>
    </w:p>
    <w:p w14:paraId="18DB3D61" w14:textId="77777777" w:rsidR="00BC6126" w:rsidRDefault="003D3681" w:rsidP="0008141D">
      <w:pPr>
        <w:pStyle w:val="ListParagraph"/>
        <w:numPr>
          <w:ilvl w:val="0"/>
          <w:numId w:val="22"/>
        </w:numPr>
        <w:spacing w:line="480" w:lineRule="auto"/>
        <w:rPr>
          <w:rFonts w:cs="Arial"/>
          <w:color w:val="000000" w:themeColor="text1"/>
        </w:rPr>
      </w:pPr>
      <w:r w:rsidRPr="00BC6126">
        <w:rPr>
          <w:rFonts w:cs="Arial"/>
          <w:color w:val="000000" w:themeColor="text1"/>
        </w:rPr>
        <w:t>Prepare 50 mL of extraction solvent. Combine and vortex 20 mL of acetonitrile, 20 mL of methanol, and 10 mL of water (all LC-MS grade) in a 50 mL centrifuge tube along with 0.199 mL of formic acid to make a 0.1 M solution. Chill the solvent to 4 °C during extraction and store the solvent at -20 °C when not in use.</w:t>
      </w:r>
    </w:p>
    <w:p w14:paraId="122F3FB1" w14:textId="77777777" w:rsidR="00BC6126" w:rsidRDefault="003D3681" w:rsidP="00BC6126">
      <w:pPr>
        <w:pStyle w:val="ListParagraph"/>
        <w:numPr>
          <w:ilvl w:val="0"/>
          <w:numId w:val="22"/>
        </w:numPr>
        <w:spacing w:line="480" w:lineRule="auto"/>
        <w:rPr>
          <w:rFonts w:cs="Arial"/>
          <w:color w:val="000000" w:themeColor="text1"/>
        </w:rPr>
      </w:pPr>
      <w:r w:rsidRPr="00BC6126">
        <w:rPr>
          <w:rFonts w:cs="Arial"/>
          <w:color w:val="000000" w:themeColor="text1"/>
        </w:rPr>
        <w:t>Processing samples for LC-MS/MS analysis</w:t>
      </w:r>
    </w:p>
    <w:p w14:paraId="1D556759" w14:textId="77777777" w:rsidR="00BC6126" w:rsidRDefault="003D3681" w:rsidP="00BC6126">
      <w:pPr>
        <w:pStyle w:val="ListParagraph"/>
        <w:numPr>
          <w:ilvl w:val="1"/>
          <w:numId w:val="22"/>
        </w:numPr>
        <w:spacing w:line="480" w:lineRule="auto"/>
        <w:rPr>
          <w:rFonts w:cs="Arial"/>
          <w:color w:val="000000" w:themeColor="text1"/>
        </w:rPr>
      </w:pPr>
      <w:r w:rsidRPr="00BC6126">
        <w:rPr>
          <w:rFonts w:cs="Arial"/>
          <w:color w:val="000000" w:themeColor="text1"/>
        </w:rPr>
        <w:t xml:space="preserve">On the day of analysis, pipette an equivalent volume of extraction solvent (i.e., 50 </w:t>
      </w:r>
      <w:proofErr w:type="spellStart"/>
      <w:r w:rsidRPr="00BC6126">
        <w:rPr>
          <w:rFonts w:cs="Arial"/>
          <w:color w:val="000000" w:themeColor="text1"/>
        </w:rPr>
        <w:t>μL</w:t>
      </w:r>
      <w:proofErr w:type="spellEnd"/>
      <w:r w:rsidRPr="00BC6126">
        <w:rPr>
          <w:rFonts w:cs="Arial"/>
          <w:color w:val="000000" w:themeColor="text1"/>
        </w:rPr>
        <w:t>) to each sample. If the samples were frozen, add the extraction solvent before samples completely thaw out to prevent the reactivation of glucose metabolism. Perform all sample processing steps on ice.</w:t>
      </w:r>
    </w:p>
    <w:p w14:paraId="7C6AC95A" w14:textId="77777777" w:rsidR="00BC6126" w:rsidRDefault="003D3681" w:rsidP="00BC6126">
      <w:pPr>
        <w:pStyle w:val="ListParagraph"/>
        <w:numPr>
          <w:ilvl w:val="1"/>
          <w:numId w:val="22"/>
        </w:numPr>
        <w:spacing w:line="480" w:lineRule="auto"/>
        <w:rPr>
          <w:rFonts w:cs="Arial"/>
          <w:color w:val="000000" w:themeColor="text1"/>
        </w:rPr>
      </w:pPr>
      <w:r w:rsidRPr="00BC6126">
        <w:rPr>
          <w:rFonts w:cs="Arial"/>
          <w:color w:val="000000" w:themeColor="text1"/>
        </w:rPr>
        <w:t xml:space="preserve">To recapitulate time zero, pipette the final volume of extraction solvent (i.e., 50 </w:t>
      </w:r>
      <w:proofErr w:type="spellStart"/>
      <w:r w:rsidRPr="00BC6126">
        <w:rPr>
          <w:rFonts w:cs="Arial"/>
          <w:color w:val="000000" w:themeColor="text1"/>
        </w:rPr>
        <w:t>μL</w:t>
      </w:r>
      <w:proofErr w:type="spellEnd"/>
      <w:r w:rsidRPr="00BC6126">
        <w:rPr>
          <w:rFonts w:cs="Arial"/>
          <w:color w:val="000000" w:themeColor="text1"/>
        </w:rPr>
        <w:t xml:space="preserve">) to an appropriate volume of lysate for the desired final concentration in the reaction (i.e., of 4.5 mg/mL in 50 </w:t>
      </w:r>
      <w:proofErr w:type="spellStart"/>
      <w:r w:rsidRPr="00BC6126">
        <w:rPr>
          <w:rFonts w:cs="Arial"/>
          <w:color w:val="000000" w:themeColor="text1"/>
        </w:rPr>
        <w:t>μL</w:t>
      </w:r>
      <w:proofErr w:type="spellEnd"/>
      <w:r w:rsidRPr="00BC6126">
        <w:rPr>
          <w:rFonts w:cs="Arial"/>
          <w:color w:val="000000" w:themeColor="text1"/>
        </w:rPr>
        <w:t xml:space="preserve"> reaction volume). Add the rest of the reaction components as in step 1.2. This acidification step precipitates lysate enzymes before they significantly metabolize glucose.</w:t>
      </w:r>
    </w:p>
    <w:p w14:paraId="744B9A3A" w14:textId="048245D6" w:rsidR="00E033D4" w:rsidRDefault="003D3681" w:rsidP="009C3EF9">
      <w:pPr>
        <w:pStyle w:val="ListParagraph"/>
        <w:numPr>
          <w:ilvl w:val="1"/>
          <w:numId w:val="22"/>
        </w:numPr>
        <w:spacing w:line="480" w:lineRule="auto"/>
        <w:rPr>
          <w:rFonts w:cs="Arial"/>
          <w:color w:val="000000" w:themeColor="text1"/>
        </w:rPr>
      </w:pPr>
      <w:r w:rsidRPr="00BC6126">
        <w:rPr>
          <w:rFonts w:cs="Arial"/>
          <w:color w:val="000000" w:themeColor="text1"/>
        </w:rPr>
        <w:t>Incubate the samples in extraction solvent on ice for 30 min with gentle shaking, then centrifuge the samples at 21,000 x</w:t>
      </w:r>
      <w:r w:rsidRPr="00BC6126">
        <w:rPr>
          <w:rFonts w:cs="Arial"/>
          <w:i/>
          <w:iCs/>
          <w:color w:val="000000" w:themeColor="text1"/>
        </w:rPr>
        <w:t xml:space="preserve"> g</w:t>
      </w:r>
      <w:r w:rsidRPr="00BC6126">
        <w:rPr>
          <w:rFonts w:cs="Arial"/>
          <w:color w:val="000000" w:themeColor="text1"/>
        </w:rPr>
        <w:t xml:space="preserve"> for 15 min at 4 °C</w:t>
      </w:r>
      <w:r w:rsidRPr="00BC6126">
        <w:rPr>
          <w:rFonts w:cs="Arial"/>
          <w:color w:val="000000" w:themeColor="text1"/>
          <w:vertAlign w:val="superscript"/>
        </w:rPr>
        <w:t xml:space="preserve"> </w:t>
      </w:r>
      <w:r w:rsidRPr="00BC6126">
        <w:rPr>
          <w:rFonts w:cs="Arial"/>
          <w:color w:val="000000" w:themeColor="text1"/>
        </w:rPr>
        <w:t xml:space="preserve">to separate the supernatant from the precipitated protein. Transfer 50 </w:t>
      </w:r>
      <w:proofErr w:type="spellStart"/>
      <w:r w:rsidRPr="00BC6126">
        <w:rPr>
          <w:rFonts w:cs="Arial"/>
          <w:color w:val="000000" w:themeColor="text1"/>
        </w:rPr>
        <w:t>μL</w:t>
      </w:r>
      <w:proofErr w:type="spellEnd"/>
      <w:r w:rsidRPr="00BC6126" w:rsidDel="00067830">
        <w:rPr>
          <w:rFonts w:cs="Arial"/>
          <w:color w:val="000000" w:themeColor="text1"/>
        </w:rPr>
        <w:t xml:space="preserve"> </w:t>
      </w:r>
      <w:r w:rsidRPr="00BC6126">
        <w:rPr>
          <w:rFonts w:cs="Arial"/>
          <w:color w:val="000000" w:themeColor="text1"/>
        </w:rPr>
        <w:t>of the supernatant to autosampler vials and load the vials onto the tray within the 4 °C autosampler. Store the rest of the supernatant at -20 °C for future analyses.</w:t>
      </w:r>
    </w:p>
    <w:p w14:paraId="14BDC789" w14:textId="2008DDEA" w:rsidR="009C3EF9" w:rsidRDefault="009C3EF9" w:rsidP="009C3EF9">
      <w:pPr>
        <w:pStyle w:val="ListParagraph"/>
        <w:spacing w:line="480" w:lineRule="auto"/>
        <w:ind w:left="792"/>
        <w:rPr>
          <w:rFonts w:cs="Arial"/>
          <w:color w:val="000000" w:themeColor="text1"/>
        </w:rPr>
      </w:pPr>
    </w:p>
    <w:p w14:paraId="0F362B3C" w14:textId="77777777" w:rsidR="001C360A" w:rsidRPr="009C3EF9" w:rsidRDefault="001C360A" w:rsidP="009C3EF9">
      <w:pPr>
        <w:pStyle w:val="ListParagraph"/>
        <w:spacing w:line="480" w:lineRule="auto"/>
        <w:ind w:left="792"/>
        <w:rPr>
          <w:rFonts w:cs="Arial"/>
          <w:color w:val="000000" w:themeColor="text1"/>
        </w:rPr>
      </w:pPr>
    </w:p>
    <w:p w14:paraId="7B5556C6" w14:textId="5F28E730" w:rsidR="003D3681" w:rsidRPr="00B1212D" w:rsidRDefault="009E4CE7" w:rsidP="009E4CE7">
      <w:pPr>
        <w:pStyle w:val="ChapterSub-heading"/>
      </w:pPr>
      <w:bookmarkStart w:id="19" w:name="_Toc129701012"/>
      <w:r>
        <w:lastRenderedPageBreak/>
        <w:t>2.3.</w:t>
      </w:r>
      <w:r w:rsidR="003D3681" w:rsidRPr="00A71FCF">
        <w:t>7. Setting up the LC system for LC-MS/MS analysis</w:t>
      </w:r>
      <w:bookmarkEnd w:id="19"/>
      <w:r w:rsidR="003D3681" w:rsidRPr="00A71FCF">
        <w:t xml:space="preserve"> </w:t>
      </w:r>
    </w:p>
    <w:p w14:paraId="2D494C99" w14:textId="77777777" w:rsidR="00BC6126" w:rsidRDefault="003D3681" w:rsidP="0008141D">
      <w:pPr>
        <w:pStyle w:val="ListParagraph"/>
        <w:numPr>
          <w:ilvl w:val="0"/>
          <w:numId w:val="24"/>
        </w:numPr>
        <w:spacing w:line="480" w:lineRule="auto"/>
        <w:rPr>
          <w:rFonts w:cs="Arial"/>
          <w:color w:val="000000" w:themeColor="text1"/>
        </w:rPr>
      </w:pPr>
      <w:r w:rsidRPr="00BC6126">
        <w:rPr>
          <w:rFonts w:cs="Arial"/>
          <w:color w:val="000000" w:themeColor="text1"/>
        </w:rPr>
        <w:t xml:space="preserve">Prepare 1 L of Solvent A by completely dissolving 77.08 mg of ammonium acetate in 950 mL of water and 50 mL of isopropanol. Prepare 1 L of Solvent B with 650 mL of acetonitrile, 300 mL of water, and 50 mL of isopropanol along with 77.08 mg of ammonium acetate. Ensure that all solvents are LC-MS grade. </w:t>
      </w:r>
    </w:p>
    <w:p w14:paraId="44F7182F" w14:textId="77777777" w:rsidR="00BC6126" w:rsidRDefault="003D3681" w:rsidP="0008141D">
      <w:pPr>
        <w:pStyle w:val="ListParagraph"/>
        <w:numPr>
          <w:ilvl w:val="0"/>
          <w:numId w:val="24"/>
        </w:numPr>
        <w:spacing w:line="480" w:lineRule="auto"/>
        <w:rPr>
          <w:rFonts w:cs="Arial"/>
          <w:color w:val="000000" w:themeColor="text1"/>
        </w:rPr>
      </w:pPr>
      <w:r w:rsidRPr="00BC6126">
        <w:rPr>
          <w:rFonts w:cs="Arial"/>
          <w:color w:val="000000" w:themeColor="text1"/>
        </w:rPr>
        <w:t>Connect the solvent bottles containing Solvents A and B to the pump module. Purge the system at a high flow rate to remove/limit any air contamination that may have occurred during the equipment of the solvents to the LC system.</w:t>
      </w:r>
    </w:p>
    <w:p w14:paraId="05E8920E" w14:textId="36547E9F" w:rsidR="009E4CE7" w:rsidRDefault="003D3681" w:rsidP="009E4CE7">
      <w:pPr>
        <w:pStyle w:val="ListParagraph"/>
        <w:numPr>
          <w:ilvl w:val="0"/>
          <w:numId w:val="24"/>
        </w:numPr>
        <w:spacing w:line="480" w:lineRule="auto"/>
        <w:rPr>
          <w:rFonts w:cs="Arial"/>
          <w:color w:val="000000" w:themeColor="text1"/>
        </w:rPr>
      </w:pPr>
      <w:r w:rsidRPr="00BC6126">
        <w:rPr>
          <w:rFonts w:cs="Arial"/>
          <w:color w:val="000000" w:themeColor="text1"/>
        </w:rPr>
        <w:t xml:space="preserve">Equip the system with a </w:t>
      </w:r>
      <w:bookmarkStart w:id="20" w:name="_Hlk76393677"/>
      <w:r w:rsidRPr="00BC6126">
        <w:rPr>
          <w:rFonts w:cs="Arial"/>
          <w:color w:val="000000" w:themeColor="text1"/>
        </w:rPr>
        <w:t xml:space="preserve">C18 reversed-phased column </w:t>
      </w:r>
      <w:bookmarkEnd w:id="20"/>
      <w:r w:rsidRPr="00BC6126">
        <w:rPr>
          <w:rFonts w:cs="Arial"/>
          <w:color w:val="000000" w:themeColor="text1"/>
        </w:rPr>
        <w:t>(30 cm column length, 75 µm inner diameter, and 5 µm particle diameter). Condition the column to the LC-MS system by flowing 100% solvent B and slowly flowing up</w:t>
      </w:r>
      <w:r w:rsidRPr="00BC6126">
        <w:rPr>
          <w:rFonts w:cs="Arial"/>
          <w:b/>
          <w:bCs/>
          <w:color w:val="000000" w:themeColor="text1"/>
        </w:rPr>
        <w:t xml:space="preserve"> </w:t>
      </w:r>
      <w:r w:rsidRPr="00BC6126">
        <w:rPr>
          <w:rFonts w:cs="Arial"/>
          <w:color w:val="000000" w:themeColor="text1"/>
        </w:rPr>
        <w:t>Solvent A to 100%</w:t>
      </w:r>
      <w:r w:rsidR="00BC6126">
        <w:rPr>
          <w:rFonts w:cs="Arial"/>
          <w:color w:val="000000" w:themeColor="text1"/>
        </w:rPr>
        <w:t xml:space="preserve">. </w:t>
      </w:r>
      <w:r w:rsidRPr="00BC6126">
        <w:rPr>
          <w:rFonts w:cs="Arial"/>
          <w:color w:val="000000" w:themeColor="text1"/>
        </w:rPr>
        <w:t>NOTE: Column tips were prepared in-house using a micropipette puller and packed with pressure cells and helium.</w:t>
      </w:r>
    </w:p>
    <w:p w14:paraId="628A5EEB" w14:textId="77777777" w:rsidR="00E033D4" w:rsidRPr="00E033D4" w:rsidRDefault="00E033D4" w:rsidP="00E033D4">
      <w:pPr>
        <w:pStyle w:val="ListParagraph"/>
        <w:spacing w:line="480" w:lineRule="auto"/>
        <w:ind w:left="360"/>
        <w:rPr>
          <w:rFonts w:cs="Arial"/>
          <w:color w:val="000000" w:themeColor="text1"/>
        </w:rPr>
      </w:pPr>
    </w:p>
    <w:p w14:paraId="017D8925" w14:textId="3F3A09E8" w:rsidR="003D3681" w:rsidRPr="00B1212D" w:rsidRDefault="009E4CE7" w:rsidP="009E4CE7">
      <w:pPr>
        <w:pStyle w:val="ChapterSub-heading"/>
      </w:pPr>
      <w:bookmarkStart w:id="21" w:name="_Toc129701013"/>
      <w:r w:rsidRPr="009E4CE7">
        <w:t>2.3.</w:t>
      </w:r>
      <w:r w:rsidR="003D3681" w:rsidRPr="009E4CE7">
        <w:t>8.</w:t>
      </w:r>
      <w:r w:rsidR="003D3681" w:rsidRPr="00A71FCF">
        <w:t xml:space="preserve"> Creating a method on LC-MS/MS data acquisition and interpretation software for the LC system linked to Fourier Transform and Ion Trap Mass Spectrometers</w:t>
      </w:r>
      <w:bookmarkEnd w:id="21"/>
      <w:r w:rsidR="003D3681" w:rsidRPr="00A71FCF">
        <w:t xml:space="preserve"> </w:t>
      </w:r>
    </w:p>
    <w:p w14:paraId="04BF1E27" w14:textId="77777777" w:rsidR="00BC6126" w:rsidRPr="009E4CE7" w:rsidRDefault="003D3681" w:rsidP="00BC6126">
      <w:pPr>
        <w:pStyle w:val="ListParagraph"/>
        <w:numPr>
          <w:ilvl w:val="0"/>
          <w:numId w:val="26"/>
        </w:numPr>
        <w:spacing w:line="480" w:lineRule="auto"/>
        <w:rPr>
          <w:rFonts w:cs="Arial"/>
          <w:color w:val="000000" w:themeColor="text1"/>
        </w:rPr>
      </w:pPr>
      <w:r w:rsidRPr="009E4CE7">
        <w:rPr>
          <w:rFonts w:cs="Arial"/>
          <w:color w:val="000000" w:themeColor="text1"/>
        </w:rPr>
        <w:t>Open the Tune Plus software to edit a tune file for the MS method.</w:t>
      </w:r>
    </w:p>
    <w:p w14:paraId="2B2D928C" w14:textId="77777777" w:rsidR="00BC6126" w:rsidRPr="009E4CE7" w:rsidRDefault="003D3681" w:rsidP="00BC6126">
      <w:pPr>
        <w:pStyle w:val="ListParagraph"/>
        <w:numPr>
          <w:ilvl w:val="1"/>
          <w:numId w:val="26"/>
        </w:numPr>
        <w:spacing w:line="480" w:lineRule="auto"/>
        <w:rPr>
          <w:rFonts w:cs="Arial"/>
          <w:color w:val="000000" w:themeColor="text1"/>
        </w:rPr>
      </w:pPr>
      <w:r w:rsidRPr="009E4CE7">
        <w:rPr>
          <w:rFonts w:cs="Arial"/>
          <w:color w:val="000000" w:themeColor="text1"/>
        </w:rPr>
        <w:t xml:space="preserve">From File on the menu bar, open a preinstalled negative mode tune file. </w:t>
      </w:r>
    </w:p>
    <w:p w14:paraId="4D61E901" w14:textId="77777777" w:rsidR="00BC6126" w:rsidRPr="009E4CE7" w:rsidRDefault="003D3681" w:rsidP="00BC6126">
      <w:pPr>
        <w:pStyle w:val="ListParagraph"/>
        <w:numPr>
          <w:ilvl w:val="1"/>
          <w:numId w:val="26"/>
        </w:numPr>
        <w:spacing w:line="480" w:lineRule="auto"/>
        <w:rPr>
          <w:rFonts w:cs="Arial"/>
          <w:color w:val="000000" w:themeColor="text1"/>
        </w:rPr>
      </w:pPr>
      <w:r w:rsidRPr="009E4CE7">
        <w:rPr>
          <w:rFonts w:cs="Arial"/>
          <w:color w:val="000000" w:themeColor="text1"/>
        </w:rPr>
        <w:t xml:space="preserve">Select </w:t>
      </w:r>
      <w:proofErr w:type="spellStart"/>
      <w:r w:rsidRPr="009E4CE7">
        <w:rPr>
          <w:rFonts w:cs="Arial"/>
          <w:color w:val="000000" w:themeColor="text1"/>
        </w:rPr>
        <w:t>ScanMode</w:t>
      </w:r>
      <w:proofErr w:type="spellEnd"/>
      <w:r w:rsidRPr="009E4CE7">
        <w:rPr>
          <w:rFonts w:cs="Arial"/>
          <w:color w:val="000000" w:themeColor="text1"/>
        </w:rPr>
        <w:t xml:space="preserve"> on the menu bar, then select Define Scan Window. Set the </w:t>
      </w:r>
      <w:proofErr w:type="spellStart"/>
      <w:r w:rsidRPr="009E4CE7">
        <w:rPr>
          <w:rFonts w:cs="Arial"/>
          <w:color w:val="000000" w:themeColor="text1"/>
        </w:rPr>
        <w:t>microscan</w:t>
      </w:r>
      <w:proofErr w:type="spellEnd"/>
      <w:r w:rsidRPr="009E4CE7">
        <w:rPr>
          <w:rFonts w:cs="Arial"/>
          <w:color w:val="000000" w:themeColor="text1"/>
        </w:rPr>
        <w:t xml:space="preserve"> time setting for </w:t>
      </w:r>
      <w:proofErr w:type="spellStart"/>
      <w:r w:rsidRPr="009E4CE7">
        <w:rPr>
          <w:rFonts w:cs="Arial"/>
          <w:color w:val="000000" w:themeColor="text1"/>
        </w:rPr>
        <w:t>MSn</w:t>
      </w:r>
      <w:proofErr w:type="spellEnd"/>
      <w:r w:rsidRPr="009E4CE7">
        <w:rPr>
          <w:rFonts w:cs="Arial"/>
          <w:color w:val="000000" w:themeColor="text1"/>
        </w:rPr>
        <w:t xml:space="preserve"> to 1 for both Ion Trap and FT. </w:t>
      </w:r>
    </w:p>
    <w:p w14:paraId="265855E0" w14:textId="77777777" w:rsidR="00BC6126" w:rsidRPr="009E4CE7" w:rsidRDefault="003D3681" w:rsidP="00BC6126">
      <w:pPr>
        <w:pStyle w:val="ListParagraph"/>
        <w:numPr>
          <w:ilvl w:val="1"/>
          <w:numId w:val="26"/>
        </w:numPr>
        <w:spacing w:line="480" w:lineRule="auto"/>
        <w:rPr>
          <w:rFonts w:cs="Arial"/>
          <w:color w:val="000000" w:themeColor="text1"/>
        </w:rPr>
      </w:pPr>
      <w:r w:rsidRPr="009E4CE7">
        <w:rPr>
          <w:rFonts w:cs="Arial"/>
          <w:color w:val="000000" w:themeColor="text1"/>
        </w:rPr>
        <w:t xml:space="preserve">Go to settings for Nano-ESI Source and set Spray Voltage to 4 kV. Modulate this until an acceptable electrospray is generated; typically, acceptable electrospray can be achieved within the range of 2–5 kV.  </w:t>
      </w:r>
    </w:p>
    <w:p w14:paraId="375A0C35" w14:textId="77777777" w:rsidR="00BC6126" w:rsidRPr="009E4CE7" w:rsidRDefault="003D3681" w:rsidP="0008141D">
      <w:pPr>
        <w:pStyle w:val="ListParagraph"/>
        <w:numPr>
          <w:ilvl w:val="1"/>
          <w:numId w:val="26"/>
        </w:numPr>
        <w:spacing w:line="480" w:lineRule="auto"/>
        <w:rPr>
          <w:rFonts w:cs="Arial"/>
          <w:color w:val="000000" w:themeColor="text1"/>
        </w:rPr>
      </w:pPr>
      <w:r w:rsidRPr="009E4CE7">
        <w:rPr>
          <w:rFonts w:cs="Arial"/>
          <w:color w:val="000000" w:themeColor="text1"/>
        </w:rPr>
        <w:t xml:space="preserve">Save the tune file. </w:t>
      </w:r>
    </w:p>
    <w:p w14:paraId="11F6705F" w14:textId="77777777" w:rsidR="00B129DE" w:rsidRPr="009E4CE7" w:rsidRDefault="003D3681" w:rsidP="00B129DE">
      <w:pPr>
        <w:pStyle w:val="ListParagraph"/>
        <w:numPr>
          <w:ilvl w:val="0"/>
          <w:numId w:val="26"/>
        </w:numPr>
        <w:spacing w:line="480" w:lineRule="auto"/>
        <w:rPr>
          <w:rFonts w:cs="Arial"/>
          <w:color w:val="000000" w:themeColor="text1"/>
        </w:rPr>
      </w:pPr>
      <w:r w:rsidRPr="009E4CE7">
        <w:rPr>
          <w:rFonts w:cs="Arial"/>
          <w:color w:val="000000" w:themeColor="text1"/>
        </w:rPr>
        <w:lastRenderedPageBreak/>
        <w:t xml:space="preserve">Generate a new LC method using the Setup Wizard of the instrument’s data acquisition and interpretation software. Open Roadmap &gt; Sequence Setup &gt; Wizard. Since these methods do not require the usage of a column heater, skip the Temp Control step. </w:t>
      </w:r>
    </w:p>
    <w:p w14:paraId="0CBA0C06" w14:textId="77777777" w:rsidR="00B129DE" w:rsidRPr="009E4CE7" w:rsidRDefault="003D3681" w:rsidP="00B129DE">
      <w:pPr>
        <w:pStyle w:val="ListParagraph"/>
        <w:numPr>
          <w:ilvl w:val="1"/>
          <w:numId w:val="26"/>
        </w:numPr>
        <w:spacing w:line="480" w:lineRule="auto"/>
        <w:rPr>
          <w:rFonts w:cs="Arial"/>
          <w:color w:val="000000" w:themeColor="text1"/>
        </w:rPr>
      </w:pPr>
      <w:r w:rsidRPr="009E4CE7">
        <w:rPr>
          <w:rFonts w:cs="Arial"/>
          <w:color w:val="000000" w:themeColor="text1"/>
        </w:rPr>
        <w:t>Under Flow Gradient Pump Options, select Multistep. In the next window, insert 7 lines and set the flow rate for each row to 0.1 mL·</w:t>
      </w:r>
      <w:proofErr w:type="gramStart"/>
      <w:r w:rsidRPr="009E4CE7">
        <w:rPr>
          <w:rFonts w:cs="Arial"/>
          <w:color w:val="000000" w:themeColor="text1"/>
        </w:rPr>
        <w:t>min</w:t>
      </w:r>
      <w:r w:rsidRPr="009E4CE7">
        <w:rPr>
          <w:rFonts w:cs="Arial"/>
          <w:color w:val="000000" w:themeColor="text1"/>
          <w:vertAlign w:val="superscript"/>
        </w:rPr>
        <w:t>-1</w:t>
      </w:r>
      <w:proofErr w:type="gramEnd"/>
      <w:r w:rsidRPr="009E4CE7">
        <w:rPr>
          <w:rFonts w:cs="Arial"/>
          <w:color w:val="000000" w:themeColor="text1"/>
        </w:rPr>
        <w:t>. Input the following parameters for each row: from 0–3 min, deliver 100% solvent A; from 3–9 min, introduce a gradient from 100% solvent A to 20% solvent B; from 9–19 min, introduce a new gradient from 20% solvent B to 100% solvent B; from 19–27 min, hold at 100% solvent B; from 27–28 min, set the gradient back to 100% solvent A; from 28–44 min, rinse and recondition of the column for subsequent runs by holding at 100% solvent A. Include a final step to lower the flow rate to 0.03 mL·min</w:t>
      </w:r>
      <w:r w:rsidRPr="009E4CE7">
        <w:rPr>
          <w:rFonts w:cs="Arial"/>
          <w:color w:val="000000" w:themeColor="text1"/>
          <w:vertAlign w:val="superscript"/>
        </w:rPr>
        <w:t xml:space="preserve">-1 </w:t>
      </w:r>
      <w:r w:rsidRPr="009E4CE7">
        <w:rPr>
          <w:rFonts w:cs="Arial"/>
          <w:color w:val="000000" w:themeColor="text1"/>
        </w:rPr>
        <w:t>upon completion of the run to conserve the solvent when the LC is not in use.</w:t>
      </w:r>
    </w:p>
    <w:p w14:paraId="2AF5464B" w14:textId="77777777" w:rsidR="00B129DE" w:rsidRPr="009E4CE7" w:rsidRDefault="003D3681" w:rsidP="0008141D">
      <w:pPr>
        <w:pStyle w:val="ListParagraph"/>
        <w:numPr>
          <w:ilvl w:val="1"/>
          <w:numId w:val="26"/>
        </w:numPr>
        <w:spacing w:line="480" w:lineRule="auto"/>
        <w:rPr>
          <w:rFonts w:cs="Arial"/>
          <w:color w:val="000000" w:themeColor="text1"/>
        </w:rPr>
      </w:pPr>
      <w:r w:rsidRPr="009E4CE7">
        <w:rPr>
          <w:rFonts w:cs="Arial"/>
          <w:color w:val="000000" w:themeColor="text1"/>
        </w:rPr>
        <w:t xml:space="preserve">Apply Default settings for Sampler Options &gt; Pump Pressure as the Acquisition Option and use Default Acquisition Time and use Default pump pressure options. </w:t>
      </w:r>
    </w:p>
    <w:p w14:paraId="4046B24F" w14:textId="77777777" w:rsidR="00B129DE" w:rsidRPr="009E4CE7" w:rsidRDefault="003D3681" w:rsidP="00B129DE">
      <w:pPr>
        <w:pStyle w:val="ListParagraph"/>
        <w:numPr>
          <w:ilvl w:val="0"/>
          <w:numId w:val="26"/>
        </w:numPr>
        <w:spacing w:line="480" w:lineRule="auto"/>
        <w:rPr>
          <w:rFonts w:cs="Arial"/>
          <w:color w:val="000000" w:themeColor="text1"/>
        </w:rPr>
      </w:pPr>
      <w:r w:rsidRPr="009E4CE7">
        <w:rPr>
          <w:rFonts w:cs="Arial"/>
          <w:color w:val="000000" w:themeColor="text1"/>
        </w:rPr>
        <w:t>Create an MS/MS method by selecting the Orbitrap Velos Pro MS icon from the sidebar on the Instrument Setup window.</w:t>
      </w:r>
    </w:p>
    <w:p w14:paraId="6EDE8DAA" w14:textId="77777777" w:rsidR="00B129DE" w:rsidRPr="009E4CE7" w:rsidRDefault="003D3681" w:rsidP="00B129DE">
      <w:pPr>
        <w:pStyle w:val="ListParagraph"/>
        <w:numPr>
          <w:ilvl w:val="1"/>
          <w:numId w:val="26"/>
        </w:numPr>
        <w:spacing w:line="480" w:lineRule="auto"/>
        <w:rPr>
          <w:rFonts w:cs="Arial"/>
          <w:color w:val="000000" w:themeColor="text1"/>
        </w:rPr>
      </w:pPr>
      <w:r w:rsidRPr="009E4CE7">
        <w:rPr>
          <w:rFonts w:cs="Arial"/>
          <w:color w:val="000000" w:themeColor="text1"/>
        </w:rPr>
        <w:t>Click on New Method &gt; Data Dependent MS/MS. Set Acquire Time to the length of the LC run (i.e., 44 min), Segment to 1, and Scan Events to 11. For Tune File, select the edited file from step 8.1. NOTE: The first event is an MS1 precursor scan using the Fourier Transform MS (FTMS). The succeeding 10 events will be MS2 scans selecting the 10 most intense and unique ions in each precursor scan for MS2 fragmentation.</w:t>
      </w:r>
    </w:p>
    <w:p w14:paraId="1BFDB262" w14:textId="77777777" w:rsidR="00B129DE" w:rsidRPr="009E4CE7" w:rsidRDefault="003D3681" w:rsidP="00B129DE">
      <w:pPr>
        <w:pStyle w:val="ListParagraph"/>
        <w:numPr>
          <w:ilvl w:val="1"/>
          <w:numId w:val="26"/>
        </w:numPr>
        <w:spacing w:line="480" w:lineRule="auto"/>
        <w:rPr>
          <w:rFonts w:cs="Arial"/>
          <w:color w:val="000000" w:themeColor="text1"/>
        </w:rPr>
      </w:pPr>
      <w:r w:rsidRPr="009E4CE7">
        <w:rPr>
          <w:rFonts w:cs="Arial"/>
          <w:color w:val="000000" w:themeColor="text1"/>
        </w:rPr>
        <w:t xml:space="preserve">For Event 1, under Scan Description set Analyzer to FTMS and Polarity to Negative. Under </w:t>
      </w:r>
      <w:proofErr w:type="spellStart"/>
      <w:r w:rsidRPr="009E4CE7">
        <w:rPr>
          <w:rFonts w:cs="Arial"/>
          <w:color w:val="000000" w:themeColor="text1"/>
        </w:rPr>
        <w:t>MSn</w:t>
      </w:r>
      <w:proofErr w:type="spellEnd"/>
      <w:r w:rsidRPr="009E4CE7">
        <w:rPr>
          <w:rFonts w:cs="Arial"/>
          <w:color w:val="000000" w:themeColor="text1"/>
        </w:rPr>
        <w:t xml:space="preserve"> Settings, use a Resolution of 30,000 and a Normalized Collision Energy of 35 V. Set Scan Ranges to 50 m/z for first mass and 1800 m/z for last mass to capture small molecules. </w:t>
      </w:r>
    </w:p>
    <w:p w14:paraId="143A6827" w14:textId="77777777" w:rsidR="00B129DE" w:rsidRPr="009E4CE7" w:rsidRDefault="003D3681" w:rsidP="00B129DE">
      <w:pPr>
        <w:pStyle w:val="ListParagraph"/>
        <w:numPr>
          <w:ilvl w:val="1"/>
          <w:numId w:val="26"/>
        </w:numPr>
        <w:spacing w:line="480" w:lineRule="auto"/>
        <w:rPr>
          <w:rFonts w:cs="Arial"/>
          <w:color w:val="000000" w:themeColor="text1"/>
        </w:rPr>
      </w:pPr>
      <w:r w:rsidRPr="009E4CE7">
        <w:rPr>
          <w:rFonts w:cs="Arial"/>
          <w:color w:val="000000" w:themeColor="text1"/>
        </w:rPr>
        <w:lastRenderedPageBreak/>
        <w:t xml:space="preserve">For events 2 through 11, under Scan Description set Analyzer to Ion Trap. Select Dependent Scan and click on Settings &gt; Global &gt; Dynamic Exclusion and select Enable; set a 30 s repeat duration and 120 s exclusion duration to eliminate repeat scans in proximity. </w:t>
      </w:r>
    </w:p>
    <w:p w14:paraId="654268CF" w14:textId="77777777" w:rsidR="00B129DE" w:rsidRPr="009E4CE7" w:rsidRDefault="003D3681" w:rsidP="00B129DE">
      <w:pPr>
        <w:pStyle w:val="ListParagraph"/>
        <w:numPr>
          <w:ilvl w:val="1"/>
          <w:numId w:val="26"/>
        </w:numPr>
        <w:spacing w:line="480" w:lineRule="auto"/>
        <w:rPr>
          <w:rFonts w:cs="Arial"/>
          <w:color w:val="000000" w:themeColor="text1"/>
        </w:rPr>
      </w:pPr>
      <w:r w:rsidRPr="009E4CE7">
        <w:rPr>
          <w:rFonts w:cs="Arial"/>
          <w:color w:val="000000" w:themeColor="text1"/>
        </w:rPr>
        <w:t>Go to Scan Event settings and set Mass Determined from Scan Event to 1 for all MS2 events (2 through 11). To scan for the top 10 most intense ions, set each MS2 scan event to detect an nth Most Intense Ion from 1</w:t>
      </w:r>
      <w:r w:rsidRPr="009E4CE7">
        <w:rPr>
          <w:rFonts w:cs="Arial"/>
          <w:color w:val="000000" w:themeColor="text1"/>
          <w:vertAlign w:val="superscript"/>
        </w:rPr>
        <w:t>st</w:t>
      </w:r>
      <w:r w:rsidRPr="009E4CE7">
        <w:rPr>
          <w:rFonts w:cs="Arial"/>
          <w:color w:val="000000" w:themeColor="text1"/>
        </w:rPr>
        <w:t xml:space="preserve"> to 10</w:t>
      </w:r>
      <w:r w:rsidRPr="009E4CE7">
        <w:rPr>
          <w:rFonts w:cs="Arial"/>
          <w:color w:val="000000" w:themeColor="text1"/>
          <w:vertAlign w:val="superscript"/>
        </w:rPr>
        <w:t>th</w:t>
      </w:r>
      <w:r w:rsidRPr="009E4CE7">
        <w:rPr>
          <w:rFonts w:cs="Arial"/>
          <w:color w:val="000000" w:themeColor="text1"/>
        </w:rPr>
        <w:t xml:space="preserve">. Therefore, set Event 2 to detect 1 as the nth Most Intense Ion, event 3 to detect 2, and so on. </w:t>
      </w:r>
    </w:p>
    <w:p w14:paraId="017AAC79" w14:textId="3C4F657F" w:rsidR="003D3681" w:rsidRPr="009E4CE7" w:rsidRDefault="003D3681" w:rsidP="0008141D">
      <w:pPr>
        <w:pStyle w:val="ListParagraph"/>
        <w:numPr>
          <w:ilvl w:val="1"/>
          <w:numId w:val="26"/>
        </w:numPr>
        <w:spacing w:line="480" w:lineRule="auto"/>
        <w:rPr>
          <w:rFonts w:cs="Arial"/>
          <w:color w:val="000000" w:themeColor="text1"/>
        </w:rPr>
      </w:pPr>
      <w:r w:rsidRPr="009E4CE7">
        <w:rPr>
          <w:rFonts w:cs="Arial"/>
          <w:color w:val="000000" w:themeColor="text1"/>
        </w:rPr>
        <w:t>Close the setup window and go to File | Save As [</w:t>
      </w:r>
      <w:proofErr w:type="spellStart"/>
      <w:r w:rsidRPr="009E4CE7">
        <w:rPr>
          <w:rFonts w:cs="Arial"/>
          <w:color w:val="000000" w:themeColor="text1"/>
        </w:rPr>
        <w:t>Method_Name</w:t>
      </w:r>
      <w:proofErr w:type="spellEnd"/>
      <w:proofErr w:type="gramStart"/>
      <w:r w:rsidRPr="009E4CE7">
        <w:rPr>
          <w:rFonts w:cs="Arial"/>
          <w:color w:val="000000" w:themeColor="text1"/>
        </w:rPr>
        <w:t>].meth</w:t>
      </w:r>
      <w:proofErr w:type="gramEnd"/>
      <w:r w:rsidRPr="009E4CE7">
        <w:rPr>
          <w:rFonts w:cs="Arial"/>
          <w:color w:val="000000" w:themeColor="text1"/>
        </w:rPr>
        <w:t>.</w:t>
      </w:r>
      <w:r w:rsidR="00B129DE" w:rsidRPr="009E4CE7">
        <w:rPr>
          <w:rFonts w:cs="Arial"/>
          <w:color w:val="000000" w:themeColor="text1"/>
        </w:rPr>
        <w:t xml:space="preserve"> </w:t>
      </w:r>
      <w:r w:rsidRPr="009E4CE7">
        <w:rPr>
          <w:rFonts w:cs="Arial"/>
          <w:color w:val="000000" w:themeColor="text1"/>
        </w:rPr>
        <w:t>NOTE: For general use, maintenance, and calibration of the LC instrument and mass spectrometer, refer to the operating instructions and manuals supplied by the manufacturer.</w:t>
      </w:r>
    </w:p>
    <w:p w14:paraId="1525390E" w14:textId="309AF195" w:rsidR="003D3681" w:rsidRPr="00A71FCF" w:rsidRDefault="009E4CE7" w:rsidP="009E4CE7">
      <w:pPr>
        <w:pStyle w:val="ChapterSub-heading"/>
      </w:pPr>
      <w:bookmarkStart w:id="22" w:name="_Toc129701014"/>
      <w:r>
        <w:t>2.3.</w:t>
      </w:r>
      <w:r w:rsidR="003D3681" w:rsidRPr="00A71FCF">
        <w:t>9. Setting up a run sequence and starting the LC-MS/MS run</w:t>
      </w:r>
      <w:bookmarkEnd w:id="22"/>
    </w:p>
    <w:p w14:paraId="59712858" w14:textId="77777777" w:rsidR="00B129DE" w:rsidRPr="009E4CE7" w:rsidRDefault="003D3681" w:rsidP="0008141D">
      <w:pPr>
        <w:pStyle w:val="ListParagraph"/>
        <w:numPr>
          <w:ilvl w:val="0"/>
          <w:numId w:val="28"/>
        </w:numPr>
        <w:spacing w:line="480" w:lineRule="auto"/>
        <w:rPr>
          <w:rFonts w:cs="Arial"/>
          <w:color w:val="000000" w:themeColor="text1"/>
        </w:rPr>
      </w:pPr>
      <w:r w:rsidRPr="009E4CE7">
        <w:rPr>
          <w:rFonts w:cs="Arial"/>
          <w:color w:val="000000" w:themeColor="text1"/>
        </w:rPr>
        <w:t xml:space="preserve">Set up a Run Sequence using the LC-MS/MS system’s data acquisition and interpretation software. Within Roadmap &gt; Sequence Setup, right-click on the table to insert as many rows as samples.  For each row, set the </w:t>
      </w:r>
      <w:proofErr w:type="spellStart"/>
      <w:r w:rsidRPr="009E4CE7">
        <w:rPr>
          <w:rFonts w:cs="Arial"/>
          <w:color w:val="000000" w:themeColor="text1"/>
        </w:rPr>
        <w:t>Inj</w:t>
      </w:r>
      <w:proofErr w:type="spellEnd"/>
      <w:r w:rsidRPr="009E4CE7">
        <w:rPr>
          <w:rFonts w:cs="Arial"/>
          <w:color w:val="000000" w:themeColor="text1"/>
        </w:rPr>
        <w:t xml:space="preserve"> Vol to 5 </w:t>
      </w:r>
      <w:proofErr w:type="spellStart"/>
      <w:r w:rsidRPr="009E4CE7">
        <w:rPr>
          <w:rFonts w:cs="Arial"/>
          <w:color w:val="000000" w:themeColor="text1"/>
        </w:rPr>
        <w:t>μL</w:t>
      </w:r>
      <w:proofErr w:type="spellEnd"/>
      <w:r w:rsidRPr="009E4CE7">
        <w:rPr>
          <w:rFonts w:cs="Arial"/>
          <w:color w:val="000000" w:themeColor="text1"/>
        </w:rPr>
        <w:t xml:space="preserve"> and Position to the vial’s respective position on the autosampler tray. Input file names as sample names and set the desired file path for run results. NOTE: Blank vials containing Solvent A can be run at the start of the sequence and between each set of triplicate samples (each set of time points) to rinse the column.  </w:t>
      </w:r>
    </w:p>
    <w:p w14:paraId="6610F806" w14:textId="32A27D9F" w:rsidR="009E4CE7" w:rsidRDefault="003D3681" w:rsidP="009E4CE7">
      <w:pPr>
        <w:pStyle w:val="ListParagraph"/>
        <w:numPr>
          <w:ilvl w:val="0"/>
          <w:numId w:val="28"/>
        </w:numPr>
        <w:spacing w:line="480" w:lineRule="auto"/>
        <w:rPr>
          <w:rFonts w:cs="Arial"/>
          <w:color w:val="000000" w:themeColor="text1"/>
        </w:rPr>
      </w:pPr>
      <w:r w:rsidRPr="009E4CE7">
        <w:rPr>
          <w:rFonts w:cs="Arial"/>
          <w:color w:val="000000" w:themeColor="text1"/>
        </w:rPr>
        <w:t>To start the run, highlight all File Names in the Sequence. From the menu bar, select Actions &gt; Run Sequence &gt; OK.</w:t>
      </w:r>
    </w:p>
    <w:p w14:paraId="1EBA181A" w14:textId="77777777" w:rsidR="00E033D4" w:rsidRPr="00E033D4" w:rsidRDefault="00E033D4" w:rsidP="00E033D4">
      <w:pPr>
        <w:pStyle w:val="ListParagraph"/>
        <w:spacing w:line="480" w:lineRule="auto"/>
        <w:ind w:left="360"/>
        <w:rPr>
          <w:rFonts w:cs="Arial"/>
          <w:color w:val="000000" w:themeColor="text1"/>
        </w:rPr>
      </w:pPr>
    </w:p>
    <w:p w14:paraId="2F7818E3" w14:textId="400F9E0E" w:rsidR="003D3681" w:rsidRPr="00B1212D" w:rsidRDefault="009E4CE7" w:rsidP="009E4CE7">
      <w:pPr>
        <w:pStyle w:val="ChapterSub-heading"/>
      </w:pPr>
      <w:bookmarkStart w:id="23" w:name="_Toc129701015"/>
      <w:r>
        <w:t>2.3.</w:t>
      </w:r>
      <w:r w:rsidR="003D3681" w:rsidRPr="00A71FCF">
        <w:t xml:space="preserve">10. Consolidating files and searching for tentative annotations on </w:t>
      </w:r>
      <w:proofErr w:type="spellStart"/>
      <w:r w:rsidR="003D3681" w:rsidRPr="00A71FCF">
        <w:t>MZmine</w:t>
      </w:r>
      <w:proofErr w:type="spellEnd"/>
      <w:r w:rsidR="003D3681" w:rsidRPr="00A71FCF">
        <w:t xml:space="preserve"> 2.53</w:t>
      </w:r>
      <w:bookmarkEnd w:id="23"/>
      <w:r w:rsidR="003D3681" w:rsidRPr="00A71FCF">
        <w:t xml:space="preserve"> </w:t>
      </w:r>
    </w:p>
    <w:p w14:paraId="11FBD420" w14:textId="77777777" w:rsidR="00B129DE" w:rsidRPr="009E4CE7" w:rsidRDefault="003D3681" w:rsidP="0008141D">
      <w:pPr>
        <w:pStyle w:val="ListParagraph"/>
        <w:numPr>
          <w:ilvl w:val="0"/>
          <w:numId w:val="30"/>
        </w:numPr>
        <w:spacing w:after="160" w:line="480" w:lineRule="auto"/>
        <w:rPr>
          <w:rFonts w:cs="Arial"/>
        </w:rPr>
      </w:pPr>
      <w:r w:rsidRPr="009E4CE7">
        <w:rPr>
          <w:rFonts w:cs="Arial"/>
        </w:rPr>
        <w:t xml:space="preserve">Open </w:t>
      </w:r>
      <w:proofErr w:type="spellStart"/>
      <w:r w:rsidRPr="009E4CE7">
        <w:rPr>
          <w:rFonts w:cs="Arial"/>
        </w:rPr>
        <w:t>MZmine</w:t>
      </w:r>
      <w:proofErr w:type="spellEnd"/>
      <w:r w:rsidRPr="009E4CE7">
        <w:rPr>
          <w:rFonts w:cs="Arial"/>
        </w:rPr>
        <w:t xml:space="preserve"> and import the </w:t>
      </w:r>
      <w:proofErr w:type="gramStart"/>
      <w:r w:rsidRPr="009E4CE7">
        <w:rPr>
          <w:rFonts w:cs="Arial"/>
        </w:rPr>
        <w:t>‘.raw</w:t>
      </w:r>
      <w:proofErr w:type="gramEnd"/>
      <w:r w:rsidRPr="009E4CE7">
        <w:rPr>
          <w:rFonts w:cs="Arial"/>
        </w:rPr>
        <w:t xml:space="preserve">’ output files from step 9.1. From the menu bar, Raw Data Methods &gt; Raw Data Import. Select files corresponding to </w:t>
      </w:r>
      <w:r w:rsidR="00B1212D" w:rsidRPr="009E4CE7">
        <w:rPr>
          <w:rFonts w:cs="Arial"/>
        </w:rPr>
        <w:t>s</w:t>
      </w:r>
      <w:r w:rsidRPr="009E4CE7">
        <w:rPr>
          <w:rFonts w:cs="Arial"/>
        </w:rPr>
        <w:t>amples.</w:t>
      </w:r>
    </w:p>
    <w:p w14:paraId="66EA7B5D" w14:textId="77777777" w:rsidR="00B129DE" w:rsidRPr="009E4CE7" w:rsidRDefault="003D3681" w:rsidP="0008141D">
      <w:pPr>
        <w:pStyle w:val="ListParagraph"/>
        <w:numPr>
          <w:ilvl w:val="0"/>
          <w:numId w:val="30"/>
        </w:numPr>
        <w:spacing w:after="160" w:line="480" w:lineRule="auto"/>
        <w:rPr>
          <w:rFonts w:cs="Arial"/>
        </w:rPr>
      </w:pPr>
      <w:r w:rsidRPr="009E4CE7">
        <w:rPr>
          <w:rFonts w:cs="Arial"/>
        </w:rPr>
        <w:lastRenderedPageBreak/>
        <w:t xml:space="preserve">Construct a list of peaks distinguishing between MS1 and MS2 scans. From the menu bar, Raw Data Methods &gt; Feature Detection &gt; MS/MS </w:t>
      </w:r>
      <w:proofErr w:type="spellStart"/>
      <w:r w:rsidRPr="009E4CE7">
        <w:rPr>
          <w:rFonts w:cs="Arial"/>
        </w:rPr>
        <w:t>Peaklist</w:t>
      </w:r>
      <w:proofErr w:type="spellEnd"/>
      <w:r w:rsidRPr="009E4CE7">
        <w:rPr>
          <w:rFonts w:cs="Arial"/>
        </w:rPr>
        <w:t xml:space="preserve"> Builder. Relevant settings include m/z Window set to 0.01 and Time Window set to the length of the run. Under set filters, select Negative as Polarity and Centroided as the Spectrum Type. </w:t>
      </w:r>
    </w:p>
    <w:p w14:paraId="2D7102B2" w14:textId="77777777" w:rsidR="00B129DE" w:rsidRPr="009E4CE7" w:rsidRDefault="003D3681" w:rsidP="0008141D">
      <w:pPr>
        <w:pStyle w:val="ListParagraph"/>
        <w:numPr>
          <w:ilvl w:val="0"/>
          <w:numId w:val="30"/>
        </w:numPr>
        <w:spacing w:after="160" w:line="480" w:lineRule="auto"/>
        <w:rPr>
          <w:rFonts w:cs="Arial"/>
        </w:rPr>
      </w:pPr>
      <w:r w:rsidRPr="009E4CE7">
        <w:rPr>
          <w:rFonts w:cs="Arial"/>
        </w:rPr>
        <w:t>From the menu bar, go to Feature List Methods &gt; Feature Detection &gt; Peak Extender. Set m/z Tolerance to 0.005 m/z or 10 ppm and Minimum Height to 1E3. This step will create fully fleshed out peaks.</w:t>
      </w:r>
    </w:p>
    <w:p w14:paraId="75DB636C" w14:textId="77777777" w:rsidR="00B129DE" w:rsidRPr="009E4CE7" w:rsidRDefault="003D3681" w:rsidP="0008141D">
      <w:pPr>
        <w:pStyle w:val="ListParagraph"/>
        <w:numPr>
          <w:ilvl w:val="0"/>
          <w:numId w:val="30"/>
        </w:numPr>
        <w:spacing w:after="160" w:line="480" w:lineRule="auto"/>
        <w:rPr>
          <w:rFonts w:cs="Arial"/>
        </w:rPr>
      </w:pPr>
      <w:r w:rsidRPr="009E4CE7">
        <w:rPr>
          <w:rFonts w:cs="Arial"/>
        </w:rPr>
        <w:t>Remove duplicate peaks. Go back to Feature List Methods &gt; Filtering &gt; Duplicate Peak Filter. Relevant settings include m/z Tolerance set to 0.005 m/z or 10 ppm and a RT Tolerance set to 5 min.</w:t>
      </w:r>
    </w:p>
    <w:p w14:paraId="0BE8E78C" w14:textId="77777777" w:rsidR="00B129DE" w:rsidRPr="009E4CE7" w:rsidRDefault="003D3681" w:rsidP="0008141D">
      <w:pPr>
        <w:pStyle w:val="ListParagraph"/>
        <w:numPr>
          <w:ilvl w:val="0"/>
          <w:numId w:val="30"/>
        </w:numPr>
        <w:spacing w:after="160" w:line="480" w:lineRule="auto"/>
        <w:rPr>
          <w:rFonts w:cs="Arial"/>
        </w:rPr>
      </w:pPr>
      <w:r w:rsidRPr="009E4CE7">
        <w:rPr>
          <w:rFonts w:cs="Arial"/>
        </w:rPr>
        <w:t>To align peaks within similar data files (i.e., those of triplicate reactions), go back to Feature List Methods &gt; Normalization &gt; Retention Time Calibration. Be sure to process triplicate samples together and leave out blanks. Relevant settings include m/z Tolerance set to 0.005 m/z or 10 ppm, RT Tolerance set to 3 min absolute (min), and Minimum Standard Intensity set to 1E3.</w:t>
      </w:r>
    </w:p>
    <w:p w14:paraId="49CCEA54" w14:textId="77777777" w:rsidR="00B129DE" w:rsidRPr="009E4CE7" w:rsidRDefault="003D3681" w:rsidP="0008141D">
      <w:pPr>
        <w:pStyle w:val="ListParagraph"/>
        <w:numPr>
          <w:ilvl w:val="0"/>
          <w:numId w:val="30"/>
        </w:numPr>
        <w:spacing w:after="160" w:line="480" w:lineRule="auto"/>
        <w:rPr>
          <w:rFonts w:cs="Arial"/>
        </w:rPr>
      </w:pPr>
      <w:r w:rsidRPr="009E4CE7">
        <w:rPr>
          <w:rFonts w:cs="Arial"/>
        </w:rPr>
        <w:t>Align peaks from all files by m/z and retention time from Feature List Methods &gt; Alignment &gt; RANSAC Aligner. Set m/z Tolerance to 0.005 m/z or 10 ppm, RT Tolerance and RT Tolerance After Correction to 44 and 39 min, respectively, RANSAC Iterations to 0, Minimum Number of Points to 10%, and Threshold Value to 1. Tick the option Require Same Charge State.</w:t>
      </w:r>
    </w:p>
    <w:p w14:paraId="0B7FC68E" w14:textId="1EF3772E" w:rsidR="00E033D4" w:rsidRDefault="003D3681" w:rsidP="00E033D4">
      <w:pPr>
        <w:pStyle w:val="ListParagraph"/>
        <w:numPr>
          <w:ilvl w:val="0"/>
          <w:numId w:val="30"/>
        </w:numPr>
        <w:spacing w:after="160" w:line="480" w:lineRule="auto"/>
        <w:rPr>
          <w:rFonts w:cs="Arial"/>
        </w:rPr>
      </w:pPr>
      <w:r w:rsidRPr="009E4CE7">
        <w:rPr>
          <w:rFonts w:cs="Arial"/>
        </w:rPr>
        <w:t>Correct for any data points that may have been lost in prior steps in Feature List Methods &gt; Gap Filling &gt; Peak Finder. Relevant settings include Intensity Tolerance set to 50%, m/z Tolerance set to 0.005 m/z or 10 ppm, and RT tolerance set to 3 min. Enable RT correction.</w:t>
      </w:r>
    </w:p>
    <w:p w14:paraId="7D2FECF5" w14:textId="002EE767" w:rsidR="00E033D4" w:rsidRDefault="00E033D4" w:rsidP="00E033D4">
      <w:pPr>
        <w:pStyle w:val="ListParagraph"/>
        <w:spacing w:after="160" w:line="480" w:lineRule="auto"/>
        <w:ind w:left="360"/>
        <w:rPr>
          <w:rFonts w:cs="Arial"/>
        </w:rPr>
      </w:pPr>
    </w:p>
    <w:p w14:paraId="227008E0" w14:textId="77777777" w:rsidR="00D23BDB" w:rsidRPr="00E033D4" w:rsidRDefault="00D23BDB" w:rsidP="00E033D4">
      <w:pPr>
        <w:pStyle w:val="ListParagraph"/>
        <w:spacing w:after="160" w:line="480" w:lineRule="auto"/>
        <w:ind w:left="360"/>
        <w:rPr>
          <w:rFonts w:cs="Arial"/>
        </w:rPr>
      </w:pPr>
    </w:p>
    <w:p w14:paraId="77DD029F" w14:textId="5F07CDBB" w:rsidR="003D3681" w:rsidRPr="00A71FCF" w:rsidRDefault="009E4CE7" w:rsidP="009E4CE7">
      <w:pPr>
        <w:pStyle w:val="ChapterSub-heading"/>
      </w:pPr>
      <w:bookmarkStart w:id="24" w:name="_Toc129701016"/>
      <w:r>
        <w:lastRenderedPageBreak/>
        <w:t>2.3.</w:t>
      </w:r>
      <w:r w:rsidR="003D3681" w:rsidRPr="00A71FCF">
        <w:t xml:space="preserve">11. Calculating negative mode masses of </w:t>
      </w:r>
      <w:r w:rsidR="003D3681" w:rsidRPr="00A71FCF">
        <w:rPr>
          <w:vertAlign w:val="superscript"/>
        </w:rPr>
        <w:t>13</w:t>
      </w:r>
      <w:r w:rsidR="003D3681" w:rsidRPr="00A71FCF">
        <w:t>C-labeled glucose-derived metabolites and searching for the m/z features of these analytes in filtered data</w:t>
      </w:r>
      <w:bookmarkEnd w:id="24"/>
      <w:r w:rsidR="003D3681" w:rsidRPr="00A71FCF">
        <w:t xml:space="preserve"> </w:t>
      </w:r>
    </w:p>
    <w:p w14:paraId="14693C74" w14:textId="77777777" w:rsidR="00B129DE" w:rsidRPr="009E4CE7" w:rsidRDefault="003D3681" w:rsidP="00B129DE">
      <w:pPr>
        <w:pStyle w:val="ListParagraph"/>
        <w:numPr>
          <w:ilvl w:val="0"/>
          <w:numId w:val="32"/>
        </w:numPr>
        <w:spacing w:line="480" w:lineRule="auto"/>
        <w:rPr>
          <w:rFonts w:cs="Arial"/>
          <w:color w:val="000000" w:themeColor="text1"/>
        </w:rPr>
      </w:pPr>
      <w:r w:rsidRPr="00B129DE">
        <w:rPr>
          <w:rFonts w:cs="Arial"/>
          <w:color w:val="000000" w:themeColor="text1"/>
        </w:rPr>
        <w:t xml:space="preserve">Calculate the masses of </w:t>
      </w:r>
      <w:r w:rsidRPr="00B129DE">
        <w:rPr>
          <w:rFonts w:cs="Arial"/>
          <w:color w:val="000000" w:themeColor="text1"/>
          <w:vertAlign w:val="superscript"/>
        </w:rPr>
        <w:t>13</w:t>
      </w:r>
      <w:r w:rsidRPr="00B129DE">
        <w:rPr>
          <w:rFonts w:cs="Arial"/>
          <w:color w:val="000000" w:themeColor="text1"/>
        </w:rPr>
        <w:t xml:space="preserve">C-labeled metabolites from glucose metabolism for the targeted </w:t>
      </w:r>
      <w:r w:rsidRPr="009E4CE7">
        <w:rPr>
          <w:rFonts w:cs="Arial"/>
          <w:color w:val="000000" w:themeColor="text1"/>
        </w:rPr>
        <w:t xml:space="preserve">search. </w:t>
      </w:r>
    </w:p>
    <w:p w14:paraId="47D953F7" w14:textId="77777777" w:rsidR="00B129DE" w:rsidRPr="009E4CE7" w:rsidRDefault="003D3681" w:rsidP="00B129DE">
      <w:pPr>
        <w:pStyle w:val="ListParagraph"/>
        <w:numPr>
          <w:ilvl w:val="1"/>
          <w:numId w:val="32"/>
        </w:numPr>
        <w:spacing w:line="480" w:lineRule="auto"/>
        <w:rPr>
          <w:rFonts w:cs="Arial"/>
          <w:color w:val="000000" w:themeColor="text1"/>
        </w:rPr>
      </w:pPr>
      <w:r w:rsidRPr="009E4CE7">
        <w:rPr>
          <w:rFonts w:cs="Arial"/>
          <w:color w:val="000000" w:themeColor="text1"/>
        </w:rPr>
        <w:t>Calculate the monoisotopic mass of each target compound from the number of atoms in the compound’s molecular formula and the monoisotopic masses of each element.</w:t>
      </w:r>
    </w:p>
    <w:p w14:paraId="157AA8BA" w14:textId="77777777" w:rsidR="00B129DE" w:rsidRPr="009E4CE7" w:rsidRDefault="003D3681" w:rsidP="00B129DE">
      <w:pPr>
        <w:pStyle w:val="ListParagraph"/>
        <w:numPr>
          <w:ilvl w:val="1"/>
          <w:numId w:val="32"/>
        </w:numPr>
        <w:spacing w:line="480" w:lineRule="auto"/>
        <w:rPr>
          <w:rFonts w:cs="Arial"/>
          <w:color w:val="000000" w:themeColor="text1"/>
        </w:rPr>
      </w:pPr>
      <w:r w:rsidRPr="009E4CE7">
        <w:rPr>
          <w:rFonts w:cs="Arial"/>
          <w:color w:val="000000" w:themeColor="text1"/>
        </w:rPr>
        <w:t xml:space="preserve">Calculate the compound’s negative mode mass [M-H]- by subtracting the mass of 1 proton (1.007276 Da) from the monoisotopic mass. This is the mass detected by negative mode MS detection after molecules are stripped of a hydrogen ion during ionization. </w:t>
      </w:r>
    </w:p>
    <w:p w14:paraId="0191575A" w14:textId="77777777" w:rsidR="00B129DE" w:rsidRPr="009E4CE7" w:rsidRDefault="003D3681" w:rsidP="0008141D">
      <w:pPr>
        <w:pStyle w:val="ListParagraph"/>
        <w:numPr>
          <w:ilvl w:val="1"/>
          <w:numId w:val="32"/>
        </w:numPr>
        <w:spacing w:line="480" w:lineRule="auto"/>
        <w:rPr>
          <w:rFonts w:cs="Arial"/>
          <w:color w:val="000000" w:themeColor="text1"/>
        </w:rPr>
      </w:pPr>
      <w:r w:rsidRPr="009E4CE7">
        <w:rPr>
          <w:rFonts w:cs="Arial"/>
          <w:color w:val="000000" w:themeColor="text1"/>
        </w:rPr>
        <w:t xml:space="preserve">From the negative mode mass, calculate the mass of the </w:t>
      </w:r>
      <w:r w:rsidRPr="009E4CE7">
        <w:rPr>
          <w:rFonts w:cs="Arial"/>
          <w:color w:val="000000" w:themeColor="text1"/>
          <w:vertAlign w:val="superscript"/>
        </w:rPr>
        <w:t>13</w:t>
      </w:r>
      <w:r w:rsidRPr="009E4CE7">
        <w:rPr>
          <w:rFonts w:cs="Arial"/>
          <w:color w:val="000000" w:themeColor="text1"/>
        </w:rPr>
        <w:t xml:space="preserve">C-incorporating metabolite. Here, the masses of </w:t>
      </w:r>
      <w:proofErr w:type="spellStart"/>
      <w:r w:rsidRPr="009E4CE7">
        <w:rPr>
          <w:rFonts w:cs="Arial"/>
          <w:color w:val="000000" w:themeColor="text1"/>
        </w:rPr>
        <w:t>isotopologues</w:t>
      </w:r>
      <w:proofErr w:type="spellEnd"/>
      <w:r w:rsidRPr="009E4CE7">
        <w:rPr>
          <w:rFonts w:cs="Arial"/>
          <w:color w:val="000000" w:themeColor="text1"/>
        </w:rPr>
        <w:t xml:space="preserve"> that maximally incorporate glucose-derived </w:t>
      </w:r>
      <w:r w:rsidRPr="009E4CE7">
        <w:rPr>
          <w:rFonts w:cs="Arial"/>
          <w:color w:val="000000" w:themeColor="text1"/>
          <w:vertAlign w:val="superscript"/>
        </w:rPr>
        <w:t>13</w:t>
      </w:r>
      <w:r w:rsidRPr="009E4CE7">
        <w:rPr>
          <w:rFonts w:cs="Arial"/>
          <w:color w:val="000000" w:themeColor="text1"/>
        </w:rPr>
        <w:t xml:space="preserve">C-labels were calculated. </w:t>
      </w:r>
    </w:p>
    <w:p w14:paraId="30AE3B2B" w14:textId="77777777" w:rsidR="00B129DE" w:rsidRPr="009E4CE7" w:rsidRDefault="003D3681" w:rsidP="00B129DE">
      <w:pPr>
        <w:pStyle w:val="ListParagraph"/>
        <w:numPr>
          <w:ilvl w:val="0"/>
          <w:numId w:val="32"/>
        </w:numPr>
        <w:spacing w:line="480" w:lineRule="auto"/>
        <w:rPr>
          <w:rFonts w:cs="Arial"/>
          <w:color w:val="000000" w:themeColor="text1"/>
        </w:rPr>
      </w:pPr>
      <w:r w:rsidRPr="009E4CE7">
        <w:rPr>
          <w:rFonts w:cs="Arial"/>
          <w:color w:val="000000" w:themeColor="text1"/>
        </w:rPr>
        <w:t xml:space="preserve">Use calculated masses of </w:t>
      </w:r>
      <w:r w:rsidRPr="009E4CE7">
        <w:rPr>
          <w:rFonts w:cs="Arial"/>
          <w:color w:val="000000" w:themeColor="text1"/>
          <w:vertAlign w:val="superscript"/>
        </w:rPr>
        <w:t>13</w:t>
      </w:r>
      <w:r w:rsidRPr="009E4CE7">
        <w:rPr>
          <w:rFonts w:cs="Arial"/>
          <w:color w:val="000000" w:themeColor="text1"/>
        </w:rPr>
        <w:t xml:space="preserve">C-labeled metabolites to search and annotate m/z features from </w:t>
      </w:r>
      <w:proofErr w:type="spellStart"/>
      <w:r w:rsidRPr="009E4CE7">
        <w:rPr>
          <w:rFonts w:cs="Arial"/>
          <w:color w:val="000000" w:themeColor="text1"/>
        </w:rPr>
        <w:t>MZmine</w:t>
      </w:r>
      <w:proofErr w:type="spellEnd"/>
      <w:r w:rsidRPr="009E4CE7">
        <w:rPr>
          <w:rFonts w:cs="Arial"/>
          <w:color w:val="000000" w:themeColor="text1"/>
        </w:rPr>
        <w:t xml:space="preserve"> results. For each possible hit, calculate the mass error (ppm) using the following equation:</w:t>
      </w:r>
    </w:p>
    <w:p w14:paraId="7DFD3089" w14:textId="333C6FB4" w:rsidR="009E4CE7" w:rsidRPr="009E4CE7" w:rsidRDefault="009E4CE7" w:rsidP="009E4CE7">
      <w:pPr>
        <w:ind w:firstLine="360"/>
        <w:jc w:val="center"/>
        <w:rPr>
          <w:rFonts w:cs="Arial"/>
          <w:color w:val="000000" w:themeColor="text1"/>
        </w:rPr>
      </w:pPr>
      <m:oMath>
        <m:r>
          <w:rPr>
            <w:rFonts w:ascii="Cambria Math" w:hAnsi="Cambria Math" w:cs="Arial"/>
            <w:color w:val="000000" w:themeColor="text1"/>
          </w:rPr>
          <m:t xml:space="preserve">ppm error= </m:t>
        </m:r>
        <m:f>
          <m:fPr>
            <m:ctrlPr>
              <w:rPr>
                <w:rFonts w:ascii="Cambria Math" w:hAnsi="Cambria Math" w:cs="Arial"/>
                <w:i/>
                <w:color w:val="000000" w:themeColor="text1"/>
              </w:rPr>
            </m:ctrlPr>
          </m:fPr>
          <m:num>
            <m:sSub>
              <m:sSubPr>
                <m:ctrlPr>
                  <w:rPr>
                    <w:rFonts w:ascii="Cambria Math" w:hAnsi="Cambria Math" w:cs="Arial"/>
                    <w:i/>
                    <w:color w:val="000000" w:themeColor="text1"/>
                  </w:rPr>
                </m:ctrlPr>
              </m:sSubPr>
              <m:e>
                <m:r>
                  <w:rPr>
                    <w:rFonts w:ascii="Cambria Math" w:hAnsi="Cambria Math" w:cs="Arial"/>
                    <w:color w:val="000000" w:themeColor="text1"/>
                  </w:rPr>
                  <m:t>(</m:t>
                </m:r>
                <m:f>
                  <m:fPr>
                    <m:ctrlPr>
                      <w:rPr>
                        <w:rFonts w:ascii="Cambria Math" w:hAnsi="Cambria Math" w:cs="Arial"/>
                        <w:i/>
                        <w:color w:val="000000" w:themeColor="text1"/>
                      </w:rPr>
                    </m:ctrlPr>
                  </m:fPr>
                  <m:num>
                    <m:r>
                      <w:rPr>
                        <w:rFonts w:ascii="Cambria Math" w:hAnsi="Cambria Math" w:cs="Arial"/>
                        <w:color w:val="000000" w:themeColor="text1"/>
                      </w:rPr>
                      <m:t>m</m:t>
                    </m:r>
                  </m:num>
                  <m:den>
                    <m:r>
                      <w:rPr>
                        <w:rFonts w:ascii="Cambria Math" w:hAnsi="Cambria Math" w:cs="Arial"/>
                        <w:color w:val="000000" w:themeColor="text1"/>
                      </w:rPr>
                      <m:t>z</m:t>
                    </m:r>
                  </m:den>
                </m:f>
                <m:r>
                  <w:rPr>
                    <w:rFonts w:ascii="Cambria Math" w:hAnsi="Cambria Math" w:cs="Arial"/>
                    <w:color w:val="000000" w:themeColor="text1"/>
                  </w:rPr>
                  <m:t>)</m:t>
                </m:r>
              </m:e>
              <m:sub>
                <m:r>
                  <w:rPr>
                    <w:rFonts w:ascii="Cambria Math" w:hAnsi="Cambria Math" w:cs="Arial"/>
                    <w:color w:val="000000" w:themeColor="text1"/>
                  </w:rPr>
                  <m:t>theoretical</m:t>
                </m:r>
              </m:sub>
            </m:sSub>
            <m:r>
              <w:rPr>
                <w:rFonts w:ascii="Cambria Math" w:hAnsi="Cambria Math" w:cs="Arial"/>
                <w:color w:val="000000" w:themeColor="text1"/>
              </w:rPr>
              <m:t xml:space="preserve"> - </m:t>
            </m:r>
            <m:sSub>
              <m:sSubPr>
                <m:ctrlPr>
                  <w:rPr>
                    <w:rFonts w:ascii="Cambria Math" w:hAnsi="Cambria Math" w:cs="Arial"/>
                    <w:i/>
                    <w:color w:val="000000" w:themeColor="text1"/>
                  </w:rPr>
                </m:ctrlPr>
              </m:sSubPr>
              <m:e>
                <m:r>
                  <w:rPr>
                    <w:rFonts w:ascii="Cambria Math" w:hAnsi="Cambria Math" w:cs="Arial"/>
                    <w:color w:val="000000" w:themeColor="text1"/>
                  </w:rPr>
                  <m:t>(</m:t>
                </m:r>
                <m:f>
                  <m:fPr>
                    <m:ctrlPr>
                      <w:rPr>
                        <w:rFonts w:ascii="Cambria Math" w:hAnsi="Cambria Math" w:cs="Arial"/>
                        <w:i/>
                        <w:color w:val="000000" w:themeColor="text1"/>
                      </w:rPr>
                    </m:ctrlPr>
                  </m:fPr>
                  <m:num>
                    <m:r>
                      <w:rPr>
                        <w:rFonts w:ascii="Cambria Math" w:hAnsi="Cambria Math" w:cs="Arial"/>
                        <w:color w:val="000000" w:themeColor="text1"/>
                      </w:rPr>
                      <m:t>m</m:t>
                    </m:r>
                  </m:num>
                  <m:den>
                    <m:r>
                      <w:rPr>
                        <w:rFonts w:ascii="Cambria Math" w:hAnsi="Cambria Math" w:cs="Arial"/>
                        <w:color w:val="000000" w:themeColor="text1"/>
                      </w:rPr>
                      <m:t>z</m:t>
                    </m:r>
                  </m:den>
                </m:f>
                <m:r>
                  <w:rPr>
                    <w:rFonts w:ascii="Cambria Math" w:hAnsi="Cambria Math" w:cs="Arial"/>
                    <w:color w:val="000000" w:themeColor="text1"/>
                  </w:rPr>
                  <m:t>)</m:t>
                </m:r>
              </m:e>
              <m:sub>
                <m:r>
                  <w:rPr>
                    <w:rFonts w:ascii="Cambria Math" w:hAnsi="Cambria Math" w:cs="Arial"/>
                    <w:color w:val="000000" w:themeColor="text1"/>
                  </w:rPr>
                  <m:t>experimental</m:t>
                </m:r>
              </m:sub>
            </m:sSub>
          </m:num>
          <m:den>
            <m:sSub>
              <m:sSubPr>
                <m:ctrlPr>
                  <w:rPr>
                    <w:rFonts w:ascii="Cambria Math" w:hAnsi="Cambria Math" w:cs="Arial"/>
                    <w:i/>
                    <w:color w:val="000000" w:themeColor="text1"/>
                  </w:rPr>
                </m:ctrlPr>
              </m:sSubPr>
              <m:e>
                <m:r>
                  <w:rPr>
                    <w:rFonts w:ascii="Cambria Math" w:hAnsi="Cambria Math" w:cs="Arial"/>
                    <w:color w:val="000000" w:themeColor="text1"/>
                  </w:rPr>
                  <m:t>(</m:t>
                </m:r>
                <m:f>
                  <m:fPr>
                    <m:ctrlPr>
                      <w:rPr>
                        <w:rFonts w:ascii="Cambria Math" w:hAnsi="Cambria Math" w:cs="Arial"/>
                        <w:i/>
                        <w:color w:val="000000" w:themeColor="text1"/>
                      </w:rPr>
                    </m:ctrlPr>
                  </m:fPr>
                  <m:num>
                    <m:r>
                      <w:rPr>
                        <w:rFonts w:ascii="Cambria Math" w:hAnsi="Cambria Math" w:cs="Arial"/>
                        <w:color w:val="000000" w:themeColor="text1"/>
                      </w:rPr>
                      <m:t>m</m:t>
                    </m:r>
                  </m:num>
                  <m:den>
                    <m:r>
                      <w:rPr>
                        <w:rFonts w:ascii="Cambria Math" w:hAnsi="Cambria Math" w:cs="Arial"/>
                        <w:color w:val="000000" w:themeColor="text1"/>
                      </w:rPr>
                      <m:t>z</m:t>
                    </m:r>
                  </m:den>
                </m:f>
                <m:r>
                  <w:rPr>
                    <w:rFonts w:ascii="Cambria Math" w:hAnsi="Cambria Math" w:cs="Arial"/>
                    <w:color w:val="000000" w:themeColor="text1"/>
                  </w:rPr>
                  <m:t>)</m:t>
                </m:r>
              </m:e>
              <m:sub>
                <m:r>
                  <w:rPr>
                    <w:rFonts w:ascii="Cambria Math" w:hAnsi="Cambria Math" w:cs="Arial"/>
                    <w:color w:val="000000" w:themeColor="text1"/>
                  </w:rPr>
                  <m:t>theoretical</m:t>
                </m:r>
              </m:sub>
            </m:sSub>
          </m:den>
        </m:f>
        <m:r>
          <w:rPr>
            <w:rFonts w:ascii="Cambria Math" w:hAnsi="Cambria Math" w:cs="Arial"/>
            <w:color w:val="000000" w:themeColor="text1"/>
          </w:rPr>
          <m:t xml:space="preserve"> x </m:t>
        </m:r>
        <m:sSup>
          <m:sSupPr>
            <m:ctrlPr>
              <w:rPr>
                <w:rFonts w:ascii="Cambria Math" w:hAnsi="Cambria Math" w:cs="Arial"/>
                <w:i/>
                <w:color w:val="000000" w:themeColor="text1"/>
              </w:rPr>
            </m:ctrlPr>
          </m:sSupPr>
          <m:e>
            <m:r>
              <w:rPr>
                <w:rFonts w:ascii="Cambria Math" w:hAnsi="Cambria Math" w:cs="Arial"/>
                <w:color w:val="000000" w:themeColor="text1"/>
              </w:rPr>
              <m:t>10</m:t>
            </m:r>
          </m:e>
          <m:sup>
            <m:r>
              <w:rPr>
                <w:rFonts w:ascii="Cambria Math" w:hAnsi="Cambria Math" w:cs="Arial"/>
                <w:color w:val="000000" w:themeColor="text1"/>
              </w:rPr>
              <m:t>6</m:t>
            </m:r>
          </m:sup>
        </m:sSup>
      </m:oMath>
      <w:r w:rsidR="00B129DE" w:rsidRPr="009E4CE7">
        <w:rPr>
          <w:rFonts w:cs="Arial"/>
          <w:color w:val="000000" w:themeColor="text1"/>
        </w:rPr>
        <w:t xml:space="preserve"> </w:t>
      </w:r>
    </w:p>
    <w:p w14:paraId="18F55996" w14:textId="77777777" w:rsidR="009E4CE7" w:rsidRPr="009E4CE7" w:rsidRDefault="009E4CE7" w:rsidP="009E4CE7">
      <w:pPr>
        <w:ind w:firstLine="360"/>
        <w:jc w:val="center"/>
        <w:rPr>
          <w:rFonts w:cs="Arial"/>
          <w:color w:val="000000" w:themeColor="text1"/>
          <w:szCs w:val="22"/>
        </w:rPr>
      </w:pPr>
    </w:p>
    <w:p w14:paraId="0A2F29B1" w14:textId="753BFA11" w:rsidR="00B129DE" w:rsidRPr="009E4CE7" w:rsidRDefault="003D3681" w:rsidP="009E4CE7">
      <w:pPr>
        <w:ind w:left="360"/>
        <w:rPr>
          <w:rFonts w:cs="Arial"/>
          <w:color w:val="000000" w:themeColor="text1"/>
          <w:szCs w:val="22"/>
        </w:rPr>
      </w:pPr>
      <w:r w:rsidRPr="009E4CE7">
        <w:rPr>
          <w:rFonts w:cs="Arial"/>
          <w:color w:val="000000" w:themeColor="text1"/>
          <w:szCs w:val="22"/>
        </w:rPr>
        <w:t>NOTE: Experimental m/z values with &lt; 15 ppm mass error were considered as putative annotations in the current analysis.</w:t>
      </w:r>
    </w:p>
    <w:p w14:paraId="05C03497" w14:textId="77777777" w:rsidR="009E4CE7" w:rsidRPr="009E4CE7" w:rsidRDefault="003D3681" w:rsidP="009E4CE7">
      <w:pPr>
        <w:pStyle w:val="ListParagraph"/>
        <w:numPr>
          <w:ilvl w:val="0"/>
          <w:numId w:val="32"/>
        </w:numPr>
        <w:spacing w:line="480" w:lineRule="auto"/>
        <w:rPr>
          <w:rFonts w:cs="Arial"/>
          <w:color w:val="000000" w:themeColor="text1"/>
        </w:rPr>
      </w:pPr>
      <w:r w:rsidRPr="009E4CE7">
        <w:rPr>
          <w:rFonts w:cs="Arial"/>
          <w:color w:val="000000" w:themeColor="text1"/>
        </w:rPr>
        <w:t xml:space="preserve">Manually check spectra of putative annotations on a quality browser to confirm annotations. </w:t>
      </w:r>
    </w:p>
    <w:p w14:paraId="0AD9A480" w14:textId="77777777" w:rsidR="009E4CE7" w:rsidRPr="009E4CE7" w:rsidRDefault="003D3681" w:rsidP="009E4CE7">
      <w:pPr>
        <w:pStyle w:val="ListParagraph"/>
        <w:numPr>
          <w:ilvl w:val="1"/>
          <w:numId w:val="32"/>
        </w:numPr>
        <w:spacing w:line="480" w:lineRule="auto"/>
        <w:rPr>
          <w:rFonts w:cs="Arial"/>
          <w:color w:val="000000" w:themeColor="text1"/>
        </w:rPr>
      </w:pPr>
      <w:r w:rsidRPr="009E4CE7">
        <w:rPr>
          <w:rFonts w:cs="Arial"/>
          <w:color w:val="000000" w:themeColor="text1"/>
        </w:rPr>
        <w:t xml:space="preserve">Open Roadmap &gt; Qual Browser. From the Tool Bar, Open Raw File to import raw MS data of each sample. </w:t>
      </w:r>
    </w:p>
    <w:p w14:paraId="6684255C" w14:textId="77777777" w:rsidR="009E4CE7" w:rsidRPr="009E4CE7" w:rsidRDefault="003D3681" w:rsidP="0008141D">
      <w:pPr>
        <w:pStyle w:val="ListParagraph"/>
        <w:numPr>
          <w:ilvl w:val="1"/>
          <w:numId w:val="32"/>
        </w:numPr>
        <w:spacing w:line="480" w:lineRule="auto"/>
        <w:rPr>
          <w:rFonts w:cs="Arial"/>
          <w:color w:val="000000" w:themeColor="text1"/>
        </w:rPr>
      </w:pPr>
      <w:r w:rsidRPr="009E4CE7">
        <w:rPr>
          <w:rFonts w:cs="Arial"/>
          <w:color w:val="000000" w:themeColor="text1"/>
        </w:rPr>
        <w:t xml:space="preserve">Draw a line under a desired range of retention times (i.e., corresponding to the putative annotation) on the total ion chromatogram (top panel) to view a mass spectrum (bottom panel). Right click on the spectrum and input a range of masses that encompass the </w:t>
      </w:r>
      <w:r w:rsidRPr="009E4CE7">
        <w:rPr>
          <w:rFonts w:cs="Arial"/>
          <w:color w:val="000000" w:themeColor="text1"/>
        </w:rPr>
        <w:lastRenderedPageBreak/>
        <w:t>target analyte’s m/z. Check whether the putative annotations have distinct peak signals that are appreciably above noise (</w:t>
      </w:r>
      <w:r w:rsidR="00A71889" w:rsidRPr="009E4CE7">
        <w:rPr>
          <w:rFonts w:cs="Arial"/>
          <w:b/>
          <w:bCs/>
          <w:color w:val="000000" w:themeColor="text1"/>
        </w:rPr>
        <w:t xml:space="preserve">Appendix </w:t>
      </w:r>
      <w:r w:rsidR="00405F98" w:rsidRPr="009E4CE7">
        <w:rPr>
          <w:rFonts w:cs="Arial"/>
          <w:b/>
          <w:bCs/>
          <w:color w:val="000000" w:themeColor="text1"/>
        </w:rPr>
        <w:t>Figure</w:t>
      </w:r>
      <w:r w:rsidRPr="009E4CE7">
        <w:rPr>
          <w:rFonts w:cs="Arial"/>
          <w:b/>
          <w:bCs/>
          <w:color w:val="000000" w:themeColor="text1"/>
        </w:rPr>
        <w:t xml:space="preserve"> 2</w:t>
      </w:r>
      <w:r w:rsidR="00405F98" w:rsidRPr="009E4CE7">
        <w:rPr>
          <w:rFonts w:cs="Arial"/>
          <w:b/>
          <w:bCs/>
          <w:color w:val="000000" w:themeColor="text1"/>
        </w:rPr>
        <w:t>.8</w:t>
      </w:r>
      <w:r w:rsidRPr="009E4CE7">
        <w:rPr>
          <w:rFonts w:cs="Arial"/>
          <w:b/>
          <w:bCs/>
          <w:color w:val="000000" w:themeColor="text1"/>
        </w:rPr>
        <w:t>).</w:t>
      </w:r>
    </w:p>
    <w:p w14:paraId="5E2EA840" w14:textId="4BC1D7E4" w:rsidR="003D3681" w:rsidRPr="009E4CE7" w:rsidRDefault="003D3681" w:rsidP="009E4CE7">
      <w:pPr>
        <w:pStyle w:val="ListParagraph"/>
        <w:numPr>
          <w:ilvl w:val="0"/>
          <w:numId w:val="32"/>
        </w:numPr>
        <w:spacing w:line="480" w:lineRule="auto"/>
        <w:rPr>
          <w:rFonts w:cs="Arial"/>
          <w:color w:val="000000" w:themeColor="text1"/>
        </w:rPr>
      </w:pPr>
      <w:r w:rsidRPr="009E4CE7">
        <w:rPr>
          <w:rFonts w:cs="Arial"/>
          <w:color w:val="000000" w:themeColor="text1"/>
        </w:rPr>
        <w:t xml:space="preserve">Calculate the average peak areas and standard errors of positive annotations across biological replicates for each time point. Visualize the data (i.e., on a bar graph) to observe trends in glucose metabolism. </w:t>
      </w:r>
    </w:p>
    <w:p w14:paraId="664794F4" w14:textId="77777777" w:rsidR="00E337ED" w:rsidRDefault="00E337ED" w:rsidP="00E337ED">
      <w:pPr>
        <w:contextualSpacing/>
        <w:rPr>
          <w:rFonts w:eastAsia="Times New Roman" w:cs="Arial"/>
          <w:szCs w:val="22"/>
        </w:rPr>
      </w:pPr>
    </w:p>
    <w:p w14:paraId="607EC898" w14:textId="7187A0F6" w:rsidR="00E033D4" w:rsidRDefault="00CE3140" w:rsidP="00E033D4">
      <w:pPr>
        <w:pStyle w:val="ChapterHeading"/>
      </w:pPr>
      <w:bookmarkStart w:id="25" w:name="_Toc129701017"/>
      <w:r w:rsidRPr="00CE3140">
        <w:t>2.4</w:t>
      </w:r>
      <w:r w:rsidR="008E289D">
        <w:t>.</w:t>
      </w:r>
      <w:r w:rsidRPr="00CE3140">
        <w:t xml:space="preserve"> </w:t>
      </w:r>
      <w:r w:rsidR="00046C2F" w:rsidRPr="00CE3140">
        <w:t>Representative Results</w:t>
      </w:r>
      <w:bookmarkEnd w:id="25"/>
    </w:p>
    <w:p w14:paraId="7B36EA76" w14:textId="7DF55AD1" w:rsidR="00E033D4" w:rsidRPr="00E033D4" w:rsidRDefault="00E033D4" w:rsidP="00E033D4">
      <w:pPr>
        <w:pStyle w:val="ChapterSub-heading"/>
      </w:pPr>
      <w:bookmarkStart w:id="26" w:name="_Toc129701018"/>
      <w:r>
        <w:t>2.4.1. HPLC-RID based analysis of lysate fermentative metabolism</w:t>
      </w:r>
      <w:bookmarkEnd w:id="26"/>
    </w:p>
    <w:p w14:paraId="03C0BA8E" w14:textId="6EE544D5" w:rsidR="003D3681" w:rsidRPr="00A71FCF" w:rsidRDefault="003D3681" w:rsidP="0008141D">
      <w:pPr>
        <w:ind w:firstLine="720"/>
        <w:contextualSpacing/>
        <w:rPr>
          <w:rFonts w:cs="Arial"/>
          <w:bCs/>
          <w:color w:val="ED7D31" w:themeColor="accent2"/>
          <w:szCs w:val="22"/>
        </w:rPr>
      </w:pPr>
      <w:r w:rsidRPr="00A71FCF">
        <w:rPr>
          <w:rFonts w:cs="Arial"/>
          <w:bCs/>
          <w:color w:val="000000"/>
          <w:szCs w:val="22"/>
        </w:rPr>
        <w:t xml:space="preserve">To quantify the lysate-based cell-free synthesis of common fermentation products from glucose, </w:t>
      </w:r>
      <w:r w:rsidRPr="00A71FCF">
        <w:rPr>
          <w:rFonts w:cs="Arial"/>
          <w:bCs/>
          <w:color w:val="000000" w:themeColor="text1"/>
          <w:szCs w:val="22"/>
        </w:rPr>
        <w:t xml:space="preserve">lysates derived from strains grown in 2xYPTG media were fed </w:t>
      </w:r>
      <w:r w:rsidRPr="00A71FCF">
        <w:rPr>
          <w:rFonts w:cs="Arial"/>
          <w:bCs/>
          <w:color w:val="000000"/>
          <w:szCs w:val="22"/>
        </w:rPr>
        <w:t xml:space="preserve">100 </w:t>
      </w:r>
      <w:r w:rsidRPr="00A71FCF">
        <w:rPr>
          <w:rFonts w:cs="Arial"/>
          <w:color w:val="000000" w:themeColor="text1"/>
          <w:szCs w:val="22"/>
        </w:rPr>
        <w:t>µ</w:t>
      </w:r>
      <w:r w:rsidRPr="00A71FCF">
        <w:rPr>
          <w:rFonts w:cs="Arial"/>
          <w:bCs/>
          <w:color w:val="000000"/>
          <w:szCs w:val="22"/>
        </w:rPr>
        <w:t xml:space="preserve">M glucose </w:t>
      </w:r>
      <w:r w:rsidRPr="00A71FCF">
        <w:rPr>
          <w:rFonts w:cs="Arial"/>
          <w:bCs/>
          <w:color w:val="000000" w:themeColor="text1"/>
          <w:szCs w:val="22"/>
        </w:rPr>
        <w:t>as a primary carbon source</w:t>
      </w:r>
      <w:r w:rsidRPr="00A71FCF">
        <w:rPr>
          <w:rFonts w:cs="Arial"/>
          <w:bCs/>
          <w:color w:val="000000" w:themeColor="text1"/>
          <w:szCs w:val="22"/>
        </w:rPr>
        <w:fldChar w:fldCharType="begin" w:fldLock="1"/>
      </w:r>
      <w:r w:rsidR="00567FF4">
        <w:rPr>
          <w:rFonts w:cs="Arial"/>
          <w:bCs/>
          <w:color w:val="000000" w:themeColor="text1"/>
          <w:szCs w:val="22"/>
        </w:rPr>
        <w:instrText>ADDIN CSL_CITATION {"citationItems":[{"id":"ITEM-1","itemData":{"DOI":"10.1016/j.mec.2021.e00162","ISSN":"22140301","abstract":"Cell-free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Communications","id":"ITEM-1","issued":{"date-parts":[["2021","6","1"]]},"page":"e00162","publisher":"Elsevier B.V.","title":"A lysate proteome engineering strategy for enhancing cell-free metabolite production","type":"article-journal","volume":"12"},"uris":["http://www.mendeley.com/documents/?uuid=babcd1d7-dd2c-32bc-b636-c7ebdf6b2dd4"]}],"mendeley":{"formattedCitation":"&lt;sup&gt;74&lt;/sup&gt;","plainTextFormattedCitation":"74","previouslyFormattedCitation":"&lt;sup&gt;74&lt;/sup&gt;"},"properties":{"noteIndex":0},"schema":"https://github.com/citation-style-language/schema/raw/master/csl-citation.json"}</w:instrText>
      </w:r>
      <w:r w:rsidRPr="00A71FCF">
        <w:rPr>
          <w:rFonts w:cs="Arial"/>
          <w:bCs/>
          <w:color w:val="000000" w:themeColor="text1"/>
          <w:szCs w:val="22"/>
        </w:rPr>
        <w:fldChar w:fldCharType="separate"/>
      </w:r>
      <w:r w:rsidR="00567FF4" w:rsidRPr="00567FF4">
        <w:rPr>
          <w:rFonts w:cs="Arial"/>
          <w:bCs/>
          <w:noProof/>
          <w:color w:val="000000" w:themeColor="text1"/>
          <w:szCs w:val="22"/>
          <w:vertAlign w:val="superscript"/>
        </w:rPr>
        <w:t>74</w:t>
      </w:r>
      <w:r w:rsidRPr="00A71FCF">
        <w:rPr>
          <w:rFonts w:cs="Arial"/>
          <w:bCs/>
          <w:color w:val="000000" w:themeColor="text1"/>
          <w:szCs w:val="22"/>
        </w:rPr>
        <w:fldChar w:fldCharType="end"/>
      </w:r>
      <w:r w:rsidRPr="00A71FCF">
        <w:rPr>
          <w:rFonts w:cs="Arial"/>
          <w:bCs/>
          <w:color w:val="000000" w:themeColor="text1"/>
          <w:szCs w:val="22"/>
        </w:rPr>
        <w:t xml:space="preserve">. </w:t>
      </w:r>
      <w:r w:rsidRPr="00A71FCF">
        <w:rPr>
          <w:rFonts w:cs="Arial"/>
          <w:bCs/>
          <w:color w:val="000000"/>
          <w:szCs w:val="22"/>
        </w:rPr>
        <w:t xml:space="preserve">Reactions were stopped over a 24 h time course by protein acidification. Filtered supernatants containing pyruvate, succinate, lactate, </w:t>
      </w:r>
      <w:proofErr w:type="spellStart"/>
      <w:r w:rsidRPr="00A71FCF">
        <w:rPr>
          <w:rFonts w:cs="Arial"/>
          <w:bCs/>
          <w:color w:val="000000"/>
          <w:szCs w:val="22"/>
        </w:rPr>
        <w:t>formate</w:t>
      </w:r>
      <w:proofErr w:type="spellEnd"/>
      <w:r w:rsidRPr="00A71FCF">
        <w:rPr>
          <w:rFonts w:cs="Arial"/>
          <w:bCs/>
          <w:color w:val="000000"/>
          <w:szCs w:val="22"/>
        </w:rPr>
        <w:t xml:space="preserve">, acetate, and ethanol produced from glucose catabolism were loaded onto the autosampler module of a 1260 Infinity HPLC system equipped with a RID module. Vials with filtered mixtures of fermentative end-products and glucose at 1.17 </w:t>
      </w:r>
      <w:r w:rsidRPr="00A71FCF">
        <w:rPr>
          <w:rFonts w:cs="Arial"/>
          <w:color w:val="000000" w:themeColor="text1"/>
          <w:szCs w:val="22"/>
        </w:rPr>
        <w:t>µM</w:t>
      </w:r>
      <w:r w:rsidRPr="00A71FCF">
        <w:rPr>
          <w:rFonts w:cs="Arial"/>
          <w:bCs/>
          <w:color w:val="000000"/>
          <w:szCs w:val="22"/>
        </w:rPr>
        <w:t xml:space="preserve">, 2.34 </w:t>
      </w:r>
      <w:r w:rsidRPr="00A71FCF">
        <w:rPr>
          <w:rFonts w:cs="Arial"/>
          <w:color w:val="000000" w:themeColor="text1"/>
          <w:szCs w:val="22"/>
        </w:rPr>
        <w:t>µM</w:t>
      </w:r>
      <w:r w:rsidRPr="00A71FCF">
        <w:rPr>
          <w:rFonts w:cs="Arial"/>
          <w:bCs/>
          <w:color w:val="000000"/>
          <w:szCs w:val="22"/>
        </w:rPr>
        <w:t xml:space="preserve">, 4.69 </w:t>
      </w:r>
      <w:r w:rsidRPr="00A71FCF">
        <w:rPr>
          <w:rFonts w:cs="Arial"/>
          <w:color w:val="000000" w:themeColor="text1"/>
          <w:szCs w:val="22"/>
        </w:rPr>
        <w:t>µM</w:t>
      </w:r>
      <w:r w:rsidRPr="00A71FCF">
        <w:rPr>
          <w:rFonts w:cs="Arial"/>
          <w:bCs/>
          <w:color w:val="000000"/>
          <w:szCs w:val="22"/>
        </w:rPr>
        <w:t xml:space="preserve">, 9.38 </w:t>
      </w:r>
      <w:r w:rsidRPr="00A71FCF">
        <w:rPr>
          <w:rFonts w:cs="Arial"/>
          <w:color w:val="000000" w:themeColor="text1"/>
          <w:szCs w:val="22"/>
        </w:rPr>
        <w:t>µM</w:t>
      </w:r>
      <w:r w:rsidRPr="00A71FCF">
        <w:rPr>
          <w:rFonts w:cs="Arial"/>
          <w:bCs/>
          <w:color w:val="000000"/>
          <w:szCs w:val="22"/>
        </w:rPr>
        <w:t xml:space="preserve">, 18.75 </w:t>
      </w:r>
      <w:r w:rsidRPr="00A71FCF">
        <w:rPr>
          <w:rFonts w:cs="Arial"/>
          <w:color w:val="000000" w:themeColor="text1"/>
          <w:szCs w:val="22"/>
        </w:rPr>
        <w:t>µM</w:t>
      </w:r>
      <w:r w:rsidRPr="00A71FCF">
        <w:rPr>
          <w:rFonts w:cs="Arial"/>
          <w:bCs/>
          <w:color w:val="000000"/>
          <w:szCs w:val="22"/>
        </w:rPr>
        <w:t xml:space="preserve">, 37.50 </w:t>
      </w:r>
      <w:r w:rsidRPr="00A71FCF">
        <w:rPr>
          <w:rFonts w:cs="Arial"/>
          <w:color w:val="000000" w:themeColor="text1"/>
          <w:szCs w:val="22"/>
        </w:rPr>
        <w:t>µM</w:t>
      </w:r>
      <w:r w:rsidRPr="00A71FCF">
        <w:rPr>
          <w:rFonts w:cs="Arial"/>
          <w:bCs/>
          <w:color w:val="000000"/>
          <w:szCs w:val="22"/>
        </w:rPr>
        <w:t xml:space="preserve">, 75 </w:t>
      </w:r>
      <w:r w:rsidRPr="00A71FCF">
        <w:rPr>
          <w:rFonts w:cs="Arial"/>
          <w:color w:val="000000" w:themeColor="text1"/>
          <w:szCs w:val="22"/>
        </w:rPr>
        <w:t>µM</w:t>
      </w:r>
      <w:r w:rsidRPr="00A71FCF">
        <w:rPr>
          <w:rFonts w:cs="Arial"/>
          <w:bCs/>
          <w:color w:val="000000"/>
          <w:szCs w:val="22"/>
        </w:rPr>
        <w:t xml:space="preserve">, and 150 </w:t>
      </w:r>
      <w:r w:rsidRPr="00A71FCF">
        <w:rPr>
          <w:rFonts w:cs="Arial"/>
          <w:color w:val="000000" w:themeColor="text1"/>
          <w:szCs w:val="22"/>
        </w:rPr>
        <w:t xml:space="preserve">µM </w:t>
      </w:r>
      <w:r w:rsidRPr="00A71FCF">
        <w:rPr>
          <w:rFonts w:cs="Arial"/>
          <w:bCs/>
          <w:color w:val="000000"/>
          <w:szCs w:val="22"/>
        </w:rPr>
        <w:t xml:space="preserve">concentrations in S30 buffer were loaded onto the instrument as standards. Analytes were eluted </w:t>
      </w:r>
      <w:proofErr w:type="spellStart"/>
      <w:r w:rsidRPr="00A71FCF">
        <w:rPr>
          <w:rFonts w:cs="Arial"/>
          <w:bCs/>
          <w:color w:val="000000"/>
          <w:szCs w:val="22"/>
        </w:rPr>
        <w:t>isocratically</w:t>
      </w:r>
      <w:proofErr w:type="spellEnd"/>
      <w:r w:rsidRPr="00A71FCF">
        <w:rPr>
          <w:rFonts w:cs="Arial"/>
          <w:bCs/>
          <w:color w:val="000000"/>
          <w:szCs w:val="22"/>
        </w:rPr>
        <w:t xml:space="preserve"> from an HPLC column to the RID. Peaks</w:t>
      </w:r>
      <w:r w:rsidRPr="00A71FCF">
        <w:rPr>
          <w:rFonts w:cs="Arial"/>
          <w:color w:val="000000" w:themeColor="text1"/>
          <w:szCs w:val="22"/>
        </w:rPr>
        <w:t xml:space="preserve"> for </w:t>
      </w:r>
      <w:r w:rsidRPr="00A71FCF">
        <w:rPr>
          <w:rFonts w:cs="Arial"/>
          <w:bCs/>
          <w:color w:val="000000"/>
          <w:szCs w:val="22"/>
        </w:rPr>
        <w:t xml:space="preserve">glucose, succinate, lactate, </w:t>
      </w:r>
      <w:proofErr w:type="spellStart"/>
      <w:r w:rsidRPr="00A71FCF">
        <w:rPr>
          <w:rFonts w:cs="Arial"/>
          <w:bCs/>
          <w:color w:val="000000"/>
          <w:szCs w:val="22"/>
        </w:rPr>
        <w:t>formate</w:t>
      </w:r>
      <w:proofErr w:type="spellEnd"/>
      <w:r w:rsidRPr="00A71FCF">
        <w:rPr>
          <w:rFonts w:cs="Arial"/>
          <w:bCs/>
          <w:color w:val="000000"/>
          <w:szCs w:val="22"/>
        </w:rPr>
        <w:t xml:space="preserve">, acetate, and ethanol within the 1 to 150 </w:t>
      </w:r>
      <w:r w:rsidRPr="00A71FCF">
        <w:rPr>
          <w:rFonts w:cs="Arial"/>
          <w:color w:val="000000" w:themeColor="text1"/>
          <w:szCs w:val="22"/>
        </w:rPr>
        <w:t>µM</w:t>
      </w:r>
      <w:r w:rsidRPr="00A71FCF">
        <w:rPr>
          <w:rFonts w:cs="Arial"/>
          <w:bCs/>
          <w:color w:val="000000"/>
          <w:szCs w:val="22"/>
        </w:rPr>
        <w:t xml:space="preserve"> range could be resolved by RID. Peak areas for glucose were derived by manual integration from the RID data for time course and standard curve samples. Extracted peak areas for succinate, lactate, </w:t>
      </w:r>
      <w:proofErr w:type="spellStart"/>
      <w:r w:rsidRPr="00A71FCF">
        <w:rPr>
          <w:rFonts w:cs="Arial"/>
          <w:bCs/>
          <w:color w:val="000000"/>
          <w:szCs w:val="22"/>
        </w:rPr>
        <w:t>formate</w:t>
      </w:r>
      <w:proofErr w:type="spellEnd"/>
      <w:r w:rsidRPr="00A71FCF">
        <w:rPr>
          <w:rFonts w:cs="Arial"/>
          <w:bCs/>
          <w:color w:val="000000"/>
          <w:szCs w:val="22"/>
        </w:rPr>
        <w:t>, acetate, and ethanol were taken from automatically integrated signals. All standard curves (peak area vs. known concentration) had R</w:t>
      </w:r>
      <w:r w:rsidRPr="00A71FCF">
        <w:rPr>
          <w:rFonts w:cs="Arial"/>
          <w:bCs/>
          <w:color w:val="000000"/>
          <w:szCs w:val="22"/>
          <w:vertAlign w:val="superscript"/>
        </w:rPr>
        <w:t>2</w:t>
      </w:r>
      <w:r w:rsidRPr="00A71FCF">
        <w:rPr>
          <w:rFonts w:cs="Arial"/>
          <w:bCs/>
          <w:color w:val="000000"/>
          <w:szCs w:val="22"/>
        </w:rPr>
        <w:t xml:space="preserve"> values &gt;0.99 and were linear throughout the range of concentrations used here.  </w:t>
      </w:r>
    </w:p>
    <w:p w14:paraId="77E575BF" w14:textId="77777777" w:rsidR="00D23BDB" w:rsidRDefault="003D3681" w:rsidP="00D23BDB">
      <w:pPr>
        <w:ind w:firstLine="720"/>
        <w:contextualSpacing/>
        <w:rPr>
          <w:rFonts w:cs="Arial"/>
          <w:bCs/>
          <w:color w:val="000000" w:themeColor="text1"/>
          <w:szCs w:val="22"/>
        </w:rPr>
      </w:pPr>
      <w:r w:rsidRPr="00A71FCF">
        <w:rPr>
          <w:rFonts w:cs="Arial"/>
          <w:bCs/>
          <w:color w:val="000000" w:themeColor="text1"/>
          <w:szCs w:val="22"/>
        </w:rPr>
        <w:t xml:space="preserve">Molar concentrations for all target analytes were calculated from their respective standard curves. Glucose was consumed within the first 3 h of the reaction and mainly fermented to lactate </w:t>
      </w:r>
      <w:r w:rsidRPr="00A71FCF">
        <w:rPr>
          <w:rFonts w:cs="Arial"/>
          <w:b/>
          <w:color w:val="000000" w:themeColor="text1"/>
          <w:szCs w:val="22"/>
        </w:rPr>
        <w:lastRenderedPageBreak/>
        <w:t>(</w:t>
      </w:r>
      <w:r w:rsidR="00405F98">
        <w:rPr>
          <w:rFonts w:cs="Arial"/>
          <w:b/>
          <w:color w:val="000000" w:themeColor="text1"/>
          <w:szCs w:val="22"/>
        </w:rPr>
        <w:t>Figures</w:t>
      </w:r>
      <w:r w:rsidRPr="00A71FCF">
        <w:rPr>
          <w:rFonts w:cs="Arial"/>
          <w:b/>
          <w:color w:val="000000" w:themeColor="text1"/>
          <w:szCs w:val="22"/>
        </w:rPr>
        <w:t xml:space="preserve"> </w:t>
      </w:r>
      <w:r w:rsidR="002E5A35">
        <w:rPr>
          <w:rFonts w:cs="Arial"/>
          <w:b/>
          <w:color w:val="000000" w:themeColor="text1"/>
          <w:szCs w:val="22"/>
        </w:rPr>
        <w:t>2.</w:t>
      </w:r>
      <w:r w:rsidRPr="00A71FCF">
        <w:rPr>
          <w:rFonts w:cs="Arial"/>
          <w:b/>
          <w:color w:val="000000" w:themeColor="text1"/>
          <w:szCs w:val="22"/>
        </w:rPr>
        <w:t>2A</w:t>
      </w:r>
      <w:r w:rsidR="002E5A35">
        <w:rPr>
          <w:rFonts w:cs="Arial"/>
          <w:b/>
          <w:color w:val="000000" w:themeColor="text1"/>
          <w:szCs w:val="22"/>
        </w:rPr>
        <w:t xml:space="preserve"> &amp; </w:t>
      </w:r>
      <w:r w:rsidRPr="00A71FCF">
        <w:rPr>
          <w:rFonts w:cs="Arial"/>
          <w:b/>
          <w:color w:val="000000" w:themeColor="text1"/>
          <w:szCs w:val="22"/>
        </w:rPr>
        <w:t>B)</w:t>
      </w:r>
      <w:r w:rsidRPr="00A71FCF">
        <w:rPr>
          <w:rFonts w:cs="Arial"/>
          <w:bCs/>
          <w:color w:val="000000" w:themeColor="text1"/>
          <w:szCs w:val="22"/>
        </w:rPr>
        <w:t xml:space="preserve">. Ethanol accumulation also significantly occurred within the first 3 h of the reaction and stopped thereafter </w:t>
      </w:r>
      <w:r w:rsidRPr="00A71FCF">
        <w:rPr>
          <w:rFonts w:cs="Arial"/>
          <w:b/>
          <w:color w:val="000000" w:themeColor="text1"/>
          <w:szCs w:val="22"/>
        </w:rPr>
        <w:t>(</w:t>
      </w:r>
      <w:r w:rsidR="00405F98">
        <w:rPr>
          <w:rFonts w:cs="Arial"/>
          <w:b/>
          <w:color w:val="000000" w:themeColor="text1"/>
          <w:szCs w:val="22"/>
        </w:rPr>
        <w:t>Figure</w:t>
      </w:r>
      <w:r w:rsidRPr="00A71FCF">
        <w:rPr>
          <w:rFonts w:cs="Arial"/>
          <w:b/>
          <w:color w:val="000000" w:themeColor="text1"/>
          <w:szCs w:val="22"/>
        </w:rPr>
        <w:t xml:space="preserve"> </w:t>
      </w:r>
      <w:r w:rsidR="002E5A35">
        <w:rPr>
          <w:rFonts w:cs="Arial"/>
          <w:b/>
          <w:color w:val="000000" w:themeColor="text1"/>
          <w:szCs w:val="22"/>
        </w:rPr>
        <w:t>2.</w:t>
      </w:r>
      <w:r w:rsidRPr="00A71FCF">
        <w:rPr>
          <w:rFonts w:cs="Arial"/>
          <w:b/>
          <w:color w:val="000000" w:themeColor="text1"/>
          <w:szCs w:val="22"/>
        </w:rPr>
        <w:t>2C)</w:t>
      </w:r>
      <w:r w:rsidRPr="00A71FCF">
        <w:rPr>
          <w:rFonts w:cs="Arial"/>
          <w:bCs/>
          <w:color w:val="000000" w:themeColor="text1"/>
          <w:szCs w:val="22"/>
        </w:rPr>
        <w:t xml:space="preserve">. The observation of significant lactate and ethanol production with significant glucose consumption after 3 h was not unprecedented since lactate and ethanol production pathways allow the regeneration of 1 net mol NAD+ from glycolytic NADH required for continued glucose consumption through glycolysis </w:t>
      </w:r>
      <w:r w:rsidRPr="00A71FCF">
        <w:rPr>
          <w:rFonts w:cs="Arial"/>
          <w:b/>
          <w:color w:val="000000" w:themeColor="text1"/>
          <w:szCs w:val="22"/>
        </w:rPr>
        <w:t>(</w:t>
      </w:r>
      <w:r w:rsidR="00405F98">
        <w:rPr>
          <w:rFonts w:cs="Arial"/>
          <w:b/>
          <w:color w:val="000000" w:themeColor="text1"/>
          <w:szCs w:val="22"/>
        </w:rPr>
        <w:t>Figure</w:t>
      </w:r>
      <w:r w:rsidRPr="00A71FCF">
        <w:rPr>
          <w:rFonts w:cs="Arial"/>
          <w:b/>
          <w:color w:val="000000" w:themeColor="text1"/>
          <w:szCs w:val="22"/>
        </w:rPr>
        <w:t xml:space="preserve"> </w:t>
      </w:r>
      <w:r w:rsidR="002E5A35">
        <w:rPr>
          <w:rFonts w:cs="Arial"/>
          <w:b/>
          <w:color w:val="000000" w:themeColor="text1"/>
          <w:szCs w:val="22"/>
        </w:rPr>
        <w:t>2.</w:t>
      </w:r>
      <w:r w:rsidRPr="00A71FCF">
        <w:rPr>
          <w:rFonts w:cs="Arial"/>
          <w:b/>
          <w:color w:val="000000" w:themeColor="text1"/>
          <w:szCs w:val="22"/>
        </w:rPr>
        <w:t>1)</w:t>
      </w:r>
      <w:r w:rsidRPr="00A71FCF">
        <w:rPr>
          <w:rFonts w:cs="Arial"/>
          <w:bCs/>
          <w:color w:val="000000" w:themeColor="text1"/>
          <w:szCs w:val="22"/>
        </w:rPr>
        <w:t xml:space="preserve">. Lactate and ethanol can thus be considered as the major fermentation end-products in lysate-based cell-free glucose metabolism. Acetate was initially present in the reactions as a component of the S30 buffer and unexpectedly only accumulated as a result of metabolism after 6 h when glucose consumption had slowed down </w:t>
      </w:r>
      <w:r w:rsidRPr="00A71FCF">
        <w:rPr>
          <w:rFonts w:cs="Arial"/>
          <w:b/>
          <w:color w:val="000000" w:themeColor="text1"/>
          <w:szCs w:val="22"/>
        </w:rPr>
        <w:t>(</w:t>
      </w:r>
      <w:r w:rsidR="00405F98">
        <w:rPr>
          <w:rFonts w:cs="Arial"/>
          <w:b/>
          <w:color w:val="000000" w:themeColor="text1"/>
          <w:szCs w:val="22"/>
        </w:rPr>
        <w:t>Figure</w:t>
      </w:r>
      <w:r w:rsidRPr="00A71FCF" w:rsidDel="00737D76">
        <w:rPr>
          <w:rFonts w:cs="Arial"/>
          <w:b/>
          <w:color w:val="000000" w:themeColor="text1"/>
          <w:szCs w:val="22"/>
        </w:rPr>
        <w:t xml:space="preserve"> </w:t>
      </w:r>
      <w:r w:rsidR="002E5A35">
        <w:rPr>
          <w:rFonts w:cs="Arial"/>
          <w:b/>
          <w:color w:val="000000" w:themeColor="text1"/>
          <w:szCs w:val="22"/>
        </w:rPr>
        <w:t>2.</w:t>
      </w:r>
      <w:r w:rsidRPr="00A71FCF">
        <w:rPr>
          <w:rFonts w:cs="Arial"/>
          <w:b/>
          <w:color w:val="000000" w:themeColor="text1"/>
          <w:szCs w:val="22"/>
        </w:rPr>
        <w:t>2D)</w:t>
      </w:r>
      <w:r w:rsidRPr="00A71FCF">
        <w:rPr>
          <w:rFonts w:cs="Arial"/>
          <w:bCs/>
          <w:color w:val="000000" w:themeColor="text1"/>
          <w:szCs w:val="22"/>
        </w:rPr>
        <w:t xml:space="preserve">. This result suggests that acetate fermentation does not necessarily enable rapid glycolytic flux in earlier time points. Meanwhile, </w:t>
      </w:r>
      <w:proofErr w:type="spellStart"/>
      <w:r w:rsidRPr="00A71FCF">
        <w:rPr>
          <w:rFonts w:cs="Arial"/>
          <w:bCs/>
          <w:color w:val="000000" w:themeColor="text1"/>
          <w:szCs w:val="22"/>
        </w:rPr>
        <w:t>formate</w:t>
      </w:r>
      <w:proofErr w:type="spellEnd"/>
      <w:r w:rsidRPr="00A71FCF">
        <w:rPr>
          <w:rFonts w:cs="Arial"/>
          <w:bCs/>
          <w:color w:val="000000" w:themeColor="text1"/>
          <w:szCs w:val="22"/>
        </w:rPr>
        <w:t xml:space="preserve"> and succinate were synthesized as minor fermentation products </w:t>
      </w:r>
      <w:r w:rsidRPr="00A71FCF">
        <w:rPr>
          <w:rFonts w:cs="Arial"/>
          <w:b/>
          <w:color w:val="000000" w:themeColor="text1"/>
          <w:szCs w:val="22"/>
        </w:rPr>
        <w:t>(</w:t>
      </w:r>
      <w:r w:rsidR="00405F98">
        <w:rPr>
          <w:rFonts w:cs="Arial"/>
          <w:b/>
          <w:color w:val="000000" w:themeColor="text1"/>
          <w:szCs w:val="22"/>
        </w:rPr>
        <w:t>Figures</w:t>
      </w:r>
      <w:r w:rsidRPr="00A71FCF" w:rsidDel="00737D76">
        <w:rPr>
          <w:rFonts w:cs="Arial"/>
          <w:b/>
          <w:color w:val="000000" w:themeColor="text1"/>
          <w:szCs w:val="22"/>
        </w:rPr>
        <w:t xml:space="preserve"> </w:t>
      </w:r>
      <w:r w:rsidR="002E5A35">
        <w:rPr>
          <w:rFonts w:cs="Arial"/>
          <w:b/>
          <w:color w:val="000000" w:themeColor="text1"/>
          <w:szCs w:val="22"/>
        </w:rPr>
        <w:t>2.</w:t>
      </w:r>
      <w:r w:rsidRPr="00A71FCF">
        <w:rPr>
          <w:rFonts w:cs="Arial"/>
          <w:b/>
          <w:color w:val="000000" w:themeColor="text1"/>
          <w:szCs w:val="22"/>
        </w:rPr>
        <w:t>2E</w:t>
      </w:r>
      <w:r w:rsidR="002E5A35">
        <w:rPr>
          <w:rFonts w:cs="Arial"/>
          <w:b/>
          <w:color w:val="000000" w:themeColor="text1"/>
          <w:szCs w:val="22"/>
        </w:rPr>
        <w:t xml:space="preserve"> &amp; </w:t>
      </w:r>
      <w:r w:rsidRPr="00A71FCF">
        <w:rPr>
          <w:rFonts w:cs="Arial"/>
          <w:b/>
          <w:color w:val="000000" w:themeColor="text1"/>
          <w:szCs w:val="22"/>
        </w:rPr>
        <w:t>F)</w:t>
      </w:r>
      <w:r w:rsidRPr="00A71FCF">
        <w:rPr>
          <w:rFonts w:cs="Arial"/>
          <w:bCs/>
          <w:color w:val="000000" w:themeColor="text1"/>
          <w:szCs w:val="22"/>
        </w:rPr>
        <w:t xml:space="preserve">. </w:t>
      </w:r>
      <w:r w:rsidR="00D23BDB" w:rsidRPr="00A71FCF">
        <w:rPr>
          <w:rFonts w:cs="Arial"/>
          <w:bCs/>
          <w:color w:val="000000" w:themeColor="text1"/>
          <w:szCs w:val="22"/>
        </w:rPr>
        <w:t xml:space="preserve">Altogether, the method enabled the absolute quantification of sugar substrate depletion and fermentative product formation in </w:t>
      </w:r>
      <w:r w:rsidR="00D23BDB" w:rsidRPr="00A71FCF">
        <w:rPr>
          <w:rFonts w:cs="Arial"/>
          <w:bCs/>
          <w:i/>
          <w:iCs/>
          <w:color w:val="000000" w:themeColor="text1"/>
          <w:szCs w:val="22"/>
        </w:rPr>
        <w:t xml:space="preserve">E. coli </w:t>
      </w:r>
      <w:r w:rsidR="00D23BDB" w:rsidRPr="00A71FCF">
        <w:rPr>
          <w:rFonts w:cs="Arial"/>
          <w:bCs/>
          <w:color w:val="000000" w:themeColor="text1"/>
          <w:szCs w:val="22"/>
        </w:rPr>
        <w:t xml:space="preserve">S30 lysates. </w:t>
      </w:r>
    </w:p>
    <w:p w14:paraId="38E32263" w14:textId="77777777" w:rsidR="00D23BDB" w:rsidRDefault="00D23BDB" w:rsidP="00D23BDB">
      <w:pPr>
        <w:ind w:firstLine="720"/>
        <w:contextualSpacing/>
        <w:rPr>
          <w:rFonts w:cs="Arial"/>
          <w:bCs/>
          <w:color w:val="000000" w:themeColor="text1"/>
          <w:szCs w:val="22"/>
        </w:rPr>
      </w:pPr>
    </w:p>
    <w:p w14:paraId="7CAB0F7F" w14:textId="77777777" w:rsidR="00D23BDB" w:rsidRDefault="00D23BDB" w:rsidP="00D23BDB">
      <w:pPr>
        <w:pStyle w:val="ChapterSub-heading"/>
      </w:pPr>
      <w:bookmarkStart w:id="27" w:name="_Toc129701019"/>
      <w:r>
        <w:t>2.4.2. Tracing carbon metabolism in lysates via LC-MS/MS</w:t>
      </w:r>
      <w:bookmarkEnd w:id="27"/>
      <w:r>
        <w:t xml:space="preserve"> </w:t>
      </w:r>
    </w:p>
    <w:p w14:paraId="497E6BAE" w14:textId="5FDFCE02" w:rsidR="00D23BDB" w:rsidRDefault="00D23BDB" w:rsidP="00D23BDB">
      <w:pPr>
        <w:ind w:firstLine="720"/>
        <w:contextualSpacing/>
        <w:rPr>
          <w:rFonts w:cs="Arial"/>
          <w:b/>
          <w:color w:val="000000" w:themeColor="text1"/>
          <w:szCs w:val="22"/>
        </w:rPr>
      </w:pPr>
      <w:r w:rsidRPr="00A71FCF">
        <w:rPr>
          <w:rFonts w:cs="Arial"/>
          <w:bCs/>
          <w:color w:val="000000" w:themeColor="text1"/>
          <w:szCs w:val="22"/>
        </w:rPr>
        <w:t xml:space="preserve">MS detection to profile lysate glucose metabolism specifically was applied here. Lysates derived from strains grown in 2xYPTG media were fed </w:t>
      </w:r>
      <w:r w:rsidRPr="00A71FCF">
        <w:rPr>
          <w:rFonts w:cs="Arial"/>
          <w:bCs/>
          <w:color w:val="000000" w:themeColor="text1"/>
          <w:szCs w:val="22"/>
          <w:vertAlign w:val="superscript"/>
        </w:rPr>
        <w:t>13</w:t>
      </w:r>
      <w:r w:rsidRPr="00A71FCF">
        <w:rPr>
          <w:rFonts w:cs="Arial"/>
          <w:bCs/>
          <w:color w:val="000000" w:themeColor="text1"/>
          <w:szCs w:val="22"/>
        </w:rPr>
        <w:t>C</w:t>
      </w:r>
      <w:r w:rsidRPr="00A71FCF">
        <w:rPr>
          <w:rFonts w:cs="Arial"/>
          <w:bCs/>
          <w:color w:val="000000" w:themeColor="text1"/>
          <w:szCs w:val="22"/>
          <w:vertAlign w:val="subscript"/>
        </w:rPr>
        <w:t>6</w:t>
      </w:r>
      <w:r w:rsidRPr="00A71FCF">
        <w:rPr>
          <w:rFonts w:cs="Arial"/>
          <w:bCs/>
          <w:color w:val="000000" w:themeColor="text1"/>
          <w:szCs w:val="22"/>
        </w:rPr>
        <w:t xml:space="preserve">-glucose as a carbon source. CFME reactions were run in triplicate for 0 h, 1 h, 2 h, and 3 h. Samples from each timepoint were loaded on an LC system equipped with a reversed-phase column and coupled to Fourier transform and ion trap mass spectrometers. Negative ion mode spectra were obtained and processed to analyze organic acids, sugar phosphates, and amino acids. Calculated theoretical masses of </w:t>
      </w:r>
      <w:r w:rsidRPr="00A71FCF">
        <w:rPr>
          <w:rFonts w:cs="Arial"/>
          <w:bCs/>
          <w:color w:val="000000" w:themeColor="text1"/>
          <w:szCs w:val="22"/>
          <w:vertAlign w:val="superscript"/>
        </w:rPr>
        <w:t>13</w:t>
      </w:r>
      <w:r w:rsidRPr="00A71FCF">
        <w:rPr>
          <w:rFonts w:cs="Arial"/>
          <w:bCs/>
          <w:color w:val="000000" w:themeColor="text1"/>
          <w:szCs w:val="22"/>
        </w:rPr>
        <w:t xml:space="preserve">C-labeled species belonging to central carbon metabolism were searched to identify compounds that are specifically glucose-derived. Based on the utilized source strain cultivation conditions and previous reports of active pathways in </w:t>
      </w:r>
      <w:r w:rsidRPr="00A71FCF">
        <w:rPr>
          <w:rFonts w:cs="Arial"/>
          <w:bCs/>
          <w:i/>
          <w:iCs/>
          <w:color w:val="000000" w:themeColor="text1"/>
          <w:szCs w:val="22"/>
        </w:rPr>
        <w:t xml:space="preserve">E. coli </w:t>
      </w:r>
      <w:r w:rsidRPr="00A71FCF">
        <w:rPr>
          <w:rFonts w:cs="Arial"/>
          <w:bCs/>
          <w:color w:val="000000" w:themeColor="text1"/>
          <w:szCs w:val="22"/>
        </w:rPr>
        <w:t>CFME, it is assumed here that the lysate proteome comprises a metabolic network that feeds glucose into glycolytic fermentation, the pentose phosphate pathway, and possibly amino acid anabolism</w:t>
      </w:r>
      <w:r w:rsidRPr="00A71FCF">
        <w:rPr>
          <w:rFonts w:cs="Arial"/>
          <w:bCs/>
          <w:color w:val="000000" w:themeColor="text1"/>
          <w:szCs w:val="22"/>
        </w:rPr>
        <w:fldChar w:fldCharType="begin" w:fldLock="1"/>
      </w:r>
      <w:r>
        <w:rPr>
          <w:rFonts w:cs="Arial"/>
          <w:bCs/>
          <w:color w:val="000000" w:themeColor="text1"/>
          <w:szCs w:val="22"/>
        </w:rPr>
        <w:instrText>ADDIN CSL_CITATION {"citationItems":[{"id":"ITEM-1","itemData":{"DOI":"10.1093/synbio/ysy006","ISSN":"2397-7000","author":[{"dropping-particle":"","family":"Garcia","given":"David C","non-dropping-particle":"","parse-names":false,"suffix":""},{"dropping-particle":"","family":"Mohr","given":"Benjamin P","non-dropping-particle":"","parse-names":false,"suffix":""},{"dropping-particle":"","family":"Dovgan","given":"Jakob T","non-dropping-particle":"","parse-names":false,"suffix":""},{"dropping-particle":"","family":"Hurst","given":"Gregory B","non-dropping-particle":"","parse-names":false,"suffix":""},{"dropping-particle":"","family":"Standaert","given":"Robert F","non-dropping-particle":"","parse-names":false,"suffix":""},{"dropping-particle":"","family":"Doktycz","given":"Mitchel J","non-dropping-particle":"","parse-names":false,"suffix":""}],"container-title":"Synthetic Biology","id":"ITEM-1","issue":"1","issued":{"date-parts":[["2018","1"]]},"title":"Elucidating the potential of crude cell extracts for producing pyruvate from glucose","type":"article-journal","volume":"3"},"uris":["http://www.mendeley.com/documents/?uuid=93e10a3d-9076-4efb-9000-4a5595e16d6a"]},{"id":"ITEM-2","itemData":{"DOI":"10.1016/j.ymben.2015.09.015","ISSN":"10967184","PMID":"26428449","abstract":"Cell-free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Engineering","id":"ITEM-2","issued":{"date-parts":[["2015"]]},"page":"133-142","title":"Lysate of engineered Escherichia coli supports high-level conversion of glucose to 2,3-butanediol","type":"article-journal","volume":"32"},"uris":["http://www.mendeley.com/documents/?uuid=cb5185b2-2e9e-42b5-808e-ce918d13a7be"]},{"id":"ITEM-3","itemData":{"DOI":"10.1021/acssynbio.9b00524","ISSN":"21615063","PMID":"33044063","abstract":"Progress in cell-free protein synthesis (CFPS) has spurred resurgent interest in engineering complex biological metabolism outside of the cell. Unlike purified enzyme systems, crude cell-free systems can be prepared for a fraction of the cost and contain endogenous cellular pathways that can be activated for biosynthesis. Endogenous activity performs essential functions in cell-free systems including substrate biosynthesis and energy regeneration; however, use of crude cell-free systems for bioproduction has been hampered by the under-described complexity of the metabolic networks inherent to a crude lysate. Physical and chemical cultivation parameters influence the endogenous activity of the resulting lysate, but targeted efforts to engineer this activity by manipulation of these nongenetic factors has been limited. Here growth medium composition was manipulated to improve the one-pot in vitro biosynthesis of phenol from glucose via the expression of Pasteurella multocida phenol-tyrosine lyase in crude E. coli lysates. Crude cell lysate metabolic activity was focused toward the limiting precursor tyrosine by targeted growth medium dropouts guided by proteomics. The result is the activation of a 25-step enzymatic reaction cascade involving at least three endogenous E. coli metabolic pathways. Additional modification of this system, through CFPS of feedback intolerant AroG improves yield. This effort demonstrates the ability to activate a long, complex pathway in vitro and provides a framework for harnessing the metabolic potential of diverse organisms for cell-free metabolic engineering. The more than 6-fold increase in phenol yield with limited genetic manipulation demonstrates the benefits of optimizing growth medium for crude cell-free extract production and illustrates the advantages of a systems approach to cell-free metabolic engineering.","author":[{"dropping-particle":"","family":"Mohr","given":"Benjamin","non-dropping-particle":"","parse-names":false,"suffix":""},{"dropping-particle":"","family":"Giannone","given":"Richard J.","non-dropping-particle":"","parse-names":false,"suffix":""},{"dropping-particle":"","family":"Hettich","given":"Robert L.","non-dropping-particle":"","parse-names":false,"suffix":""},{"dropping-particle":"","family":"Doktycz","given":"Mitchel J.","non-dropping-particle":"","parse-names":false,"suffix":""}],"container-title":"ACS Synthetic Biology","id":"ITEM-3","issue":"11","issued":{"date-parts":[["2020","11","20"]]},"page":"2986-2997","publisher":"American Chemical Society","title":"Targeted growth medium dropouts promote aromatic compound synthesis in crude E. Coli cell-free systems","type":"article-journal","volume":"9"},"uris":["http://www.mendeley.com/documents/?uuid=5056c735-c966-306b-80ed-9bbc3ce44183"]},{"id":"ITEM-4","itemData":{"DOI":"10.1016/j.mec.2021.e00162","ISSN":"22140301","abstract":"Cell-free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Communications","id":"ITEM-4","issued":{"date-parts":[["2021","6","1"]]},"page":"e00162","publisher":"Elsevier B.V.","title":"A lysate proteome engineering strategy for enhancing cell-free metabolite production","type":"article-journal","volume":"12"},"uris":["http://www.mendeley.com/documents/?uuid=babcd1d7-dd2c-32bc-b636-c7ebdf6b2dd4"]},{"id":"ITEM-5","itemData":{"DOI":"10.1093/synbio/ysz027","abstract":"Engineering metabolism for the synthesis of bio-based products in non-model organisms can be challenging. One specific challenge is that biosynthetic pathways are often built from enzyme candidates sourced from diverse organisms, which can prove difficult to implement in recombinant hosts due to differences in their cellular environments (e.g. pH, cofactor balance). To address this problem, we report a cell-free synthetic biology approach for understanding metabolism in a range of environmental conditions, specifically under varied pH. The key idea is to control the pH of Escherichia coli-based cell-free systems for assessing pathway performance using enzymes sourced from organisms other than E. coli. As a model, we apply this approach to study the impact of pH on the n-butanol biosynthesis pathway derived from clostridia in E. coli lysates. Specifically, we exploit the open, cell-free reaction environment to explore pH outside the habitable range of E. coli, revealing insights into how chemical context impacts the interaction between native metabolism and heterologous enzymes. We find that the pH optimum for butanol production from acetyl-CoA is substantially lower than the optimal pH of glycolysis in E. coli-based crude lysates. In addition, pH is an essential factor to consider when activating metabolic pathways in the cell-free environment due to its effect on reaction yield or enzyme activity, the latter of which is demonstrated in this work for alcohol dehydrogenases from a range of extremophiles. Ultimately, altering metabolism through pH control will allow cell-free systems to be used in studying the metabolic state of organisms and identify suitable enzymes for pathway engineering.","author":[{"dropping-particle":"","family":"Karim","given":"Ashty S","non-dropping-particle":"","parse-names":false,"suffix":""},{"dropping-particle":"","family":"Rasor","given":"Blake J","non-dropping-particle":"","parse-names":false,"suffix":""},{"dropping-particle":"","family":"Jewett","given":"Michael C","non-dropping-particle":"","parse-names":false,"suffix":""}],"container-title":"Synthetic Biology","id":"ITEM-5","issue":"1","issued":{"date-parts":[["2020","1","1"]]},"publisher":"Oxford Academic","title":"Enhancing control of cell-free metabolism through pH modulation","type":"article-journal","volume":"5"},"uris":["http://www.mendeley.com/documents/?uuid=8088fefb-6e17-3ff6-91fc-9aaecbaf8f13"]}],"mendeley":{"formattedCitation":"&lt;sup&gt;46,72–74,78&lt;/sup&gt;","plainTextFormattedCitation":"46,72–74,78","previouslyFormattedCitation":"&lt;sup&gt;46,72–74,78&lt;/sup&gt;"},"properties":{"noteIndex":0},"schema":"https://github.com/citation-style-language/schema/raw/master/csl-citation.json"}</w:instrText>
      </w:r>
      <w:r w:rsidRPr="00A71FCF">
        <w:rPr>
          <w:rFonts w:cs="Arial"/>
          <w:bCs/>
          <w:color w:val="000000" w:themeColor="text1"/>
          <w:szCs w:val="22"/>
        </w:rPr>
        <w:fldChar w:fldCharType="separate"/>
      </w:r>
      <w:r w:rsidRPr="00567FF4">
        <w:rPr>
          <w:rFonts w:cs="Arial"/>
          <w:bCs/>
          <w:noProof/>
          <w:color w:val="000000" w:themeColor="text1"/>
          <w:szCs w:val="22"/>
          <w:vertAlign w:val="superscript"/>
        </w:rPr>
        <w:t>46,72–74,78</w:t>
      </w:r>
      <w:r w:rsidRPr="00A71FCF">
        <w:rPr>
          <w:rFonts w:cs="Arial"/>
          <w:bCs/>
          <w:color w:val="000000" w:themeColor="text1"/>
          <w:szCs w:val="22"/>
        </w:rPr>
        <w:fldChar w:fldCharType="end"/>
      </w:r>
      <w:r w:rsidRPr="00A71FCF">
        <w:rPr>
          <w:rFonts w:cs="Arial"/>
          <w:bCs/>
          <w:color w:val="000000" w:themeColor="text1"/>
          <w:szCs w:val="22"/>
        </w:rPr>
        <w:t xml:space="preserve"> </w:t>
      </w:r>
      <w:r w:rsidRPr="00A71FCF">
        <w:rPr>
          <w:rFonts w:cs="Arial"/>
          <w:b/>
          <w:color w:val="000000" w:themeColor="text1"/>
          <w:szCs w:val="22"/>
        </w:rPr>
        <w:t>(</w:t>
      </w:r>
      <w:r>
        <w:rPr>
          <w:rFonts w:cs="Arial"/>
          <w:b/>
          <w:color w:val="000000" w:themeColor="text1"/>
          <w:szCs w:val="22"/>
        </w:rPr>
        <w:t>Figure 2.</w:t>
      </w:r>
      <w:r w:rsidRPr="00A71FCF">
        <w:rPr>
          <w:rFonts w:cs="Arial"/>
          <w:b/>
          <w:color w:val="000000" w:themeColor="text1"/>
          <w:szCs w:val="22"/>
        </w:rPr>
        <w:t xml:space="preserve">1). </w:t>
      </w:r>
      <w:r w:rsidRPr="00A71FCF">
        <w:rPr>
          <w:rFonts w:cs="Arial"/>
          <w:bCs/>
          <w:color w:val="000000" w:themeColor="text1"/>
          <w:szCs w:val="22"/>
        </w:rPr>
        <w:t>The search was</w:t>
      </w:r>
    </w:p>
    <w:p w14:paraId="75339313" w14:textId="27EF17D7" w:rsidR="00D23BDB" w:rsidRDefault="00D23BDB">
      <w:pPr>
        <w:spacing w:line="240" w:lineRule="auto"/>
        <w:jc w:val="left"/>
        <w:rPr>
          <w:rFonts w:cs="Arial"/>
          <w:bCs/>
          <w:color w:val="000000" w:themeColor="text1"/>
          <w:szCs w:val="22"/>
        </w:rPr>
      </w:pPr>
    </w:p>
    <w:p w14:paraId="63896E74" w14:textId="0F601C8A" w:rsidR="00E337ED" w:rsidRPr="00A71FCF" w:rsidRDefault="00E337ED" w:rsidP="00E033D4">
      <w:pPr>
        <w:contextualSpacing/>
        <w:jc w:val="center"/>
        <w:rPr>
          <w:rFonts w:cs="Arial"/>
          <w:bCs/>
          <w:color w:val="000000" w:themeColor="text1"/>
          <w:szCs w:val="22"/>
        </w:rPr>
      </w:pPr>
      <w:r w:rsidRPr="00A71FCF">
        <w:rPr>
          <w:rFonts w:cs="Arial"/>
          <w:bCs/>
          <w:noProof/>
          <w:color w:val="000000" w:themeColor="text1"/>
          <w:szCs w:val="22"/>
        </w:rPr>
        <w:drawing>
          <wp:inline distT="0" distB="0" distL="0" distR="0" wp14:anchorId="22F5E5DF" wp14:editId="4E806B5C">
            <wp:extent cx="5440680" cy="4055364"/>
            <wp:effectExtent l="0" t="0" r="0" b="0"/>
            <wp:docPr id="4" name="Picture 3" descr="Diagram&#10;&#10;Description automatically generated">
              <a:extLst xmlns:a="http://schemas.openxmlformats.org/drawingml/2006/main">
                <a:ext uri="{FF2B5EF4-FFF2-40B4-BE49-F238E27FC236}">
                  <a16:creationId xmlns:a16="http://schemas.microsoft.com/office/drawing/2014/main" id="{08A3C201-7BD4-5A4C-BF27-CC9B220DFE3A}"/>
                </a:ext>
              </a:extLst>
            </wp:docPr>
            <wp:cNvGraphicFramePr/>
            <a:graphic xmlns:a="http://schemas.openxmlformats.org/drawingml/2006/main">
              <a:graphicData uri="http://schemas.openxmlformats.org/drawingml/2006/picture">
                <pic:pic xmlns:pic="http://schemas.openxmlformats.org/drawingml/2006/picture">
                  <pic:nvPicPr>
                    <pic:cNvPr id="4" name="Picture 3" descr="Diagram&#10;&#10;Description automatically generated">
                      <a:extLst>
                        <a:ext uri="{FF2B5EF4-FFF2-40B4-BE49-F238E27FC236}">
                          <a16:creationId xmlns:a16="http://schemas.microsoft.com/office/drawing/2014/main" id="{08A3C201-7BD4-5A4C-BF27-CC9B220DFE3A}"/>
                        </a:ext>
                      </a:extLst>
                    </pic:cNvPr>
                    <pic:cNvPicPr/>
                  </pic:nvPicPr>
                  <pic:blipFill>
                    <a:blip r:embed="rId10" cstate="screen">
                      <a:extLst>
                        <a:ext uri="{28A0092B-C50C-407E-A947-70E740481C1C}">
                          <a14:useLocalDpi xmlns:a14="http://schemas.microsoft.com/office/drawing/2010/main"/>
                        </a:ext>
                      </a:extLst>
                    </a:blip>
                    <a:stretch>
                      <a:fillRect/>
                    </a:stretch>
                  </pic:blipFill>
                  <pic:spPr>
                    <a:xfrm>
                      <a:off x="0" y="0"/>
                      <a:ext cx="5444594" cy="4058281"/>
                    </a:xfrm>
                    <a:prstGeom prst="rect">
                      <a:avLst/>
                    </a:prstGeom>
                  </pic:spPr>
                </pic:pic>
              </a:graphicData>
            </a:graphic>
          </wp:inline>
        </w:drawing>
      </w:r>
    </w:p>
    <w:p w14:paraId="0707A43C" w14:textId="31D42F3A" w:rsidR="009E54F8" w:rsidRPr="007E51F0" w:rsidRDefault="009E54F8" w:rsidP="009A5F94">
      <w:bookmarkStart w:id="28" w:name="_Toc129672276"/>
      <w:bookmarkStart w:id="29" w:name="_Toc129701136"/>
      <w:r w:rsidRPr="009A5F94">
        <w:rPr>
          <w:rStyle w:val="FigurecaptionChar"/>
        </w:rPr>
        <w:t>Figure 2.1. A putative metabolic model of lysates derived from E. coli BL21DE3-Star growing exponentially in high glucose concentrations</w:t>
      </w:r>
      <w:bookmarkEnd w:id="28"/>
      <w:r w:rsidR="009A5F94" w:rsidRPr="009A5F94">
        <w:rPr>
          <w:rStyle w:val="FigurecaptionChar"/>
        </w:rPr>
        <w:t>.</w:t>
      </w:r>
      <w:bookmarkEnd w:id="29"/>
      <w:r w:rsidR="009A5F94">
        <w:t xml:space="preserve"> </w:t>
      </w:r>
      <w:r w:rsidR="009A5F94" w:rsidRPr="009A5F94">
        <w:t>Intermediates and end-products of glycolysis (green), the pentose phosphate pathway (dark orange), and fermentative pathways (blue) from acetyl-CoA have been reported in lysate-based CFME. The presence of succinate fermentation implies the activation of the oxidative TCA branch (gray). Amino acid anabolism (gold) in lysates is not well-defined and is investigated here.</w:t>
      </w:r>
    </w:p>
    <w:p w14:paraId="3C4126D5" w14:textId="7004E665" w:rsidR="00E337ED" w:rsidRDefault="00E337ED">
      <w:pPr>
        <w:rPr>
          <w:rFonts w:cs="Arial"/>
          <w:szCs w:val="22"/>
        </w:rPr>
      </w:pPr>
    </w:p>
    <w:p w14:paraId="2A7B7D91" w14:textId="77777777" w:rsidR="00E337ED" w:rsidRPr="00A71FCF" w:rsidRDefault="00E337ED" w:rsidP="00E337ED">
      <w:pPr>
        <w:contextualSpacing/>
        <w:jc w:val="center"/>
        <w:rPr>
          <w:rFonts w:cs="Arial"/>
          <w:bCs/>
          <w:color w:val="000000" w:themeColor="text1"/>
          <w:szCs w:val="22"/>
        </w:rPr>
      </w:pPr>
      <w:r w:rsidRPr="00A71FCF">
        <w:rPr>
          <w:rFonts w:cs="Arial"/>
          <w:bCs/>
          <w:noProof/>
          <w:color w:val="000000" w:themeColor="text1"/>
          <w:szCs w:val="22"/>
        </w:rPr>
        <w:lastRenderedPageBreak/>
        <w:drawing>
          <wp:inline distT="0" distB="0" distL="0" distR="0" wp14:anchorId="5DD5F170" wp14:editId="739C5117">
            <wp:extent cx="4891532" cy="6281647"/>
            <wp:effectExtent l="0" t="0" r="0" b="5080"/>
            <wp:docPr id="28" name="Picture 2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raphical user interface&#10;&#10;Description automatically generated"/>
                    <pic:cNvPicPr/>
                  </pic:nvPicPr>
                  <pic:blipFill>
                    <a:blip r:embed="rId11" cstate="screen">
                      <a:extLst>
                        <a:ext uri="{28A0092B-C50C-407E-A947-70E740481C1C}">
                          <a14:useLocalDpi xmlns:a14="http://schemas.microsoft.com/office/drawing/2010/main"/>
                        </a:ext>
                      </a:extLst>
                    </a:blip>
                    <a:stretch>
                      <a:fillRect/>
                    </a:stretch>
                  </pic:blipFill>
                  <pic:spPr>
                    <a:xfrm>
                      <a:off x="0" y="0"/>
                      <a:ext cx="4930122" cy="6331204"/>
                    </a:xfrm>
                    <a:prstGeom prst="rect">
                      <a:avLst/>
                    </a:prstGeom>
                  </pic:spPr>
                </pic:pic>
              </a:graphicData>
            </a:graphic>
          </wp:inline>
        </w:drawing>
      </w:r>
    </w:p>
    <w:p w14:paraId="5E8CE264" w14:textId="77777777" w:rsidR="00E337ED" w:rsidRPr="00A71FCF" w:rsidRDefault="00E337ED" w:rsidP="00E337ED">
      <w:pPr>
        <w:contextualSpacing/>
        <w:rPr>
          <w:rFonts w:cs="Arial"/>
          <w:szCs w:val="22"/>
        </w:rPr>
      </w:pPr>
      <w:bookmarkStart w:id="30" w:name="_Toc129701137"/>
      <w:r w:rsidRPr="009A5F94">
        <w:rPr>
          <w:rStyle w:val="FigurecaptionChar"/>
        </w:rPr>
        <w:t>Figure 2.2. HPLC-RID data for glucose consumption and fermentative end-product synthesis in CFME reactions prepared with E. coli crude extracts.</w:t>
      </w:r>
      <w:bookmarkEnd w:id="30"/>
      <w:r w:rsidRPr="00A71FCF">
        <w:rPr>
          <w:rFonts w:cs="Arial"/>
          <w:b/>
          <w:bCs/>
          <w:szCs w:val="22"/>
        </w:rPr>
        <w:t xml:space="preserve"> </w:t>
      </w:r>
      <w:r w:rsidRPr="00A71FCF">
        <w:rPr>
          <w:rFonts w:cs="Arial"/>
          <w:szCs w:val="22"/>
        </w:rPr>
        <w:t>(</w:t>
      </w:r>
      <w:r w:rsidRPr="00A71FCF">
        <w:rPr>
          <w:rFonts w:cs="Arial"/>
          <w:b/>
          <w:bCs/>
          <w:szCs w:val="22"/>
        </w:rPr>
        <w:t>A</w:t>
      </w:r>
      <w:r w:rsidRPr="00A71FCF">
        <w:rPr>
          <w:rFonts w:cs="Arial"/>
          <w:szCs w:val="22"/>
        </w:rPr>
        <w:t>) Glucose consumption and (</w:t>
      </w:r>
      <w:r w:rsidRPr="00A71FCF">
        <w:rPr>
          <w:rFonts w:cs="Arial"/>
          <w:b/>
          <w:bCs/>
          <w:szCs w:val="22"/>
        </w:rPr>
        <w:t>B</w:t>
      </w:r>
      <w:r w:rsidRPr="00A71FCF">
        <w:rPr>
          <w:rFonts w:cs="Arial"/>
          <w:szCs w:val="22"/>
        </w:rPr>
        <w:t>) lactate, (</w:t>
      </w:r>
      <w:r w:rsidRPr="00A71FCF">
        <w:rPr>
          <w:rFonts w:cs="Arial"/>
          <w:b/>
          <w:bCs/>
          <w:szCs w:val="22"/>
        </w:rPr>
        <w:t>C</w:t>
      </w:r>
      <w:r w:rsidRPr="00A71FCF">
        <w:rPr>
          <w:rFonts w:cs="Arial"/>
          <w:szCs w:val="22"/>
        </w:rPr>
        <w:t>) ethanol, (</w:t>
      </w:r>
      <w:r w:rsidRPr="00A71FCF">
        <w:rPr>
          <w:rFonts w:cs="Arial"/>
          <w:b/>
          <w:bCs/>
          <w:szCs w:val="22"/>
        </w:rPr>
        <w:t>D</w:t>
      </w:r>
      <w:r w:rsidRPr="00A71FCF">
        <w:rPr>
          <w:rFonts w:cs="Arial"/>
          <w:szCs w:val="22"/>
        </w:rPr>
        <w:t>) acetate, (</w:t>
      </w:r>
      <w:r w:rsidRPr="00A71FCF">
        <w:rPr>
          <w:rFonts w:cs="Arial"/>
          <w:b/>
          <w:bCs/>
          <w:szCs w:val="22"/>
        </w:rPr>
        <w:t>E</w:t>
      </w:r>
      <w:r w:rsidRPr="00A71FCF">
        <w:rPr>
          <w:rFonts w:cs="Arial"/>
          <w:szCs w:val="22"/>
        </w:rPr>
        <w:t xml:space="preserve">) </w:t>
      </w:r>
      <w:proofErr w:type="spellStart"/>
      <w:r w:rsidRPr="00A71FCF">
        <w:rPr>
          <w:rFonts w:cs="Arial"/>
          <w:szCs w:val="22"/>
        </w:rPr>
        <w:t>formate</w:t>
      </w:r>
      <w:proofErr w:type="spellEnd"/>
      <w:r w:rsidRPr="00A71FCF">
        <w:rPr>
          <w:rFonts w:cs="Arial"/>
          <w:szCs w:val="22"/>
        </w:rPr>
        <w:t>, and (</w:t>
      </w:r>
      <w:r w:rsidRPr="00A71FCF">
        <w:rPr>
          <w:rFonts w:cs="Arial"/>
          <w:b/>
          <w:bCs/>
          <w:szCs w:val="22"/>
        </w:rPr>
        <w:t>F</w:t>
      </w:r>
      <w:r w:rsidRPr="00A71FCF">
        <w:rPr>
          <w:rFonts w:cs="Arial"/>
          <w:szCs w:val="22"/>
        </w:rPr>
        <w:t>) succinate production in CFME reactions were monitored over 24 h. Average mM concentrations and error bars (SE) quantified with standard curves are presented. (n = 3)</w:t>
      </w:r>
    </w:p>
    <w:p w14:paraId="0A75CF5A" w14:textId="7B2E7C3C" w:rsidR="00E337ED" w:rsidRDefault="00E337ED" w:rsidP="00D23BDB">
      <w:pPr>
        <w:contextualSpacing/>
        <w:rPr>
          <w:rFonts w:cs="Arial"/>
          <w:b/>
          <w:color w:val="000000" w:themeColor="text1"/>
          <w:szCs w:val="22"/>
        </w:rPr>
      </w:pPr>
    </w:p>
    <w:p w14:paraId="323D77ED" w14:textId="04389A81" w:rsidR="00D23BDB" w:rsidRPr="00D23BDB" w:rsidRDefault="00D23BDB" w:rsidP="00D23BDB">
      <w:pPr>
        <w:contextualSpacing/>
        <w:rPr>
          <w:rFonts w:cs="Arial"/>
          <w:b/>
          <w:color w:val="000000" w:themeColor="text1"/>
          <w:szCs w:val="22"/>
        </w:rPr>
      </w:pPr>
      <w:r w:rsidRPr="00A71FCF">
        <w:rPr>
          <w:rFonts w:cs="Arial"/>
          <w:bCs/>
          <w:color w:val="000000" w:themeColor="text1"/>
          <w:szCs w:val="22"/>
        </w:rPr>
        <w:lastRenderedPageBreak/>
        <w:t xml:space="preserve">therefore narrowed down to members of these pathways of which 16 metabolites incorporating glucose-derived </w:t>
      </w:r>
      <w:r w:rsidRPr="00A71FCF">
        <w:rPr>
          <w:rFonts w:cs="Arial"/>
          <w:bCs/>
          <w:color w:val="000000" w:themeColor="text1"/>
          <w:szCs w:val="22"/>
          <w:vertAlign w:val="superscript"/>
        </w:rPr>
        <w:t>13</w:t>
      </w:r>
      <w:r w:rsidRPr="00A71FCF">
        <w:rPr>
          <w:rFonts w:cs="Arial"/>
          <w:bCs/>
          <w:color w:val="000000" w:themeColor="text1"/>
          <w:szCs w:val="22"/>
        </w:rPr>
        <w:t xml:space="preserve">C labels were unambiguously annotated </w:t>
      </w:r>
      <w:r w:rsidRPr="00A71FCF">
        <w:rPr>
          <w:rFonts w:cs="Arial"/>
          <w:b/>
          <w:color w:val="000000" w:themeColor="text1"/>
          <w:szCs w:val="22"/>
        </w:rPr>
        <w:t>(</w:t>
      </w:r>
      <w:r>
        <w:rPr>
          <w:rFonts w:cs="Arial"/>
          <w:b/>
          <w:color w:val="000000" w:themeColor="text1"/>
          <w:szCs w:val="22"/>
        </w:rPr>
        <w:t>Appendix Table</w:t>
      </w:r>
      <w:r w:rsidRPr="00A71FCF">
        <w:rPr>
          <w:rFonts w:cs="Arial"/>
          <w:b/>
          <w:color w:val="000000" w:themeColor="text1"/>
          <w:szCs w:val="22"/>
        </w:rPr>
        <w:t xml:space="preserve"> </w:t>
      </w:r>
      <w:r>
        <w:rPr>
          <w:rFonts w:cs="Arial"/>
          <w:b/>
          <w:color w:val="000000" w:themeColor="text1"/>
          <w:szCs w:val="22"/>
        </w:rPr>
        <w:t>2.</w:t>
      </w:r>
      <w:r w:rsidRPr="00A71FCF">
        <w:rPr>
          <w:rFonts w:cs="Arial"/>
          <w:b/>
          <w:color w:val="000000" w:themeColor="text1"/>
          <w:szCs w:val="22"/>
        </w:rPr>
        <w:t>1).</w:t>
      </w:r>
    </w:p>
    <w:p w14:paraId="7AEC66F2" w14:textId="77777777" w:rsidR="00D23BDB" w:rsidRDefault="00E337ED" w:rsidP="00D23BDB">
      <w:pPr>
        <w:contextualSpacing/>
        <w:rPr>
          <w:rFonts w:cs="Arial"/>
          <w:bCs/>
          <w:color w:val="000000" w:themeColor="text1"/>
          <w:szCs w:val="22"/>
        </w:rPr>
      </w:pPr>
      <w:r w:rsidRPr="00A71FCF">
        <w:rPr>
          <w:rFonts w:cs="Arial"/>
          <w:bCs/>
          <w:color w:val="000000" w:themeColor="text1"/>
          <w:szCs w:val="22"/>
          <w:vertAlign w:val="superscript"/>
        </w:rPr>
        <w:t>13</w:t>
      </w:r>
      <w:r w:rsidRPr="00A71FCF">
        <w:rPr>
          <w:rFonts w:cs="Arial"/>
          <w:bCs/>
          <w:color w:val="000000" w:themeColor="text1"/>
          <w:szCs w:val="22"/>
        </w:rPr>
        <w:t>C</w:t>
      </w:r>
      <w:r w:rsidRPr="00A71FCF">
        <w:rPr>
          <w:rFonts w:cs="Arial"/>
          <w:bCs/>
          <w:color w:val="000000" w:themeColor="text1"/>
          <w:szCs w:val="22"/>
          <w:vertAlign w:val="subscript"/>
        </w:rPr>
        <w:t>6</w:t>
      </w:r>
      <w:r w:rsidRPr="00A71FCF">
        <w:rPr>
          <w:rFonts w:cs="Arial"/>
          <w:bCs/>
          <w:color w:val="000000" w:themeColor="text1"/>
          <w:szCs w:val="22"/>
        </w:rPr>
        <w:t xml:space="preserve">-glucose was observably consumed through glycolysis as evidenced by the fluctuations in glycolytic intermediate abundances </w:t>
      </w:r>
      <w:r w:rsidRPr="00A71FCF">
        <w:rPr>
          <w:rFonts w:cs="Arial"/>
          <w:b/>
          <w:color w:val="000000" w:themeColor="text1"/>
          <w:szCs w:val="22"/>
        </w:rPr>
        <w:t>(</w:t>
      </w:r>
      <w:r>
        <w:rPr>
          <w:rFonts w:cs="Arial"/>
          <w:b/>
          <w:color w:val="000000" w:themeColor="text1"/>
          <w:szCs w:val="22"/>
        </w:rPr>
        <w:t>Figures</w:t>
      </w:r>
      <w:r w:rsidRPr="00A71FCF" w:rsidDel="00737D76">
        <w:rPr>
          <w:rFonts w:cs="Arial"/>
          <w:b/>
          <w:color w:val="000000" w:themeColor="text1"/>
          <w:szCs w:val="22"/>
        </w:rPr>
        <w:t xml:space="preserve"> </w:t>
      </w:r>
      <w:r>
        <w:rPr>
          <w:rFonts w:cs="Arial"/>
          <w:b/>
          <w:color w:val="000000" w:themeColor="text1"/>
          <w:szCs w:val="22"/>
        </w:rPr>
        <w:t>2.</w:t>
      </w:r>
      <w:r w:rsidRPr="00A71FCF">
        <w:rPr>
          <w:rFonts w:cs="Arial"/>
          <w:b/>
          <w:color w:val="000000" w:themeColor="text1"/>
          <w:szCs w:val="22"/>
        </w:rPr>
        <w:t>3A</w:t>
      </w:r>
      <w:r>
        <w:rPr>
          <w:rFonts w:cs="Arial"/>
          <w:b/>
          <w:color w:val="000000" w:themeColor="text1"/>
          <w:szCs w:val="22"/>
        </w:rPr>
        <w:t xml:space="preserve"> to </w:t>
      </w:r>
      <w:r w:rsidRPr="00A71FCF">
        <w:rPr>
          <w:rFonts w:cs="Arial"/>
          <w:b/>
          <w:color w:val="000000" w:themeColor="text1"/>
          <w:szCs w:val="22"/>
        </w:rPr>
        <w:t>E).</w:t>
      </w:r>
      <w:r w:rsidRPr="00A71FCF">
        <w:rPr>
          <w:rFonts w:cs="Arial"/>
          <w:bCs/>
          <w:color w:val="000000" w:themeColor="text1"/>
          <w:szCs w:val="22"/>
        </w:rPr>
        <w:t xml:space="preserve"> Consistent with the HPLC-RID data, glucose accumulated to </w:t>
      </w:r>
      <w:r w:rsidRPr="00A71FCF">
        <w:rPr>
          <w:rFonts w:cs="Arial"/>
          <w:bCs/>
          <w:color w:val="000000" w:themeColor="text1"/>
          <w:szCs w:val="22"/>
          <w:vertAlign w:val="superscript"/>
        </w:rPr>
        <w:t>13</w:t>
      </w:r>
      <w:r w:rsidRPr="00A71FCF">
        <w:rPr>
          <w:rFonts w:cs="Arial"/>
          <w:bCs/>
          <w:color w:val="000000" w:themeColor="text1"/>
          <w:szCs w:val="22"/>
        </w:rPr>
        <w:t>C</w:t>
      </w:r>
      <w:r w:rsidRPr="00A71FCF">
        <w:rPr>
          <w:rFonts w:cs="Arial"/>
          <w:bCs/>
          <w:color w:val="000000" w:themeColor="text1"/>
          <w:szCs w:val="22"/>
          <w:vertAlign w:val="subscript"/>
        </w:rPr>
        <w:t>3</w:t>
      </w:r>
      <w:r w:rsidRPr="00A71FCF">
        <w:rPr>
          <w:rFonts w:cs="Arial"/>
          <w:bCs/>
          <w:color w:val="000000" w:themeColor="text1"/>
          <w:szCs w:val="22"/>
        </w:rPr>
        <w:t xml:space="preserve">-lactate and was also fermented to </w:t>
      </w:r>
      <w:r w:rsidRPr="00A71FCF">
        <w:rPr>
          <w:rFonts w:cs="Arial"/>
          <w:bCs/>
          <w:color w:val="000000" w:themeColor="text1"/>
          <w:szCs w:val="22"/>
          <w:vertAlign w:val="superscript"/>
        </w:rPr>
        <w:t>13</w:t>
      </w:r>
      <w:r w:rsidRPr="00A71FCF">
        <w:rPr>
          <w:rFonts w:cs="Arial"/>
          <w:bCs/>
          <w:color w:val="000000" w:themeColor="text1"/>
          <w:szCs w:val="22"/>
        </w:rPr>
        <w:t>C</w:t>
      </w:r>
      <w:r w:rsidRPr="00A71FCF">
        <w:rPr>
          <w:rFonts w:cs="Arial"/>
          <w:bCs/>
          <w:color w:val="000000" w:themeColor="text1"/>
          <w:szCs w:val="22"/>
          <w:vertAlign w:val="subscript"/>
        </w:rPr>
        <w:t>3</w:t>
      </w:r>
      <w:r w:rsidRPr="00A71FCF">
        <w:rPr>
          <w:rFonts w:cs="Arial"/>
          <w:bCs/>
          <w:color w:val="000000" w:themeColor="text1"/>
          <w:szCs w:val="22"/>
        </w:rPr>
        <w:t xml:space="preserve">-succinate within the first 3 h of the reaction </w:t>
      </w:r>
      <w:r w:rsidRPr="00A71FCF">
        <w:rPr>
          <w:rFonts w:cs="Arial"/>
          <w:b/>
          <w:color w:val="000000" w:themeColor="text1"/>
          <w:szCs w:val="22"/>
        </w:rPr>
        <w:t>(</w:t>
      </w:r>
      <w:r>
        <w:rPr>
          <w:rFonts w:cs="Arial"/>
          <w:b/>
          <w:color w:val="000000" w:themeColor="text1"/>
          <w:szCs w:val="22"/>
        </w:rPr>
        <w:t>Figures</w:t>
      </w:r>
      <w:r w:rsidRPr="00A71FCF" w:rsidDel="00737D76">
        <w:rPr>
          <w:rFonts w:cs="Arial"/>
          <w:b/>
          <w:color w:val="000000" w:themeColor="text1"/>
          <w:szCs w:val="22"/>
        </w:rPr>
        <w:t xml:space="preserve"> </w:t>
      </w:r>
      <w:r>
        <w:rPr>
          <w:rFonts w:cs="Arial"/>
          <w:b/>
          <w:color w:val="000000" w:themeColor="text1"/>
          <w:szCs w:val="22"/>
        </w:rPr>
        <w:t>2.</w:t>
      </w:r>
      <w:r w:rsidRPr="00A71FCF">
        <w:rPr>
          <w:rFonts w:cs="Arial"/>
          <w:b/>
          <w:color w:val="000000" w:themeColor="text1"/>
          <w:szCs w:val="22"/>
        </w:rPr>
        <w:t>4A</w:t>
      </w:r>
      <w:r>
        <w:rPr>
          <w:rFonts w:cs="Arial"/>
          <w:b/>
          <w:color w:val="000000" w:themeColor="text1"/>
          <w:szCs w:val="22"/>
        </w:rPr>
        <w:t xml:space="preserve"> &amp; </w:t>
      </w:r>
      <w:r w:rsidRPr="00A71FCF">
        <w:rPr>
          <w:rFonts w:cs="Arial"/>
          <w:b/>
          <w:color w:val="000000" w:themeColor="text1"/>
          <w:szCs w:val="22"/>
        </w:rPr>
        <w:t>B).</w:t>
      </w:r>
      <w:r w:rsidRPr="00A71FCF">
        <w:rPr>
          <w:rFonts w:cs="Arial"/>
          <w:bCs/>
          <w:color w:val="000000" w:themeColor="text1"/>
          <w:szCs w:val="22"/>
        </w:rPr>
        <w:t xml:space="preserve"> The formation of </w:t>
      </w:r>
      <w:r w:rsidRPr="00A71FCF">
        <w:rPr>
          <w:rFonts w:cs="Arial"/>
          <w:bCs/>
          <w:color w:val="000000" w:themeColor="text1"/>
          <w:szCs w:val="22"/>
          <w:vertAlign w:val="superscript"/>
        </w:rPr>
        <w:t>13</w:t>
      </w:r>
      <w:r w:rsidRPr="00A71FCF">
        <w:rPr>
          <w:rFonts w:cs="Arial"/>
          <w:bCs/>
          <w:color w:val="000000" w:themeColor="text1"/>
          <w:szCs w:val="22"/>
        </w:rPr>
        <w:t>C</w:t>
      </w:r>
      <w:r w:rsidRPr="00A71FCF">
        <w:rPr>
          <w:rFonts w:cs="Arial"/>
          <w:bCs/>
          <w:color w:val="000000" w:themeColor="text1"/>
          <w:szCs w:val="22"/>
          <w:vertAlign w:val="subscript"/>
        </w:rPr>
        <w:t>3</w:t>
      </w:r>
      <w:r w:rsidRPr="00A71FCF">
        <w:rPr>
          <w:rFonts w:cs="Arial"/>
          <w:bCs/>
          <w:color w:val="000000" w:themeColor="text1"/>
          <w:szCs w:val="22"/>
        </w:rPr>
        <w:t xml:space="preserve">-succinate </w:t>
      </w:r>
      <w:proofErr w:type="spellStart"/>
      <w:r w:rsidRPr="00A71FCF">
        <w:rPr>
          <w:rFonts w:cs="Arial"/>
          <w:bCs/>
          <w:color w:val="000000" w:themeColor="text1"/>
          <w:szCs w:val="22"/>
        </w:rPr>
        <w:t>isotopologue</w:t>
      </w:r>
      <w:proofErr w:type="spellEnd"/>
      <w:r w:rsidRPr="00A71FCF">
        <w:rPr>
          <w:rFonts w:cs="Arial"/>
          <w:bCs/>
          <w:color w:val="000000" w:themeColor="text1"/>
          <w:szCs w:val="22"/>
        </w:rPr>
        <w:t xml:space="preserve"> supports the proposed model of lysate glucose metabolism </w:t>
      </w:r>
      <w:r w:rsidRPr="00A71FCF">
        <w:rPr>
          <w:rFonts w:cs="Arial"/>
          <w:b/>
          <w:color w:val="000000" w:themeColor="text1"/>
          <w:szCs w:val="22"/>
        </w:rPr>
        <w:t>(</w:t>
      </w:r>
      <w:r>
        <w:rPr>
          <w:rFonts w:cs="Arial"/>
          <w:b/>
          <w:color w:val="000000" w:themeColor="text1"/>
          <w:szCs w:val="22"/>
        </w:rPr>
        <w:t>Figure 2.</w:t>
      </w:r>
      <w:r w:rsidRPr="00A71FCF">
        <w:rPr>
          <w:rFonts w:cs="Arial"/>
          <w:b/>
          <w:color w:val="000000" w:themeColor="text1"/>
          <w:szCs w:val="22"/>
        </w:rPr>
        <w:t>1)</w:t>
      </w:r>
      <w:r w:rsidRPr="00A71FCF">
        <w:rPr>
          <w:rFonts w:cs="Arial"/>
          <w:bCs/>
          <w:color w:val="000000" w:themeColor="text1"/>
          <w:szCs w:val="22"/>
        </w:rPr>
        <w:t xml:space="preserve"> where succinate is likely to be generated by the carboxylation of a 3-carbon phosphoenolpyruvate (PEP) molecule, and not from the entry of a 2-carbon acetyl-CoA molecule to the TCA cycle. Activation of the TCA cycle has been assumed in previous CFME studies, but other </w:t>
      </w:r>
      <w:r w:rsidRPr="00A71FCF">
        <w:rPr>
          <w:rFonts w:cs="Arial"/>
          <w:bCs/>
          <w:color w:val="000000" w:themeColor="text1"/>
          <w:szCs w:val="22"/>
          <w:vertAlign w:val="superscript"/>
        </w:rPr>
        <w:t>13</w:t>
      </w:r>
      <w:r w:rsidRPr="00A71FCF">
        <w:rPr>
          <w:rFonts w:cs="Arial"/>
          <w:bCs/>
          <w:color w:val="000000" w:themeColor="text1"/>
          <w:szCs w:val="22"/>
        </w:rPr>
        <w:t>C-labeled intermediates of TCA were not detected here</w:t>
      </w:r>
      <w:r w:rsidRPr="00A71FCF">
        <w:rPr>
          <w:rFonts w:cs="Arial"/>
          <w:bCs/>
          <w:color w:val="000000" w:themeColor="text1"/>
          <w:szCs w:val="22"/>
        </w:rPr>
        <w:fldChar w:fldCharType="begin" w:fldLock="1"/>
      </w:r>
      <w:r w:rsidR="00567FF4">
        <w:rPr>
          <w:rFonts w:cs="Arial"/>
          <w:bCs/>
          <w:color w:val="000000" w:themeColor="text1"/>
          <w:szCs w:val="22"/>
        </w:rPr>
        <w:instrText>ADDIN CSL_CITATION {"citationItems":[{"id":"ITEM-1","itemData":{"DOI":"10.1016/j.mec.2021.e00162","ISSN":"22140301","abstract":"Cell-free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Communications","id":"ITEM-1","issued":{"date-parts":[["2021","6","1"]]},"page":"e00162","publisher":"Elsevier B.V.","title":"A lysate proteome engineering strategy for enhancing cell-free metabolite production","type":"article-journal","volume":"12"},"uris":["http://www.mendeley.com/documents/?uuid=babcd1d7-dd2c-32bc-b636-c7ebdf6b2dd4"]},{"id":"ITEM-2","itemData":{"DOI":"10.1126/sciadv.aaw9180","ISSN":"23752548","PMID":"31183410","abstract":"Metabolic engineering uses enzymes to produce small molecules with industrial, pharmaceutical, and energy applications. However, efforts to optimize enzymatic pathways for commercial production are limited by the throughput of assays for quantifying metabolic intermediates and end products. We developed a multiplexed method for profiling CoA-dependent pathways that uses a cysteine-terminated peptide to covalently capture CoA-bound metabolites. Captured metabolites are then rapidly separated from the complex mixture by immobilization onto arrays of self-assembled monolayers and directly quantified by SAMDI mass spectrometry. We demonstrate the throughput of the assay by characterizing the cell-free synthesis of HMG-CoA, a key intermediate in the biosynthesis of isoprenoids, collecting over 10,000 individual spectra to map more than 800 unique reaction conditions. We anticipate that our rapid and robust analytical method will accelerate efforts to engineer metabolic pathways.","author":[{"dropping-particle":"","family":"O’Kane","given":"Patrick T.","non-dropping-particle":"","parse-names":false,"suffix":""},{"dropping-particle":"","family":"Dudley","given":"Quentin M.","non-dropping-particle":"","parse-names":false,"suffix":""},{"dropping-particle":"","family":"McMillan","given":"Aislinn K.","non-dropping-particle":"","parse-names":false,"suffix":""},{"dropping-particle":"","family":"Jewett","given":"Michael C.","non-dropping-particle":"","parse-names":false,"suffix":""},{"dropping-particle":"","family":"Mrksich","given":"Milan","non-dropping-particle":"","parse-names":false,"suffix":""}],"container-title":"Science Advances","id":"ITEM-2","issue":"6","issued":{"date-parts":[["2019","6","5"]]},"page":"eaaw9180","publisher":"American Association for the Advancement of Science","title":"High-throughput mapping of CoA metabolites by SAMDI-MS to optimize the cell-free biosynthesis of HMG-CoA","type":"article-journal","volume":"5"},"uris":["http://www.mendeley.com/documents/?uuid=951da1ce-eaa8-3f39-be09-ce82c5d301fd"]},{"id":"ITEM-3","itemData":{"DOI":"10.1021/acssynbio.6b00154","author":[{"dropping-particle":"","family":"Dudley","given":"Quentin M","non-dropping-particle":"","parse-names":false,"suffix":""},{"dropping-particle":"","family":"Anderson","given":"Kim C","non-dropping-particle":"","parse-names":false,"suffix":""},{"dropping-particle":"","family":"Jewett","given":"Michael C","non-dropping-particle":"","parse-names":false,"suffix":""}],"id":"ITEM-3","issued":{"date-parts":[["2016"]]},"title":"Cell-Free Mixing of Escherichia coli Crude Extracts to Prototype and Rationally Engineer High-Titer Mevalonate Synthesis","type":"article-journal"},"uris":["http://www.mendeley.com/documents/?uuid=99336352-fabf-4121-855f-c8567c91a0c0"]}],"mendeley":{"formattedCitation":"&lt;sup&gt;49,53,74&lt;/sup&gt;","plainTextFormattedCitation":"49,53,74","previouslyFormattedCitation":"&lt;sup&gt;49,53,74&lt;/sup&gt;"},"properties":{"noteIndex":0},"schema":"https://github.com/citation-style-language/schema/raw/master/csl-citation.json"}</w:instrText>
      </w:r>
      <w:r w:rsidRPr="00A71FCF">
        <w:rPr>
          <w:rFonts w:cs="Arial"/>
          <w:bCs/>
          <w:color w:val="000000" w:themeColor="text1"/>
          <w:szCs w:val="22"/>
        </w:rPr>
        <w:fldChar w:fldCharType="separate"/>
      </w:r>
      <w:r w:rsidR="00567FF4" w:rsidRPr="00567FF4">
        <w:rPr>
          <w:rFonts w:cs="Arial"/>
          <w:bCs/>
          <w:noProof/>
          <w:color w:val="000000" w:themeColor="text1"/>
          <w:szCs w:val="22"/>
          <w:vertAlign w:val="superscript"/>
        </w:rPr>
        <w:t>49,53,74</w:t>
      </w:r>
      <w:r w:rsidRPr="00A71FCF">
        <w:rPr>
          <w:rFonts w:cs="Arial"/>
          <w:bCs/>
          <w:color w:val="000000" w:themeColor="text1"/>
          <w:szCs w:val="22"/>
        </w:rPr>
        <w:fldChar w:fldCharType="end"/>
      </w:r>
      <w:r w:rsidRPr="00A71FCF">
        <w:rPr>
          <w:rFonts w:cs="Arial"/>
          <w:bCs/>
          <w:color w:val="000000" w:themeColor="text1"/>
          <w:szCs w:val="22"/>
        </w:rPr>
        <w:t xml:space="preserve">. </w:t>
      </w:r>
      <w:r w:rsidRPr="00A71FCF">
        <w:rPr>
          <w:rFonts w:cs="Arial"/>
          <w:bCs/>
          <w:color w:val="000000" w:themeColor="text1"/>
          <w:szCs w:val="22"/>
          <w:vertAlign w:val="superscript"/>
        </w:rPr>
        <w:t>13</w:t>
      </w:r>
      <w:r w:rsidRPr="00A71FCF">
        <w:rPr>
          <w:rFonts w:cs="Arial"/>
          <w:bCs/>
          <w:color w:val="000000" w:themeColor="text1"/>
          <w:szCs w:val="22"/>
        </w:rPr>
        <w:t>C</w:t>
      </w:r>
      <w:r w:rsidRPr="00A71FCF">
        <w:rPr>
          <w:rFonts w:cs="Arial"/>
          <w:bCs/>
          <w:color w:val="000000" w:themeColor="text1"/>
          <w:szCs w:val="22"/>
          <w:vertAlign w:val="subscript"/>
        </w:rPr>
        <w:t>3</w:t>
      </w:r>
      <w:r w:rsidRPr="00A71FCF">
        <w:rPr>
          <w:rFonts w:cs="Arial"/>
          <w:bCs/>
          <w:color w:val="000000" w:themeColor="text1"/>
          <w:szCs w:val="22"/>
        </w:rPr>
        <w:t xml:space="preserve">-aspartate synthesis however occurred within the first h and </w:t>
      </w:r>
      <w:r w:rsidR="00D23BDB" w:rsidRPr="00A71FCF">
        <w:rPr>
          <w:rFonts w:cs="Arial"/>
          <w:bCs/>
          <w:color w:val="000000" w:themeColor="text1"/>
          <w:szCs w:val="22"/>
        </w:rPr>
        <w:t xml:space="preserve">was consumed, reinforcing the idea that PEP is directly converted to oxaloacetate </w:t>
      </w:r>
      <w:r w:rsidR="00D23BDB" w:rsidRPr="00A71FCF">
        <w:rPr>
          <w:rFonts w:cs="Arial"/>
          <w:b/>
          <w:color w:val="000000" w:themeColor="text1"/>
          <w:szCs w:val="22"/>
        </w:rPr>
        <w:t>(</w:t>
      </w:r>
      <w:r w:rsidR="00D23BDB">
        <w:rPr>
          <w:rFonts w:cs="Arial"/>
          <w:b/>
          <w:color w:val="000000" w:themeColor="text1"/>
          <w:szCs w:val="22"/>
        </w:rPr>
        <w:t>Figures 2.</w:t>
      </w:r>
      <w:r w:rsidR="00D23BDB" w:rsidRPr="00A71FCF">
        <w:rPr>
          <w:rFonts w:cs="Arial"/>
          <w:b/>
          <w:color w:val="000000" w:themeColor="text1"/>
          <w:szCs w:val="22"/>
        </w:rPr>
        <w:t>1</w:t>
      </w:r>
      <w:r w:rsidR="00D23BDB">
        <w:rPr>
          <w:rFonts w:cs="Arial"/>
          <w:b/>
          <w:color w:val="000000" w:themeColor="text1"/>
          <w:szCs w:val="22"/>
        </w:rPr>
        <w:t xml:space="preserve"> &amp; 2.</w:t>
      </w:r>
      <w:r w:rsidR="00D23BDB" w:rsidRPr="00A71FCF">
        <w:rPr>
          <w:rFonts w:cs="Arial"/>
          <w:b/>
          <w:color w:val="000000" w:themeColor="text1"/>
          <w:szCs w:val="22"/>
        </w:rPr>
        <w:t>6C)</w:t>
      </w:r>
      <w:r w:rsidR="00D23BDB" w:rsidRPr="00A71FCF">
        <w:rPr>
          <w:rFonts w:cs="Arial"/>
          <w:bCs/>
          <w:color w:val="000000" w:themeColor="text1"/>
          <w:szCs w:val="22"/>
        </w:rPr>
        <w:t xml:space="preserve">. </w:t>
      </w:r>
    </w:p>
    <w:p w14:paraId="5A3644B4" w14:textId="77777777" w:rsidR="00D23BDB" w:rsidRDefault="00D23BDB" w:rsidP="00D23BDB">
      <w:pPr>
        <w:ind w:firstLine="720"/>
        <w:contextualSpacing/>
        <w:rPr>
          <w:rFonts w:cs="Arial"/>
          <w:bCs/>
          <w:color w:val="000000" w:themeColor="text1"/>
          <w:szCs w:val="22"/>
        </w:rPr>
      </w:pPr>
      <w:r w:rsidRPr="00A71FCF">
        <w:rPr>
          <w:rFonts w:cs="Arial"/>
          <w:bCs/>
          <w:color w:val="000000" w:themeColor="text1"/>
          <w:szCs w:val="22"/>
        </w:rPr>
        <w:t xml:space="preserve">The data are reflective of a lysate proteome from source strains harvested during fermentative growth on glucose-rich media (2xYPTG). This would further imply that the rest of the TCA enzymes not participating in succinate production form an oxidative TCA branch </w:t>
      </w:r>
      <w:r w:rsidRPr="00A71FCF">
        <w:rPr>
          <w:rFonts w:cs="Arial"/>
          <w:b/>
          <w:color w:val="000000" w:themeColor="text1"/>
          <w:szCs w:val="22"/>
        </w:rPr>
        <w:t>(</w:t>
      </w:r>
      <w:r>
        <w:rPr>
          <w:rFonts w:cs="Arial"/>
          <w:b/>
          <w:color w:val="000000" w:themeColor="text1"/>
          <w:szCs w:val="22"/>
        </w:rPr>
        <w:t>Figure 2.</w:t>
      </w:r>
      <w:r w:rsidRPr="00A71FCF">
        <w:rPr>
          <w:rFonts w:cs="Arial"/>
          <w:b/>
          <w:color w:val="000000" w:themeColor="text1"/>
          <w:szCs w:val="22"/>
        </w:rPr>
        <w:t>1)</w:t>
      </w:r>
      <w:r w:rsidRPr="00A71FCF">
        <w:rPr>
          <w:rFonts w:cs="Arial"/>
          <w:bCs/>
          <w:color w:val="000000" w:themeColor="text1"/>
          <w:szCs w:val="22"/>
        </w:rPr>
        <w:t>. None of the metabolites in this pathway however were detected, possibly because high concentrations of glutamate added to the CFME reaction as a salt counterion prevent the progression of this branch.</w:t>
      </w:r>
    </w:p>
    <w:p w14:paraId="1C329D28" w14:textId="51C2320A" w:rsidR="00E033D4" w:rsidRPr="00D23BDB" w:rsidRDefault="00D23BDB" w:rsidP="00D23BDB">
      <w:pPr>
        <w:ind w:firstLine="720"/>
        <w:contextualSpacing/>
        <w:rPr>
          <w:rFonts w:cs="Arial"/>
          <w:b/>
          <w:color w:val="000000" w:themeColor="text1"/>
          <w:szCs w:val="22"/>
        </w:rPr>
      </w:pPr>
      <w:r w:rsidRPr="00A71FCF">
        <w:rPr>
          <w:rFonts w:cs="Arial"/>
          <w:bCs/>
          <w:color w:val="000000" w:themeColor="text1"/>
          <w:szCs w:val="22"/>
        </w:rPr>
        <w:t xml:space="preserve">The HPLC-RID data is additionally complemented by the lack of </w:t>
      </w:r>
      <w:r w:rsidRPr="00A71FCF">
        <w:rPr>
          <w:rFonts w:cs="Arial"/>
          <w:bCs/>
          <w:color w:val="000000" w:themeColor="text1"/>
          <w:szCs w:val="22"/>
          <w:vertAlign w:val="superscript"/>
        </w:rPr>
        <w:t>13</w:t>
      </w:r>
      <w:r w:rsidRPr="00A71FCF">
        <w:rPr>
          <w:rFonts w:cs="Arial"/>
          <w:bCs/>
          <w:color w:val="000000" w:themeColor="text1"/>
          <w:szCs w:val="22"/>
        </w:rPr>
        <w:t>C</w:t>
      </w:r>
      <w:r w:rsidRPr="00A71FCF">
        <w:rPr>
          <w:rFonts w:cs="Arial"/>
          <w:bCs/>
          <w:color w:val="000000" w:themeColor="text1"/>
          <w:szCs w:val="22"/>
          <w:vertAlign w:val="subscript"/>
        </w:rPr>
        <w:t>2</w:t>
      </w:r>
      <w:r w:rsidRPr="00A71FCF">
        <w:rPr>
          <w:rFonts w:cs="Arial"/>
          <w:bCs/>
          <w:color w:val="000000" w:themeColor="text1"/>
          <w:szCs w:val="22"/>
        </w:rPr>
        <w:t xml:space="preserve">-acetate detection within the 3 h reaction timeframe suggesting no build-up of acetate from glucose up to 3 h </w:t>
      </w:r>
      <w:r w:rsidRPr="00A71FCF">
        <w:rPr>
          <w:rFonts w:cs="Arial"/>
          <w:b/>
          <w:color w:val="000000" w:themeColor="text1"/>
          <w:szCs w:val="22"/>
        </w:rPr>
        <w:t>(</w:t>
      </w:r>
      <w:r>
        <w:rPr>
          <w:rFonts w:cs="Arial"/>
          <w:b/>
          <w:color w:val="000000" w:themeColor="text1"/>
          <w:szCs w:val="22"/>
        </w:rPr>
        <w:t>Figure</w:t>
      </w:r>
      <w:r w:rsidRPr="00A71FCF" w:rsidDel="00737D76">
        <w:rPr>
          <w:rFonts w:cs="Arial"/>
          <w:b/>
          <w:color w:val="000000" w:themeColor="text1"/>
          <w:szCs w:val="22"/>
        </w:rPr>
        <w:t xml:space="preserve"> </w:t>
      </w:r>
      <w:r>
        <w:rPr>
          <w:rFonts w:cs="Arial"/>
          <w:b/>
          <w:color w:val="000000" w:themeColor="text1"/>
          <w:szCs w:val="22"/>
        </w:rPr>
        <w:t>2.</w:t>
      </w:r>
      <w:r w:rsidRPr="00A71FCF">
        <w:rPr>
          <w:rFonts w:cs="Arial"/>
          <w:b/>
          <w:color w:val="000000" w:themeColor="text1"/>
          <w:szCs w:val="22"/>
        </w:rPr>
        <w:t>2B).</w:t>
      </w:r>
      <w:r w:rsidRPr="00A71FCF">
        <w:rPr>
          <w:rFonts w:cs="Arial"/>
          <w:bCs/>
          <w:color w:val="000000" w:themeColor="text1"/>
          <w:szCs w:val="22"/>
        </w:rPr>
        <w:t xml:space="preserve"> However, the direct precursor of acetate, acetyl-phosphate (acetyl-P), accumulated suggesting that the </w:t>
      </w:r>
      <w:proofErr w:type="spellStart"/>
      <w:r w:rsidRPr="00A71FCF">
        <w:rPr>
          <w:rFonts w:cs="Arial"/>
          <w:bCs/>
          <w:color w:val="000000" w:themeColor="text1"/>
          <w:szCs w:val="22"/>
        </w:rPr>
        <w:t>Pta</w:t>
      </w:r>
      <w:proofErr w:type="spellEnd"/>
      <w:r w:rsidRPr="00A71FCF">
        <w:rPr>
          <w:rFonts w:cs="Arial"/>
          <w:bCs/>
          <w:color w:val="000000" w:themeColor="text1"/>
          <w:szCs w:val="22"/>
        </w:rPr>
        <w:t xml:space="preserve"> arm of the </w:t>
      </w:r>
      <w:proofErr w:type="spellStart"/>
      <w:r w:rsidRPr="00A71FCF">
        <w:rPr>
          <w:rFonts w:cs="Arial"/>
          <w:bCs/>
          <w:color w:val="000000" w:themeColor="text1"/>
          <w:szCs w:val="22"/>
        </w:rPr>
        <w:t>Pta-AckA</w:t>
      </w:r>
      <w:proofErr w:type="spellEnd"/>
      <w:r w:rsidRPr="00A71FCF">
        <w:rPr>
          <w:rFonts w:cs="Arial"/>
          <w:bCs/>
          <w:color w:val="000000" w:themeColor="text1"/>
          <w:szCs w:val="22"/>
        </w:rPr>
        <w:t xml:space="preserve"> pathway for acetate synthesis from acetyl-CoA is active </w:t>
      </w:r>
      <w:r w:rsidRPr="00A71FCF">
        <w:rPr>
          <w:rFonts w:cs="Arial"/>
          <w:b/>
          <w:color w:val="000000" w:themeColor="text1"/>
          <w:szCs w:val="22"/>
        </w:rPr>
        <w:t>(</w:t>
      </w:r>
      <w:r>
        <w:rPr>
          <w:rFonts w:cs="Arial"/>
          <w:b/>
          <w:color w:val="000000" w:themeColor="text1"/>
          <w:szCs w:val="22"/>
        </w:rPr>
        <w:t>Figures 2.</w:t>
      </w:r>
      <w:r w:rsidRPr="00A71FCF">
        <w:rPr>
          <w:rFonts w:cs="Arial"/>
          <w:b/>
          <w:color w:val="000000" w:themeColor="text1"/>
          <w:szCs w:val="22"/>
        </w:rPr>
        <w:t>4C</w:t>
      </w:r>
      <w:r>
        <w:rPr>
          <w:rFonts w:cs="Arial"/>
          <w:b/>
          <w:color w:val="000000" w:themeColor="text1"/>
          <w:szCs w:val="22"/>
        </w:rPr>
        <w:t xml:space="preserve"> &amp; </w:t>
      </w:r>
      <w:r w:rsidRPr="00A71FCF">
        <w:rPr>
          <w:rFonts w:cs="Arial"/>
          <w:b/>
          <w:color w:val="000000" w:themeColor="text1"/>
          <w:szCs w:val="22"/>
        </w:rPr>
        <w:t>D)</w:t>
      </w:r>
      <w:r w:rsidRPr="00A71FCF">
        <w:rPr>
          <w:rFonts w:cs="Arial"/>
          <w:bCs/>
          <w:color w:val="000000" w:themeColor="text1"/>
          <w:szCs w:val="22"/>
        </w:rPr>
        <w:t xml:space="preserve">. The </w:t>
      </w:r>
      <w:proofErr w:type="spellStart"/>
      <w:r w:rsidRPr="00A71FCF">
        <w:rPr>
          <w:rFonts w:cs="Arial"/>
          <w:bCs/>
          <w:color w:val="000000" w:themeColor="text1"/>
          <w:szCs w:val="22"/>
        </w:rPr>
        <w:t>AckA</w:t>
      </w:r>
      <w:proofErr w:type="spellEnd"/>
      <w:r w:rsidRPr="00A71FCF">
        <w:rPr>
          <w:rFonts w:cs="Arial"/>
          <w:bCs/>
          <w:color w:val="000000" w:themeColor="text1"/>
          <w:szCs w:val="22"/>
        </w:rPr>
        <w:t xml:space="preserve"> catalyzed dephosphorylation of </w:t>
      </w:r>
      <w:r w:rsidRPr="00A71FCF">
        <w:rPr>
          <w:rFonts w:cs="Arial"/>
          <w:bCs/>
          <w:color w:val="000000" w:themeColor="text1"/>
          <w:szCs w:val="22"/>
          <w:vertAlign w:val="superscript"/>
        </w:rPr>
        <w:t>13</w:t>
      </w:r>
      <w:r w:rsidRPr="00A71FCF">
        <w:rPr>
          <w:rFonts w:cs="Arial"/>
          <w:bCs/>
          <w:color w:val="000000" w:themeColor="text1"/>
          <w:szCs w:val="22"/>
        </w:rPr>
        <w:t>C</w:t>
      </w:r>
      <w:r w:rsidRPr="00A71FCF">
        <w:rPr>
          <w:rFonts w:cs="Arial"/>
          <w:bCs/>
          <w:color w:val="000000" w:themeColor="text1"/>
          <w:szCs w:val="22"/>
          <w:vertAlign w:val="subscript"/>
        </w:rPr>
        <w:t>2</w:t>
      </w:r>
      <w:r w:rsidRPr="00A71FCF">
        <w:rPr>
          <w:rFonts w:cs="Arial"/>
          <w:bCs/>
          <w:color w:val="000000" w:themeColor="text1"/>
          <w:szCs w:val="22"/>
        </w:rPr>
        <w:t xml:space="preserve">-acetyl-P to </w:t>
      </w:r>
      <w:r w:rsidRPr="00A71FCF">
        <w:rPr>
          <w:rFonts w:cs="Arial"/>
          <w:bCs/>
          <w:color w:val="000000" w:themeColor="text1"/>
          <w:szCs w:val="22"/>
          <w:vertAlign w:val="superscript"/>
        </w:rPr>
        <w:t>13</w:t>
      </w:r>
      <w:r w:rsidRPr="00A71FCF">
        <w:rPr>
          <w:rFonts w:cs="Arial"/>
          <w:bCs/>
          <w:color w:val="000000" w:themeColor="text1"/>
          <w:szCs w:val="22"/>
        </w:rPr>
        <w:t>C</w:t>
      </w:r>
      <w:r w:rsidRPr="00A71FCF">
        <w:rPr>
          <w:rFonts w:cs="Arial"/>
          <w:bCs/>
          <w:color w:val="000000" w:themeColor="text1"/>
          <w:szCs w:val="22"/>
          <w:vertAlign w:val="subscript"/>
        </w:rPr>
        <w:t>2</w:t>
      </w:r>
      <w:r w:rsidRPr="00A71FCF">
        <w:rPr>
          <w:rFonts w:cs="Arial"/>
          <w:bCs/>
          <w:color w:val="000000" w:themeColor="text1"/>
          <w:szCs w:val="22"/>
        </w:rPr>
        <w:t xml:space="preserve">-acetate likely does not occur within this timeframe due to acetate being a major component of S30 buffer used in the reactions </w:t>
      </w:r>
      <w:r w:rsidRPr="002E5A35">
        <w:rPr>
          <w:rFonts w:cs="Arial"/>
          <w:b/>
          <w:color w:val="000000" w:themeColor="text1"/>
          <w:szCs w:val="22"/>
        </w:rPr>
        <w:t>(</w:t>
      </w:r>
      <w:r>
        <w:rPr>
          <w:rFonts w:cs="Arial"/>
          <w:b/>
          <w:color w:val="000000" w:themeColor="text1"/>
          <w:szCs w:val="22"/>
        </w:rPr>
        <w:t>Figures</w:t>
      </w:r>
      <w:r w:rsidRPr="002E5A35" w:rsidDel="00737D76">
        <w:rPr>
          <w:rFonts w:cs="Arial"/>
          <w:b/>
          <w:color w:val="000000" w:themeColor="text1"/>
          <w:szCs w:val="22"/>
        </w:rPr>
        <w:t xml:space="preserve"> </w:t>
      </w:r>
      <w:r>
        <w:rPr>
          <w:rFonts w:cs="Arial"/>
          <w:b/>
          <w:color w:val="000000" w:themeColor="text1"/>
          <w:szCs w:val="22"/>
        </w:rPr>
        <w:t>2.</w:t>
      </w:r>
      <w:r w:rsidRPr="002E5A35">
        <w:rPr>
          <w:rFonts w:cs="Arial"/>
          <w:b/>
          <w:color w:val="000000" w:themeColor="text1"/>
          <w:szCs w:val="22"/>
        </w:rPr>
        <w:t xml:space="preserve">1 &amp; </w:t>
      </w:r>
      <w:r>
        <w:rPr>
          <w:rFonts w:cs="Arial"/>
          <w:b/>
          <w:color w:val="000000" w:themeColor="text1"/>
          <w:szCs w:val="22"/>
        </w:rPr>
        <w:t>2.</w:t>
      </w:r>
      <w:r w:rsidRPr="002E5A35">
        <w:rPr>
          <w:rFonts w:cs="Arial"/>
          <w:b/>
          <w:color w:val="000000" w:themeColor="text1"/>
          <w:szCs w:val="22"/>
        </w:rPr>
        <w:t>2B).</w:t>
      </w:r>
    </w:p>
    <w:p w14:paraId="696B5BDB" w14:textId="25E9FA43" w:rsidR="00E337ED" w:rsidRPr="00A71FCF" w:rsidRDefault="00E337ED" w:rsidP="00E033D4">
      <w:pPr>
        <w:contextualSpacing/>
        <w:jc w:val="center"/>
        <w:rPr>
          <w:rFonts w:cs="Arial"/>
          <w:bCs/>
          <w:color w:val="000000" w:themeColor="text1"/>
          <w:szCs w:val="22"/>
        </w:rPr>
      </w:pPr>
      <w:r w:rsidRPr="00A71FCF">
        <w:rPr>
          <w:rFonts w:cs="Arial"/>
          <w:bCs/>
          <w:noProof/>
          <w:color w:val="000000" w:themeColor="text1"/>
          <w:szCs w:val="22"/>
        </w:rPr>
        <w:lastRenderedPageBreak/>
        <w:drawing>
          <wp:inline distT="0" distB="0" distL="0" distR="0" wp14:anchorId="32296337" wp14:editId="78CFFBDC">
            <wp:extent cx="4837340" cy="6190865"/>
            <wp:effectExtent l="0" t="0" r="1905" b="0"/>
            <wp:docPr id="29" name="Picture 2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graphical user interface&#10;&#10;Description automatically generated"/>
                    <pic:cNvPicPr/>
                  </pic:nvPicPr>
                  <pic:blipFill>
                    <a:blip r:embed="rId12" cstate="screen">
                      <a:extLst>
                        <a:ext uri="{28A0092B-C50C-407E-A947-70E740481C1C}">
                          <a14:useLocalDpi xmlns:a14="http://schemas.microsoft.com/office/drawing/2010/main"/>
                        </a:ext>
                      </a:extLst>
                    </a:blip>
                    <a:stretch>
                      <a:fillRect/>
                    </a:stretch>
                  </pic:blipFill>
                  <pic:spPr>
                    <a:xfrm>
                      <a:off x="0" y="0"/>
                      <a:ext cx="4845417" cy="6201202"/>
                    </a:xfrm>
                    <a:prstGeom prst="rect">
                      <a:avLst/>
                    </a:prstGeom>
                  </pic:spPr>
                </pic:pic>
              </a:graphicData>
            </a:graphic>
          </wp:inline>
        </w:drawing>
      </w:r>
    </w:p>
    <w:p w14:paraId="56AFD273" w14:textId="77777777" w:rsidR="00E337ED" w:rsidRPr="00A71FCF" w:rsidRDefault="00E337ED" w:rsidP="00E337ED">
      <w:pPr>
        <w:contextualSpacing/>
        <w:rPr>
          <w:rFonts w:cs="Arial"/>
          <w:szCs w:val="22"/>
        </w:rPr>
      </w:pPr>
      <w:bookmarkStart w:id="31" w:name="_Toc129701138"/>
      <w:r w:rsidRPr="009A5F94">
        <w:rPr>
          <w:rStyle w:val="FigurecaptionChar"/>
        </w:rPr>
        <w:t>Figure 2.3. Time course trends of 13C6-glucose and 13C-labeled glycolytic intermediates in E. coli lysate CFME.</w:t>
      </w:r>
      <w:bookmarkEnd w:id="31"/>
      <w:r w:rsidRPr="00A71FCF">
        <w:rPr>
          <w:rFonts w:cs="Arial"/>
          <w:b/>
          <w:bCs/>
          <w:szCs w:val="22"/>
        </w:rPr>
        <w:t xml:space="preserve"> </w:t>
      </w:r>
      <w:r w:rsidRPr="00A71FCF">
        <w:rPr>
          <w:rFonts w:cs="Arial"/>
          <w:szCs w:val="22"/>
        </w:rPr>
        <w:t>Relative abundances of</w:t>
      </w:r>
      <w:r w:rsidRPr="00A71FCF">
        <w:rPr>
          <w:rFonts w:cs="Arial"/>
          <w:b/>
          <w:bCs/>
          <w:szCs w:val="22"/>
        </w:rPr>
        <w:t xml:space="preserve"> </w:t>
      </w:r>
      <w:r w:rsidRPr="00A71FCF">
        <w:rPr>
          <w:rFonts w:cs="Arial"/>
          <w:szCs w:val="22"/>
        </w:rPr>
        <w:t>(</w:t>
      </w:r>
      <w:r w:rsidRPr="00A71FCF">
        <w:rPr>
          <w:rFonts w:cs="Arial"/>
          <w:b/>
          <w:bCs/>
          <w:szCs w:val="22"/>
        </w:rPr>
        <w:t>A</w:t>
      </w:r>
      <w:r w:rsidRPr="00A71FCF">
        <w:rPr>
          <w:rFonts w:cs="Arial"/>
          <w:szCs w:val="22"/>
        </w:rPr>
        <w:t xml:space="preserve">) </w:t>
      </w:r>
      <w:r w:rsidRPr="00A71FCF">
        <w:rPr>
          <w:rFonts w:cs="Arial"/>
          <w:b/>
          <w:bCs/>
          <w:szCs w:val="22"/>
          <w:vertAlign w:val="superscript"/>
        </w:rPr>
        <w:t>1</w:t>
      </w:r>
      <w:r w:rsidRPr="00A71FCF">
        <w:rPr>
          <w:rFonts w:cs="Arial"/>
          <w:szCs w:val="22"/>
          <w:vertAlign w:val="superscript"/>
        </w:rPr>
        <w:t>3</w:t>
      </w:r>
      <w:r w:rsidRPr="00A71FCF">
        <w:rPr>
          <w:rFonts w:cs="Arial"/>
          <w:szCs w:val="22"/>
        </w:rPr>
        <w:t>C</w:t>
      </w:r>
      <w:r w:rsidRPr="00A71FCF">
        <w:rPr>
          <w:rFonts w:cs="Arial"/>
          <w:szCs w:val="22"/>
          <w:vertAlign w:val="subscript"/>
        </w:rPr>
        <w:t>6</w:t>
      </w:r>
      <w:r w:rsidRPr="00A71FCF">
        <w:rPr>
          <w:rFonts w:cs="Arial"/>
          <w:szCs w:val="22"/>
        </w:rPr>
        <w:t>-glucose, (</w:t>
      </w:r>
      <w:r w:rsidRPr="00A71FCF">
        <w:rPr>
          <w:rFonts w:cs="Arial"/>
          <w:b/>
          <w:bCs/>
          <w:szCs w:val="22"/>
        </w:rPr>
        <w:t>B</w:t>
      </w:r>
      <w:r w:rsidRPr="00A71FCF">
        <w:rPr>
          <w:rFonts w:cs="Arial"/>
          <w:szCs w:val="22"/>
        </w:rPr>
        <w:t xml:space="preserve">) </w:t>
      </w:r>
      <w:r w:rsidRPr="00A71FCF">
        <w:rPr>
          <w:rFonts w:cs="Arial"/>
          <w:b/>
          <w:bCs/>
          <w:szCs w:val="22"/>
          <w:vertAlign w:val="superscript"/>
        </w:rPr>
        <w:t>1</w:t>
      </w:r>
      <w:r w:rsidRPr="00A71FCF">
        <w:rPr>
          <w:rFonts w:cs="Arial"/>
          <w:szCs w:val="22"/>
          <w:vertAlign w:val="superscript"/>
        </w:rPr>
        <w:t>3</w:t>
      </w:r>
      <w:r w:rsidRPr="00A71FCF">
        <w:rPr>
          <w:rFonts w:cs="Arial"/>
          <w:szCs w:val="22"/>
        </w:rPr>
        <w:t>C</w:t>
      </w:r>
      <w:r w:rsidRPr="00A71FCF">
        <w:rPr>
          <w:rFonts w:cs="Arial"/>
          <w:szCs w:val="22"/>
          <w:vertAlign w:val="subscript"/>
        </w:rPr>
        <w:t>6</w:t>
      </w:r>
      <w:r w:rsidRPr="00A71FCF">
        <w:rPr>
          <w:rFonts w:cs="Arial"/>
          <w:szCs w:val="22"/>
        </w:rPr>
        <w:t>-glucose-6-phosphate/fructose-6-phosphate, (</w:t>
      </w:r>
      <w:r w:rsidRPr="00A71FCF">
        <w:rPr>
          <w:rFonts w:cs="Arial"/>
          <w:b/>
          <w:bCs/>
          <w:szCs w:val="22"/>
        </w:rPr>
        <w:t>C</w:t>
      </w:r>
      <w:r w:rsidRPr="00A71FCF">
        <w:rPr>
          <w:rFonts w:cs="Arial"/>
          <w:szCs w:val="22"/>
        </w:rPr>
        <w:t>)</w:t>
      </w:r>
      <w:r w:rsidRPr="00A71FCF">
        <w:rPr>
          <w:rFonts w:cs="Arial"/>
          <w:b/>
          <w:bCs/>
          <w:szCs w:val="22"/>
          <w:vertAlign w:val="superscript"/>
        </w:rPr>
        <w:t xml:space="preserve"> 1</w:t>
      </w:r>
      <w:r w:rsidRPr="00A71FCF">
        <w:rPr>
          <w:rFonts w:cs="Arial"/>
          <w:szCs w:val="22"/>
          <w:vertAlign w:val="superscript"/>
        </w:rPr>
        <w:t>3</w:t>
      </w:r>
      <w:r w:rsidRPr="00A71FCF">
        <w:rPr>
          <w:rFonts w:cs="Arial"/>
          <w:szCs w:val="22"/>
        </w:rPr>
        <w:t>C</w:t>
      </w:r>
      <w:r w:rsidRPr="00A71FCF">
        <w:rPr>
          <w:rFonts w:cs="Arial"/>
          <w:szCs w:val="22"/>
          <w:vertAlign w:val="subscript"/>
        </w:rPr>
        <w:t>6</w:t>
      </w:r>
      <w:r w:rsidRPr="00A71FCF">
        <w:rPr>
          <w:rFonts w:cs="Arial"/>
          <w:szCs w:val="22"/>
        </w:rPr>
        <w:t>-fructose-1,6-bisphosphate, (</w:t>
      </w:r>
      <w:r w:rsidRPr="00A71FCF">
        <w:rPr>
          <w:rFonts w:cs="Arial"/>
          <w:b/>
          <w:bCs/>
          <w:szCs w:val="22"/>
        </w:rPr>
        <w:t>D</w:t>
      </w:r>
      <w:r w:rsidRPr="00A71FCF">
        <w:rPr>
          <w:rFonts w:cs="Arial"/>
          <w:szCs w:val="22"/>
        </w:rPr>
        <w:t xml:space="preserve">) </w:t>
      </w:r>
      <w:r w:rsidRPr="00A71FCF">
        <w:rPr>
          <w:rFonts w:cs="Arial"/>
          <w:b/>
          <w:bCs/>
          <w:szCs w:val="22"/>
          <w:vertAlign w:val="superscript"/>
        </w:rPr>
        <w:t>1</w:t>
      </w:r>
      <w:r w:rsidRPr="00A71FCF">
        <w:rPr>
          <w:rFonts w:cs="Arial"/>
          <w:szCs w:val="22"/>
          <w:vertAlign w:val="superscript"/>
        </w:rPr>
        <w:t>3</w:t>
      </w:r>
      <w:r w:rsidRPr="00A71FCF">
        <w:rPr>
          <w:rFonts w:cs="Arial"/>
          <w:szCs w:val="22"/>
        </w:rPr>
        <w:t>C</w:t>
      </w:r>
      <w:r w:rsidRPr="00A71FCF">
        <w:rPr>
          <w:rFonts w:cs="Arial"/>
          <w:szCs w:val="22"/>
          <w:vertAlign w:val="subscript"/>
        </w:rPr>
        <w:t>3</w:t>
      </w:r>
      <w:r w:rsidRPr="00A71FCF">
        <w:rPr>
          <w:rFonts w:cs="Arial"/>
          <w:szCs w:val="22"/>
        </w:rPr>
        <w:t xml:space="preserve">-glyceraldehyde-3-phosphate/dihydroxyacetone phosphate, and (E) </w:t>
      </w:r>
      <w:r w:rsidRPr="00A71FCF">
        <w:rPr>
          <w:rFonts w:cs="Arial"/>
          <w:b/>
          <w:bCs/>
          <w:szCs w:val="22"/>
          <w:vertAlign w:val="superscript"/>
        </w:rPr>
        <w:t>1</w:t>
      </w:r>
      <w:r w:rsidRPr="00A71FCF">
        <w:rPr>
          <w:rFonts w:cs="Arial"/>
          <w:szCs w:val="22"/>
          <w:vertAlign w:val="superscript"/>
        </w:rPr>
        <w:t>3</w:t>
      </w:r>
      <w:r w:rsidRPr="00A71FCF">
        <w:rPr>
          <w:rFonts w:cs="Arial"/>
          <w:szCs w:val="22"/>
        </w:rPr>
        <w:t>C</w:t>
      </w:r>
      <w:r w:rsidRPr="00A71FCF">
        <w:rPr>
          <w:rFonts w:cs="Arial"/>
          <w:szCs w:val="22"/>
          <w:vertAlign w:val="subscript"/>
        </w:rPr>
        <w:t>6</w:t>
      </w:r>
      <w:r w:rsidRPr="00A71FCF">
        <w:rPr>
          <w:rFonts w:cs="Arial"/>
          <w:szCs w:val="22"/>
        </w:rPr>
        <w:t xml:space="preserve">-pyruvate in CFME reactions over 3 h. Raw peak areas extracted by </w:t>
      </w:r>
      <w:proofErr w:type="spellStart"/>
      <w:r w:rsidRPr="00A71FCF">
        <w:rPr>
          <w:rFonts w:cs="Arial"/>
          <w:szCs w:val="22"/>
        </w:rPr>
        <w:t>mzMINE</w:t>
      </w:r>
      <w:proofErr w:type="spellEnd"/>
      <w:r w:rsidRPr="00A71FCF">
        <w:rPr>
          <w:rFonts w:cs="Arial"/>
          <w:szCs w:val="22"/>
        </w:rPr>
        <w:t xml:space="preserve"> software were used to calculate averages and error bars (SE) for positive annotations. (n = 3)</w:t>
      </w:r>
    </w:p>
    <w:p w14:paraId="1C7C8FFF" w14:textId="77777777" w:rsidR="00E337ED" w:rsidRPr="00A71FCF" w:rsidRDefault="00E337ED" w:rsidP="00E337ED">
      <w:pPr>
        <w:contextualSpacing/>
        <w:jc w:val="center"/>
        <w:rPr>
          <w:rFonts w:cs="Arial"/>
          <w:b/>
          <w:bCs/>
          <w:szCs w:val="22"/>
        </w:rPr>
      </w:pPr>
      <w:r w:rsidRPr="00A71FCF">
        <w:rPr>
          <w:rFonts w:cs="Arial"/>
          <w:b/>
          <w:bCs/>
          <w:noProof/>
          <w:szCs w:val="22"/>
        </w:rPr>
        <w:lastRenderedPageBreak/>
        <w:drawing>
          <wp:inline distT="0" distB="0" distL="0" distR="0" wp14:anchorId="2D58A45D" wp14:editId="3CA65CA7">
            <wp:extent cx="4778911" cy="4059520"/>
            <wp:effectExtent l="0" t="0" r="0" b="5080"/>
            <wp:docPr id="30" name="Picture 3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10;&#10;Description automatically generated"/>
                    <pic:cNvPicPr/>
                  </pic:nvPicPr>
                  <pic:blipFill>
                    <a:blip r:embed="rId13" cstate="screen">
                      <a:extLst>
                        <a:ext uri="{28A0092B-C50C-407E-A947-70E740481C1C}">
                          <a14:useLocalDpi xmlns:a14="http://schemas.microsoft.com/office/drawing/2010/main"/>
                        </a:ext>
                      </a:extLst>
                    </a:blip>
                    <a:stretch>
                      <a:fillRect/>
                    </a:stretch>
                  </pic:blipFill>
                  <pic:spPr>
                    <a:xfrm>
                      <a:off x="0" y="0"/>
                      <a:ext cx="4799008" cy="4076592"/>
                    </a:xfrm>
                    <a:prstGeom prst="rect">
                      <a:avLst/>
                    </a:prstGeom>
                  </pic:spPr>
                </pic:pic>
              </a:graphicData>
            </a:graphic>
          </wp:inline>
        </w:drawing>
      </w:r>
    </w:p>
    <w:p w14:paraId="71ACEBCC" w14:textId="77777777" w:rsidR="00E337ED" w:rsidRPr="00A71FCF" w:rsidRDefault="00E337ED" w:rsidP="00E337ED">
      <w:pPr>
        <w:contextualSpacing/>
        <w:rPr>
          <w:rFonts w:cs="Arial"/>
          <w:szCs w:val="22"/>
        </w:rPr>
      </w:pPr>
      <w:bookmarkStart w:id="32" w:name="_Toc129701139"/>
      <w:r w:rsidRPr="009A5F94">
        <w:rPr>
          <w:rStyle w:val="FigurecaptionChar"/>
        </w:rPr>
        <w:t>Figure 2.4. Time course trends of intermediates and end-products in 13C6-glucose fermentation in E. coli lysate CFME.</w:t>
      </w:r>
      <w:bookmarkEnd w:id="32"/>
      <w:r w:rsidRPr="00A71FCF">
        <w:rPr>
          <w:rFonts w:cs="Arial"/>
          <w:b/>
          <w:bCs/>
          <w:szCs w:val="22"/>
        </w:rPr>
        <w:t xml:space="preserve"> </w:t>
      </w:r>
      <w:r w:rsidRPr="00A71FCF">
        <w:rPr>
          <w:rFonts w:cs="Arial"/>
          <w:szCs w:val="22"/>
        </w:rPr>
        <w:t>Relative abundances of</w:t>
      </w:r>
      <w:r w:rsidRPr="00A71FCF">
        <w:rPr>
          <w:rFonts w:cs="Arial"/>
          <w:b/>
          <w:bCs/>
          <w:szCs w:val="22"/>
        </w:rPr>
        <w:t xml:space="preserve"> </w:t>
      </w:r>
      <w:r w:rsidRPr="00A71FCF">
        <w:rPr>
          <w:rFonts w:cs="Arial"/>
          <w:szCs w:val="22"/>
        </w:rPr>
        <w:t>(</w:t>
      </w:r>
      <w:r w:rsidRPr="00A71FCF">
        <w:rPr>
          <w:rFonts w:cs="Arial"/>
          <w:b/>
          <w:bCs/>
          <w:szCs w:val="22"/>
        </w:rPr>
        <w:t>A</w:t>
      </w:r>
      <w:r w:rsidRPr="00A71FCF">
        <w:rPr>
          <w:rFonts w:cs="Arial"/>
          <w:szCs w:val="22"/>
        </w:rPr>
        <w:t xml:space="preserve">) </w:t>
      </w:r>
      <w:r w:rsidRPr="00A71FCF">
        <w:rPr>
          <w:rFonts w:cs="Arial"/>
          <w:b/>
          <w:bCs/>
          <w:szCs w:val="22"/>
          <w:vertAlign w:val="superscript"/>
        </w:rPr>
        <w:t>1</w:t>
      </w:r>
      <w:r w:rsidRPr="00A71FCF">
        <w:rPr>
          <w:rFonts w:cs="Arial"/>
          <w:szCs w:val="22"/>
          <w:vertAlign w:val="superscript"/>
        </w:rPr>
        <w:t>3</w:t>
      </w:r>
      <w:r w:rsidRPr="00A71FCF">
        <w:rPr>
          <w:rFonts w:cs="Arial"/>
          <w:szCs w:val="22"/>
        </w:rPr>
        <w:t>C</w:t>
      </w:r>
      <w:r w:rsidRPr="00A71FCF">
        <w:rPr>
          <w:rFonts w:cs="Arial"/>
          <w:szCs w:val="22"/>
          <w:vertAlign w:val="subscript"/>
        </w:rPr>
        <w:t>3</w:t>
      </w:r>
      <w:r w:rsidRPr="00A71FCF">
        <w:rPr>
          <w:rFonts w:cs="Arial"/>
          <w:szCs w:val="22"/>
        </w:rPr>
        <w:t>-lactate, (</w:t>
      </w:r>
      <w:r w:rsidRPr="00A71FCF">
        <w:rPr>
          <w:rFonts w:cs="Arial"/>
          <w:b/>
          <w:bCs/>
          <w:szCs w:val="22"/>
        </w:rPr>
        <w:t>B</w:t>
      </w:r>
      <w:r w:rsidRPr="00A71FCF">
        <w:rPr>
          <w:rFonts w:cs="Arial"/>
          <w:szCs w:val="22"/>
        </w:rPr>
        <w:t xml:space="preserve">) </w:t>
      </w:r>
      <w:r w:rsidRPr="00A71FCF">
        <w:rPr>
          <w:rFonts w:cs="Arial"/>
          <w:b/>
          <w:bCs/>
          <w:szCs w:val="22"/>
          <w:vertAlign w:val="superscript"/>
        </w:rPr>
        <w:t>1</w:t>
      </w:r>
      <w:r w:rsidRPr="00A71FCF">
        <w:rPr>
          <w:rFonts w:cs="Arial"/>
          <w:szCs w:val="22"/>
          <w:vertAlign w:val="superscript"/>
        </w:rPr>
        <w:t>3</w:t>
      </w:r>
      <w:r w:rsidRPr="00A71FCF">
        <w:rPr>
          <w:rFonts w:cs="Arial"/>
          <w:szCs w:val="22"/>
        </w:rPr>
        <w:t>C</w:t>
      </w:r>
      <w:r w:rsidRPr="00A71FCF">
        <w:rPr>
          <w:rFonts w:cs="Arial"/>
          <w:szCs w:val="22"/>
          <w:vertAlign w:val="subscript"/>
        </w:rPr>
        <w:t>3</w:t>
      </w:r>
      <w:r w:rsidRPr="00A71FCF">
        <w:rPr>
          <w:rFonts w:cs="Arial"/>
          <w:szCs w:val="22"/>
        </w:rPr>
        <w:t>-succinate, (</w:t>
      </w:r>
      <w:r w:rsidRPr="00A71FCF">
        <w:rPr>
          <w:rFonts w:cs="Arial"/>
          <w:b/>
          <w:bCs/>
          <w:szCs w:val="22"/>
        </w:rPr>
        <w:t>C</w:t>
      </w:r>
      <w:r w:rsidRPr="00A71FCF">
        <w:rPr>
          <w:rFonts w:cs="Arial"/>
          <w:szCs w:val="22"/>
        </w:rPr>
        <w:t>)</w:t>
      </w:r>
      <w:r w:rsidRPr="00A71FCF">
        <w:rPr>
          <w:rFonts w:cs="Arial"/>
          <w:b/>
          <w:bCs/>
          <w:szCs w:val="22"/>
          <w:vertAlign w:val="superscript"/>
        </w:rPr>
        <w:t xml:space="preserve"> 1</w:t>
      </w:r>
      <w:r w:rsidRPr="00A71FCF">
        <w:rPr>
          <w:rFonts w:cs="Arial"/>
          <w:szCs w:val="22"/>
          <w:vertAlign w:val="superscript"/>
        </w:rPr>
        <w:t>3</w:t>
      </w:r>
      <w:r w:rsidRPr="00A71FCF">
        <w:rPr>
          <w:rFonts w:cs="Arial"/>
          <w:szCs w:val="22"/>
        </w:rPr>
        <w:t>C</w:t>
      </w:r>
      <w:r w:rsidRPr="00A71FCF">
        <w:rPr>
          <w:rFonts w:cs="Arial"/>
          <w:szCs w:val="22"/>
          <w:vertAlign w:val="subscript"/>
        </w:rPr>
        <w:t>2</w:t>
      </w:r>
      <w:r w:rsidRPr="00A71FCF">
        <w:rPr>
          <w:rFonts w:cs="Arial"/>
          <w:szCs w:val="22"/>
        </w:rPr>
        <w:t>-acetyl-phosphate, and (</w:t>
      </w:r>
      <w:r w:rsidRPr="00A71FCF">
        <w:rPr>
          <w:rFonts w:cs="Arial"/>
          <w:b/>
          <w:bCs/>
          <w:szCs w:val="22"/>
        </w:rPr>
        <w:t>D</w:t>
      </w:r>
      <w:r w:rsidRPr="00A71FCF">
        <w:rPr>
          <w:rFonts w:cs="Arial"/>
          <w:szCs w:val="22"/>
        </w:rPr>
        <w:t xml:space="preserve">) </w:t>
      </w:r>
      <w:r w:rsidRPr="00A71FCF">
        <w:rPr>
          <w:rFonts w:cs="Arial"/>
          <w:b/>
          <w:bCs/>
          <w:szCs w:val="22"/>
          <w:vertAlign w:val="superscript"/>
        </w:rPr>
        <w:t>1</w:t>
      </w:r>
      <w:r w:rsidRPr="00A71FCF">
        <w:rPr>
          <w:rFonts w:cs="Arial"/>
          <w:szCs w:val="22"/>
          <w:vertAlign w:val="superscript"/>
        </w:rPr>
        <w:t>3</w:t>
      </w:r>
      <w:r w:rsidRPr="00A71FCF">
        <w:rPr>
          <w:rFonts w:cs="Arial"/>
          <w:szCs w:val="22"/>
        </w:rPr>
        <w:t>C</w:t>
      </w:r>
      <w:r w:rsidRPr="00A71FCF">
        <w:rPr>
          <w:rFonts w:cs="Arial"/>
          <w:szCs w:val="22"/>
          <w:vertAlign w:val="subscript"/>
        </w:rPr>
        <w:t>2</w:t>
      </w:r>
      <w:r w:rsidRPr="00A71FCF">
        <w:rPr>
          <w:rFonts w:cs="Arial"/>
          <w:szCs w:val="22"/>
        </w:rPr>
        <w:t xml:space="preserve">-acetyl-CoA in CFME reactions over 3 h. Raw peak areas extracted by </w:t>
      </w:r>
      <w:proofErr w:type="spellStart"/>
      <w:r w:rsidRPr="00A71FCF">
        <w:rPr>
          <w:rFonts w:cs="Arial"/>
          <w:szCs w:val="22"/>
        </w:rPr>
        <w:t>mzMINE</w:t>
      </w:r>
      <w:proofErr w:type="spellEnd"/>
      <w:r w:rsidRPr="00A71FCF">
        <w:rPr>
          <w:rFonts w:cs="Arial"/>
          <w:szCs w:val="22"/>
        </w:rPr>
        <w:t xml:space="preserve"> software were used to calculate averages and error bars (SE) for positive annotations. (n = 3)</w:t>
      </w:r>
    </w:p>
    <w:p w14:paraId="11DED9DD" w14:textId="77777777" w:rsidR="00E337ED" w:rsidRPr="00A71FCF" w:rsidRDefault="00E337ED" w:rsidP="00E337ED">
      <w:pPr>
        <w:contextualSpacing/>
        <w:rPr>
          <w:rFonts w:cs="Arial"/>
          <w:bCs/>
          <w:color w:val="000000" w:themeColor="text1"/>
          <w:szCs w:val="22"/>
        </w:rPr>
      </w:pPr>
    </w:p>
    <w:p w14:paraId="0CEB557C" w14:textId="77777777" w:rsidR="00E337ED" w:rsidRDefault="00E337ED" w:rsidP="00E337ED">
      <w:pPr>
        <w:ind w:firstLine="720"/>
        <w:contextualSpacing/>
        <w:rPr>
          <w:rFonts w:cs="Arial"/>
          <w:bCs/>
          <w:color w:val="000000" w:themeColor="text1"/>
          <w:szCs w:val="22"/>
        </w:rPr>
      </w:pPr>
    </w:p>
    <w:p w14:paraId="285FCEEC" w14:textId="77777777" w:rsidR="00E337ED" w:rsidRDefault="00E337ED">
      <w:pPr>
        <w:rPr>
          <w:rFonts w:cs="Arial"/>
          <w:bCs/>
          <w:color w:val="000000" w:themeColor="text1"/>
          <w:szCs w:val="22"/>
        </w:rPr>
      </w:pPr>
      <w:r>
        <w:rPr>
          <w:rFonts w:cs="Arial"/>
          <w:bCs/>
          <w:color w:val="000000" w:themeColor="text1"/>
          <w:szCs w:val="22"/>
        </w:rPr>
        <w:br w:type="page"/>
      </w:r>
    </w:p>
    <w:p w14:paraId="28ACBCA0" w14:textId="77777777" w:rsidR="00D23BDB" w:rsidRDefault="00E033D4" w:rsidP="00D23BDB">
      <w:pPr>
        <w:contextualSpacing/>
        <w:rPr>
          <w:rFonts w:cs="Arial"/>
          <w:bCs/>
          <w:color w:val="000000" w:themeColor="text1"/>
          <w:szCs w:val="22"/>
        </w:rPr>
      </w:pPr>
      <w:r w:rsidRPr="00A71FCF">
        <w:rPr>
          <w:rFonts w:cs="Arial"/>
          <w:bCs/>
          <w:color w:val="000000" w:themeColor="text1"/>
          <w:szCs w:val="22"/>
        </w:rPr>
        <w:lastRenderedPageBreak/>
        <w:t xml:space="preserve">The incorporation of </w:t>
      </w:r>
      <w:r w:rsidRPr="00A71FCF">
        <w:rPr>
          <w:rFonts w:cs="Arial"/>
          <w:bCs/>
          <w:color w:val="000000" w:themeColor="text1"/>
          <w:szCs w:val="22"/>
          <w:vertAlign w:val="superscript"/>
        </w:rPr>
        <w:t>13</w:t>
      </w:r>
      <w:r w:rsidRPr="00A71FCF">
        <w:rPr>
          <w:rFonts w:cs="Arial"/>
          <w:bCs/>
          <w:color w:val="000000" w:themeColor="text1"/>
          <w:szCs w:val="22"/>
        </w:rPr>
        <w:t>C</w:t>
      </w:r>
      <w:r w:rsidRPr="00A71FCF">
        <w:rPr>
          <w:rFonts w:cs="Arial"/>
          <w:bCs/>
          <w:color w:val="000000" w:themeColor="text1"/>
          <w:szCs w:val="22"/>
          <w:vertAlign w:val="subscript"/>
        </w:rPr>
        <w:t>6</w:t>
      </w:r>
      <w:r w:rsidRPr="00A71FCF">
        <w:rPr>
          <w:rFonts w:cs="Arial"/>
          <w:bCs/>
          <w:color w:val="000000" w:themeColor="text1"/>
          <w:szCs w:val="22"/>
        </w:rPr>
        <w:t xml:space="preserve">-glucose derived carbons to sugar phosphates 6-phosphogluconolactone (6PGL), 6-phosphogluconate (6PG), ribulose-5-phosphate (Ru5P), and sedoheptulose-7-phosphate (S7P) was also observed </w:t>
      </w:r>
      <w:r w:rsidRPr="00A71FCF">
        <w:rPr>
          <w:rFonts w:cs="Arial"/>
          <w:b/>
          <w:color w:val="000000" w:themeColor="text1"/>
          <w:szCs w:val="22"/>
        </w:rPr>
        <w:t>(</w:t>
      </w:r>
      <w:r>
        <w:rPr>
          <w:rFonts w:cs="Arial"/>
          <w:b/>
          <w:color w:val="000000" w:themeColor="text1"/>
          <w:szCs w:val="22"/>
        </w:rPr>
        <w:t>Figure</w:t>
      </w:r>
      <w:r w:rsidRPr="00A71FCF" w:rsidDel="00737D76">
        <w:rPr>
          <w:rFonts w:cs="Arial"/>
          <w:b/>
          <w:color w:val="000000" w:themeColor="text1"/>
          <w:szCs w:val="22"/>
        </w:rPr>
        <w:t xml:space="preserve"> </w:t>
      </w:r>
      <w:r>
        <w:rPr>
          <w:rFonts w:cs="Arial"/>
          <w:b/>
          <w:color w:val="000000" w:themeColor="text1"/>
          <w:szCs w:val="22"/>
        </w:rPr>
        <w:t>2.</w:t>
      </w:r>
      <w:r w:rsidRPr="00A71FCF">
        <w:rPr>
          <w:rFonts w:cs="Arial"/>
          <w:b/>
          <w:color w:val="000000" w:themeColor="text1"/>
          <w:szCs w:val="22"/>
        </w:rPr>
        <w:t>5)</w:t>
      </w:r>
      <w:r w:rsidRPr="00A71FCF">
        <w:rPr>
          <w:rFonts w:cs="Arial"/>
          <w:bCs/>
          <w:color w:val="000000" w:themeColor="text1"/>
          <w:szCs w:val="22"/>
        </w:rPr>
        <w:t xml:space="preserve">. These results confirm the participation of the pentose phosphate pathway in lysate glucose metabolism and likely feeds </w:t>
      </w:r>
      <w:r w:rsidRPr="00A71FCF">
        <w:rPr>
          <w:rFonts w:cs="Arial"/>
          <w:bCs/>
          <w:color w:val="000000" w:themeColor="text1"/>
          <w:szCs w:val="22"/>
          <w:vertAlign w:val="superscript"/>
        </w:rPr>
        <w:t>13</w:t>
      </w:r>
      <w:r w:rsidRPr="00A71FCF">
        <w:rPr>
          <w:rFonts w:cs="Arial"/>
          <w:bCs/>
          <w:color w:val="000000" w:themeColor="text1"/>
          <w:szCs w:val="22"/>
        </w:rPr>
        <w:t>C</w:t>
      </w:r>
      <w:r w:rsidRPr="00A71FCF">
        <w:rPr>
          <w:rFonts w:cs="Arial"/>
          <w:bCs/>
          <w:color w:val="000000" w:themeColor="text1"/>
          <w:szCs w:val="22"/>
          <w:vertAlign w:val="subscript"/>
        </w:rPr>
        <w:t>9</w:t>
      </w:r>
      <w:r w:rsidRPr="00A71FCF">
        <w:rPr>
          <w:rFonts w:cs="Arial"/>
          <w:bCs/>
          <w:color w:val="000000" w:themeColor="text1"/>
          <w:szCs w:val="22"/>
        </w:rPr>
        <w:t xml:space="preserve">-tyrosine synthesis, which has been suggested before by a proteomic study, while also providing a precursor for </w:t>
      </w:r>
      <w:r w:rsidRPr="00A71FCF">
        <w:rPr>
          <w:rFonts w:cs="Arial"/>
          <w:bCs/>
          <w:color w:val="000000" w:themeColor="text1"/>
          <w:szCs w:val="22"/>
          <w:vertAlign w:val="superscript"/>
        </w:rPr>
        <w:t>13</w:t>
      </w:r>
      <w:r w:rsidRPr="00A71FCF">
        <w:rPr>
          <w:rFonts w:cs="Arial"/>
          <w:bCs/>
          <w:color w:val="000000" w:themeColor="text1"/>
          <w:szCs w:val="22"/>
        </w:rPr>
        <w:t>C</w:t>
      </w:r>
      <w:r w:rsidRPr="00A71FCF">
        <w:rPr>
          <w:rFonts w:cs="Arial"/>
          <w:bCs/>
          <w:color w:val="000000" w:themeColor="text1"/>
          <w:szCs w:val="22"/>
          <w:vertAlign w:val="subscript"/>
        </w:rPr>
        <w:t>5</w:t>
      </w:r>
      <w:r w:rsidRPr="00A71FCF">
        <w:rPr>
          <w:rFonts w:cs="Arial"/>
          <w:bCs/>
          <w:color w:val="000000" w:themeColor="text1"/>
          <w:szCs w:val="22"/>
        </w:rPr>
        <w:t>-histidine production</w:t>
      </w:r>
      <w:r w:rsidRPr="00A71FCF">
        <w:rPr>
          <w:rFonts w:cs="Arial"/>
          <w:b/>
          <w:color w:val="000000" w:themeColor="text1"/>
          <w:szCs w:val="22"/>
        </w:rPr>
        <w:fldChar w:fldCharType="begin" w:fldLock="1"/>
      </w:r>
      <w:r w:rsidR="00567FF4">
        <w:rPr>
          <w:rFonts w:cs="Arial"/>
          <w:b/>
          <w:color w:val="000000" w:themeColor="text1"/>
          <w:szCs w:val="22"/>
        </w:rPr>
        <w:instrText>ADDIN CSL_CITATION {"citationItems":[{"id":"ITEM-1","itemData":{"DOI":"10.1021/acssynbio.9b00524","ISSN":"21615063","PMID":"33044063","abstract":"Progress in cell-free protein synthesis (CFPS) has spurred resurgent interest in engineering complex biological metabolism outside of the cell. Unlike purified enzyme systems, crude cell-free systems can be prepared for a fraction of the cost and contain endogenous cellular pathways that can be activated for biosynthesis. Endogenous activity performs essential functions in cell-free systems including substrate biosynthesis and energy regeneration; however, use of crude cell-free systems for bioproduction has been hampered by the under-described complexity of the metabolic networks inherent to a crude lysate. Physical and chemical cultivation parameters influence the endogenous activity of the resulting lysate, but targeted efforts to engineer this activity by manipulation of these nongenetic factors has been limited. Here growth medium composition was manipulated to improve the one-pot in vitro biosynthesis of phenol from glucose via the expression of Pasteurella multocida phenol-tyrosine lyase in crude E. coli lysates. Crude cell lysate metabolic activity was focused toward the limiting precursor tyrosine by targeted growth medium dropouts guided by proteomics. The result is the activation of a 25-step enzymatic reaction cascade involving at least three endogenous E. coli metabolic pathways. Additional modification of this system, through CFPS of feedback intolerant AroG improves yield. This effort demonstrates the ability to activate a long, complex pathway in vitro and provides a framework for harnessing the metabolic potential of diverse organisms for cell-free metabolic engineering. The more than 6-fold increase in phenol yield with limited genetic manipulation demonstrates the benefits of optimizing growth medium for crude cell-free extract production and illustrates the advantages of a systems approach to cell-free metabolic engineering.","author":[{"dropping-particle":"","family":"Mohr","given":"Benjamin","non-dropping-particle":"","parse-names":false,"suffix":""},{"dropping-particle":"","family":"Giannone","given":"Richard J.","non-dropping-particle":"","parse-names":false,"suffix":""},{"dropping-particle":"","family":"Hettich","given":"Robert L.","non-dropping-particle":"","parse-names":false,"suffix":""},{"dropping-particle":"","family":"Doktycz","given":"Mitchel J.","non-dropping-particle":"","parse-names":false,"suffix":""}],"container-title":"ACS Synthetic Biology","id":"ITEM-1","issue":"11","issued":{"date-parts":[["2020","11","20"]]},"page":"2986-2997","publisher":"American Chemical Society","title":"Targeted growth medium dropouts promote aromatic compound synthesis in crude E. Coli cell-free systems","type":"article-journal","volume":"9"},"uris":["http://www.mendeley.com/documents/?uuid=5056c735-c966-306b-80ed-9bbc3ce44183"]}],"mendeley":{"formattedCitation":"&lt;sup&gt;73&lt;/sup&gt;","plainTextFormattedCitation":"73","previouslyFormattedCitation":"&lt;sup&gt;73&lt;/sup&gt;"},"properties":{"noteIndex":0},"schema":"https://github.com/citation-style-language/schema/raw/master/csl-citation.json"}</w:instrText>
      </w:r>
      <w:r w:rsidRPr="00A71FCF">
        <w:rPr>
          <w:rFonts w:cs="Arial"/>
          <w:b/>
          <w:color w:val="000000" w:themeColor="text1"/>
          <w:szCs w:val="22"/>
        </w:rPr>
        <w:fldChar w:fldCharType="separate"/>
      </w:r>
      <w:r w:rsidR="00567FF4" w:rsidRPr="00567FF4">
        <w:rPr>
          <w:rFonts w:cs="Arial"/>
          <w:noProof/>
          <w:color w:val="000000" w:themeColor="text1"/>
          <w:szCs w:val="22"/>
          <w:vertAlign w:val="superscript"/>
        </w:rPr>
        <w:t>73</w:t>
      </w:r>
      <w:r w:rsidRPr="00A71FCF">
        <w:rPr>
          <w:rFonts w:cs="Arial"/>
          <w:b/>
          <w:color w:val="000000" w:themeColor="text1"/>
          <w:szCs w:val="22"/>
        </w:rPr>
        <w:fldChar w:fldCharType="end"/>
      </w:r>
      <w:r w:rsidRPr="00A71FCF">
        <w:rPr>
          <w:rFonts w:cs="Arial"/>
          <w:bCs/>
          <w:color w:val="000000" w:themeColor="text1"/>
          <w:szCs w:val="22"/>
        </w:rPr>
        <w:t xml:space="preserve"> </w:t>
      </w:r>
      <w:r w:rsidRPr="00A71FCF">
        <w:rPr>
          <w:rFonts w:cs="Arial"/>
          <w:b/>
          <w:color w:val="000000" w:themeColor="text1"/>
          <w:szCs w:val="22"/>
        </w:rPr>
        <w:t>(</w:t>
      </w:r>
      <w:r>
        <w:rPr>
          <w:rFonts w:cs="Arial"/>
          <w:b/>
          <w:color w:val="000000" w:themeColor="text1"/>
          <w:szCs w:val="22"/>
        </w:rPr>
        <w:t>Figures</w:t>
      </w:r>
      <w:r w:rsidRPr="00A71FCF" w:rsidDel="00737D76">
        <w:rPr>
          <w:rFonts w:cs="Arial"/>
          <w:b/>
          <w:color w:val="000000" w:themeColor="text1"/>
          <w:szCs w:val="22"/>
        </w:rPr>
        <w:t xml:space="preserve"> </w:t>
      </w:r>
      <w:r>
        <w:rPr>
          <w:rFonts w:cs="Arial"/>
          <w:b/>
          <w:color w:val="000000" w:themeColor="text1"/>
          <w:szCs w:val="22"/>
        </w:rPr>
        <w:t>2.</w:t>
      </w:r>
      <w:r w:rsidRPr="00A71FCF">
        <w:rPr>
          <w:rFonts w:cs="Arial"/>
          <w:b/>
          <w:color w:val="000000" w:themeColor="text1"/>
          <w:szCs w:val="22"/>
        </w:rPr>
        <w:t>6A</w:t>
      </w:r>
      <w:r>
        <w:rPr>
          <w:rFonts w:cs="Arial"/>
          <w:b/>
          <w:color w:val="000000" w:themeColor="text1"/>
          <w:szCs w:val="22"/>
        </w:rPr>
        <w:t xml:space="preserve"> &amp; </w:t>
      </w:r>
      <w:r w:rsidRPr="00A71FCF">
        <w:rPr>
          <w:rFonts w:cs="Arial"/>
          <w:b/>
          <w:color w:val="000000" w:themeColor="text1"/>
          <w:szCs w:val="22"/>
        </w:rPr>
        <w:t>B)</w:t>
      </w:r>
      <w:r w:rsidRPr="00A71FCF">
        <w:rPr>
          <w:rFonts w:cs="Arial"/>
          <w:bCs/>
          <w:color w:val="000000" w:themeColor="text1"/>
          <w:szCs w:val="22"/>
        </w:rPr>
        <w:t>. Labeled phenylalanine and tryptophan were not observed here and neither were most of the essential amino acids. However, this is not entirely surprising since amino acid anabolism is likely to be enriched in lysates derived from cells grown in nutrient-starved conditions or at the stationary phase</w:t>
      </w:r>
      <w:r w:rsidRPr="00A71FCF">
        <w:rPr>
          <w:rFonts w:cs="Arial"/>
          <w:bCs/>
          <w:color w:val="000000" w:themeColor="text1"/>
          <w:szCs w:val="22"/>
        </w:rPr>
        <w:fldChar w:fldCharType="begin" w:fldLock="1"/>
      </w:r>
      <w:r w:rsidR="00567FF4">
        <w:rPr>
          <w:rFonts w:cs="Arial"/>
          <w:bCs/>
          <w:color w:val="000000" w:themeColor="text1"/>
          <w:szCs w:val="22"/>
        </w:rPr>
        <w:instrText>ADDIN CSL_CITATION {"citationItems":[{"id":"ITEM-1","itemData":{"DOI":"10.1021/acssynbio.9b00524","ISSN":"21615063","PMID":"33044063","abstract":"Progress in cell-free protein synthesis (CFPS) has spurred resurgent interest in engineering complex biological metabolism outside of the cell. Unlike purified enzyme systems, crude cell-free systems can be prepared for a fraction of the cost and contain endogenous cellular pathways that can be activated for biosynthesis. Endogenous activity performs essential functions in cell-free systems including substrate biosynthesis and energy regeneration; however, use of crude cell-free systems for bioproduction has been hampered by the under-described complexity of the metabolic networks inherent to a crude lysate. Physical and chemical cultivation parameters influence the endogenous activity of the resulting lysate, but targeted efforts to engineer this activity by manipulation of these nongenetic factors has been limited. Here growth medium composition was manipulated to improve the one-pot in vitro biosynthesis of phenol from glucose via the expression of Pasteurella multocida phenol-tyrosine lyase in crude E. coli lysates. Crude cell lysate metabolic activity was focused toward the limiting precursor tyrosine by targeted growth medium dropouts guided by proteomics. The result is the activation of a 25-step enzymatic reaction cascade involving at least three endogenous E. coli metabolic pathways. Additional modification of this system, through CFPS of feedback intolerant AroG improves yield. This effort demonstrates the ability to activate a long, complex pathway in vitro and provides a framework for harnessing the metabolic potential of diverse organisms for cell-free metabolic engineering. The more than 6-fold increase in phenol yield with limited genetic manipulation demonstrates the benefits of optimizing growth medium for crude cell-free extract production and illustrates the advantages of a systems approach to cell-free metabolic engineering.","author":[{"dropping-particle":"","family":"Mohr","given":"Benjamin","non-dropping-particle":"","parse-names":false,"suffix":""},{"dropping-particle":"","family":"Giannone","given":"Richard J.","non-dropping-particle":"","parse-names":false,"suffix":""},{"dropping-particle":"","family":"Hettich","given":"Robert L.","non-dropping-particle":"","parse-names":false,"suffix":""},{"dropping-particle":"","family":"Doktycz","given":"Mitchel J.","non-dropping-particle":"","parse-names":false,"suffix":""}],"container-title":"ACS Synthetic Biology","id":"ITEM-1","issue":"11","issued":{"date-parts":[["2020","11","20"]]},"page":"2986-2997","publisher":"American Chemical Society","title":"Targeted growth medium dropouts promote aromatic compound synthesis in crude E. Coli cell-free systems","type":"article-journal","volume":"9"},"uris":["http://www.mendeley.com/documents/?uuid=5056c735-c966-306b-80ed-9bbc3ce44183"]},{"id":"ITEM-2","itemData":{"DOI":"10.3389/fmicb.2017.02000","ISSN":"1664302X","abstract":"Stationary phase is the stage when growth ceases but cells remain metabolically active. Several physical and molecular changes take place during this stage that makes them interesting to explore. The characteristic proteins synthesized in the stationary phase are indispensable as they confer viability to the bacteria. Detailed knowledge of these proteins and the genes synthesizing them is required to understand the survival in such nutrient deprived conditions. The promoters, which drive the expression of these genes, are called stationary phase promoters. These promoters exhibit increased activity in the stationary phase and less or no activity in the exponential phase. The vectors constructed based on these promoters are ideal for large-scale protein production due to the absence of any external inducers. A number of recombinant protein production systems have been developed using these promoters. This review describes the stationary phase survival of bacteria, the promoters involved, their importance, regulation, and applications.","author":[{"dropping-particle":"","family":"Jaishankar","given":"Jananee","non-dropping-particle":"","parse-names":false,"suffix":""},{"dropping-particle":"","family":"Srivastava","given":"Preeti","non-dropping-particle":"","parse-names":false,"suffix":""}],"container-title":"Frontiers in Microbiology","id":"ITEM-2","issue":"OCT","issued":{"date-parts":[["2017","10","16"]]},"page":"2000","publisher":"Frontiers Media S.A.","title":"Molecular basis of stationary phase survival and applications","type":"article","volume":"8"},"uris":["http://www.mendeley.com/documents/?uuid=aea3207c-ad34-360d-bc34-6204cc4927f1"]}],"mendeley":{"formattedCitation":"&lt;sup&gt;73,82&lt;/sup&gt;","plainTextFormattedCitation":"73,82","previouslyFormattedCitation":"&lt;sup&gt;73,82&lt;/sup&gt;"},"properties":{"noteIndex":0},"schema":"https://github.com/citation-style-language/schema/raw/master/csl-citation.json"}</w:instrText>
      </w:r>
      <w:r w:rsidRPr="00A71FCF">
        <w:rPr>
          <w:rFonts w:cs="Arial"/>
          <w:bCs/>
          <w:color w:val="000000" w:themeColor="text1"/>
          <w:szCs w:val="22"/>
        </w:rPr>
        <w:fldChar w:fldCharType="separate"/>
      </w:r>
      <w:r w:rsidR="00567FF4" w:rsidRPr="00567FF4">
        <w:rPr>
          <w:rFonts w:cs="Arial"/>
          <w:bCs/>
          <w:noProof/>
          <w:color w:val="000000" w:themeColor="text1"/>
          <w:szCs w:val="22"/>
          <w:vertAlign w:val="superscript"/>
        </w:rPr>
        <w:t>73,82</w:t>
      </w:r>
      <w:r w:rsidRPr="00A71FCF">
        <w:rPr>
          <w:rFonts w:cs="Arial"/>
          <w:bCs/>
          <w:color w:val="000000" w:themeColor="text1"/>
          <w:szCs w:val="22"/>
        </w:rPr>
        <w:fldChar w:fldCharType="end"/>
      </w:r>
      <w:r w:rsidRPr="00A71FCF">
        <w:rPr>
          <w:rFonts w:cs="Arial"/>
          <w:bCs/>
          <w:color w:val="000000" w:themeColor="text1"/>
          <w:szCs w:val="22"/>
        </w:rPr>
        <w:t>. Moreover, the data thus far suggests that intermediates of glycolysis and fermentation are funneled towards cofactor regenerating end reactions, which must preclude the synthesis of many</w:t>
      </w:r>
      <w:r w:rsidR="00D23BDB">
        <w:rPr>
          <w:rFonts w:cs="Arial"/>
          <w:bCs/>
          <w:color w:val="000000" w:themeColor="text1"/>
          <w:szCs w:val="22"/>
        </w:rPr>
        <w:t xml:space="preserve"> </w:t>
      </w:r>
      <w:r w:rsidR="00D23BDB" w:rsidRPr="00A71FCF">
        <w:rPr>
          <w:rFonts w:cs="Arial"/>
          <w:bCs/>
          <w:color w:val="000000" w:themeColor="text1"/>
          <w:szCs w:val="22"/>
        </w:rPr>
        <w:t xml:space="preserve">amino acids derived from glyceraldehyde-3-phosphate, pyruvate, and acetyl-CoA (i.e., glycine, cysteine, serine, alanine, valine, leucine, and lysine) </w:t>
      </w:r>
      <w:r w:rsidR="00D23BDB" w:rsidRPr="00A71FCF">
        <w:rPr>
          <w:rFonts w:cs="Arial"/>
          <w:b/>
          <w:color w:val="000000" w:themeColor="text1"/>
          <w:szCs w:val="22"/>
        </w:rPr>
        <w:t>(</w:t>
      </w:r>
      <w:r w:rsidR="00D23BDB">
        <w:rPr>
          <w:rFonts w:cs="Arial"/>
          <w:b/>
          <w:color w:val="000000" w:themeColor="text1"/>
          <w:szCs w:val="22"/>
        </w:rPr>
        <w:t>Figure</w:t>
      </w:r>
      <w:r w:rsidR="00D23BDB" w:rsidRPr="00A71FCF" w:rsidDel="00737D76">
        <w:rPr>
          <w:rFonts w:cs="Arial"/>
          <w:b/>
          <w:color w:val="000000" w:themeColor="text1"/>
          <w:szCs w:val="22"/>
        </w:rPr>
        <w:t xml:space="preserve"> </w:t>
      </w:r>
      <w:r w:rsidR="00D23BDB">
        <w:rPr>
          <w:rFonts w:cs="Arial"/>
          <w:b/>
          <w:color w:val="000000" w:themeColor="text1"/>
          <w:szCs w:val="22"/>
        </w:rPr>
        <w:t>2.</w:t>
      </w:r>
      <w:r w:rsidR="00D23BDB" w:rsidRPr="00A71FCF">
        <w:rPr>
          <w:rFonts w:cs="Arial"/>
          <w:b/>
          <w:color w:val="000000" w:themeColor="text1"/>
          <w:szCs w:val="22"/>
        </w:rPr>
        <w:t>1)</w:t>
      </w:r>
      <w:r w:rsidR="00D23BDB" w:rsidRPr="00A71FCF">
        <w:rPr>
          <w:rFonts w:cs="Arial"/>
          <w:bCs/>
          <w:color w:val="000000" w:themeColor="text1"/>
          <w:szCs w:val="22"/>
        </w:rPr>
        <w:t>.</w:t>
      </w:r>
    </w:p>
    <w:p w14:paraId="05CD0FA2" w14:textId="77777777" w:rsidR="00D23BDB" w:rsidRDefault="00D23BDB" w:rsidP="00D23BDB">
      <w:pPr>
        <w:ind w:firstLine="720"/>
        <w:contextualSpacing/>
        <w:rPr>
          <w:rFonts w:cs="Arial"/>
          <w:bCs/>
          <w:color w:val="000000" w:themeColor="text1"/>
          <w:szCs w:val="22"/>
        </w:rPr>
      </w:pPr>
      <w:r w:rsidRPr="00A71FCF">
        <w:rPr>
          <w:rFonts w:cs="Arial"/>
          <w:bCs/>
          <w:color w:val="000000" w:themeColor="text1"/>
          <w:szCs w:val="22"/>
        </w:rPr>
        <w:t xml:space="preserve">As mentioned, </w:t>
      </w:r>
      <w:r w:rsidRPr="00A71FCF">
        <w:rPr>
          <w:rFonts w:cs="Arial"/>
          <w:bCs/>
          <w:color w:val="000000" w:themeColor="text1"/>
          <w:szCs w:val="22"/>
          <w:vertAlign w:val="superscript"/>
        </w:rPr>
        <w:t>13</w:t>
      </w:r>
      <w:r w:rsidRPr="00A71FCF">
        <w:rPr>
          <w:rFonts w:cs="Arial"/>
          <w:bCs/>
          <w:color w:val="000000" w:themeColor="text1"/>
          <w:szCs w:val="22"/>
        </w:rPr>
        <w:t>C</w:t>
      </w:r>
      <w:r w:rsidRPr="00A71FCF">
        <w:rPr>
          <w:rFonts w:cs="Arial"/>
          <w:bCs/>
          <w:color w:val="000000" w:themeColor="text1"/>
          <w:szCs w:val="22"/>
          <w:vertAlign w:val="subscript"/>
        </w:rPr>
        <w:t>3</w:t>
      </w:r>
      <w:r w:rsidRPr="00A71FCF">
        <w:rPr>
          <w:rFonts w:cs="Arial"/>
          <w:bCs/>
          <w:color w:val="000000" w:themeColor="text1"/>
          <w:szCs w:val="22"/>
        </w:rPr>
        <w:t xml:space="preserve">-aspartate was produced within the first hour, whereas aspartate derived </w:t>
      </w:r>
      <w:r w:rsidRPr="00A71FCF">
        <w:rPr>
          <w:rFonts w:cs="Arial"/>
          <w:bCs/>
          <w:color w:val="000000" w:themeColor="text1"/>
          <w:szCs w:val="22"/>
          <w:vertAlign w:val="superscript"/>
        </w:rPr>
        <w:t>13</w:t>
      </w:r>
      <w:r w:rsidRPr="00A71FCF">
        <w:rPr>
          <w:rFonts w:cs="Arial"/>
          <w:bCs/>
          <w:color w:val="000000" w:themeColor="text1"/>
          <w:szCs w:val="22"/>
        </w:rPr>
        <w:t xml:space="preserve">C-incorporating amino acids (i.e., threonine, isoleucine, methionine, and asparagine) were not observed possibly because glucose-derived aspartate participates in fermentation </w:t>
      </w:r>
      <w:r w:rsidRPr="00A71FCF">
        <w:rPr>
          <w:rFonts w:cs="Arial"/>
          <w:b/>
          <w:color w:val="000000" w:themeColor="text1"/>
          <w:szCs w:val="22"/>
        </w:rPr>
        <w:t>(</w:t>
      </w:r>
      <w:r>
        <w:rPr>
          <w:rFonts w:cs="Arial"/>
          <w:b/>
          <w:color w:val="000000" w:themeColor="text1"/>
          <w:szCs w:val="22"/>
        </w:rPr>
        <w:t>Figures</w:t>
      </w:r>
      <w:r w:rsidRPr="00A71FCF" w:rsidDel="00737D76">
        <w:rPr>
          <w:rFonts w:cs="Arial"/>
          <w:b/>
          <w:color w:val="000000" w:themeColor="text1"/>
          <w:szCs w:val="22"/>
        </w:rPr>
        <w:t xml:space="preserve"> </w:t>
      </w:r>
      <w:r>
        <w:rPr>
          <w:rFonts w:cs="Arial"/>
          <w:b/>
          <w:color w:val="000000" w:themeColor="text1"/>
          <w:szCs w:val="22"/>
        </w:rPr>
        <w:t>2.</w:t>
      </w:r>
      <w:r w:rsidRPr="00A71FCF">
        <w:rPr>
          <w:rFonts w:cs="Arial"/>
          <w:b/>
          <w:color w:val="000000" w:themeColor="text1"/>
          <w:szCs w:val="22"/>
        </w:rPr>
        <w:t>1</w:t>
      </w:r>
      <w:r>
        <w:rPr>
          <w:rFonts w:cs="Arial"/>
          <w:b/>
          <w:color w:val="000000" w:themeColor="text1"/>
          <w:szCs w:val="22"/>
        </w:rPr>
        <w:t xml:space="preserve"> &amp;</w:t>
      </w:r>
      <w:r w:rsidRPr="00A71FCF">
        <w:rPr>
          <w:rFonts w:cs="Arial"/>
          <w:b/>
          <w:color w:val="000000" w:themeColor="text1"/>
          <w:szCs w:val="22"/>
        </w:rPr>
        <w:t xml:space="preserve"> </w:t>
      </w:r>
      <w:r>
        <w:rPr>
          <w:rFonts w:cs="Arial"/>
          <w:b/>
          <w:color w:val="000000" w:themeColor="text1"/>
          <w:szCs w:val="22"/>
        </w:rPr>
        <w:t>2.</w:t>
      </w:r>
      <w:r w:rsidRPr="00A71FCF">
        <w:rPr>
          <w:rFonts w:cs="Arial"/>
          <w:b/>
          <w:color w:val="000000" w:themeColor="text1"/>
          <w:szCs w:val="22"/>
        </w:rPr>
        <w:t>6C)</w:t>
      </w:r>
      <w:r w:rsidRPr="00A71FCF">
        <w:rPr>
          <w:rFonts w:cs="Arial"/>
          <w:bCs/>
          <w:color w:val="000000" w:themeColor="text1"/>
          <w:szCs w:val="22"/>
        </w:rPr>
        <w:t xml:space="preserve">. Lastly, flux towards labeled glutamate and amino acids derived from glutamate may have been impeded by high levels of glutamate in the reaction environment </w:t>
      </w:r>
      <w:r w:rsidRPr="00A71FCF">
        <w:rPr>
          <w:rFonts w:cs="Arial"/>
          <w:b/>
          <w:color w:val="000000" w:themeColor="text1"/>
          <w:szCs w:val="22"/>
        </w:rPr>
        <w:t>(</w:t>
      </w:r>
      <w:r>
        <w:rPr>
          <w:rFonts w:cs="Arial"/>
          <w:b/>
          <w:color w:val="000000" w:themeColor="text1"/>
          <w:szCs w:val="22"/>
        </w:rPr>
        <w:t>Figure</w:t>
      </w:r>
      <w:r w:rsidRPr="00A71FCF" w:rsidDel="00737D76">
        <w:rPr>
          <w:rFonts w:cs="Arial"/>
          <w:b/>
          <w:color w:val="000000" w:themeColor="text1"/>
          <w:szCs w:val="22"/>
        </w:rPr>
        <w:t xml:space="preserve"> </w:t>
      </w:r>
      <w:r>
        <w:rPr>
          <w:rFonts w:cs="Arial"/>
          <w:b/>
          <w:color w:val="000000" w:themeColor="text1"/>
          <w:szCs w:val="22"/>
        </w:rPr>
        <w:t>2.</w:t>
      </w:r>
      <w:r w:rsidRPr="00A71FCF">
        <w:rPr>
          <w:rFonts w:cs="Arial"/>
          <w:b/>
          <w:color w:val="000000" w:themeColor="text1"/>
          <w:szCs w:val="22"/>
        </w:rPr>
        <w:t>1)</w:t>
      </w:r>
      <w:r w:rsidRPr="00A71FCF">
        <w:rPr>
          <w:rFonts w:cs="Arial"/>
          <w:bCs/>
          <w:color w:val="000000" w:themeColor="text1"/>
          <w:szCs w:val="22"/>
        </w:rPr>
        <w:t>.</w:t>
      </w:r>
    </w:p>
    <w:p w14:paraId="26DD7499" w14:textId="77777777" w:rsidR="00D23BDB" w:rsidRDefault="00D23BDB" w:rsidP="00D23BDB">
      <w:pPr>
        <w:ind w:firstLine="720"/>
        <w:contextualSpacing/>
        <w:rPr>
          <w:rFonts w:cs="Arial"/>
          <w:bCs/>
          <w:color w:val="000000" w:themeColor="text1"/>
          <w:szCs w:val="22"/>
        </w:rPr>
      </w:pPr>
    </w:p>
    <w:p w14:paraId="18CED4A5" w14:textId="77777777" w:rsidR="00D23BDB" w:rsidRPr="00E337ED" w:rsidRDefault="00D23BDB" w:rsidP="00D23BDB">
      <w:pPr>
        <w:pStyle w:val="ChapterHeading"/>
        <w:rPr>
          <w:color w:val="000000" w:themeColor="text1"/>
          <w:sz w:val="22"/>
          <w:szCs w:val="22"/>
        </w:rPr>
      </w:pPr>
      <w:r w:rsidRPr="008E289D">
        <w:t>2.5</w:t>
      </w:r>
      <w:r>
        <w:t>.</w:t>
      </w:r>
      <w:r w:rsidRPr="008E289D">
        <w:t xml:space="preserve"> Discussion</w:t>
      </w:r>
    </w:p>
    <w:p w14:paraId="7207F15E" w14:textId="3FC7C46E" w:rsidR="00D23BDB" w:rsidRPr="00D23BDB" w:rsidRDefault="00D23BDB" w:rsidP="00D23BDB">
      <w:pPr>
        <w:ind w:firstLine="720"/>
        <w:contextualSpacing/>
        <w:rPr>
          <w:rFonts w:cs="Arial"/>
          <w:bCs/>
          <w:color w:val="000000" w:themeColor="text1"/>
          <w:szCs w:val="22"/>
        </w:rPr>
      </w:pPr>
      <w:r w:rsidRPr="00A71FCF">
        <w:rPr>
          <w:rFonts w:cs="Arial"/>
          <w:bCs/>
          <w:color w:val="000000" w:themeColor="text1"/>
          <w:szCs w:val="22"/>
        </w:rPr>
        <w:t xml:space="preserve">The outlined HPLC-RID approach can be used to successfully quantify sugar substrate consumption and subsequent conversions to major organic acid and alcohol products of lysate central metabolism over time. This protocol furthermore employs a simple isocratic method using a single mobile phase, requires minimal sample preparation, and allows a simple targeted </w:t>
      </w:r>
    </w:p>
    <w:p w14:paraId="774BFF2C" w14:textId="2685B1EF" w:rsidR="00E337ED" w:rsidRPr="00A71FCF" w:rsidRDefault="00E337ED" w:rsidP="00E033D4">
      <w:pPr>
        <w:contextualSpacing/>
        <w:jc w:val="center"/>
        <w:rPr>
          <w:rFonts w:cs="Arial"/>
          <w:b/>
          <w:bCs/>
          <w:szCs w:val="22"/>
        </w:rPr>
      </w:pPr>
      <w:r w:rsidRPr="00A71FCF">
        <w:rPr>
          <w:rFonts w:cs="Arial"/>
          <w:b/>
          <w:bCs/>
          <w:noProof/>
          <w:szCs w:val="22"/>
        </w:rPr>
        <w:lastRenderedPageBreak/>
        <w:drawing>
          <wp:inline distT="0" distB="0" distL="0" distR="0" wp14:anchorId="6D8EF81F" wp14:editId="20D1ACAF">
            <wp:extent cx="4854387" cy="4101334"/>
            <wp:effectExtent l="0" t="0" r="0" b="1270"/>
            <wp:docPr id="31" name="Picture 3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10;&#10;Description automatically generated"/>
                    <pic:cNvPicPr/>
                  </pic:nvPicPr>
                  <pic:blipFill>
                    <a:blip r:embed="rId14" cstate="screen">
                      <a:extLst>
                        <a:ext uri="{28A0092B-C50C-407E-A947-70E740481C1C}">
                          <a14:useLocalDpi xmlns:a14="http://schemas.microsoft.com/office/drawing/2010/main"/>
                        </a:ext>
                      </a:extLst>
                    </a:blip>
                    <a:stretch>
                      <a:fillRect/>
                    </a:stretch>
                  </pic:blipFill>
                  <pic:spPr>
                    <a:xfrm>
                      <a:off x="0" y="0"/>
                      <a:ext cx="4862956" cy="4108574"/>
                    </a:xfrm>
                    <a:prstGeom prst="rect">
                      <a:avLst/>
                    </a:prstGeom>
                  </pic:spPr>
                </pic:pic>
              </a:graphicData>
            </a:graphic>
          </wp:inline>
        </w:drawing>
      </w:r>
    </w:p>
    <w:p w14:paraId="39892A2E" w14:textId="77777777" w:rsidR="00E337ED" w:rsidRPr="00A71FCF" w:rsidRDefault="00E337ED" w:rsidP="00E337ED">
      <w:pPr>
        <w:contextualSpacing/>
        <w:rPr>
          <w:rFonts w:cs="Arial"/>
          <w:szCs w:val="22"/>
        </w:rPr>
      </w:pPr>
      <w:bookmarkStart w:id="33" w:name="_Toc129701140"/>
      <w:r w:rsidRPr="009A5F94">
        <w:rPr>
          <w:rStyle w:val="FigurecaptionChar"/>
        </w:rPr>
        <w:t>Figure 2.5. Time course trends of 13C6-glucose derived pentose phosphate pathway intermediates in E. coli lysate CFME.</w:t>
      </w:r>
      <w:bookmarkEnd w:id="33"/>
      <w:r w:rsidRPr="00A71FCF">
        <w:rPr>
          <w:rFonts w:cs="Arial"/>
          <w:b/>
          <w:bCs/>
          <w:szCs w:val="22"/>
        </w:rPr>
        <w:t xml:space="preserve"> </w:t>
      </w:r>
      <w:r w:rsidRPr="00A71FCF">
        <w:rPr>
          <w:rFonts w:cs="Arial"/>
          <w:szCs w:val="22"/>
        </w:rPr>
        <w:t>Relative abundances of</w:t>
      </w:r>
      <w:r w:rsidRPr="00A71FCF">
        <w:rPr>
          <w:rFonts w:cs="Arial"/>
          <w:b/>
          <w:bCs/>
          <w:szCs w:val="22"/>
        </w:rPr>
        <w:t xml:space="preserve"> </w:t>
      </w:r>
      <w:r w:rsidRPr="00A71FCF">
        <w:rPr>
          <w:rFonts w:cs="Arial"/>
          <w:szCs w:val="22"/>
        </w:rPr>
        <w:t>(</w:t>
      </w:r>
      <w:r w:rsidRPr="00A71FCF">
        <w:rPr>
          <w:rFonts w:cs="Arial"/>
          <w:b/>
          <w:bCs/>
          <w:szCs w:val="22"/>
        </w:rPr>
        <w:t>A</w:t>
      </w:r>
      <w:r w:rsidRPr="00A71FCF">
        <w:rPr>
          <w:rFonts w:cs="Arial"/>
          <w:szCs w:val="22"/>
        </w:rPr>
        <w:t xml:space="preserve">) </w:t>
      </w:r>
      <w:r w:rsidRPr="00A71FCF">
        <w:rPr>
          <w:rFonts w:cs="Arial"/>
          <w:b/>
          <w:bCs/>
          <w:szCs w:val="22"/>
          <w:vertAlign w:val="superscript"/>
        </w:rPr>
        <w:t>1</w:t>
      </w:r>
      <w:r w:rsidRPr="00A71FCF">
        <w:rPr>
          <w:rFonts w:cs="Arial"/>
          <w:szCs w:val="22"/>
          <w:vertAlign w:val="superscript"/>
        </w:rPr>
        <w:t>3</w:t>
      </w:r>
      <w:r w:rsidRPr="00A71FCF">
        <w:rPr>
          <w:rFonts w:cs="Arial"/>
          <w:szCs w:val="22"/>
        </w:rPr>
        <w:t>C</w:t>
      </w:r>
      <w:r w:rsidRPr="00A71FCF">
        <w:rPr>
          <w:rFonts w:cs="Arial"/>
          <w:szCs w:val="22"/>
          <w:vertAlign w:val="subscript"/>
        </w:rPr>
        <w:t>6</w:t>
      </w:r>
      <w:r w:rsidRPr="00A71FCF">
        <w:rPr>
          <w:rFonts w:cs="Arial"/>
          <w:szCs w:val="22"/>
        </w:rPr>
        <w:t>-6-phosphogluconolactone, (</w:t>
      </w:r>
      <w:r w:rsidRPr="00A71FCF">
        <w:rPr>
          <w:rFonts w:cs="Arial"/>
          <w:b/>
          <w:bCs/>
          <w:szCs w:val="22"/>
        </w:rPr>
        <w:t>B</w:t>
      </w:r>
      <w:r w:rsidRPr="00A71FCF">
        <w:rPr>
          <w:rFonts w:cs="Arial"/>
          <w:szCs w:val="22"/>
        </w:rPr>
        <w:t xml:space="preserve">) </w:t>
      </w:r>
      <w:r w:rsidRPr="00A71FCF">
        <w:rPr>
          <w:rFonts w:cs="Arial"/>
          <w:b/>
          <w:bCs/>
          <w:szCs w:val="22"/>
          <w:vertAlign w:val="superscript"/>
        </w:rPr>
        <w:t>1</w:t>
      </w:r>
      <w:r w:rsidRPr="00A71FCF">
        <w:rPr>
          <w:rFonts w:cs="Arial"/>
          <w:szCs w:val="22"/>
          <w:vertAlign w:val="superscript"/>
        </w:rPr>
        <w:t>3</w:t>
      </w:r>
      <w:r w:rsidRPr="00A71FCF">
        <w:rPr>
          <w:rFonts w:cs="Arial"/>
          <w:szCs w:val="22"/>
        </w:rPr>
        <w:t>C</w:t>
      </w:r>
      <w:r w:rsidRPr="00A71FCF">
        <w:rPr>
          <w:rFonts w:cs="Arial"/>
          <w:szCs w:val="22"/>
          <w:vertAlign w:val="subscript"/>
        </w:rPr>
        <w:t>6</w:t>
      </w:r>
      <w:r w:rsidRPr="00A71FCF">
        <w:rPr>
          <w:rFonts w:cs="Arial"/>
          <w:szCs w:val="22"/>
        </w:rPr>
        <w:t>-6-phosphogluconate, (</w:t>
      </w:r>
      <w:r w:rsidRPr="00A71FCF">
        <w:rPr>
          <w:rFonts w:cs="Arial"/>
          <w:b/>
          <w:bCs/>
          <w:szCs w:val="22"/>
        </w:rPr>
        <w:t>C</w:t>
      </w:r>
      <w:r w:rsidRPr="00A71FCF">
        <w:rPr>
          <w:rFonts w:cs="Arial"/>
          <w:szCs w:val="22"/>
        </w:rPr>
        <w:t>)</w:t>
      </w:r>
      <w:r w:rsidRPr="00A71FCF">
        <w:rPr>
          <w:rFonts w:cs="Arial"/>
          <w:b/>
          <w:bCs/>
          <w:szCs w:val="22"/>
          <w:vertAlign w:val="superscript"/>
        </w:rPr>
        <w:t xml:space="preserve"> 1</w:t>
      </w:r>
      <w:r w:rsidRPr="00A71FCF">
        <w:rPr>
          <w:rFonts w:cs="Arial"/>
          <w:szCs w:val="22"/>
          <w:vertAlign w:val="superscript"/>
        </w:rPr>
        <w:t>3</w:t>
      </w:r>
      <w:r w:rsidRPr="00A71FCF">
        <w:rPr>
          <w:rFonts w:cs="Arial"/>
          <w:szCs w:val="22"/>
        </w:rPr>
        <w:t>C</w:t>
      </w:r>
      <w:r w:rsidRPr="00A71FCF">
        <w:rPr>
          <w:rFonts w:cs="Arial"/>
          <w:szCs w:val="22"/>
          <w:vertAlign w:val="subscript"/>
        </w:rPr>
        <w:t>5</w:t>
      </w:r>
      <w:r w:rsidRPr="00A71FCF">
        <w:rPr>
          <w:rFonts w:cs="Arial"/>
          <w:szCs w:val="22"/>
        </w:rPr>
        <w:t>-ribulose-5-phosphate, and (</w:t>
      </w:r>
      <w:r w:rsidRPr="00A71FCF">
        <w:rPr>
          <w:rFonts w:cs="Arial"/>
          <w:b/>
          <w:bCs/>
          <w:szCs w:val="22"/>
        </w:rPr>
        <w:t>D</w:t>
      </w:r>
      <w:r w:rsidRPr="00A71FCF">
        <w:rPr>
          <w:rFonts w:cs="Arial"/>
          <w:szCs w:val="22"/>
        </w:rPr>
        <w:t xml:space="preserve">) </w:t>
      </w:r>
      <w:r w:rsidRPr="00A71FCF">
        <w:rPr>
          <w:rFonts w:cs="Arial"/>
          <w:b/>
          <w:bCs/>
          <w:szCs w:val="22"/>
          <w:vertAlign w:val="superscript"/>
        </w:rPr>
        <w:t>1</w:t>
      </w:r>
      <w:r w:rsidRPr="00A71FCF">
        <w:rPr>
          <w:rFonts w:cs="Arial"/>
          <w:szCs w:val="22"/>
          <w:vertAlign w:val="superscript"/>
        </w:rPr>
        <w:t>3</w:t>
      </w:r>
      <w:r w:rsidRPr="00A71FCF">
        <w:rPr>
          <w:rFonts w:cs="Arial"/>
          <w:szCs w:val="22"/>
        </w:rPr>
        <w:t>C</w:t>
      </w:r>
      <w:r w:rsidRPr="00A71FCF">
        <w:rPr>
          <w:rFonts w:cs="Arial"/>
          <w:szCs w:val="22"/>
          <w:vertAlign w:val="subscript"/>
        </w:rPr>
        <w:t>7</w:t>
      </w:r>
      <w:r w:rsidRPr="00A71FCF">
        <w:rPr>
          <w:rFonts w:cs="Arial"/>
          <w:szCs w:val="22"/>
        </w:rPr>
        <w:t xml:space="preserve">-sedoheptulose-7-phosphate over 3 h. Raw peak areas extracted by </w:t>
      </w:r>
      <w:proofErr w:type="spellStart"/>
      <w:r w:rsidRPr="00A71FCF">
        <w:rPr>
          <w:rFonts w:cs="Arial"/>
          <w:szCs w:val="22"/>
        </w:rPr>
        <w:t>mzMINE</w:t>
      </w:r>
      <w:proofErr w:type="spellEnd"/>
      <w:r w:rsidRPr="00A71FCF">
        <w:rPr>
          <w:rFonts w:cs="Arial"/>
          <w:szCs w:val="22"/>
        </w:rPr>
        <w:t xml:space="preserve"> software were used to calculate averages and error bars (SE) for positive annotations. (n = 3)</w:t>
      </w:r>
    </w:p>
    <w:p w14:paraId="5E23EF77" w14:textId="77777777" w:rsidR="00E337ED" w:rsidRPr="00A71FCF" w:rsidRDefault="00E337ED" w:rsidP="00E337ED">
      <w:pPr>
        <w:contextualSpacing/>
        <w:rPr>
          <w:rFonts w:cs="Arial"/>
          <w:szCs w:val="22"/>
        </w:rPr>
      </w:pPr>
    </w:p>
    <w:p w14:paraId="23A69062" w14:textId="77777777" w:rsidR="00E337ED" w:rsidRPr="00A71FCF" w:rsidRDefault="00E337ED" w:rsidP="00E337ED">
      <w:pPr>
        <w:contextualSpacing/>
        <w:jc w:val="center"/>
        <w:rPr>
          <w:rFonts w:cs="Arial"/>
          <w:bCs/>
          <w:color w:val="000000" w:themeColor="text1"/>
          <w:szCs w:val="22"/>
        </w:rPr>
      </w:pPr>
      <w:r w:rsidRPr="00A71FCF">
        <w:rPr>
          <w:rFonts w:cs="Arial"/>
          <w:bCs/>
          <w:noProof/>
          <w:color w:val="000000" w:themeColor="text1"/>
          <w:szCs w:val="22"/>
        </w:rPr>
        <w:lastRenderedPageBreak/>
        <w:drawing>
          <wp:inline distT="0" distB="0" distL="0" distR="0" wp14:anchorId="26DA6CF3" wp14:editId="249262AC">
            <wp:extent cx="4690872" cy="3974712"/>
            <wp:effectExtent l="0" t="0" r="0" b="635"/>
            <wp:docPr id="32" name="Picture 3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Graphical user interface&#10;&#10;Description automatically generated"/>
                    <pic:cNvPicPr/>
                  </pic:nvPicPr>
                  <pic:blipFill>
                    <a:blip r:embed="rId15" cstate="screen">
                      <a:extLst>
                        <a:ext uri="{28A0092B-C50C-407E-A947-70E740481C1C}">
                          <a14:useLocalDpi xmlns:a14="http://schemas.microsoft.com/office/drawing/2010/main"/>
                        </a:ext>
                      </a:extLst>
                    </a:blip>
                    <a:stretch>
                      <a:fillRect/>
                    </a:stretch>
                  </pic:blipFill>
                  <pic:spPr>
                    <a:xfrm>
                      <a:off x="0" y="0"/>
                      <a:ext cx="4699254" cy="3981814"/>
                    </a:xfrm>
                    <a:prstGeom prst="rect">
                      <a:avLst/>
                    </a:prstGeom>
                  </pic:spPr>
                </pic:pic>
              </a:graphicData>
            </a:graphic>
          </wp:inline>
        </w:drawing>
      </w:r>
    </w:p>
    <w:p w14:paraId="47FDC582" w14:textId="77777777" w:rsidR="00E337ED" w:rsidRPr="00A71FCF" w:rsidRDefault="00E337ED" w:rsidP="00E337ED">
      <w:pPr>
        <w:contextualSpacing/>
        <w:rPr>
          <w:rFonts w:cs="Arial"/>
          <w:szCs w:val="22"/>
        </w:rPr>
      </w:pPr>
      <w:bookmarkStart w:id="34" w:name="_Toc129701141"/>
      <w:r w:rsidRPr="009A5F94">
        <w:rPr>
          <w:rStyle w:val="FigurecaptionChar"/>
        </w:rPr>
        <w:t>Figure 2.6. Time course trends of detected 13C6-glucose derived amino acids in E. coli lysate CFME.</w:t>
      </w:r>
      <w:bookmarkEnd w:id="34"/>
      <w:r w:rsidRPr="00A71FCF">
        <w:rPr>
          <w:rFonts w:cs="Arial"/>
          <w:b/>
          <w:bCs/>
          <w:szCs w:val="22"/>
        </w:rPr>
        <w:t xml:space="preserve"> </w:t>
      </w:r>
      <w:r w:rsidRPr="00A71FCF">
        <w:rPr>
          <w:rFonts w:cs="Arial"/>
          <w:szCs w:val="22"/>
        </w:rPr>
        <w:t>Relative abundances of</w:t>
      </w:r>
      <w:r w:rsidRPr="00A71FCF">
        <w:rPr>
          <w:rFonts w:cs="Arial"/>
          <w:b/>
          <w:bCs/>
          <w:szCs w:val="22"/>
        </w:rPr>
        <w:t xml:space="preserve"> </w:t>
      </w:r>
      <w:r w:rsidRPr="00A71FCF">
        <w:rPr>
          <w:rFonts w:cs="Arial"/>
          <w:szCs w:val="22"/>
        </w:rPr>
        <w:t>(</w:t>
      </w:r>
      <w:r w:rsidRPr="00A71FCF">
        <w:rPr>
          <w:rFonts w:cs="Arial"/>
          <w:b/>
          <w:bCs/>
          <w:szCs w:val="22"/>
        </w:rPr>
        <w:t>A</w:t>
      </w:r>
      <w:r w:rsidRPr="00A71FCF">
        <w:rPr>
          <w:rFonts w:cs="Arial"/>
          <w:szCs w:val="22"/>
        </w:rPr>
        <w:t xml:space="preserve">) </w:t>
      </w:r>
      <w:r w:rsidRPr="00A71FCF">
        <w:rPr>
          <w:rFonts w:cs="Arial"/>
          <w:b/>
          <w:bCs/>
          <w:szCs w:val="22"/>
          <w:vertAlign w:val="superscript"/>
        </w:rPr>
        <w:t>1</w:t>
      </w:r>
      <w:r w:rsidRPr="00A71FCF">
        <w:rPr>
          <w:rFonts w:cs="Arial"/>
          <w:szCs w:val="22"/>
          <w:vertAlign w:val="superscript"/>
        </w:rPr>
        <w:t>3</w:t>
      </w:r>
      <w:r w:rsidRPr="00A71FCF">
        <w:rPr>
          <w:rFonts w:cs="Arial"/>
          <w:szCs w:val="22"/>
        </w:rPr>
        <w:t>C</w:t>
      </w:r>
      <w:r w:rsidRPr="00A71FCF">
        <w:rPr>
          <w:rFonts w:cs="Arial"/>
          <w:szCs w:val="22"/>
          <w:vertAlign w:val="subscript"/>
        </w:rPr>
        <w:t>9</w:t>
      </w:r>
      <w:r w:rsidRPr="00A71FCF">
        <w:rPr>
          <w:rFonts w:cs="Arial"/>
          <w:szCs w:val="22"/>
        </w:rPr>
        <w:t>-tyrosine, (</w:t>
      </w:r>
      <w:r w:rsidRPr="00A71FCF">
        <w:rPr>
          <w:rFonts w:cs="Arial"/>
          <w:b/>
          <w:bCs/>
          <w:szCs w:val="22"/>
        </w:rPr>
        <w:t>B</w:t>
      </w:r>
      <w:r w:rsidRPr="00A71FCF">
        <w:rPr>
          <w:rFonts w:cs="Arial"/>
          <w:szCs w:val="22"/>
        </w:rPr>
        <w:t xml:space="preserve">) </w:t>
      </w:r>
      <w:r w:rsidRPr="00A71FCF">
        <w:rPr>
          <w:rFonts w:cs="Arial"/>
          <w:b/>
          <w:bCs/>
          <w:szCs w:val="22"/>
          <w:vertAlign w:val="superscript"/>
        </w:rPr>
        <w:t>1</w:t>
      </w:r>
      <w:r w:rsidRPr="00A71FCF">
        <w:rPr>
          <w:rFonts w:cs="Arial"/>
          <w:szCs w:val="22"/>
          <w:vertAlign w:val="superscript"/>
        </w:rPr>
        <w:t>3</w:t>
      </w:r>
      <w:r w:rsidRPr="00A71FCF">
        <w:rPr>
          <w:rFonts w:cs="Arial"/>
          <w:szCs w:val="22"/>
        </w:rPr>
        <w:t>C</w:t>
      </w:r>
      <w:r w:rsidRPr="00A71FCF">
        <w:rPr>
          <w:rFonts w:cs="Arial"/>
          <w:szCs w:val="22"/>
          <w:vertAlign w:val="subscript"/>
        </w:rPr>
        <w:t>5</w:t>
      </w:r>
      <w:r w:rsidRPr="00A71FCF">
        <w:rPr>
          <w:rFonts w:cs="Arial"/>
          <w:szCs w:val="22"/>
        </w:rPr>
        <w:t>-histidine, and (</w:t>
      </w:r>
      <w:r w:rsidRPr="00A71FCF">
        <w:rPr>
          <w:rFonts w:cs="Arial"/>
          <w:b/>
          <w:bCs/>
          <w:szCs w:val="22"/>
        </w:rPr>
        <w:t>C</w:t>
      </w:r>
      <w:r w:rsidRPr="00A71FCF">
        <w:rPr>
          <w:rFonts w:cs="Arial"/>
          <w:szCs w:val="22"/>
        </w:rPr>
        <w:t>)</w:t>
      </w:r>
      <w:r w:rsidRPr="00A71FCF">
        <w:rPr>
          <w:rFonts w:cs="Arial"/>
          <w:b/>
          <w:bCs/>
          <w:szCs w:val="22"/>
          <w:vertAlign w:val="superscript"/>
        </w:rPr>
        <w:t xml:space="preserve"> 1</w:t>
      </w:r>
      <w:r w:rsidRPr="00A71FCF">
        <w:rPr>
          <w:rFonts w:cs="Arial"/>
          <w:szCs w:val="22"/>
          <w:vertAlign w:val="superscript"/>
        </w:rPr>
        <w:t>3</w:t>
      </w:r>
      <w:r w:rsidRPr="00A71FCF">
        <w:rPr>
          <w:rFonts w:cs="Arial"/>
          <w:szCs w:val="22"/>
        </w:rPr>
        <w:t>C</w:t>
      </w:r>
      <w:r w:rsidRPr="00A71FCF">
        <w:rPr>
          <w:rFonts w:cs="Arial"/>
          <w:szCs w:val="22"/>
          <w:vertAlign w:val="subscript"/>
        </w:rPr>
        <w:t>3</w:t>
      </w:r>
      <w:r w:rsidRPr="00A71FCF">
        <w:rPr>
          <w:rFonts w:cs="Arial"/>
          <w:szCs w:val="22"/>
        </w:rPr>
        <w:t xml:space="preserve">-aspartate over 3 h. Raw peak areas extracted by </w:t>
      </w:r>
      <w:proofErr w:type="spellStart"/>
      <w:r w:rsidRPr="00A71FCF">
        <w:rPr>
          <w:rFonts w:cs="Arial"/>
          <w:szCs w:val="22"/>
        </w:rPr>
        <w:t>mzMINE</w:t>
      </w:r>
      <w:proofErr w:type="spellEnd"/>
      <w:r w:rsidRPr="00A71FCF">
        <w:rPr>
          <w:rFonts w:cs="Arial"/>
          <w:szCs w:val="22"/>
        </w:rPr>
        <w:t xml:space="preserve"> software were used to calculate averages and error bars (SE) for positive annotations. (n = 3)</w:t>
      </w:r>
    </w:p>
    <w:p w14:paraId="283C2A9B" w14:textId="77777777" w:rsidR="00E337ED" w:rsidRDefault="00E337ED">
      <w:pPr>
        <w:rPr>
          <w:rFonts w:cs="Arial"/>
          <w:bCs/>
          <w:color w:val="000000" w:themeColor="text1"/>
          <w:szCs w:val="22"/>
        </w:rPr>
      </w:pPr>
      <w:r>
        <w:rPr>
          <w:rFonts w:cs="Arial"/>
          <w:bCs/>
          <w:color w:val="000000" w:themeColor="text1"/>
          <w:szCs w:val="22"/>
        </w:rPr>
        <w:br w:type="page"/>
      </w:r>
    </w:p>
    <w:p w14:paraId="645BDA5E" w14:textId="1CF278A5" w:rsidR="00D14EF8" w:rsidRPr="00A71FCF" w:rsidRDefault="00D23BDB" w:rsidP="00D23BDB">
      <w:pPr>
        <w:contextualSpacing/>
        <w:rPr>
          <w:rFonts w:cs="Arial"/>
          <w:bCs/>
          <w:color w:val="000000" w:themeColor="text1"/>
          <w:szCs w:val="22"/>
        </w:rPr>
      </w:pPr>
      <w:r w:rsidRPr="00A71FCF">
        <w:rPr>
          <w:rFonts w:cs="Arial"/>
          <w:bCs/>
          <w:color w:val="000000" w:themeColor="text1"/>
          <w:szCs w:val="22"/>
        </w:rPr>
        <w:lastRenderedPageBreak/>
        <w:t xml:space="preserve">downstream analysis. Analytes measured by the HPLC-RID method are distinguished solely by their retention times, and therefore their interactions with the selected column </w:t>
      </w:r>
      <w:proofErr w:type="spellStart"/>
      <w:r w:rsidRPr="00A71FCF">
        <w:rPr>
          <w:rFonts w:cs="Arial"/>
          <w:bCs/>
          <w:color w:val="000000" w:themeColor="text1"/>
          <w:szCs w:val="22"/>
        </w:rPr>
        <w:t>resin.</w:t>
      </w:r>
      <w:r w:rsidR="00D14EF8" w:rsidRPr="00A71FCF">
        <w:rPr>
          <w:rFonts w:cs="Arial"/>
          <w:bCs/>
          <w:color w:val="000000" w:themeColor="text1"/>
          <w:szCs w:val="22"/>
        </w:rPr>
        <w:t>The</w:t>
      </w:r>
      <w:proofErr w:type="spellEnd"/>
      <w:r w:rsidR="00D14EF8" w:rsidRPr="00A71FCF">
        <w:rPr>
          <w:rFonts w:cs="Arial"/>
          <w:bCs/>
          <w:color w:val="000000" w:themeColor="text1"/>
          <w:szCs w:val="22"/>
        </w:rPr>
        <w:t xml:space="preserve"> HPLC  column utilized here was particularly designed for separating carbohydrates, organic acids, and alcohols by a combination of size-exclusion and ligand exchange (i.e., ion-moderated partition chromatography). The described method is, therefore, useful for more targeted analysis of carbohydrate substrates and select end-products of glucose fermentation pathways which are expected to primarily facilitate and energize lysate-based bio-transformations</w:t>
      </w:r>
      <w:r w:rsidR="00D14EF8" w:rsidRPr="00A71FCF">
        <w:rPr>
          <w:rFonts w:cs="Arial"/>
          <w:bCs/>
          <w:color w:val="000000" w:themeColor="text1"/>
          <w:szCs w:val="22"/>
        </w:rPr>
        <w:fldChar w:fldCharType="begin" w:fldLock="1"/>
      </w:r>
      <w:r w:rsidR="00567FF4">
        <w:rPr>
          <w:rFonts w:cs="Arial"/>
          <w:bCs/>
          <w:color w:val="000000" w:themeColor="text1"/>
          <w:szCs w:val="22"/>
        </w:rPr>
        <w:instrText>ADDIN CSL_CITATION {"citationItems":[{"id":"ITEM-1","itemData":{"DOI":"10.1016/j.mec.2021.e00162","ISSN":"22140301","abstract":"Cell-free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Communications","id":"ITEM-1","issued":{"date-parts":[["2021","6","1"]]},"page":"e00162","publisher":"Elsevier B.V.","title":"A lysate proteome engineering strategy for enhancing cell-free metabolite production","type":"article-journal","volume":"12"},"uris":["http://www.mendeley.com/documents/?uuid=babcd1d7-dd2c-32bc-b636-c7ebdf6b2dd4"]},{"id":"ITEM-2","itemData":{"DOI":"10.1002/bit.22666","ISSN":"00063592","PMID":"20091765","abstract":"The orchestration of a multitude of enzyme catalysts allows cells to carry out complex and thermodynamically unfavorable chemical conversions. In an effort to recruit these advantages for in vitro biotransformations, we have assembled a 10-step catalytic system - a system of biotransformations (SBT) - for the synthesis of unnatural monosaccharides based on the versatile building block dihydroxyacetone phosphate (DHAP). To facilitate the assembly of such a network, we have insulated a production pathway from Escherichia coli's central carbon metabolism. This pathway consists of the endogenous glycolysis without triose-phosphate isomerase to enable accumulation of DHAP and was completed with lactate dehydrogenase to regenerate NAD+. It could be readily extended for the synthesis of unnatural sugar molecules, such as the unnatural monosaccharide phosphate 5,6,7-trideoxy-D-threoheptulose-1-phosphate from DHAP and butanal. Insulation required in particular inactivation of the amn gene encoding the AMP nucleosidase, which otherwise led to glucoseindependent DHAP production from adenosine phosphates. The work demonstrates that a sufficiently insulated in vitro multi-step enzymatic system can be readily assembled from central carbon metabolism pathways. © 2010 Wiley Periodicals, Inc.","author":[{"dropping-particle":"","family":"Bujara","given":"Matthias","non-dropping-particle":"","parse-names":false,"suffix":""},{"dropping-particle":"","family":"Schümperli","given":"Michael","non-dropping-particle":"","parse-names":false,"suffix":""},{"dropping-particle":"","family":"Billerbeck","given":"Sonja","non-dropping-particle":"","parse-names":false,"suffix":""},{"dropping-particle":"","family":"Heinemann","given":"Matthias","non-dropping-particle":"","parse-names":false,"suffix":""},{"dropping-particle":"","family":"Panke","given":"Sven","non-dropping-particle":"","parse-names":false,"suffix":""}],"container-title":"Biotechnology and Bioengineering","id":"ITEM-2","issue":"3","issued":{"date-parts":[["2010","6","15"]]},"page":"376-389","publisher":"Biotechnol Bioeng","title":"Exploiting cell-free systems: Implementation and debugging of a system of biotransformations","type":"article-journal","volume":"106"},"uris":["http://www.mendeley.com/documents/?uuid=dcf05f7d-a050-3deb-b73b-d5fe4b460eed"]},{"id":"ITEM-3","itemData":{"DOI":"10.1021/acssynbio.6b00154","author":[{"dropping-particle":"","family":"Dudley","given":"Quentin M","non-dropping-particle":"","parse-names":false,"suffix":""},{"dropping-particle":"","family":"Anderson","given":"Kim C","non-dropping-particle":"","parse-names":false,"suffix":""},{"dropping-particle":"","family":"Jewett","given":"Michael C","non-dropping-particle":"","parse-names":false,"suffix":""}],"id":"ITEM-3","issued":{"date-parts":[["2016"]]},"title":"Cell-Free Mixing of Escherichia coli Crude Extracts to Prototype and Rationally Engineer High-Titer Mevalonate Synthesis","type":"article-journal"},"uris":["http://www.mendeley.com/documents/?uuid=99336352-fabf-4121-855f-c8567c91a0c0"]}],"mendeley":{"formattedCitation":"&lt;sup&gt;47,53,74&lt;/sup&gt;","plainTextFormattedCitation":"47,53,74","previouslyFormattedCitation":"&lt;sup&gt;47,53,74&lt;/sup&gt;"},"properties":{"noteIndex":0},"schema":"https://github.com/citation-style-language/schema/raw/master/csl-citation.json"}</w:instrText>
      </w:r>
      <w:r w:rsidR="00D14EF8" w:rsidRPr="00A71FCF">
        <w:rPr>
          <w:rFonts w:cs="Arial"/>
          <w:bCs/>
          <w:color w:val="000000" w:themeColor="text1"/>
          <w:szCs w:val="22"/>
        </w:rPr>
        <w:fldChar w:fldCharType="separate"/>
      </w:r>
      <w:r w:rsidR="00567FF4" w:rsidRPr="00567FF4">
        <w:rPr>
          <w:rFonts w:cs="Arial"/>
          <w:bCs/>
          <w:noProof/>
          <w:color w:val="000000" w:themeColor="text1"/>
          <w:szCs w:val="22"/>
          <w:vertAlign w:val="superscript"/>
        </w:rPr>
        <w:t>47,53,74</w:t>
      </w:r>
      <w:r w:rsidR="00D14EF8" w:rsidRPr="00A71FCF">
        <w:rPr>
          <w:rFonts w:cs="Arial"/>
          <w:bCs/>
          <w:color w:val="000000" w:themeColor="text1"/>
          <w:szCs w:val="22"/>
        </w:rPr>
        <w:fldChar w:fldCharType="end"/>
      </w:r>
      <w:r w:rsidR="00D14EF8" w:rsidRPr="00A71FCF">
        <w:rPr>
          <w:rFonts w:cs="Arial"/>
          <w:bCs/>
          <w:color w:val="000000" w:themeColor="text1"/>
          <w:szCs w:val="22"/>
        </w:rPr>
        <w:t>. However, this protocol does not account for the activation of other metabolic pathways in cell extracts. Pipelines employing other chromatographic separation techniques (i.e., hydrophilic interaction chromatography), gradient elution methods, more complicated sample preparation (i.e., derivatization), and different optical detectors (e.g., ultraviolet light or evaporative light scattering detectors) could be used to detect other metabolites such as amino acids and sugar phosphates</w:t>
      </w:r>
      <w:r w:rsidR="00D14EF8" w:rsidRPr="00A71FCF">
        <w:rPr>
          <w:rFonts w:cs="Arial"/>
          <w:bCs/>
          <w:color w:val="000000" w:themeColor="text1"/>
          <w:szCs w:val="22"/>
        </w:rPr>
        <w:fldChar w:fldCharType="begin" w:fldLock="1"/>
      </w:r>
      <w:r w:rsidR="00567FF4">
        <w:rPr>
          <w:rFonts w:cs="Arial"/>
          <w:bCs/>
          <w:color w:val="000000" w:themeColor="text1"/>
          <w:szCs w:val="22"/>
        </w:rPr>
        <w:instrText>ADDIN CSL_CITATION {"citationItems":[{"id":"ITEM-1","itemData":{"ISSN":"15240215","PMID":"16741240","abstract":"A semi-automated method for amino acid derivatization and analysis has been validated for use in analysis of protein biopharmaceuticals. The method includes protein hydrolysis, o-phthalaldehyde derivatization, and reversed-phase high-performance liquid chromatography analysis in a general-purpose UV-visible high-performance liquid chromatography system. Amino-acid derivatization is performed automatically by the high-performance liquid chromatography autosampler right before injection. The required validation parameters, i.e., specificity, linearity, accuracy, precision, limit of detection, and limit of quantification, were studied for bovine serum albumin and for a recombinant human Fab fragment. The method can be employed as an absolute quantification method for determination of extinction coefficients of recombinant proteins. © 2006 ABRF.","author":[{"dropping-particle":"","family":"Bartolomeo","given":"Maria Paola","non-dropping-particle":"","parse-names":false,"suffix":""},{"dropping-particle":"","family":"Maisano","given":"Federico","non-dropping-particle":"","parse-names":false,"suffix":""}],"container-title":"Journal of Biomolecular Techniques","id":"ITEM-1","issue":"2","issued":{"date-parts":[["2006","4"]]},"page":"131-137","publisher":"The Association of Biomolecular Resource Facilities","title":"Validation of a reversed-phase HPLC method for quantitative amino acid analysis","type":"article-journal","volume":"17"},"uris":["http://www.mendeley.com/documents/?uuid=8f4c2542-ba44-3e37-942c-a945ef2870c3"]},{"id":"ITEM-2","itemData":{"DOI":"10.1021/jf025948m","ISSN":"00218561","PMID":"12590490","abstract":"Formation of the flavor compound and precursor 4-hydroxy-5-methyl-3[2H]-furanone (HMF, norfuraneol) was demonstrated in cytosolic protein extracts obtained from Zygosaccharomyces rouxii after incubation with a number of carbohydrate phosphates. 4-Hydroxy-5-methyl-3[2H]-furanone was produced from D-fructose-1,6-diphosphate, D-fructose-6-phosphate, D-glucose-6-phosphate, 6-phosphogluconate, D-ribose-5-phosphate, and D-ribulose-1,5-diphosphate. Enzyme assays revealed D-fructose-1,6-diphosphatase, phosphohexose isomerase, D-glucose-6-phosphate dehydrogenase, and 6-phosphogluconate dehydrogenase activity in the cytosolic extracts. Model studies showed the spontaneous formation of HMF from D-ribulose-5-phosphate. It is assumed that D-ribulose-5-phosphate is generated in cytosolic extracts by the action of the investigated enzymes from the carbohydrate phosphates and is then chemically transformed to HMF. The hypothesis was proven by the production of HMF in solutions containing commercially available enzymes and [6-13C]-D-glucose-6-phosphate.","author":[{"dropping-particle":"","family":"Hauck","given":"Tobias","non-dropping-particle":"","parse-names":false,"suffix":""},{"dropping-particle":"","family":"Landmann","given":"Christian","non-dropping-particle":"","parse-names":false,"suffix":""},{"dropping-particle":"","family":"Brühlmann","given":"Fredi","non-dropping-particle":"","parse-names":false,"suffix":""},{"dropping-particle":"","family":"Schwab","given":"Wilfried","non-dropping-particle":"","parse-names":false,"suffix":""}],"container-title":"Journal of Agricultural and Food Chemistry","id":"ITEM-2","issue":"5","issued":{"date-parts":[["2003","2","26"]]},"page":"1410-1414","publisher":" American Chemical Society ","title":"Formation of 5-methyl-4-hydroxy-3[2H]-furanone in cytosolic extracts obtained from Zygosaccharomyces rouxii","type":"article-journal","volume":"51"},"uris":["http://www.mendeley.com/documents/?uuid=ef458b8d-16cf-38cb-940c-dde3b8e09214"]}],"mendeley":{"formattedCitation":"&lt;sup&gt;83,84&lt;/sup&gt;","plainTextFormattedCitation":"83,84","previouslyFormattedCitation":"&lt;sup&gt;83,84&lt;/sup&gt;"},"properties":{"noteIndex":0},"schema":"https://github.com/citation-style-language/schema/raw/master/csl-citation.json"}</w:instrText>
      </w:r>
      <w:r w:rsidR="00D14EF8" w:rsidRPr="00A71FCF">
        <w:rPr>
          <w:rFonts w:cs="Arial"/>
          <w:bCs/>
          <w:color w:val="000000" w:themeColor="text1"/>
          <w:szCs w:val="22"/>
        </w:rPr>
        <w:fldChar w:fldCharType="separate"/>
      </w:r>
      <w:r w:rsidR="00567FF4" w:rsidRPr="00567FF4">
        <w:rPr>
          <w:rFonts w:cs="Arial"/>
          <w:bCs/>
          <w:noProof/>
          <w:color w:val="000000" w:themeColor="text1"/>
          <w:szCs w:val="22"/>
          <w:vertAlign w:val="superscript"/>
        </w:rPr>
        <w:t>83,84</w:t>
      </w:r>
      <w:r w:rsidR="00D14EF8" w:rsidRPr="00A71FCF">
        <w:rPr>
          <w:rFonts w:cs="Arial"/>
          <w:bCs/>
          <w:color w:val="000000" w:themeColor="text1"/>
          <w:szCs w:val="22"/>
        </w:rPr>
        <w:fldChar w:fldCharType="end"/>
      </w:r>
      <w:r w:rsidR="00D14EF8" w:rsidRPr="00A71FCF">
        <w:rPr>
          <w:rFonts w:cs="Arial"/>
          <w:bCs/>
          <w:color w:val="000000" w:themeColor="text1"/>
          <w:szCs w:val="22"/>
        </w:rPr>
        <w:t>. Alternatively, a global approach to studying lysate metabolism can be taken using LC-MS/MS.</w:t>
      </w:r>
    </w:p>
    <w:p w14:paraId="47D78159" w14:textId="1982DB2F" w:rsidR="00BF398C" w:rsidRPr="00AD0389" w:rsidRDefault="00D14EF8" w:rsidP="00AD0389">
      <w:pPr>
        <w:ind w:firstLine="720"/>
        <w:contextualSpacing/>
        <w:rPr>
          <w:rFonts w:cs="Arial"/>
          <w:b/>
          <w:color w:val="000000" w:themeColor="text1"/>
          <w:szCs w:val="22"/>
        </w:rPr>
      </w:pPr>
      <w:r w:rsidRPr="00A71FCF">
        <w:rPr>
          <w:rFonts w:cs="Arial"/>
          <w:bCs/>
          <w:color w:val="000000" w:themeColor="text1"/>
          <w:szCs w:val="22"/>
        </w:rPr>
        <w:t>The described LC-MS/MS method is a single workflow for measuring and identifying a broader range of metabolites. LC-MS/MS is a state-of-the-art analytical tool for metabolome profiling because of its sensitivity and ability to distinguish metabolites by retention time and m/z ratios with high resolution</w:t>
      </w:r>
      <w:r w:rsidRPr="00A71FCF">
        <w:rPr>
          <w:rFonts w:cs="Arial"/>
          <w:bCs/>
          <w:color w:val="000000" w:themeColor="text1"/>
          <w:szCs w:val="22"/>
        </w:rPr>
        <w:fldChar w:fldCharType="begin" w:fldLock="1"/>
      </w:r>
      <w:r w:rsidR="00567FF4">
        <w:rPr>
          <w:rFonts w:cs="Arial"/>
          <w:bCs/>
          <w:color w:val="000000" w:themeColor="text1"/>
          <w:szCs w:val="22"/>
        </w:rPr>
        <w:instrText>ADDIN CSL_CITATION {"citationItems":[{"id":"ITEM-1","itemData":{"DOI":"10.1016/j.trac.2011.08.009","ISSN":"01659936","abstract":"Metabolomics aims at detection and quantitation of all metabolites in biological samples. The presence of metabolites with a wide variety of physicochemical properties and different levels of abundance challenges existing analytical platforms used for identification and quantitation of metabolites. Significant efforts have been made to improve analytical and computational methods for metabolomics studies.This review focuses on the use of liquid chromatography with tandem mass spectrometry (LC-MS/MS) for quantitative and qualitative metabolomics studies. It illustrates recent developments in computational methods for metabolite identification, including ion annotation, spectral interpretation and spectral matching. We also review selected reaction monitoring and high-resolution MS for metabolite quantitation. We discuss current challenges in metabolite identification and quantitation as well as potential solutions. © 2011 Elsevier Ltd.","author":[{"dropping-particle":"","family":"Xiao","given":"Jun Feng","non-dropping-particle":"","parse-names":false,"suffix":""},{"dropping-particle":"","family":"Zhou","given":"Bin","non-dropping-particle":"","parse-names":false,"suffix":""},{"dropping-particle":"","family":"Ressom","given":"Habtom W.","non-dropping-particle":"","parse-names":false,"suffix":""}],"container-title":"TrAC - Trends in Analytical Chemistry","id":"ITEM-1","issued":{"date-parts":[["2012","2"]]},"page":"1-14","publisher":"NIH Public Access","title":"Metabolite identification and quantitation in LC-MS/MS-based metabolomics","type":"article","volume":"32"},"uris":["http://www.mendeley.com/documents/?uuid=9f1e5d0a-fc81-345f-9218-a01c151a2711"]}],"mendeley":{"formattedCitation":"&lt;sup&gt;79&lt;/sup&gt;","plainTextFormattedCitation":"79","previouslyFormattedCitation":"&lt;sup&gt;79&lt;/sup&gt;"},"properties":{"noteIndex":0},"schema":"https://github.com/citation-style-language/schema/raw/master/csl-citation.json"}</w:instrText>
      </w:r>
      <w:r w:rsidRPr="00A71FCF">
        <w:rPr>
          <w:rFonts w:cs="Arial"/>
          <w:bCs/>
          <w:color w:val="000000" w:themeColor="text1"/>
          <w:szCs w:val="22"/>
        </w:rPr>
        <w:fldChar w:fldCharType="separate"/>
      </w:r>
      <w:r w:rsidR="00567FF4" w:rsidRPr="00567FF4">
        <w:rPr>
          <w:rFonts w:cs="Arial"/>
          <w:bCs/>
          <w:noProof/>
          <w:color w:val="000000" w:themeColor="text1"/>
          <w:szCs w:val="22"/>
          <w:vertAlign w:val="superscript"/>
        </w:rPr>
        <w:t>79</w:t>
      </w:r>
      <w:r w:rsidRPr="00A71FCF">
        <w:rPr>
          <w:rFonts w:cs="Arial"/>
          <w:bCs/>
          <w:color w:val="000000" w:themeColor="text1"/>
          <w:szCs w:val="22"/>
        </w:rPr>
        <w:fldChar w:fldCharType="end"/>
      </w:r>
      <w:r w:rsidRPr="00A71FCF">
        <w:rPr>
          <w:rFonts w:cs="Arial"/>
          <w:bCs/>
          <w:color w:val="000000" w:themeColor="text1"/>
          <w:szCs w:val="22"/>
        </w:rPr>
        <w:t>. With a focus on central carbon metabolic pathways and amino acid anabolism, negative mode MS/MS was implemented to specifically detect polar organic acids, sugar phosphates, and amino acids. Coupled with a nano-liquid chromatography technique, the method provides high sensitivity for detecting small molecules in the complex lysate background</w:t>
      </w:r>
      <w:r w:rsidRPr="00A71FCF">
        <w:rPr>
          <w:rFonts w:cs="Arial"/>
          <w:bCs/>
          <w:color w:val="000000" w:themeColor="text1"/>
          <w:szCs w:val="22"/>
        </w:rPr>
        <w:fldChar w:fldCharType="begin" w:fldLock="1"/>
      </w:r>
      <w:r w:rsidR="00567FF4">
        <w:rPr>
          <w:rFonts w:cs="Arial"/>
          <w:bCs/>
          <w:color w:val="000000" w:themeColor="text1"/>
          <w:szCs w:val="22"/>
        </w:rPr>
        <w:instrText>ADDIN CSL_CITATION {"citationItems":[{"id":"ITEM-1","itemData":{"DOI":"10.1016/B978-0-12-805393-5.00027-0","ISBN":"9780128053935","abstract":"This chapter presents the main features of nano-liquid chromatography (nano-LC), its advantages over conventional LC techniques, and some selected applications published in the last 5 years. Nano-LC is the miniaturization of HPLC where the analytes separation takes place into capillary columns of thin diameter (&lt;. 100. μm i.d.). Stationary phases (SPs) can be adsorbed or bonded to particles or monolithic material; in some cases, SP can also be on the internal capillary wall. Mobile phase (MP) is pumped into the column at low flow rate (50-800. nL/min). Therefore, the consumption of the MP is very limited with consequent reduced costs. The low flow rate is useful for reducing the chromatographic dilution (increase of mass sensitivity) and perfect coupling with mass spectrometry. Some selected examples concerning applications in the field of proteomics, pharmaceutical, environmental, food, and forensic analysis are presented and discussed.","author":[{"dropping-particle":"","family":"Asensio-Ramos","given":"Maria","non-dropping-particle":"","parse-names":false,"suffix":""},{"dropping-particle":"","family":"Fanali","given":"Chiara","non-dropping-particle":"","parse-names":false,"suffix":""},{"dropping-particle":"","family":"D'Orazio","given":"Giovanni","non-dropping-particle":"","parse-names":false,"suffix":""},{"dropping-particle":"","family":"Fanali","given":"Salvatore","non-dropping-particle":"","parse-names":false,"suffix":""}],"container-title":"Liquid Chromatography: Fundamentals and Instrumentation: Second Edition","id":"ITEM-1","issued":{"date-parts":[["2017","6","21"]]},"page":"637-695","publisher":"Elsevier","title":"Nano-liquid chromatography","type":"chapter","volume":"1"},"uris":["http://www.mendeley.com/documents/?uuid=2a2ddd10-4990-3b87-8064-17a7f7eef2ca"]}],"mendeley":{"formattedCitation":"&lt;sup&gt;80&lt;/sup&gt;","plainTextFormattedCitation":"80","previouslyFormattedCitation":"&lt;sup&gt;80&lt;/sup&gt;"},"properties":{"noteIndex":0},"schema":"https://github.com/citation-style-language/schema/raw/master/csl-citation.json"}</w:instrText>
      </w:r>
      <w:r w:rsidRPr="00A71FCF">
        <w:rPr>
          <w:rFonts w:cs="Arial"/>
          <w:bCs/>
          <w:color w:val="000000" w:themeColor="text1"/>
          <w:szCs w:val="22"/>
        </w:rPr>
        <w:fldChar w:fldCharType="separate"/>
      </w:r>
      <w:r w:rsidR="00567FF4" w:rsidRPr="00567FF4">
        <w:rPr>
          <w:rFonts w:cs="Arial"/>
          <w:bCs/>
          <w:noProof/>
          <w:color w:val="000000" w:themeColor="text1"/>
          <w:szCs w:val="22"/>
          <w:vertAlign w:val="superscript"/>
        </w:rPr>
        <w:t>80</w:t>
      </w:r>
      <w:r w:rsidRPr="00A71FCF">
        <w:rPr>
          <w:rFonts w:cs="Arial"/>
          <w:bCs/>
          <w:color w:val="000000" w:themeColor="text1"/>
          <w:szCs w:val="22"/>
        </w:rPr>
        <w:fldChar w:fldCharType="end"/>
      </w:r>
      <w:r w:rsidRPr="00A71FCF">
        <w:rPr>
          <w:rFonts w:cs="Arial"/>
          <w:bCs/>
          <w:color w:val="000000" w:themeColor="text1"/>
          <w:szCs w:val="22"/>
        </w:rPr>
        <w:t xml:space="preserve">. In terms of profiling lysate-based CFME metabolism, however, a limitation of the described LC-MS/MS protocol is its lower detection limit of 50 m/z which precludes the measurement of ethanol, a major product in lysate glucose metabolism, as well as </w:t>
      </w:r>
      <w:proofErr w:type="spellStart"/>
      <w:r w:rsidRPr="00A71FCF">
        <w:rPr>
          <w:rFonts w:cs="Arial"/>
          <w:bCs/>
          <w:color w:val="000000" w:themeColor="text1"/>
          <w:szCs w:val="22"/>
        </w:rPr>
        <w:t>formate</w:t>
      </w:r>
      <w:proofErr w:type="spellEnd"/>
      <w:r w:rsidRPr="00A71FCF">
        <w:rPr>
          <w:rFonts w:cs="Arial"/>
          <w:bCs/>
          <w:color w:val="000000" w:themeColor="text1"/>
          <w:szCs w:val="22"/>
        </w:rPr>
        <w:t xml:space="preserve">, which are both otherwise easily quantified by the detailed HPLC-RID method. Compared to LC-MS/MS, HPLC-RID has the additional advantage of relative accessibility in terms of cost and difficulty. To </w:t>
      </w:r>
      <w:r w:rsidRPr="00A71FCF">
        <w:rPr>
          <w:rFonts w:cs="Arial"/>
          <w:bCs/>
          <w:color w:val="000000" w:themeColor="text1"/>
          <w:szCs w:val="22"/>
        </w:rPr>
        <w:lastRenderedPageBreak/>
        <w:t>the latter point, troubleshooting of the LC-MS/MS method described here may require some degree of expertise in mass spectrometry. Nonetheless, MS detection has uniquely appealing applications over RID as it can additionally distinguish labeled isotopes in metabolomes, an excellent technique for understanding carbon movement from supplemented substrates through the complex lysate metabolic network</w:t>
      </w:r>
      <w:r w:rsidRPr="00A71FCF">
        <w:rPr>
          <w:rFonts w:cs="Arial"/>
          <w:bCs/>
          <w:color w:val="000000" w:themeColor="text1"/>
          <w:szCs w:val="22"/>
        </w:rPr>
        <w:fldChar w:fldCharType="begin" w:fldLock="1"/>
      </w:r>
      <w:r w:rsidR="00567FF4">
        <w:rPr>
          <w:rFonts w:cs="Arial"/>
          <w:bCs/>
          <w:color w:val="000000" w:themeColor="text1"/>
          <w:szCs w:val="22"/>
        </w:rPr>
        <w:instrText>ADDIN CSL_CITATION {"citationItems":[{"id":"ITEM-1","itemData":{"DOI":"10.1007/978-1-4939-1258-2_1","ISSN":"10643745","PMID":"25270919","abstract":"The field of metabolomics has witnessed an exponential growth in the last decade driven by important applications spanning a wide range of areas in the basic and life sciences and beyond. Mass spectrometry in combination with chromatography and nuclear magnetic resonance are the two major analytical avenues for the analysis of metabolic species in complex biological mixtures. Owing to its inherent significantly higher sensitivity and fast data acquisition, MS plays an increasingly dominant role in the metabolomics field. Propelled by the need to develop simple methods to diagnose and manage the numerous and widespread human diseases, mass spectrometry has witnessed tremendous growth with advances in instrumentation, experimental methods, software, and databases. In response, the metabolomics field has moved far beyond qualitative methods and simple pattern recognition approaches to a range of global and targeted quantitative approaches that are now routinely used and provide reliable data, which instill greater confi- dence in the derived inferences. Powerful isotope labeling and tracing methods have become very popular. The newly emerging ambient ionization techniques such as desorption ionization and rapid evaporative ionization have allowed direct MS analysis in real time, as well as new MS imaging approaches. While the MS-based metabolomics has provided insights into metabolic pathways and fl uxes, and metabolite biomarkers associated with numerous diseases, the increasing realization of the extremely high complexity of biological mixtures underscores numerous challenges including unknown metabolite identification, biomarker validation, and interlaboratory reproducibility that need to be dealt with for realization of the full potential of MS-based metabolomics. This chapter provides a glimpse at the current status of the mass spectrometry-based metabolomics field highlighting the opportunities and challenges.","author":[{"dropping-particle":"","family":"Nagana Gowda","given":"G. A.","non-dropping-particle":"","parse-names":false,"suffix":""},{"dropping-particle":"","family":"Djukovic","given":"Danijel","non-dropping-particle":"","parse-names":false,"suffix":""}],"container-title":"Methods in Molecular Biology","id":"ITEM-1","issued":{"date-parts":[["2014"]]},"page":"3-12","publisher":"Humana Press Inc.","title":"Overview of mass spectrometry-based metabolomics: Opportunities and challenges","type":"article-journal","volume":"1198"},"uris":["http://www.mendeley.com/documents/?uuid=013f1740-99cd-3d40-a437-3052cf205317"]}],"mendeley":{"formattedCitation":"&lt;sup&gt;81&lt;/sup&gt;","plainTextFormattedCitation":"81","previouslyFormattedCitation":"&lt;sup&gt;81&lt;/sup&gt;"},"properties":{"noteIndex":0},"schema":"https://github.com/citation-style-language/schema/raw/master/csl-citation.json"}</w:instrText>
      </w:r>
      <w:r w:rsidRPr="00A71FCF">
        <w:rPr>
          <w:rFonts w:cs="Arial"/>
          <w:bCs/>
          <w:color w:val="000000" w:themeColor="text1"/>
          <w:szCs w:val="22"/>
        </w:rPr>
        <w:fldChar w:fldCharType="separate"/>
      </w:r>
      <w:r w:rsidR="00567FF4" w:rsidRPr="00567FF4">
        <w:rPr>
          <w:rFonts w:cs="Arial"/>
          <w:bCs/>
          <w:noProof/>
          <w:color w:val="000000" w:themeColor="text1"/>
          <w:szCs w:val="22"/>
          <w:vertAlign w:val="superscript"/>
        </w:rPr>
        <w:t>81</w:t>
      </w:r>
      <w:r w:rsidRPr="00A71FCF">
        <w:rPr>
          <w:rFonts w:cs="Arial"/>
          <w:bCs/>
          <w:color w:val="000000" w:themeColor="text1"/>
          <w:szCs w:val="22"/>
        </w:rPr>
        <w:fldChar w:fldCharType="end"/>
      </w:r>
      <w:r w:rsidRPr="00A71FCF">
        <w:rPr>
          <w:rFonts w:cs="Arial"/>
          <w:bCs/>
          <w:color w:val="000000" w:themeColor="text1"/>
          <w:szCs w:val="22"/>
        </w:rPr>
        <w:t xml:space="preserve">. Such an approach was applied here by supplementing reactions with </w:t>
      </w:r>
      <w:r w:rsidRPr="00A71FCF">
        <w:rPr>
          <w:rFonts w:cs="Arial"/>
          <w:bCs/>
          <w:color w:val="000000" w:themeColor="text1"/>
          <w:szCs w:val="22"/>
          <w:vertAlign w:val="superscript"/>
        </w:rPr>
        <w:t>13</w:t>
      </w:r>
      <w:r w:rsidRPr="00A71FCF">
        <w:rPr>
          <w:rFonts w:cs="Arial"/>
          <w:bCs/>
          <w:color w:val="000000" w:themeColor="text1"/>
          <w:szCs w:val="22"/>
        </w:rPr>
        <w:t>C</w:t>
      </w:r>
      <w:r w:rsidRPr="00A71FCF">
        <w:rPr>
          <w:rFonts w:cs="Arial"/>
          <w:bCs/>
          <w:color w:val="000000" w:themeColor="text1"/>
          <w:szCs w:val="22"/>
          <w:vertAlign w:val="subscript"/>
        </w:rPr>
        <w:t>6</w:t>
      </w:r>
      <w:r w:rsidRPr="00A71FCF">
        <w:rPr>
          <w:rFonts w:cs="Arial"/>
          <w:bCs/>
          <w:color w:val="000000" w:themeColor="text1"/>
          <w:szCs w:val="22"/>
        </w:rPr>
        <w:t xml:space="preserve">-glucose and analyzing the relative abundance values of downstream </w:t>
      </w:r>
      <w:r w:rsidRPr="00A71FCF">
        <w:rPr>
          <w:rFonts w:cs="Arial"/>
          <w:bCs/>
          <w:color w:val="000000" w:themeColor="text1"/>
          <w:szCs w:val="22"/>
          <w:vertAlign w:val="superscript"/>
        </w:rPr>
        <w:t>13</w:t>
      </w:r>
      <w:r w:rsidRPr="00A71FCF">
        <w:rPr>
          <w:rFonts w:cs="Arial"/>
          <w:bCs/>
          <w:color w:val="000000" w:themeColor="text1"/>
          <w:szCs w:val="22"/>
        </w:rPr>
        <w:t xml:space="preserve">C-incorporating metabolites. The analysis allowed the definition of active and inactive pathways, supporting previously reported assumptions and providing new insights about metabolic flux in lysates. Modifications can also be made within the method for specific analyses. For example, standard solutions of </w:t>
      </w:r>
      <w:r w:rsidRPr="00A71FCF">
        <w:rPr>
          <w:rFonts w:cs="Arial"/>
          <w:bCs/>
          <w:color w:val="000000" w:themeColor="text1"/>
          <w:szCs w:val="22"/>
          <w:vertAlign w:val="superscript"/>
        </w:rPr>
        <w:t>13</w:t>
      </w:r>
      <w:r w:rsidRPr="00A71FCF">
        <w:rPr>
          <w:rFonts w:cs="Arial"/>
          <w:bCs/>
          <w:color w:val="000000" w:themeColor="text1"/>
          <w:szCs w:val="22"/>
        </w:rPr>
        <w:t>C-labeled target compounds can be analyzed along with samples to achieve absolute quantitative measurements of glucose-derived molecules over time and make conclusions about flux distributions. Better detection of positively charged compounds can also be enabled within the current workflow by running sequences with .meth files adjusted for positive mode detection.</w:t>
      </w:r>
    </w:p>
    <w:p w14:paraId="5A39FD6B" w14:textId="65777C08" w:rsidR="00B11F89" w:rsidRDefault="00D14EF8" w:rsidP="00B11F89">
      <w:pPr>
        <w:ind w:firstLine="720"/>
        <w:contextualSpacing/>
        <w:rPr>
          <w:rFonts w:cs="Arial"/>
          <w:szCs w:val="22"/>
        </w:rPr>
      </w:pPr>
      <w:r w:rsidRPr="00A71FCF">
        <w:rPr>
          <w:rFonts w:cs="Arial"/>
          <w:bCs/>
          <w:color w:val="000000" w:themeColor="text1"/>
          <w:szCs w:val="22"/>
        </w:rPr>
        <w:t>Analytical sampling in both described methods is conveniently automated, ensuring high reproducibility. Moreover, smooth analytical runs can be expected as long as proper instrument handling practices and maintenance are observed. When using these tools to analyze CFME reactions, more critical considerations</w:t>
      </w:r>
      <w:r w:rsidRPr="00A71FCF">
        <w:rPr>
          <w:rFonts w:cs="Arial"/>
          <w:b/>
          <w:color w:val="000000" w:themeColor="text1"/>
          <w:szCs w:val="22"/>
        </w:rPr>
        <w:t xml:space="preserve"> </w:t>
      </w:r>
      <w:r w:rsidRPr="00A71FCF">
        <w:rPr>
          <w:rFonts w:cs="Arial"/>
          <w:bCs/>
          <w:color w:val="000000" w:themeColor="text1"/>
          <w:szCs w:val="22"/>
        </w:rPr>
        <w:t>should be made upstream and downstream of sampling. During sample preparation, it is important that time-course controls are representative of time-zero. Here, proteins were precipitated in lysates by acidification to stop metabolic reactions. For time-zero samples, the acid solvent was combined with lysate prior to adding the reaction mix containing glucose. Acidification with</w:t>
      </w:r>
      <w:r w:rsidRPr="00A71FCF">
        <w:rPr>
          <w:rFonts w:cs="Arial"/>
          <w:color w:val="000000" w:themeColor="text1"/>
          <w:szCs w:val="22"/>
        </w:rPr>
        <w:t xml:space="preserve"> trichloroacetic acid </w:t>
      </w:r>
      <w:r w:rsidRPr="00A71FCF">
        <w:rPr>
          <w:rFonts w:cs="Arial"/>
          <w:bCs/>
          <w:color w:val="000000" w:themeColor="text1"/>
          <w:szCs w:val="22"/>
        </w:rPr>
        <w:t xml:space="preserve">effectively ensured that glucose is not metabolized at time-zero, as shown in the HPLC-RID data </w:t>
      </w:r>
      <w:r w:rsidRPr="00A71FCF">
        <w:rPr>
          <w:rFonts w:cs="Arial"/>
          <w:b/>
          <w:color w:val="000000" w:themeColor="text1"/>
          <w:szCs w:val="22"/>
        </w:rPr>
        <w:t>(</w:t>
      </w:r>
      <w:r w:rsidR="00405F98">
        <w:rPr>
          <w:rFonts w:cs="Arial"/>
          <w:b/>
          <w:color w:val="000000" w:themeColor="text1"/>
          <w:szCs w:val="22"/>
        </w:rPr>
        <w:t>Figure</w:t>
      </w:r>
      <w:r w:rsidRPr="00A71FCF">
        <w:rPr>
          <w:rFonts w:cs="Arial"/>
          <w:b/>
          <w:color w:val="000000" w:themeColor="text1"/>
          <w:szCs w:val="22"/>
        </w:rPr>
        <w:t xml:space="preserve"> </w:t>
      </w:r>
      <w:r w:rsidR="00AD0389">
        <w:rPr>
          <w:rFonts w:cs="Arial"/>
          <w:b/>
          <w:color w:val="000000" w:themeColor="text1"/>
          <w:szCs w:val="22"/>
        </w:rPr>
        <w:t>2.</w:t>
      </w:r>
      <w:r w:rsidRPr="00A71FCF">
        <w:rPr>
          <w:rFonts w:cs="Arial"/>
          <w:b/>
          <w:color w:val="000000" w:themeColor="text1"/>
          <w:szCs w:val="22"/>
        </w:rPr>
        <w:t>2)</w:t>
      </w:r>
      <w:r w:rsidRPr="00A71FCF">
        <w:rPr>
          <w:rFonts w:cs="Arial"/>
          <w:bCs/>
          <w:color w:val="000000" w:themeColor="text1"/>
          <w:szCs w:val="22"/>
        </w:rPr>
        <w:t>.</w:t>
      </w:r>
      <w:r w:rsidRPr="00A71FCF">
        <w:rPr>
          <w:rFonts w:cs="Arial"/>
          <w:b/>
          <w:color w:val="000000" w:themeColor="text1"/>
          <w:szCs w:val="22"/>
        </w:rPr>
        <w:t xml:space="preserve"> </w:t>
      </w:r>
      <w:r w:rsidRPr="00A71FCF">
        <w:rPr>
          <w:rFonts w:cs="Arial"/>
          <w:bCs/>
          <w:color w:val="000000" w:themeColor="text1"/>
          <w:szCs w:val="22"/>
        </w:rPr>
        <w:t xml:space="preserve">While a similar procedure to quench glucose metabolism was performed in the reported LC-MS/MS analysis, </w:t>
      </w:r>
      <w:r w:rsidRPr="00A71FCF">
        <w:rPr>
          <w:rFonts w:cs="Arial"/>
          <w:bCs/>
          <w:color w:val="000000" w:themeColor="text1"/>
          <w:szCs w:val="22"/>
          <w:vertAlign w:val="superscript"/>
        </w:rPr>
        <w:t>13</w:t>
      </w:r>
      <w:r w:rsidRPr="00A71FCF">
        <w:rPr>
          <w:rFonts w:cs="Arial"/>
          <w:bCs/>
          <w:color w:val="000000" w:themeColor="text1"/>
          <w:szCs w:val="22"/>
        </w:rPr>
        <w:t>C-labeled metabolites were detected in time-zero samples, albeit at significantly low abundance values relative to samples extracted at later timepoints.</w:t>
      </w:r>
      <w:r w:rsidRPr="00A71FCF">
        <w:rPr>
          <w:rFonts w:cs="Arial"/>
          <w:bCs/>
          <w:color w:val="FF0000"/>
          <w:szCs w:val="22"/>
        </w:rPr>
        <w:t xml:space="preserve"> </w:t>
      </w:r>
      <w:r w:rsidRPr="00A71FCF">
        <w:rPr>
          <w:rFonts w:cs="Arial"/>
          <w:bCs/>
          <w:color w:val="000000" w:themeColor="text1"/>
          <w:szCs w:val="22"/>
        </w:rPr>
        <w:t xml:space="preserve">Moreover, these observations were limited to </w:t>
      </w:r>
      <w:r w:rsidRPr="00A71FCF">
        <w:rPr>
          <w:rFonts w:cs="Arial"/>
          <w:bCs/>
          <w:color w:val="000000" w:themeColor="text1"/>
          <w:szCs w:val="22"/>
        </w:rPr>
        <w:lastRenderedPageBreak/>
        <w:t>intermediates of glycolysis. The data suggest that the reactions retain some degree of glycolytic activity after acidification with the extraction solvent that is detected by this highly sensitive method. The extent of this activity, however, should be quantified.</w:t>
      </w:r>
      <w:r w:rsidRPr="00A71FCF">
        <w:rPr>
          <w:rFonts w:cs="Arial"/>
          <w:bCs/>
          <w:color w:val="FF0000"/>
          <w:szCs w:val="22"/>
        </w:rPr>
        <w:t xml:space="preserve"> </w:t>
      </w:r>
      <w:r w:rsidRPr="00A71FCF">
        <w:rPr>
          <w:rFonts w:cs="Arial"/>
          <w:bCs/>
          <w:color w:val="000000" w:themeColor="text1"/>
          <w:szCs w:val="22"/>
        </w:rPr>
        <w:t>A previous study reported that acidic extraction solvents may not sufficiently quench intermediate glycolytic reactions but can stop significant glucose consumption</w:t>
      </w:r>
      <w:r w:rsidRPr="00A71FCF">
        <w:rPr>
          <w:rFonts w:cs="Arial"/>
          <w:bCs/>
          <w:color w:val="000000" w:themeColor="text1"/>
          <w:szCs w:val="22"/>
        </w:rPr>
        <w:fldChar w:fldCharType="begin" w:fldLock="1"/>
      </w:r>
      <w:r w:rsidR="00567FF4">
        <w:rPr>
          <w:rFonts w:cs="Arial"/>
          <w:bCs/>
          <w:color w:val="000000" w:themeColor="text1"/>
          <w:szCs w:val="22"/>
        </w:rPr>
        <w:instrText>ADDIN CSL_CITATION {"citationItems":[{"id":"ITEM-1","itemData":{"DOI":"10.3389/fenrg.2020.00072","ISSN":"2296-598X","abstract":"The cellulolytic bacterium Clostridium thermocellum is a promising candidate for lignocellulosic biofuel production; however, ethanol titer needs to be improved for commercialization. To understand the factors limiting ethanol titer in C. thermocellum, we developed a cell-free extract reaction (CFER) system. We demonstrated that 15 mM cellobiose could be converted, in vitro, to 25 mM ethanol and that this reaction functions both at thermophilic (55°C) and mesophilic (37°C) temperatures. Although the yield was similar to that produced by whole cells, the rate was much slower (~0.5 vs. 12 mM/h). In order to reliably quantify metabolites, rapid CFER quenching is necessary. Among the methods tested, filtration with a 3-kDa molecular weight cutoff filter proved to be the most effective. Metabolomic analysis revealed high levels of glucose-6-phosphate (G6P) and fructose-6-phosphate (F6P) in the CFER, identifying potential rate-limiting enzymes downstream of F6P. NADH was also found to accumulate in the CFER, suggesting that NADH recycling is rate-limiting. We used two complementary strategies to identify enzymes that limit metabolic flux, including feeding different substrates and supplementing with exogenous enzymes. In the enzyme addition experiment, the largest improvement was observed with the addition of yeast alcohol dehydrogenase (ADH), indicating a limitation at that reaction. The development of a CFER system for C. thermocellum, combined with detailed measurements of intermediate metabolites, allowed us to directly observe the metabolism of this organism, and suggested several potential metabolic engineering interventions for increasing ethanol titer. This demonstrates a technique that may be of general use for metabolic engineering in non-model organisms.","author":[{"dropping-particle":"","family":"Cui","given":"Jingxuan","non-dropping-particle":"","parse-names":false,"suffix":""},{"dropping-particle":"","family":"Stevenson","given":"David","non-dropping-particle":"","parse-names":false,"suffix":""},{"dropping-particle":"","family":"Korosh","given":"Travis","non-dropping-particle":"","parse-names":false,"suffix":""},{"dropping-particle":"","family":"Amador-Noguez","given":"Daniel","non-dropping-particle":"","parse-names":false,"suffix":""},{"dropping-particle":"","family":"Olson","given":"Daniel G.","non-dropping-particle":"","parse-names":false,"suffix":""},{"dropping-particle":"","family":"Lynd","given":"Lee R.","non-dropping-particle":"","parse-names":false,"suffix":""}],"container-title":"Frontiers in Energy Research","id":"ITEM-1","issued":{"date-parts":[["2020","6","4"]]},"page":"72","publisher":"Frontiers Media S.A.","title":"Developing a Cell-Free Extract Reaction (CFER) System in Clostridium thermocellum to Identify Metabolic Limitations to Ethanol Production","type":"article-journal","volume":"8"},"uris":["http://www.mendeley.com/documents/?uuid=fcd3200d-59e5-3e1d-8f91-be31a9007467"]}],"mendeley":{"formattedCitation":"&lt;sup&gt;48&lt;/sup&gt;","plainTextFormattedCitation":"48","previouslyFormattedCitation":"&lt;sup&gt;48&lt;/sup&gt;"},"properties":{"noteIndex":0},"schema":"https://github.com/citation-style-language/schema/raw/master/csl-citation.json"}</w:instrText>
      </w:r>
      <w:r w:rsidRPr="00A71FCF">
        <w:rPr>
          <w:rFonts w:cs="Arial"/>
          <w:bCs/>
          <w:color w:val="000000" w:themeColor="text1"/>
          <w:szCs w:val="22"/>
        </w:rPr>
        <w:fldChar w:fldCharType="separate"/>
      </w:r>
      <w:r w:rsidR="00567FF4" w:rsidRPr="00567FF4">
        <w:rPr>
          <w:rFonts w:cs="Arial"/>
          <w:bCs/>
          <w:noProof/>
          <w:color w:val="000000" w:themeColor="text1"/>
          <w:szCs w:val="22"/>
          <w:vertAlign w:val="superscript"/>
        </w:rPr>
        <w:t>48</w:t>
      </w:r>
      <w:r w:rsidRPr="00A71FCF">
        <w:rPr>
          <w:rFonts w:cs="Arial"/>
          <w:bCs/>
          <w:color w:val="000000" w:themeColor="text1"/>
          <w:szCs w:val="22"/>
        </w:rPr>
        <w:fldChar w:fldCharType="end"/>
      </w:r>
      <w:r w:rsidRPr="00A71FCF">
        <w:rPr>
          <w:rFonts w:cs="Arial"/>
          <w:bCs/>
          <w:color w:val="000000" w:themeColor="text1"/>
          <w:szCs w:val="22"/>
        </w:rPr>
        <w:t>. While this remains to be further investigated in the system used here, drastic changes in relative abundance values between time-zero and later timepoint samples can be interpreted as trends in glucose metabolism. Exploring alternative quenching methods, however is recommended in similar applications, specifically for obtaining absolute quantities of metabolic intermediates</w:t>
      </w:r>
      <w:r w:rsidRPr="00A71FCF">
        <w:rPr>
          <w:rFonts w:cs="Arial"/>
          <w:bCs/>
          <w:color w:val="000000" w:themeColor="text1"/>
          <w:szCs w:val="22"/>
        </w:rPr>
        <w:fldChar w:fldCharType="begin" w:fldLock="1"/>
      </w:r>
      <w:r w:rsidR="00567FF4">
        <w:rPr>
          <w:rFonts w:cs="Arial"/>
          <w:bCs/>
          <w:color w:val="000000" w:themeColor="text1"/>
          <w:szCs w:val="22"/>
        </w:rPr>
        <w:instrText>ADDIN CSL_CITATION {"citationItems":[{"id":"ITEM-1","itemData":{"DOI":"10.3389/fenrg.2020.00072","ISSN":"2296-598X","abstract":"The cellulolytic bacterium Clostridium thermocellum is a promising candidate for lignocellulosic biofuel production; however, ethanol titer needs to be improved for commercialization. To understand the factors limiting ethanol titer in C. thermocellum, we developed a cell-free extract reaction (CFER) system. We demonstrated that 15 mM cellobiose could be converted, in vitro, to 25 mM ethanol and that this reaction functions both at thermophilic (55°C) and mesophilic (37°C) temperatures. Although the yield was similar to that produced by whole cells, the rate was much slower (~0.5 vs. 12 mM/h). In order to reliably quantify metabolites, rapid CFER quenching is necessary. Among the methods tested, filtration with a 3-kDa molecular weight cutoff filter proved to be the most effective. Metabolomic analysis revealed high levels of glucose-6-phosphate (G6P) and fructose-6-phosphate (F6P) in the CFER, identifying potential rate-limiting enzymes downstream of F6P. NADH was also found to accumulate in the CFER, suggesting that NADH recycling is rate-limiting. We used two complementary strategies to identify enzymes that limit metabolic flux, including feeding different substrates and supplementing with exogenous enzymes. In the enzyme addition experiment, the largest improvement was observed with the addition of yeast alcohol dehydrogenase (ADH), indicating a limitation at that reaction. The development of a CFER system for C. thermocellum, combined with detailed measurements of intermediate metabolites, allowed us to directly observe the metabolism of this organism, and suggested several potential metabolic engineering interventions for increasing ethanol titer. This demonstrates a technique that may be of general use for metabolic engineering in non-model organisms.","author":[{"dropping-particle":"","family":"Cui","given":"Jingxuan","non-dropping-particle":"","parse-names":false,"suffix":""},{"dropping-particle":"","family":"Stevenson","given":"David","non-dropping-particle":"","parse-names":false,"suffix":""},{"dropping-particle":"","family":"Korosh","given":"Travis","non-dropping-particle":"","parse-names":false,"suffix":""},{"dropping-particle":"","family":"Amador-Noguez","given":"Daniel","non-dropping-particle":"","parse-names":false,"suffix":""},{"dropping-particle":"","family":"Olson","given":"Daniel G.","non-dropping-particle":"","parse-names":false,"suffix":""},{"dropping-particle":"","family":"Lynd","given":"Lee R.","non-dropping-particle":"","parse-names":false,"suffix":""}],"container-title":"Frontiers in Energy Research","id":"ITEM-1","issued":{"date-parts":[["2020","6","4"]]},"page":"72","publisher":"Frontiers Media S.A.","title":"Developing a Cell-Free Extract Reaction (CFER) System in Clostridium thermocellum to Identify Metabolic Limitations to Ethanol Production","type":"article-journal","volume":"8"},"uris":["http://www.mendeley.com/documents/?uuid=fcd3200d-59e5-3e1d-8f91-be31a9007467"]}],"mendeley":{"formattedCitation":"&lt;sup&gt;48&lt;/sup&gt;","plainTextFormattedCitation":"48","previouslyFormattedCitation":"&lt;sup&gt;48&lt;/sup&gt;"},"properties":{"noteIndex":0},"schema":"https://github.com/citation-style-language/schema/raw/master/csl-citation.json"}</w:instrText>
      </w:r>
      <w:r w:rsidRPr="00A71FCF">
        <w:rPr>
          <w:rFonts w:cs="Arial"/>
          <w:bCs/>
          <w:color w:val="000000" w:themeColor="text1"/>
          <w:szCs w:val="22"/>
        </w:rPr>
        <w:fldChar w:fldCharType="separate"/>
      </w:r>
      <w:r w:rsidR="00567FF4" w:rsidRPr="00567FF4">
        <w:rPr>
          <w:rFonts w:cs="Arial"/>
          <w:bCs/>
          <w:noProof/>
          <w:color w:val="000000" w:themeColor="text1"/>
          <w:szCs w:val="22"/>
          <w:vertAlign w:val="superscript"/>
        </w:rPr>
        <w:t>48</w:t>
      </w:r>
      <w:r w:rsidRPr="00A71FCF">
        <w:rPr>
          <w:rFonts w:cs="Arial"/>
          <w:bCs/>
          <w:color w:val="000000" w:themeColor="text1"/>
          <w:szCs w:val="22"/>
        </w:rPr>
        <w:fldChar w:fldCharType="end"/>
      </w:r>
      <w:r w:rsidRPr="00A71FCF">
        <w:rPr>
          <w:rFonts w:cs="Arial"/>
          <w:bCs/>
          <w:color w:val="000000" w:themeColor="text1"/>
          <w:szCs w:val="22"/>
        </w:rPr>
        <w:t xml:space="preserve">. Furthermore, good practices during downstream software analyses should also be observed. Consistency is imperative when manually integrating peak areas from RID signals to reduce human error. Manual integration should also be applied to peak areas of standards whenever manually integrated peak areas are being used to quantify metabolite concentrations in samples. Throughout the targeted LC-MS/MS analysis, tentative annotations from </w:t>
      </w:r>
      <w:proofErr w:type="spellStart"/>
      <w:r w:rsidRPr="00A71FCF">
        <w:rPr>
          <w:rFonts w:cs="Arial"/>
          <w:bCs/>
          <w:color w:val="000000" w:themeColor="text1"/>
          <w:szCs w:val="22"/>
        </w:rPr>
        <w:t>MZmine</w:t>
      </w:r>
      <w:proofErr w:type="spellEnd"/>
      <w:r w:rsidRPr="00A71FCF">
        <w:rPr>
          <w:rFonts w:cs="Arial"/>
          <w:bCs/>
          <w:color w:val="000000" w:themeColor="text1"/>
          <w:szCs w:val="22"/>
        </w:rPr>
        <w:t xml:space="preserve"> analysis should be validated by manual peak checking using an MS quality browser and m/z features should only be annotated when calculated mass errors are acceptable. Here, these analyses were performed manually for a limited set of targets since comprehensive and robust software for isotope searching are not yet established.</w:t>
      </w:r>
      <w:r w:rsidRPr="00A71FCF">
        <w:rPr>
          <w:rStyle w:val="CommentReference"/>
          <w:rFonts w:cs="Arial"/>
          <w:sz w:val="22"/>
          <w:szCs w:val="22"/>
        </w:rPr>
        <w:t xml:space="preserve"> </w:t>
      </w:r>
      <w:r w:rsidRPr="00A71FCF">
        <w:rPr>
          <w:rFonts w:cs="Arial"/>
          <w:bCs/>
          <w:color w:val="000000" w:themeColor="text1"/>
          <w:szCs w:val="22"/>
        </w:rPr>
        <w:t xml:space="preserve">However, such automated methods for searching </w:t>
      </w:r>
      <w:r w:rsidRPr="00A71FCF">
        <w:rPr>
          <w:rFonts w:cs="Arial"/>
          <w:bCs/>
          <w:color w:val="000000" w:themeColor="text1"/>
          <w:szCs w:val="22"/>
          <w:vertAlign w:val="superscript"/>
        </w:rPr>
        <w:t>13</w:t>
      </w:r>
      <w:r w:rsidRPr="00A71FCF">
        <w:rPr>
          <w:rFonts w:cs="Arial"/>
          <w:bCs/>
          <w:color w:val="000000" w:themeColor="text1"/>
          <w:szCs w:val="22"/>
        </w:rPr>
        <w:t>C labeled metabolites are currently emerging and would streamline more complicated analyses as well like profiling lysates beyond central carbon metabolism</w:t>
      </w:r>
      <w:r w:rsidR="00A1184B" w:rsidRPr="00A71FCF">
        <w:rPr>
          <w:rFonts w:cs="Arial"/>
          <w:bCs/>
          <w:color w:val="000000" w:themeColor="text1"/>
          <w:szCs w:val="22"/>
        </w:rPr>
        <w:fldChar w:fldCharType="begin" w:fldLock="1"/>
      </w:r>
      <w:r w:rsidR="00567FF4">
        <w:rPr>
          <w:rFonts w:cs="Arial"/>
          <w:bCs/>
          <w:color w:val="000000" w:themeColor="text1"/>
          <w:szCs w:val="22"/>
        </w:rPr>
        <w:instrText>ADDIN CSL_CITATION {"citationItems":[{"id":"ITEM-1","itemData":{"DOI":"10.3390/MPS3030054","ISSN":"24099279","PMID":"32751454","abstract":"Stable isotopic tracer analysis is a technique used to determine carbon or nitrogen atom incorporation into biological systems. A number of mass spectrometry based approaches have been developed for this purpose, including high-resolution tandem mass spectrometry (HR-LC-MS/MS), selected reaction monitoring (SRM) and parallel reaction monitoring (PRM). We have developed an approach for analyzing untargeted metabolomic and lipidomic datasets using high-resolution mass spectrometry with polarity switching and implemented our approach in the open-source R script IsoSearch and in Scaffold Elements software. Using our strategy, which requires an unlabeled reference dataset and isotope labeled datasets across various biological conditions, we traced metabolic isotopomer alterations in breast cancer cells (MCF-7) treated with the metabolic drugs 2-deoxy-glucose, 6-aminonicotinamide, compound 968, and rapamycin. Metabolites and lipids were first identified by the commercial software Scaffold Elements and LipidSearch, then IsoSearch successfully profiled the13C-isotopomers extracted metabolites and lipids from13C-glucose labeled MCF-7 cells. The results interpreted known models, such as glycolysis and pentose phosphate pathway inhibition, but also helped to discover new metabolic/lipid flux patterns, including a reactive oxygen species (ROS) defense mechanism induced by 6AN and triglyceride accumulation in rapamycin treated cells. The results suggest the IsoSearch/Scaffold Elements platform is effective for studying metabolic tracer analysis in diseases, drug metabolism, and metabolic engineering for both polar metabolites and non-polar lipids.","author":[{"dropping-particle":"","family":"Huang","given":"He","non-dropping-particle":"","parse-names":false,"suffix":""},{"dropping-particle":"","family":"Yuan","given":"Min","non-dropping-particle":"","parse-names":false,"suffix":""},{"dropping-particle":"","family":"Seitzer","given":"Phillip","non-dropping-particle":"","parse-names":false,"suffix":""},{"dropping-particle":"","family":"Ludwigsen","given":"Susan","non-dropping-particle":"","parse-names":false,"suffix":""},{"dropping-particle":"","family":"Asara","given":"John M.","non-dropping-particle":"","parse-names":false,"suffix":""}],"container-title":"Methods and Protocols","id":"ITEM-1","issue":"3","issued":{"date-parts":[["2020","9","1"]]},"page":"1-16","publisher":"Multidisciplinary Digital Publishing Institute  (MDPI)","title":"IsoSearch: An Untargeted and Unbiased Metabolite and Lipid Isotopomer Tracing Strategy from HR-LC-MS/MS Datasets","type":"article-journal","volume":"3"},"uris":["http://www.mendeley.com/documents/?uuid=69e66411-6d66-32c6-8a3e-21b2bd3a03ef"]}],"mendeley":{"formattedCitation":"&lt;sup&gt;85&lt;/sup&gt;","plainTextFormattedCitation":"85","previouslyFormattedCitation":"&lt;sup&gt;85&lt;/sup&gt;"},"properties":{"noteIndex":0},"schema":"https://github.com/citation-style-language/schema/raw/master/csl-citation.json"}</w:instrText>
      </w:r>
      <w:r w:rsidR="00A1184B" w:rsidRPr="00A71FCF">
        <w:rPr>
          <w:rFonts w:cs="Arial"/>
          <w:bCs/>
          <w:color w:val="000000" w:themeColor="text1"/>
          <w:szCs w:val="22"/>
        </w:rPr>
        <w:fldChar w:fldCharType="separate"/>
      </w:r>
      <w:r w:rsidR="00567FF4" w:rsidRPr="00567FF4">
        <w:rPr>
          <w:rFonts w:cs="Arial"/>
          <w:bCs/>
          <w:noProof/>
          <w:color w:val="000000" w:themeColor="text1"/>
          <w:szCs w:val="22"/>
          <w:vertAlign w:val="superscript"/>
        </w:rPr>
        <w:t>85</w:t>
      </w:r>
      <w:r w:rsidR="00A1184B" w:rsidRPr="00A71FCF">
        <w:rPr>
          <w:rFonts w:cs="Arial"/>
          <w:bCs/>
          <w:color w:val="000000" w:themeColor="text1"/>
          <w:szCs w:val="22"/>
        </w:rPr>
        <w:fldChar w:fldCharType="end"/>
      </w:r>
      <w:r w:rsidR="00A1184B" w:rsidRPr="00A71FCF">
        <w:rPr>
          <w:rFonts w:cs="Arial"/>
          <w:bCs/>
          <w:color w:val="000000" w:themeColor="text1"/>
          <w:szCs w:val="22"/>
        </w:rPr>
        <w:t>. Advanced liquid chromatography is a robust and widely applied method for separating small molecules in complex metabolic mixtures</w:t>
      </w:r>
      <w:r w:rsidR="00A1184B" w:rsidRPr="00A71FCF">
        <w:rPr>
          <w:rFonts w:cs="Arial"/>
          <w:bCs/>
          <w:color w:val="000000" w:themeColor="text1"/>
          <w:szCs w:val="22"/>
        </w:rPr>
        <w:fldChar w:fldCharType="begin" w:fldLock="1"/>
      </w:r>
      <w:r w:rsidR="00567FF4">
        <w:rPr>
          <w:rFonts w:cs="Arial"/>
          <w:bCs/>
          <w:color w:val="000000" w:themeColor="text1"/>
          <w:szCs w:val="22"/>
        </w:rPr>
        <w:instrText>ADDIN CSL_CITATION {"citationItems":[{"id":"ITEM-1","itemData":{"DOI":"10.14744/nci.2016.32757","ISSN":"21484902","PMID":"28058406","abstract":"Chromatography is an important biophysical technique that enables the separation, identification, and purification of the components of a mixture for qualitative and quantitative analysis. Proteins can be purified based on characteristics such as size and shape, total charge, hydrophobic groups present on the surface, and binding capacity with the stationary phase. Four separation techniques based on molecular characteristics and interaction type use mechanisms of ion exchange, surface adsorption, partition, and size exclusion. Other chromatography techniques are based on the stationary bed, including column, thin layer, and paper chromatography. Column chromatography is one of the most common methods of protein purification.","author":[{"dropping-particle":"","family":"Coskun","given":"Ozlem","non-dropping-particle":"","parse-names":false,"suffix":""}],"container-title":"Northern Clinics of Istanbul","id":"ITEM-1","issue":"2","issued":{"date-parts":[["2016"]]},"page":"156","publisher":"Kare Publishing","title":"Separation Tecniques: CHROMATOGRAPHY","type":"article-journal","volume":"3"},"uris":["http://www.mendeley.com/documents/?uuid=ae3ca54f-8dcb-38ab-8d0d-98644c930cc4"]}],"mendeley":{"formattedCitation":"&lt;sup&gt;75&lt;/sup&gt;","plainTextFormattedCitation":"75","previouslyFormattedCitation":"&lt;sup&gt;75&lt;/sup&gt;"},"properties":{"noteIndex":0},"schema":"https://github.com/citation-style-language/schema/raw/master/csl-citation.json"}</w:instrText>
      </w:r>
      <w:r w:rsidR="00A1184B" w:rsidRPr="00A71FCF">
        <w:rPr>
          <w:rFonts w:cs="Arial"/>
          <w:bCs/>
          <w:color w:val="000000" w:themeColor="text1"/>
          <w:szCs w:val="22"/>
        </w:rPr>
        <w:fldChar w:fldCharType="separate"/>
      </w:r>
      <w:r w:rsidR="00567FF4" w:rsidRPr="00567FF4">
        <w:rPr>
          <w:rFonts w:cs="Arial"/>
          <w:bCs/>
          <w:noProof/>
          <w:color w:val="000000" w:themeColor="text1"/>
          <w:szCs w:val="22"/>
          <w:vertAlign w:val="superscript"/>
        </w:rPr>
        <w:t>75</w:t>
      </w:r>
      <w:r w:rsidR="00A1184B" w:rsidRPr="00A71FCF">
        <w:rPr>
          <w:rFonts w:cs="Arial"/>
          <w:bCs/>
          <w:color w:val="000000" w:themeColor="text1"/>
          <w:szCs w:val="22"/>
        </w:rPr>
        <w:fldChar w:fldCharType="end"/>
      </w:r>
      <w:r w:rsidR="00A1184B" w:rsidRPr="00A71FCF">
        <w:rPr>
          <w:rFonts w:cs="Arial"/>
          <w:bCs/>
          <w:color w:val="000000" w:themeColor="text1"/>
          <w:szCs w:val="22"/>
        </w:rPr>
        <w:t xml:space="preserve">. The described methods couple this separation technique with refractive index or mass spectrometric detection to successfully analyze metabolite conversions in lysate-based CFME reactions. HPLC-RID and LC-MS/MS are individually powerful tools for profiling active lysate metabolism and their complementarity can further be leveraged to address each technique’s inherent limitations. The reported methods enable the application and development of CFME as they can be utilized towards understanding </w:t>
      </w:r>
      <w:r w:rsidR="00A1184B" w:rsidRPr="00A71FCF">
        <w:rPr>
          <w:rFonts w:cs="Arial"/>
          <w:bCs/>
          <w:color w:val="000000" w:themeColor="text1"/>
          <w:szCs w:val="22"/>
        </w:rPr>
        <w:lastRenderedPageBreak/>
        <w:t xml:space="preserve">lysate metabolism, </w:t>
      </w:r>
      <w:r w:rsidR="00A1184B" w:rsidRPr="00A71FCF">
        <w:rPr>
          <w:rFonts w:cs="Arial"/>
          <w:szCs w:val="22"/>
        </w:rPr>
        <w:t>monitoring improvements in targeted metabolite conversions, and elucidating alterations to metabolite flux when manipulating lysate metabolism.</w:t>
      </w:r>
    </w:p>
    <w:p w14:paraId="05B5A8E3" w14:textId="77777777" w:rsidR="00E337ED" w:rsidRDefault="00E337ED" w:rsidP="009E4CE7">
      <w:pPr>
        <w:pStyle w:val="ChapterHeading"/>
      </w:pPr>
    </w:p>
    <w:p w14:paraId="299ECACF" w14:textId="77777777" w:rsidR="00E337ED" w:rsidRDefault="00E337ED" w:rsidP="00E337ED">
      <w:pPr>
        <w:rPr>
          <w:rFonts w:cs="Arial"/>
        </w:rPr>
      </w:pPr>
    </w:p>
    <w:p w14:paraId="1BDE4EB2" w14:textId="77777777" w:rsidR="00E337ED" w:rsidRDefault="00E337ED" w:rsidP="00E337ED">
      <w:pPr>
        <w:rPr>
          <w:rFonts w:cs="Arial"/>
        </w:rPr>
      </w:pPr>
    </w:p>
    <w:p w14:paraId="058A6031" w14:textId="77777777" w:rsidR="00E337ED" w:rsidRDefault="00E337ED" w:rsidP="00E337ED">
      <w:pPr>
        <w:rPr>
          <w:rFonts w:cs="Arial"/>
        </w:rPr>
      </w:pPr>
    </w:p>
    <w:p w14:paraId="0CFFBA8C" w14:textId="77777777" w:rsidR="00E337ED" w:rsidRDefault="00E337ED" w:rsidP="00E337ED">
      <w:pPr>
        <w:rPr>
          <w:rFonts w:cs="Arial"/>
        </w:rPr>
      </w:pPr>
    </w:p>
    <w:p w14:paraId="3D7B9275" w14:textId="77777777" w:rsidR="00E337ED" w:rsidRDefault="00E337ED" w:rsidP="00E337ED">
      <w:pPr>
        <w:rPr>
          <w:rFonts w:cs="Arial"/>
        </w:rPr>
      </w:pPr>
    </w:p>
    <w:p w14:paraId="6631A121" w14:textId="77777777" w:rsidR="00E337ED" w:rsidRDefault="00E337ED" w:rsidP="00E337ED">
      <w:pPr>
        <w:rPr>
          <w:rFonts w:cs="Arial"/>
        </w:rPr>
      </w:pPr>
    </w:p>
    <w:p w14:paraId="7C45EC7A" w14:textId="77777777" w:rsidR="009A5F94" w:rsidRDefault="009A5F94">
      <w:pPr>
        <w:spacing w:line="240" w:lineRule="auto"/>
        <w:jc w:val="left"/>
        <w:rPr>
          <w:rFonts w:cs="Arial"/>
        </w:rPr>
      </w:pPr>
      <w:r>
        <w:rPr>
          <w:rFonts w:cs="Arial"/>
        </w:rPr>
        <w:br w:type="page"/>
      </w:r>
    </w:p>
    <w:p w14:paraId="02D24C76" w14:textId="211D4DFF" w:rsidR="00D14EF8" w:rsidRPr="00E337ED" w:rsidRDefault="00A1184B" w:rsidP="009A5F94">
      <w:pPr>
        <w:jc w:val="center"/>
        <w:rPr>
          <w:rFonts w:cs="Arial"/>
          <w:b/>
          <w:bCs/>
          <w:sz w:val="28"/>
          <w:szCs w:val="28"/>
        </w:rPr>
      </w:pPr>
      <w:r w:rsidRPr="00E337ED">
        <w:rPr>
          <w:rFonts w:cs="Arial"/>
          <w:b/>
          <w:bCs/>
          <w:sz w:val="28"/>
          <w:szCs w:val="28"/>
        </w:rPr>
        <w:lastRenderedPageBreak/>
        <w:t>Appendix</w:t>
      </w:r>
    </w:p>
    <w:p w14:paraId="2D8FF097" w14:textId="060D938C" w:rsidR="0045496D" w:rsidRPr="00A71FCF" w:rsidRDefault="0045496D" w:rsidP="0008141D">
      <w:pPr>
        <w:contextualSpacing/>
        <w:rPr>
          <w:rFonts w:cs="Arial"/>
          <w:b/>
          <w:bCs/>
          <w:szCs w:val="22"/>
        </w:rPr>
      </w:pPr>
    </w:p>
    <w:p w14:paraId="51E2084C" w14:textId="2A8BC962" w:rsidR="0045496D" w:rsidRPr="00A71FCF" w:rsidRDefault="00987D0C" w:rsidP="0008141D">
      <w:pPr>
        <w:contextualSpacing/>
        <w:rPr>
          <w:rFonts w:cs="Arial"/>
          <w:b/>
          <w:bCs/>
          <w:szCs w:val="22"/>
        </w:rPr>
      </w:pPr>
      <w:r w:rsidRPr="00A71FCF">
        <w:rPr>
          <w:rFonts w:cs="Arial"/>
          <w:b/>
          <w:bCs/>
          <w:noProof/>
          <w:szCs w:val="22"/>
        </w:rPr>
        <w:drawing>
          <wp:inline distT="0" distB="0" distL="0" distR="0" wp14:anchorId="479252CA" wp14:editId="1FA57BD1">
            <wp:extent cx="5943600" cy="2312670"/>
            <wp:effectExtent l="0" t="0" r="0" b="0"/>
            <wp:docPr id="33" name="Picture 3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agram&#10;&#10;Description automatically generated"/>
                    <pic:cNvPicPr/>
                  </pic:nvPicPr>
                  <pic:blipFill>
                    <a:blip r:embed="rId16" cstate="screen">
                      <a:extLst>
                        <a:ext uri="{28A0092B-C50C-407E-A947-70E740481C1C}">
                          <a14:useLocalDpi xmlns:a14="http://schemas.microsoft.com/office/drawing/2010/main"/>
                        </a:ext>
                      </a:extLst>
                    </a:blip>
                    <a:stretch>
                      <a:fillRect/>
                    </a:stretch>
                  </pic:blipFill>
                  <pic:spPr>
                    <a:xfrm>
                      <a:off x="0" y="0"/>
                      <a:ext cx="5943600" cy="2312670"/>
                    </a:xfrm>
                    <a:prstGeom prst="rect">
                      <a:avLst/>
                    </a:prstGeom>
                  </pic:spPr>
                </pic:pic>
              </a:graphicData>
            </a:graphic>
          </wp:inline>
        </w:drawing>
      </w:r>
    </w:p>
    <w:p w14:paraId="0164F774" w14:textId="2150943C" w:rsidR="00520B1F" w:rsidRPr="00A71FCF" w:rsidRDefault="00520B1F" w:rsidP="0008141D">
      <w:pPr>
        <w:contextualSpacing/>
        <w:rPr>
          <w:rFonts w:cs="Arial"/>
          <w:szCs w:val="22"/>
        </w:rPr>
      </w:pPr>
      <w:bookmarkStart w:id="35" w:name="_Toc129701142"/>
      <w:r w:rsidRPr="009A5F94">
        <w:rPr>
          <w:rStyle w:val="FigurecaptionChar"/>
        </w:rPr>
        <w:t xml:space="preserve">Figure </w:t>
      </w:r>
      <w:r w:rsidR="008E289D" w:rsidRPr="009A5F94">
        <w:rPr>
          <w:rStyle w:val="FigurecaptionChar"/>
        </w:rPr>
        <w:t>2.</w:t>
      </w:r>
      <w:r w:rsidR="00A71889" w:rsidRPr="009A5F94">
        <w:rPr>
          <w:rStyle w:val="FigurecaptionChar"/>
        </w:rPr>
        <w:t>7</w:t>
      </w:r>
      <w:r w:rsidR="00AD0389" w:rsidRPr="009A5F94">
        <w:rPr>
          <w:rStyle w:val="FigurecaptionChar"/>
        </w:rPr>
        <w:t>.</w:t>
      </w:r>
      <w:r w:rsidRPr="009A5F94">
        <w:rPr>
          <w:rStyle w:val="FigurecaptionChar"/>
        </w:rPr>
        <w:t xml:space="preserve"> Representative HPLC-RID chromatogram showing peaks for major fermentative products in a CFME reaction incubated at 37 ˚C for 24 hrs.</w:t>
      </w:r>
      <w:bookmarkEnd w:id="35"/>
      <w:r w:rsidRPr="00A71FCF">
        <w:rPr>
          <w:rFonts w:cs="Arial"/>
          <w:szCs w:val="22"/>
        </w:rPr>
        <w:t xml:space="preserve"> Glucose, succinate, lactate, </w:t>
      </w:r>
      <w:proofErr w:type="spellStart"/>
      <w:r w:rsidRPr="00A71FCF">
        <w:rPr>
          <w:rFonts w:cs="Arial"/>
          <w:szCs w:val="22"/>
        </w:rPr>
        <w:t>formate</w:t>
      </w:r>
      <w:proofErr w:type="spellEnd"/>
      <w:r w:rsidRPr="00A71FCF">
        <w:rPr>
          <w:rFonts w:cs="Arial"/>
          <w:szCs w:val="22"/>
        </w:rPr>
        <w:t>, acetate, and ethanol peaks are sufficiently distinguishable by their retention times on an HPLC column during isocratic elution with 5 mM sulfuric acid solvent.</w:t>
      </w:r>
    </w:p>
    <w:p w14:paraId="4FB980E1" w14:textId="5E438C0D" w:rsidR="00987D0C" w:rsidRPr="00A71FCF" w:rsidRDefault="00987D0C" w:rsidP="0008141D">
      <w:pPr>
        <w:contextualSpacing/>
        <w:rPr>
          <w:rFonts w:cs="Arial"/>
          <w:b/>
          <w:bCs/>
          <w:szCs w:val="22"/>
        </w:rPr>
      </w:pPr>
    </w:p>
    <w:p w14:paraId="6060BB98" w14:textId="5F4C6B10" w:rsidR="00520B1F" w:rsidRPr="00A71FCF" w:rsidRDefault="00520B1F" w:rsidP="0008141D">
      <w:pPr>
        <w:contextualSpacing/>
        <w:rPr>
          <w:rFonts w:cs="Arial"/>
          <w:b/>
          <w:bCs/>
          <w:szCs w:val="22"/>
        </w:rPr>
      </w:pPr>
      <w:r w:rsidRPr="00A71FCF">
        <w:rPr>
          <w:rFonts w:cs="Arial"/>
          <w:b/>
          <w:bCs/>
          <w:noProof/>
          <w:szCs w:val="22"/>
        </w:rPr>
        <w:lastRenderedPageBreak/>
        <w:drawing>
          <wp:inline distT="0" distB="0" distL="0" distR="0" wp14:anchorId="59D0DA1F" wp14:editId="10509136">
            <wp:extent cx="5943600" cy="6629400"/>
            <wp:effectExtent l="0" t="0" r="0" b="0"/>
            <wp:docPr id="34" name="Picture 3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Diagram&#10;&#10;Description automatically generated"/>
                    <pic:cNvPicPr/>
                  </pic:nvPicPr>
                  <pic:blipFill rotWithShape="1">
                    <a:blip r:embed="rId17">
                      <a:extLst>
                        <a:ext uri="{28A0092B-C50C-407E-A947-70E740481C1C}">
                          <a14:useLocalDpi xmlns:a14="http://schemas.microsoft.com/office/drawing/2010/main"/>
                        </a:ext>
                      </a:extLst>
                    </a:blip>
                    <a:srcRect/>
                    <a:stretch/>
                  </pic:blipFill>
                  <pic:spPr bwMode="auto">
                    <a:xfrm>
                      <a:off x="0" y="0"/>
                      <a:ext cx="5943600" cy="6629400"/>
                    </a:xfrm>
                    <a:prstGeom prst="rect">
                      <a:avLst/>
                    </a:prstGeom>
                    <a:ln>
                      <a:noFill/>
                    </a:ln>
                    <a:extLst>
                      <a:ext uri="{53640926-AAD7-44D8-BBD7-CCE9431645EC}">
                        <a14:shadowObscured xmlns:a14="http://schemas.microsoft.com/office/drawing/2010/main"/>
                      </a:ext>
                    </a:extLst>
                  </pic:spPr>
                </pic:pic>
              </a:graphicData>
            </a:graphic>
          </wp:inline>
        </w:drawing>
      </w:r>
    </w:p>
    <w:p w14:paraId="77B68DE5" w14:textId="3B73BEAD" w:rsidR="00520B1F" w:rsidRPr="00A71FCF" w:rsidRDefault="00520B1F" w:rsidP="0008141D">
      <w:pPr>
        <w:contextualSpacing/>
        <w:rPr>
          <w:rFonts w:cs="Arial"/>
          <w:szCs w:val="22"/>
        </w:rPr>
      </w:pPr>
      <w:bookmarkStart w:id="36" w:name="_Toc129701143"/>
      <w:r w:rsidRPr="009A5F94">
        <w:rPr>
          <w:rStyle w:val="FigurecaptionChar"/>
        </w:rPr>
        <w:t>Figure 2</w:t>
      </w:r>
      <w:r w:rsidR="008E289D" w:rsidRPr="009A5F94">
        <w:rPr>
          <w:rStyle w:val="FigurecaptionChar"/>
        </w:rPr>
        <w:t>.</w:t>
      </w:r>
      <w:r w:rsidR="00AD0389" w:rsidRPr="009A5F94">
        <w:rPr>
          <w:rStyle w:val="FigurecaptionChar"/>
        </w:rPr>
        <w:t>8.</w:t>
      </w:r>
      <w:r w:rsidRPr="009A5F94">
        <w:rPr>
          <w:rStyle w:val="FigurecaptionChar"/>
        </w:rPr>
        <w:t xml:space="preserve"> Representative mass spectra for 13C-labeled metabolites</w:t>
      </w:r>
      <w:r w:rsidR="009A5F94" w:rsidRPr="009A5F94">
        <w:rPr>
          <w:rStyle w:val="FigurecaptionChar"/>
        </w:rPr>
        <w:t xml:space="preserve"> in a CFME reaction incubated at 37 ˚C for 1 h.</w:t>
      </w:r>
      <w:bookmarkEnd w:id="36"/>
      <w:r w:rsidRPr="00A71FCF">
        <w:rPr>
          <w:rFonts w:cs="Arial"/>
          <w:szCs w:val="22"/>
        </w:rPr>
        <w:t xml:space="preserve"> </w:t>
      </w:r>
      <w:r w:rsidRPr="00A71FCF">
        <w:rPr>
          <w:rFonts w:cs="Arial"/>
          <w:b/>
          <w:bCs/>
          <w:szCs w:val="22"/>
        </w:rPr>
        <w:t>A</w:t>
      </w:r>
      <w:r w:rsidRPr="00A71FCF">
        <w:rPr>
          <w:rFonts w:cs="Arial"/>
          <w:szCs w:val="22"/>
        </w:rPr>
        <w:t xml:space="preserve">) lactate, </w:t>
      </w:r>
      <w:r w:rsidRPr="00A71FCF">
        <w:rPr>
          <w:rFonts w:cs="Arial"/>
          <w:b/>
          <w:bCs/>
          <w:szCs w:val="22"/>
        </w:rPr>
        <w:t>B</w:t>
      </w:r>
      <w:r w:rsidRPr="00A71FCF">
        <w:rPr>
          <w:rFonts w:cs="Arial"/>
          <w:szCs w:val="22"/>
        </w:rPr>
        <w:t xml:space="preserve">) glucose, and </w:t>
      </w:r>
      <w:r w:rsidRPr="00A71FCF">
        <w:rPr>
          <w:rFonts w:cs="Arial"/>
          <w:b/>
          <w:bCs/>
          <w:szCs w:val="22"/>
        </w:rPr>
        <w:t>C</w:t>
      </w:r>
      <w:r w:rsidRPr="00A71FCF">
        <w:rPr>
          <w:rFonts w:cs="Arial"/>
          <w:szCs w:val="22"/>
        </w:rPr>
        <w:t>) 6-phosphogluconate (6PG)</w:t>
      </w:r>
      <w:r w:rsidR="009A5F94">
        <w:rPr>
          <w:rFonts w:cs="Arial"/>
          <w:szCs w:val="22"/>
        </w:rPr>
        <w:t>.</w:t>
      </w:r>
      <w:r w:rsidRPr="00A71FCF">
        <w:rPr>
          <w:rFonts w:cs="Arial"/>
          <w:szCs w:val="22"/>
        </w:rPr>
        <w:t xml:space="preserve"> </w:t>
      </w:r>
    </w:p>
    <w:p w14:paraId="39E4B593" w14:textId="6C0E1F7C" w:rsidR="00520B1F" w:rsidRDefault="00520B1F" w:rsidP="0008141D">
      <w:pPr>
        <w:contextualSpacing/>
        <w:rPr>
          <w:rFonts w:cs="Arial"/>
          <w:b/>
          <w:bCs/>
          <w:szCs w:val="22"/>
        </w:rPr>
      </w:pPr>
    </w:p>
    <w:p w14:paraId="71013B44" w14:textId="09FE3378" w:rsidR="0091138B" w:rsidRDefault="00A71FCF" w:rsidP="009A5F94">
      <w:pPr>
        <w:pStyle w:val="Tablecaption"/>
      </w:pPr>
      <w:bookmarkStart w:id="37" w:name="_Toc129676391"/>
      <w:r w:rsidRPr="00A71FCF">
        <w:rPr>
          <w:bCs/>
        </w:rPr>
        <w:lastRenderedPageBreak/>
        <w:t xml:space="preserve">Table </w:t>
      </w:r>
      <w:r w:rsidR="008E289D">
        <w:rPr>
          <w:bCs/>
        </w:rPr>
        <w:t>2.</w:t>
      </w:r>
      <w:r w:rsidRPr="00A71FCF">
        <w:rPr>
          <w:bCs/>
        </w:rPr>
        <w:t>1</w:t>
      </w:r>
      <w:r w:rsidR="00AD0389">
        <w:rPr>
          <w:bCs/>
        </w:rPr>
        <w:t>.</w:t>
      </w:r>
      <w:r w:rsidRPr="00A71FCF">
        <w:rPr>
          <w:bCs/>
        </w:rPr>
        <w:t xml:space="preserve"> </w:t>
      </w:r>
      <w:r w:rsidRPr="00A71FCF">
        <w:t xml:space="preserve">List of detected </w:t>
      </w:r>
      <w:r w:rsidRPr="00A71FCF">
        <w:rPr>
          <w:vertAlign w:val="superscript"/>
        </w:rPr>
        <w:t>13</w:t>
      </w:r>
      <w:r w:rsidRPr="00A71FCF">
        <w:t xml:space="preserve">C-labeled metabolites, retention times (aligned across samples using </w:t>
      </w:r>
      <w:proofErr w:type="spellStart"/>
      <w:r w:rsidRPr="00A71FCF">
        <w:t>MZmine</w:t>
      </w:r>
      <w:proofErr w:type="spellEnd"/>
      <w:r w:rsidRPr="00A71FCF">
        <w:t xml:space="preserve">), theoretical fully </w:t>
      </w:r>
      <w:r w:rsidRPr="00A71FCF">
        <w:rPr>
          <w:vertAlign w:val="superscript"/>
        </w:rPr>
        <w:t>13</w:t>
      </w:r>
      <w:r w:rsidRPr="00A71FCF">
        <w:t>C-labeled negative mode m/z values, m/z values of detected features, and calculated mass errors.</w:t>
      </w:r>
      <w:bookmarkEnd w:id="37"/>
    </w:p>
    <w:p w14:paraId="780932EB" w14:textId="7B273D4B" w:rsidR="00E337ED" w:rsidRDefault="00E337ED" w:rsidP="00E337ED">
      <w:pPr>
        <w:contextualSpacing/>
        <w:jc w:val="center"/>
        <w:rPr>
          <w:rFonts w:cs="Arial"/>
          <w:szCs w:val="22"/>
        </w:rPr>
      </w:pPr>
      <w:r>
        <w:rPr>
          <w:rFonts w:cs="Arial"/>
          <w:noProof/>
          <w:szCs w:val="22"/>
        </w:rPr>
        <w:drawing>
          <wp:inline distT="0" distB="0" distL="0" distR="0" wp14:anchorId="2B676C85" wp14:editId="164D90AC">
            <wp:extent cx="5674613" cy="6537434"/>
            <wp:effectExtent l="0" t="0" r="2540" b="3175"/>
            <wp:docPr id="196" name="Picture 19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descr="Table&#10;&#10;Description automatically generated"/>
                    <pic:cNvPicPr/>
                  </pic:nvPicPr>
                  <pic:blipFill rotWithShape="1">
                    <a:blip r:embed="rId18" cstate="screen">
                      <a:extLst>
                        <a:ext uri="{28A0092B-C50C-407E-A947-70E740481C1C}">
                          <a14:useLocalDpi xmlns:a14="http://schemas.microsoft.com/office/drawing/2010/main"/>
                        </a:ext>
                      </a:extLst>
                    </a:blip>
                    <a:srcRect/>
                    <a:stretch/>
                  </pic:blipFill>
                  <pic:spPr bwMode="auto">
                    <a:xfrm>
                      <a:off x="0" y="0"/>
                      <a:ext cx="5686032" cy="6550589"/>
                    </a:xfrm>
                    <a:prstGeom prst="rect">
                      <a:avLst/>
                    </a:prstGeom>
                    <a:ln>
                      <a:noFill/>
                    </a:ln>
                    <a:extLst>
                      <a:ext uri="{53640926-AAD7-44D8-BBD7-CCE9431645EC}">
                        <a14:shadowObscured xmlns:a14="http://schemas.microsoft.com/office/drawing/2010/main"/>
                      </a:ext>
                    </a:extLst>
                  </pic:spPr>
                </pic:pic>
              </a:graphicData>
            </a:graphic>
          </wp:inline>
        </w:drawing>
      </w:r>
    </w:p>
    <w:p w14:paraId="7BDBEB98" w14:textId="3EEA3170" w:rsidR="00E337ED" w:rsidRDefault="00E337ED" w:rsidP="0008141D">
      <w:pPr>
        <w:contextualSpacing/>
        <w:rPr>
          <w:rFonts w:cs="Arial"/>
          <w:szCs w:val="22"/>
        </w:rPr>
      </w:pPr>
    </w:p>
    <w:p w14:paraId="39775C0C" w14:textId="77777777" w:rsidR="00E337ED" w:rsidRDefault="00E337ED" w:rsidP="0008141D">
      <w:pPr>
        <w:contextualSpacing/>
        <w:rPr>
          <w:rFonts w:cs="Arial"/>
          <w:szCs w:val="22"/>
        </w:rPr>
      </w:pPr>
    </w:p>
    <w:p w14:paraId="4E906EE7" w14:textId="1A49763B" w:rsidR="0038757A" w:rsidRPr="009A0B4C" w:rsidRDefault="00C543B8" w:rsidP="009A0B4C">
      <w:pPr>
        <w:contextualSpacing/>
        <w:jc w:val="center"/>
        <w:rPr>
          <w:rFonts w:eastAsia="Times New Roman" w:cs="Arial"/>
          <w:b/>
          <w:bCs/>
          <w:sz w:val="32"/>
          <w:szCs w:val="32"/>
        </w:rPr>
      </w:pPr>
      <w:r w:rsidRPr="00E033D4">
        <w:rPr>
          <w:rFonts w:eastAsia="Times New Roman" w:cs="Arial"/>
          <w:b/>
          <w:bCs/>
          <w:sz w:val="32"/>
          <w:szCs w:val="32"/>
        </w:rPr>
        <w:lastRenderedPageBreak/>
        <w:t>CHAPTER 3</w:t>
      </w:r>
    </w:p>
    <w:p w14:paraId="24F2BE17" w14:textId="6814CABB" w:rsidR="0008141D" w:rsidRPr="00C543B8" w:rsidRDefault="0008141D" w:rsidP="001F1E55">
      <w:pPr>
        <w:pStyle w:val="ChapterTitle"/>
      </w:pPr>
      <w:bookmarkStart w:id="38" w:name="_Toc129701021"/>
      <w:r>
        <w:t>A LYSATE PROTEOME ENGINEERING STRATEGY FOR ENHANCING CELL-FREE METABOLITE PRODUCTION</w:t>
      </w:r>
      <w:bookmarkEnd w:id="38"/>
    </w:p>
    <w:p w14:paraId="6F77C853" w14:textId="77777777" w:rsidR="00C543B8" w:rsidRDefault="00C543B8" w:rsidP="0008141D">
      <w:pPr>
        <w:pBdr>
          <w:top w:val="nil"/>
          <w:left w:val="nil"/>
          <w:bottom w:val="nil"/>
          <w:right w:val="nil"/>
          <w:between w:val="nil"/>
        </w:pBdr>
        <w:spacing w:after="280"/>
        <w:contextualSpacing/>
        <w:rPr>
          <w:rFonts w:cs="Arial"/>
          <w:b/>
          <w:color w:val="000000"/>
          <w:szCs w:val="22"/>
        </w:rPr>
      </w:pPr>
      <w:bookmarkStart w:id="39" w:name="_Hlk53757325"/>
      <w:bookmarkStart w:id="40" w:name="_Hlk28355410"/>
      <w:bookmarkEnd w:id="39"/>
    </w:p>
    <w:p w14:paraId="5A5F1A58" w14:textId="77777777" w:rsidR="0008141D" w:rsidRDefault="0008141D" w:rsidP="0008141D">
      <w:pPr>
        <w:pBdr>
          <w:top w:val="nil"/>
          <w:left w:val="nil"/>
          <w:bottom w:val="nil"/>
          <w:right w:val="nil"/>
          <w:between w:val="nil"/>
        </w:pBdr>
        <w:spacing w:after="280"/>
        <w:contextualSpacing/>
        <w:rPr>
          <w:rFonts w:cs="Arial"/>
          <w:b/>
          <w:color w:val="000000"/>
          <w:szCs w:val="22"/>
        </w:rPr>
      </w:pPr>
    </w:p>
    <w:p w14:paraId="6513407E" w14:textId="77777777" w:rsidR="0008141D" w:rsidRDefault="0008141D" w:rsidP="0008141D">
      <w:pPr>
        <w:pBdr>
          <w:top w:val="nil"/>
          <w:left w:val="nil"/>
          <w:bottom w:val="nil"/>
          <w:right w:val="nil"/>
          <w:between w:val="nil"/>
        </w:pBdr>
        <w:spacing w:after="280"/>
        <w:contextualSpacing/>
        <w:rPr>
          <w:rFonts w:cs="Arial"/>
          <w:b/>
          <w:color w:val="000000"/>
          <w:szCs w:val="22"/>
        </w:rPr>
      </w:pPr>
    </w:p>
    <w:p w14:paraId="0336E93F" w14:textId="77777777" w:rsidR="0008141D" w:rsidRDefault="0008141D" w:rsidP="0008141D">
      <w:pPr>
        <w:pBdr>
          <w:top w:val="nil"/>
          <w:left w:val="nil"/>
          <w:bottom w:val="nil"/>
          <w:right w:val="nil"/>
          <w:between w:val="nil"/>
        </w:pBdr>
        <w:spacing w:after="280"/>
        <w:contextualSpacing/>
        <w:rPr>
          <w:rFonts w:cs="Arial"/>
          <w:b/>
          <w:color w:val="000000"/>
          <w:szCs w:val="22"/>
        </w:rPr>
      </w:pPr>
    </w:p>
    <w:p w14:paraId="1EBB8DB9" w14:textId="77777777" w:rsidR="0008141D" w:rsidRDefault="0008141D">
      <w:pPr>
        <w:rPr>
          <w:rFonts w:cs="Arial"/>
          <w:b/>
          <w:color w:val="000000"/>
          <w:sz w:val="28"/>
          <w:szCs w:val="28"/>
        </w:rPr>
      </w:pPr>
      <w:r>
        <w:rPr>
          <w:rFonts w:cs="Arial"/>
          <w:b/>
          <w:color w:val="000000"/>
          <w:sz w:val="28"/>
          <w:szCs w:val="28"/>
        </w:rPr>
        <w:br w:type="page"/>
      </w:r>
    </w:p>
    <w:p w14:paraId="682A238E" w14:textId="535B5FC8" w:rsidR="00F97102" w:rsidRDefault="00F97102" w:rsidP="004E2DE7">
      <w:pPr>
        <w:pBdr>
          <w:top w:val="nil"/>
          <w:left w:val="nil"/>
          <w:bottom w:val="nil"/>
          <w:right w:val="nil"/>
          <w:between w:val="nil"/>
        </w:pBdr>
        <w:spacing w:after="280"/>
        <w:ind w:firstLine="720"/>
        <w:contextualSpacing/>
        <w:rPr>
          <w:rFonts w:cs="Arial"/>
          <w:bCs/>
          <w:color w:val="000000"/>
          <w:szCs w:val="22"/>
        </w:rPr>
      </w:pPr>
      <w:r w:rsidRPr="004E2DE7">
        <w:rPr>
          <w:rFonts w:eastAsia="Times New Roman" w:cs="Arial"/>
          <w:szCs w:val="22"/>
        </w:rPr>
        <w:lastRenderedPageBreak/>
        <w:t xml:space="preserve">A version of this chapter was originally published by </w:t>
      </w:r>
      <w:r w:rsidRPr="004E2DE7">
        <w:rPr>
          <w:rFonts w:cs="Arial"/>
          <w:szCs w:val="22"/>
        </w:rPr>
        <w:t xml:space="preserve">Jaime Lorenzo N. Dinglasan, </w:t>
      </w:r>
      <w:r w:rsidRPr="004E2DE7">
        <w:rPr>
          <w:rFonts w:cs="Arial"/>
          <w:bCs/>
          <w:color w:val="000000"/>
          <w:szCs w:val="22"/>
        </w:rPr>
        <w:t>David C. Garcia, Him Shrestha,</w:t>
      </w:r>
      <w:r w:rsidRPr="004E2DE7">
        <w:rPr>
          <w:rFonts w:cs="Arial"/>
          <w:bCs/>
          <w:color w:val="000000"/>
          <w:szCs w:val="22"/>
          <w:vertAlign w:val="superscript"/>
        </w:rPr>
        <w:t xml:space="preserve"> </w:t>
      </w:r>
      <w:r w:rsidRPr="004E2DE7">
        <w:rPr>
          <w:rFonts w:cs="Arial"/>
          <w:bCs/>
          <w:color w:val="000000"/>
          <w:szCs w:val="22"/>
        </w:rPr>
        <w:t>Paul E. Abraham,</w:t>
      </w:r>
      <w:r w:rsidRPr="004E2DE7">
        <w:rPr>
          <w:rFonts w:cs="Arial"/>
          <w:bCs/>
          <w:color w:val="000000"/>
          <w:szCs w:val="22"/>
          <w:vertAlign w:val="superscript"/>
        </w:rPr>
        <w:t xml:space="preserve"> </w:t>
      </w:r>
      <w:r w:rsidRPr="004E2DE7">
        <w:rPr>
          <w:rFonts w:cs="Arial"/>
          <w:bCs/>
          <w:color w:val="000000"/>
          <w:szCs w:val="22"/>
        </w:rPr>
        <w:t>Robert L. Hettich,</w:t>
      </w:r>
      <w:r w:rsidRPr="004E2DE7">
        <w:rPr>
          <w:rFonts w:cs="Arial"/>
          <w:bCs/>
          <w:color w:val="000000"/>
          <w:szCs w:val="22"/>
          <w:vertAlign w:val="superscript"/>
        </w:rPr>
        <w:t xml:space="preserve"> </w:t>
      </w:r>
      <w:r w:rsidRPr="004E2DE7">
        <w:rPr>
          <w:rFonts w:cs="Arial"/>
          <w:bCs/>
          <w:color w:val="000000"/>
          <w:szCs w:val="22"/>
        </w:rPr>
        <w:t xml:space="preserve">and Mitchel J. </w:t>
      </w:r>
      <w:proofErr w:type="spellStart"/>
      <w:r w:rsidRPr="004E2DE7">
        <w:rPr>
          <w:rFonts w:cs="Arial"/>
          <w:bCs/>
          <w:color w:val="000000"/>
          <w:szCs w:val="22"/>
        </w:rPr>
        <w:t>Doktycz</w:t>
      </w:r>
      <w:proofErr w:type="spellEnd"/>
      <w:r w:rsidRPr="004E2DE7">
        <w:rPr>
          <w:rFonts w:cs="Arial"/>
          <w:bCs/>
          <w:color w:val="000000"/>
          <w:szCs w:val="22"/>
        </w:rPr>
        <w:t>:</w:t>
      </w:r>
    </w:p>
    <w:p w14:paraId="73765EDC" w14:textId="77777777" w:rsidR="009A5F94" w:rsidRPr="004E2DE7" w:rsidRDefault="009A5F94" w:rsidP="004E2DE7">
      <w:pPr>
        <w:pBdr>
          <w:top w:val="nil"/>
          <w:left w:val="nil"/>
          <w:bottom w:val="nil"/>
          <w:right w:val="nil"/>
          <w:between w:val="nil"/>
        </w:pBdr>
        <w:spacing w:after="280"/>
        <w:ind w:firstLine="720"/>
        <w:contextualSpacing/>
        <w:rPr>
          <w:rFonts w:cs="Arial"/>
          <w:b/>
          <w:color w:val="000000"/>
          <w:szCs w:val="22"/>
        </w:rPr>
      </w:pPr>
    </w:p>
    <w:p w14:paraId="693E629E" w14:textId="52CC632F" w:rsidR="00F97102" w:rsidRDefault="004E2DE7" w:rsidP="004E2DE7">
      <w:pPr>
        <w:ind w:left="720"/>
        <w:rPr>
          <w:rFonts w:cs="Arial"/>
          <w:szCs w:val="22"/>
        </w:rPr>
      </w:pPr>
      <w:r w:rsidRPr="004E2DE7">
        <w:rPr>
          <w:rFonts w:cs="Arial"/>
          <w:bCs/>
          <w:szCs w:val="22"/>
        </w:rPr>
        <w:t xml:space="preserve">Garcia, D.C.,* </w:t>
      </w:r>
      <w:r w:rsidRPr="004E2DE7">
        <w:rPr>
          <w:rFonts w:cs="Arial"/>
          <w:b/>
          <w:szCs w:val="22"/>
        </w:rPr>
        <w:t>Dinglasan, J.L.N.,*</w:t>
      </w:r>
      <w:r w:rsidRPr="004E2DE7">
        <w:rPr>
          <w:rFonts w:cs="Arial"/>
          <w:bCs/>
          <w:szCs w:val="22"/>
        </w:rPr>
        <w:t xml:space="preserve"> Shrestha, H.K., Abraham, P.E. Hettich, R.L., </w:t>
      </w:r>
      <w:proofErr w:type="spellStart"/>
      <w:r w:rsidRPr="004E2DE7">
        <w:rPr>
          <w:rFonts w:cs="Arial"/>
          <w:bCs/>
          <w:szCs w:val="22"/>
        </w:rPr>
        <w:t>Doktycz</w:t>
      </w:r>
      <w:proofErr w:type="spellEnd"/>
      <w:r w:rsidRPr="004E2DE7">
        <w:rPr>
          <w:rFonts w:cs="Arial"/>
          <w:bCs/>
          <w:szCs w:val="22"/>
        </w:rPr>
        <w:t xml:space="preserve">, M.J. (2021). A lysate proteome engineering strategy for enhancing cell-free metabolite production. </w:t>
      </w:r>
      <w:r w:rsidRPr="004E2DE7">
        <w:rPr>
          <w:rFonts w:cs="Arial"/>
          <w:bCs/>
          <w:i/>
          <w:iCs/>
          <w:szCs w:val="22"/>
        </w:rPr>
        <w:t xml:space="preserve">Metabolic Engineering Communications. </w:t>
      </w:r>
      <w:r w:rsidRPr="004E2DE7">
        <w:rPr>
          <w:rFonts w:cs="Arial"/>
          <w:bCs/>
          <w:szCs w:val="22"/>
        </w:rPr>
        <w:t xml:space="preserve">12 e00162, </w:t>
      </w:r>
      <w:proofErr w:type="spellStart"/>
      <w:r w:rsidRPr="004E2DE7">
        <w:rPr>
          <w:rFonts w:cs="Arial"/>
          <w:bCs/>
          <w:szCs w:val="22"/>
        </w:rPr>
        <w:t>d</w:t>
      </w:r>
      <w:r w:rsidRPr="004E2DE7">
        <w:rPr>
          <w:rFonts w:cs="Arial"/>
          <w:szCs w:val="22"/>
        </w:rPr>
        <w:t>oi</w:t>
      </w:r>
      <w:proofErr w:type="spellEnd"/>
      <w:r w:rsidRPr="004E2DE7">
        <w:rPr>
          <w:rFonts w:cs="Arial"/>
          <w:szCs w:val="22"/>
        </w:rPr>
        <w:t xml:space="preserve">: 10.1016/j.mec.2021.e00162. </w:t>
      </w:r>
      <w:r w:rsidRPr="004E2DE7">
        <w:rPr>
          <w:rFonts w:cs="Arial"/>
          <w:i/>
          <w:szCs w:val="22"/>
          <w:u w:val="single"/>
        </w:rPr>
        <w:t>*</w:t>
      </w:r>
      <w:r w:rsidRPr="004E2DE7">
        <w:rPr>
          <w:rFonts w:cs="Arial"/>
          <w:iCs/>
          <w:szCs w:val="22"/>
          <w:u w:val="single"/>
        </w:rPr>
        <w:t>Authors contributed equally</w:t>
      </w:r>
    </w:p>
    <w:p w14:paraId="0605EB21" w14:textId="77777777" w:rsidR="004E2DE7" w:rsidRPr="004E2DE7" w:rsidRDefault="004E2DE7" w:rsidP="004E2DE7">
      <w:pPr>
        <w:ind w:left="720"/>
        <w:rPr>
          <w:rFonts w:cs="Arial"/>
          <w:szCs w:val="22"/>
        </w:rPr>
      </w:pPr>
    </w:p>
    <w:p w14:paraId="0B21302B" w14:textId="676B509A" w:rsidR="00F97102" w:rsidRDefault="00F97102" w:rsidP="00E337ED">
      <w:pPr>
        <w:ind w:firstLine="720"/>
        <w:rPr>
          <w:rFonts w:eastAsia="Times New Roman" w:cs="Arial"/>
          <w:szCs w:val="22"/>
        </w:rPr>
      </w:pPr>
      <w:r w:rsidRPr="00AB1BFA">
        <w:rPr>
          <w:rFonts w:eastAsia="Times New Roman" w:cs="Arial"/>
          <w:szCs w:val="22"/>
        </w:rPr>
        <w:t>This chapter has been adapted from its published format to accommodate new Figure, Table, and Equation enumeration. The Supplementary Information associated with this work may be found in the Appendix</w:t>
      </w:r>
      <w:r w:rsidRPr="004E2DE7">
        <w:rPr>
          <w:rFonts w:eastAsia="Times New Roman" w:cs="Arial"/>
          <w:szCs w:val="22"/>
        </w:rPr>
        <w:t xml:space="preserve"> section of this chapter. All</w:t>
      </w:r>
      <w:r w:rsidRPr="00AB1BFA">
        <w:rPr>
          <w:rFonts w:eastAsia="Times New Roman" w:cs="Arial"/>
          <w:szCs w:val="22"/>
        </w:rPr>
        <w:t xml:space="preserve"> references are located at the end of the document. </w:t>
      </w:r>
    </w:p>
    <w:p w14:paraId="1B001311" w14:textId="77777777" w:rsidR="00E337ED" w:rsidRPr="00E337ED" w:rsidRDefault="00E337ED" w:rsidP="00E337ED">
      <w:pPr>
        <w:ind w:firstLine="720"/>
        <w:jc w:val="left"/>
        <w:rPr>
          <w:rFonts w:eastAsia="Times New Roman" w:cs="Arial"/>
          <w:szCs w:val="22"/>
        </w:rPr>
      </w:pPr>
    </w:p>
    <w:p w14:paraId="6B8B596D" w14:textId="560B50A2" w:rsidR="0031140D" w:rsidRPr="0008141D" w:rsidRDefault="0008141D" w:rsidP="009E4CE7">
      <w:pPr>
        <w:pStyle w:val="ChapterHeading"/>
      </w:pPr>
      <w:bookmarkStart w:id="41" w:name="_Toc129701022"/>
      <w:r w:rsidRPr="0008141D">
        <w:t xml:space="preserve">3.1. </w:t>
      </w:r>
      <w:r w:rsidR="0031140D" w:rsidRPr="0008141D">
        <w:t>Abstract</w:t>
      </w:r>
      <w:bookmarkEnd w:id="41"/>
    </w:p>
    <w:p w14:paraId="26A391EE" w14:textId="6C70580A" w:rsidR="0008141D" w:rsidRDefault="0031140D" w:rsidP="0008141D">
      <w:pPr>
        <w:pBdr>
          <w:top w:val="nil"/>
          <w:left w:val="nil"/>
          <w:bottom w:val="nil"/>
          <w:right w:val="nil"/>
          <w:between w:val="nil"/>
        </w:pBdr>
        <w:spacing w:after="280"/>
        <w:ind w:firstLine="720"/>
        <w:contextualSpacing/>
        <w:rPr>
          <w:rFonts w:cs="Arial"/>
          <w:color w:val="000000"/>
          <w:szCs w:val="22"/>
        </w:rPr>
      </w:pPr>
      <w:bookmarkStart w:id="42" w:name="_Hlk36203793"/>
      <w:r w:rsidRPr="00A71FCF">
        <w:rPr>
          <w:rFonts w:cs="Arial"/>
          <w:color w:val="000000"/>
          <w:szCs w:val="22"/>
        </w:rPr>
        <w:t xml:space="preserve">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w:t>
      </w:r>
      <w:r w:rsidRPr="00A71FCF">
        <w:rPr>
          <w:rFonts w:cs="Arial"/>
          <w:color w:val="000000"/>
          <w:szCs w:val="22"/>
        </w:rPr>
        <w:lastRenderedPageBreak/>
        <w:t xml:space="preserve">compared to the non-engineered extract. The described approach melds the tools of systems and synthetic biology to showcase the effectiveness of cell-free metabolic engineering for applications like </w:t>
      </w:r>
      <w:proofErr w:type="spellStart"/>
      <w:r w:rsidRPr="00A71FCF">
        <w:rPr>
          <w:rFonts w:cs="Arial"/>
          <w:color w:val="000000"/>
          <w:szCs w:val="22"/>
        </w:rPr>
        <w:t>bioprototyping</w:t>
      </w:r>
      <w:proofErr w:type="spellEnd"/>
      <w:r w:rsidRPr="00A71FCF">
        <w:rPr>
          <w:rFonts w:cs="Arial"/>
          <w:color w:val="000000"/>
          <w:szCs w:val="22"/>
        </w:rPr>
        <w:t xml:space="preserve"> and bioproduction.</w:t>
      </w:r>
      <w:bookmarkEnd w:id="42"/>
    </w:p>
    <w:p w14:paraId="2CEE7716" w14:textId="77777777" w:rsidR="009A5F94" w:rsidRDefault="009A5F94" w:rsidP="0008141D">
      <w:pPr>
        <w:pBdr>
          <w:top w:val="nil"/>
          <w:left w:val="nil"/>
          <w:bottom w:val="nil"/>
          <w:right w:val="nil"/>
          <w:between w:val="nil"/>
        </w:pBdr>
        <w:spacing w:after="280"/>
        <w:ind w:firstLine="720"/>
        <w:contextualSpacing/>
        <w:rPr>
          <w:rFonts w:cs="Arial"/>
          <w:color w:val="000000"/>
          <w:szCs w:val="22"/>
        </w:rPr>
      </w:pPr>
    </w:p>
    <w:p w14:paraId="1DCE417D" w14:textId="1D40986B" w:rsidR="0031140D" w:rsidRPr="0008141D" w:rsidRDefault="0008141D" w:rsidP="009E4CE7">
      <w:pPr>
        <w:pStyle w:val="ChapterHeading"/>
      </w:pPr>
      <w:bookmarkStart w:id="43" w:name="_Toc129701023"/>
      <w:r w:rsidRPr="0008141D">
        <w:t>3.2. Introduction</w:t>
      </w:r>
      <w:bookmarkEnd w:id="43"/>
    </w:p>
    <w:p w14:paraId="44589AD3" w14:textId="1D1597DA" w:rsidR="0008141D" w:rsidRPr="00A71FCF" w:rsidRDefault="0031140D" w:rsidP="0091138B">
      <w:pPr>
        <w:pBdr>
          <w:top w:val="nil"/>
          <w:left w:val="nil"/>
          <w:bottom w:val="nil"/>
          <w:right w:val="nil"/>
          <w:between w:val="nil"/>
        </w:pBdr>
        <w:spacing w:after="280"/>
        <w:ind w:firstLine="720"/>
        <w:contextualSpacing/>
        <w:rPr>
          <w:rFonts w:cs="Arial"/>
          <w:color w:val="000000"/>
          <w:szCs w:val="22"/>
        </w:rPr>
      </w:pPr>
      <w:r w:rsidRPr="00A71FCF">
        <w:rPr>
          <w:rFonts w:cs="Arial"/>
          <w:color w:val="000000"/>
          <w:szCs w:val="22"/>
        </w:rPr>
        <w:t xml:space="preserve">Driven by the prospect of biological systems that can be easily manipulated, the application of synthetic biology tools to </w:t>
      </w:r>
      <w:r w:rsidRPr="00A71FCF">
        <w:rPr>
          <w:rFonts w:cs="Arial"/>
          <w:i/>
          <w:color w:val="000000"/>
          <w:szCs w:val="22"/>
        </w:rPr>
        <w:t>in vitro</w:t>
      </w:r>
      <w:r w:rsidRPr="00A71FCF">
        <w:rPr>
          <w:rFonts w:cs="Arial"/>
          <w:color w:val="000000"/>
          <w:szCs w:val="22"/>
        </w:rPr>
        <w:t xml:space="preserve"> environments offers a promising approach to harnessing an organism’s rich metabolic potential</w:t>
      </w:r>
      <w:r w:rsidRPr="00A71FCF">
        <w:rPr>
          <w:rFonts w:cs="Arial"/>
          <w:color w:val="000000"/>
          <w:szCs w:val="22"/>
        </w:rPr>
        <w:fldChar w:fldCharType="begin" w:fldLock="1"/>
      </w:r>
      <w:r w:rsidR="00567FF4">
        <w:rPr>
          <w:rFonts w:cs="Arial"/>
          <w:color w:val="000000"/>
          <w:szCs w:val="22"/>
        </w:rPr>
        <w:instrText>ADDIN CSL_CITATION {"citationItems":[{"id":"ITEM-1","itemData":{"DOI":"10.1002/cssc.201200365","ISBN":"1864-564X","ISSN":"18645631","PMID":"23086730","abstract":"The limited supply of fossil resources demands the development of renewable alternatives to petroleum-based products. Here, biobased higher alcohols such as isobutanol are versatile platform molecules for the synthesis of chemical commodities and fuels. Currently, their fermentation-based production is limited by the low tolerance of microbial production systems to the end products and also by the low substrate flux into cell metabolism. We developed an innovative cell-free approach, utilizing an artificial minimized glycolytic reaction cascade that only requires one single coenzyme. Using this toolbox the cell-free production of ethanol and isobutanol from glucose was achieved. We also confirmed that these streamlined cascades functioned under conditions at which microbial production would have ceased. Our system can be extended to an array of industrially-relevant molecules. Application of solvent-tolerant biocatalysts potentially allows for high product yields, which significantly simplifies downstream product recovery.","author":[{"dropping-particle":"","family":"Guterl","given":"Jan Karl","non-dropping-particle":"","parse-names":false,"suffix":""},{"dropping-particle":"","family":"Garbe","given":"Daniel","non-dropping-particle":"","parse-names":false,"suffix":""},{"dropping-particle":"","family":"Carsten","given":"Jörg","non-dropping-particle":"","parse-names":false,"suffix":""},{"dropping-particle":"","family":"Steffler","given":"Fabian","non-dropping-particle":"","parse-names":false,"suffix":""},{"dropping-particle":"","family":"Sommer","given":"Bettina","non-dropping-particle":"","parse-names":false,"suffix":""},{"dropping-particle":"","family":"Reiße","given":"Steven","non-dropping-particle":"","parse-names":false,"suffix":""},{"dropping-particle":"","family":"Philipp","given":"Anja","non-dropping-particle":"","parse-names":false,"suffix":""},{"dropping-particle":"","family":"Haack","given":"Martina","non-dropping-particle":"","parse-names":false,"suffix":""},{"dropping-particle":"","family":"Rühmann","given":"Broder","non-dropping-particle":"","parse-names":false,"suffix":""},{"dropping-particle":"","family":"Koltermann","given":"Andre","non-dropping-particle":"","parse-names":false,"suffix":""},{"dropping-particle":"","family":"Kettling","given":"Ulrich","non-dropping-particle":"","parse-names":false,"suffix":""},{"dropping-particle":"","family":"Brück","given":"Thomas","non-dropping-particle":"","parse-names":false,"suffix":""},{"dropping-particle":"","family":"Sieber","given":"Volker","non-dropping-particle":"","parse-names":false,"suffix":""}],"container-title":"ChemSusChem","id":"ITEM-1","issue":"11","issued":{"date-parts":[["2012"]]},"page":"2165-2172","title":"Cell-free metabolic engineering: Production of chemicals by minimized reaction cascades","type":"article-journal","volume":"5"},"uris":["http://www.mendeley.com/documents/?uuid=5aa91f3e-375d-430a-ae3f-e3367826986a","http://www.mendeley.com/documents/?uuid=cfbe8684-ee4f-4798-a260-047d2ef31379"]}],"mendeley":{"formattedCitation":"&lt;sup&gt;86&lt;/sup&gt;","plainTextFormattedCitation":"86","previouslyFormattedCitation":"&lt;sup&gt;86&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bCs/>
          <w:noProof/>
          <w:color w:val="000000"/>
          <w:szCs w:val="22"/>
          <w:vertAlign w:val="superscript"/>
        </w:rPr>
        <w:t>86</w:t>
      </w:r>
      <w:r w:rsidRPr="00A71FCF">
        <w:rPr>
          <w:rFonts w:cs="Arial"/>
          <w:color w:val="000000"/>
          <w:szCs w:val="22"/>
        </w:rPr>
        <w:fldChar w:fldCharType="end"/>
      </w:r>
      <w:r w:rsidRPr="00A71FCF">
        <w:rPr>
          <w:rFonts w:cs="Arial"/>
          <w:color w:val="000000"/>
          <w:szCs w:val="22"/>
        </w:rPr>
        <w:t xml:space="preserve">. Cell-free systems use cytoplasmic components, devoid of genetic material and membranes, as a means of producing complex chemical transformations. While living cells require membranes, growth substrates, and biochemical regulation, </w:t>
      </w:r>
      <w:r w:rsidRPr="00A71FCF">
        <w:rPr>
          <w:rFonts w:cs="Arial"/>
          <w:i/>
          <w:iCs/>
          <w:color w:val="000000"/>
          <w:szCs w:val="22"/>
        </w:rPr>
        <w:t>in vitro</w:t>
      </w:r>
      <w:r w:rsidRPr="00A71FCF">
        <w:rPr>
          <w:rFonts w:cs="Arial"/>
          <w:color w:val="000000"/>
          <w:szCs w:val="22"/>
        </w:rPr>
        <w:t xml:space="preserve"> systems sidestep these barriers to manipulation and present an opportunity to explicitly define a system for creating novel proteins and metabolites</w:t>
      </w:r>
      <w:r w:rsidRPr="00A71FCF">
        <w:rPr>
          <w:rFonts w:cs="Arial"/>
          <w:color w:val="000000"/>
          <w:szCs w:val="22"/>
        </w:rPr>
        <w:fldChar w:fldCharType="begin" w:fldLock="1"/>
      </w:r>
      <w:r w:rsidR="00567FF4">
        <w:rPr>
          <w:rFonts w:cs="Arial"/>
          <w:color w:val="000000"/>
          <w:szCs w:val="22"/>
        </w:rPr>
        <w:instrText>ADDIN CSL_CITATION {"citationItems":[{"id":"ITEM-1","itemData":{"DOI":"10.1021/sb200016s","ISBN":"2161-5063\\r2161-5063","ISSN":"21615063","PMID":"23651008","abstract":"Cell-free protein synthesis is becoming a powerful technique to construct and to study complex informational processes in vitro. Engineering synthetic gene circuits in a test tube, however, is seriously limited by the transcription repertoire of modern cell-free systems, composed of only a few bacteriophage regulatory elements. Here, we report the construction and the phenomenological characterization of synthetic gene circuits engineered with a cell-free expression toolbox that works with the seven E. coli sigma factors. The E. coli endogenous holoenzyme E(70) is used as the primary transcription machinery. Elementary circuit motifs, such as multiple stage cascades, AND gate and negative feedback loops are constructed with the six other sigma factors, two bacteriophage RNA polymerases, and a set of repressors. The circuit dynamics reveal the importance of the global mRNA turnover rate and of passive competition-induced transcriptional regulation. Cell-free reactions can be carried out over long periods of time with a small-scale dialysis reactor or in phospholipid vesicles, an artificial cell system. This toolbox is a unique platform to study complex transcription/translation-based biochemical systems in vitro.","author":[{"dropping-particle":"","family":"Shin","given":"Jonghyeon","non-dropping-particle":"","parse-names":false,"suffix":""},{"dropping-particle":"","family":"Noireaux","given":"Vincent","non-dropping-particle":"","parse-names":false,"suffix":""}],"container-title":"ACS Synthetic Biology","id":"ITEM-1","issue":"1","issued":{"date-parts":[["2012"]]},"page":"29-41","title":"An E. coli cell-free expression toolbox: Application to synthetic gene circuits and artificial cells","type":"article-journal","volume":"1"},"uris":["http://www.mendeley.com/documents/?uuid=f702e080-fef4-46b7-b323-2cd82d1a54b2","http://www.mendeley.com/documents/?uuid=c4ae1ada-192f-42e3-b5ea-d8b3a207953d"]}],"mendeley":{"formattedCitation":"&lt;sup&gt;87&lt;/sup&gt;","plainTextFormattedCitation":"87","previouslyFormattedCitation":"&lt;sup&gt;87&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bCs/>
          <w:noProof/>
          <w:color w:val="000000"/>
          <w:szCs w:val="22"/>
          <w:vertAlign w:val="superscript"/>
        </w:rPr>
        <w:t>87</w:t>
      </w:r>
      <w:r w:rsidRPr="00A71FCF">
        <w:rPr>
          <w:rFonts w:cs="Arial"/>
          <w:color w:val="000000"/>
          <w:szCs w:val="22"/>
        </w:rPr>
        <w:fldChar w:fldCharType="end"/>
      </w:r>
      <w:r w:rsidRPr="00A71FCF">
        <w:rPr>
          <w:rFonts w:cs="Arial"/>
          <w:color w:val="000000"/>
          <w:szCs w:val="22"/>
        </w:rPr>
        <w:t xml:space="preserve">. In this way, cell free metabolic engineering (CFME) can use the organism’s existing biochemical functions and further combine these capabilities with heterologous pathways to produce chemical precursors, biofuels, and pharmaceuticals. </w:t>
      </w:r>
    </w:p>
    <w:p w14:paraId="0C3DA241" w14:textId="499B3A56" w:rsidR="0008141D" w:rsidRPr="00A71FCF" w:rsidRDefault="0031140D" w:rsidP="0091138B">
      <w:pPr>
        <w:pBdr>
          <w:top w:val="nil"/>
          <w:left w:val="nil"/>
          <w:bottom w:val="nil"/>
          <w:right w:val="nil"/>
          <w:between w:val="nil"/>
        </w:pBdr>
        <w:spacing w:after="280"/>
        <w:ind w:firstLine="720"/>
        <w:contextualSpacing/>
        <w:rPr>
          <w:rFonts w:cs="Arial"/>
          <w:color w:val="000000"/>
          <w:szCs w:val="22"/>
        </w:rPr>
      </w:pPr>
      <w:bookmarkStart w:id="44" w:name="_Hlk31013252"/>
      <w:r w:rsidRPr="00A71FCF">
        <w:rPr>
          <w:rFonts w:cs="Arial"/>
          <w:color w:val="000000"/>
          <w:szCs w:val="22"/>
        </w:rPr>
        <w:t xml:space="preserve">Efforts to engineer cell free systems have taken different approaches. Ideally, a CFME system would contain a minimal set of components </w:t>
      </w:r>
      <w:bookmarkEnd w:id="44"/>
      <w:r w:rsidRPr="00A71FCF">
        <w:rPr>
          <w:rFonts w:cs="Arial"/>
          <w:color w:val="000000"/>
          <w:szCs w:val="22"/>
        </w:rPr>
        <w:t>necessary to carry out a desired biochemical process. Previous approaches employed a defined set of purified enzymes for producing high-yielding chemical conversions and have successfully demonstrated a variety of capabilities including chemical production and protein synthesis</w:t>
      </w:r>
      <w:r w:rsidRPr="00A71FCF">
        <w:rPr>
          <w:rFonts w:cs="Arial"/>
          <w:color w:val="000000"/>
          <w:szCs w:val="22"/>
        </w:rPr>
        <w:fldChar w:fldCharType="begin" w:fldLock="1"/>
      </w:r>
      <w:r w:rsidR="00567FF4">
        <w:rPr>
          <w:rFonts w:cs="Arial"/>
          <w:color w:val="000000"/>
          <w:szCs w:val="22"/>
        </w:rPr>
        <w:instrText>ADDIN CSL_CITATION {"citationItems":[{"id":"ITEM-1","itemData":{"DOI":"10.1038/nchembio.2062","ISSN":"1552-4450","PMID":"27065234","abstract":"Synthetic biochemistry, the cell-free production of biologically based chemicals, is a potentially high-yield, flexible alternative to in vivo metabolic engineering. To limit costs, cell-free systems must be designed to operate continuously with minimal addition of feedstock chemicals. We describe a robust, efficient synthetic glucose breakdown pathway and implement it for the production of bioplastic. The system's performance suggests that synthetic biochemistry has the potential to become a viable industrial alternative.","author":[{"dropping-particle":"","family":"Opgenorth","given":"Paul H","non-dropping-particle":"","parse-names":false,"suffix":""},{"dropping-particle":"","family":"Korman","given":"Tyler P","non-dropping-particle":"","parse-names":false,"suffix":""},{"dropping-particle":"","family":"Bowie","given":"James U","non-dropping-particle":"","parse-names":false,"suffix":""}],"container-title":"Nature Chemical Biology","id":"ITEM-1","issue":"6","issued":{"date-parts":[["2016"]]},"page":"1-4","publisher":"Nature Publishing Group","title":"A synthetic biochemistry module for production of bio-based chemicals from glucose","type":"article-journal","volume":"12"},"uris":["http://www.mendeley.com/documents/?uuid=741a89ac-d36a-44c1-be6c-0811f2d6d61a","http://www.mendeley.com/documents/?uuid=c0c5c3d1-fb5c-4764-9ab6-a474693628d7"]},{"id":"ITEM-2","itemData":{"DOI":"10.1021/sb3000029","ISSN":"2161-5063","PMID":"22737598","abstract":"Protein pathways are dynamic and highly coordinated spatially and temporally, capable of performing a diverse range of complex chemistries and enzymatic reactions with precision and at high efficiency. Biotechnology aims to harvest these natural systems to construct more advanced in vitro reactions, capable of new chemistries and operating at high yield. Here, we present an efficient Multiplex Automated Genome Engineering (MAGE) strategy to simultaneously modify and co-purify large protein complexes and pathways from the model organism Escherichia coli to reconstitute functional synthetic proteomes in vitro. By application of over 110 MAGE cycles, we successfully inserted hexa-histidine sequences into 38 essential genes in vivo that encode for the entire translation machinery. Streamlined co-purification and reconstitution of the translation protein complex enabled protein synthesis in vitro. Our approach can be applied to a growing area of applications in in vitro one-pot multienzyme catalysis (MEC) to manipulate or enhance in vitro pathways such as natural product or carbohydrate biosynthesis.","author":[{"dropping-particle":"","family":"Wang","given":"Harris H","non-dropping-particle":"","parse-names":false,"suffix":""},{"dropping-particle":"","family":"Huang","given":"Po-Yi","non-dropping-particle":"","parse-names":false,"suffix":""},{"dropping-particle":"","family":"Xu","given":"George","non-dropping-particle":"","parse-names":false,"suffix":""},{"dropping-particle":"","family":"Haas","given":"Wilhelm","non-dropping-particle":"","parse-names":false,"suffix":""},{"dropping-particle":"","family":"Marblestone","given":"Adam","non-dropping-particle":"","parse-names":false,"suffix":""},{"dropping-particle":"","family":"Li","given":"Jun","non-dropping-particle":"","parse-names":false,"suffix":""},{"dropping-particle":"","family":"Gygi","given":"Steven P","non-dropping-particle":"","parse-names":false,"suffix":""},{"dropping-particle":"","family":"Forster","given":"Anthony C","non-dropping-particle":"","parse-names":false,"suffix":""},{"dropping-particle":"","family":"Jewett","given":"Michael C","non-dropping-particle":"","parse-names":false,"suffix":""},{"dropping-particle":"","family":"Church","given":"George M","non-dropping-particle":"","parse-names":false,"suffix":""}],"container-title":"ACS synthetic biology","id":"ITEM-2","issue":"2","issued":{"date-parts":[["2012","2","17"]]},"page":"43-52","publisher":"NIH Public Access","title":"Multiplexed in vivo His-tagging of enzyme pathways for in vitro single-pot multienzyme catalysis.","type":"article-journal","volume":"1"},"uris":["http://www.mendeley.com/documents/?uuid=7c2d7024-c1bd-31dd-89f1-e508b70fc2b0"]}],"mendeley":{"formattedCitation":"&lt;sup&gt;57,88&lt;/sup&gt;","plainTextFormattedCitation":"57,88","previouslyFormattedCitation":"&lt;sup&gt;57,88&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bCs/>
          <w:noProof/>
          <w:color w:val="000000"/>
          <w:szCs w:val="22"/>
          <w:vertAlign w:val="superscript"/>
        </w:rPr>
        <w:t>57,88</w:t>
      </w:r>
      <w:r w:rsidRPr="00A71FCF">
        <w:rPr>
          <w:rFonts w:cs="Arial"/>
          <w:color w:val="000000"/>
          <w:szCs w:val="22"/>
        </w:rPr>
        <w:fldChar w:fldCharType="end"/>
      </w:r>
      <w:r w:rsidRPr="00A71FCF">
        <w:rPr>
          <w:rFonts w:cs="Arial"/>
          <w:color w:val="000000"/>
          <w:szCs w:val="22"/>
        </w:rPr>
        <w:t>. Constructing complex, multistep pathways require significant development and upfront costs as utilizing purified proteins at scale remains costly</w:t>
      </w:r>
      <w:r w:rsidRPr="00A71FCF">
        <w:rPr>
          <w:rFonts w:cs="Arial"/>
          <w:color w:val="000000"/>
          <w:szCs w:val="22"/>
        </w:rPr>
        <w:fldChar w:fldCharType="begin" w:fldLock="1"/>
      </w:r>
      <w:r w:rsidR="00567FF4">
        <w:rPr>
          <w:rFonts w:cs="Arial"/>
          <w:color w:val="000000"/>
          <w:szCs w:val="22"/>
        </w:rPr>
        <w:instrText>ADDIN CSL_CITATION {"citationItems":[{"id":"ITEM-1","itemData":{"DOI":"10.1038/ncomms15526","ISSN":"20411723","abstract":"Cell-free systems designed to perform complex chemical conversions of biomass to biofuels or commodity chemicals are emerging as promising alternatives to the metabolic engineering of living cells. Here we design a system comprises 27 enzymes for the conversion of glucose into monoterpenes that generates both NAD(P)H and ATP in a modified glucose breakdown module and utilizes both cofactors for building terpenes. Different monoterpenes are produced in our system by changing the terpene synthase enzyme. The system is stable for the production of limonene, pinene and sabinene, and can operate continuously for at least 5 days from a single addition of glucose. We obtain conversion yields 495% and titres 415 g l À 1 . The titres are an order of magnitude over cellular toxicity limits and thus difficult to achieve using cell-based systems. Overall, these results highlight the potential of synthetic biochemistry approaches for producing bio-based chemicals.","author":[{"dropping-particle":"","family":"Korman","given":"Tyler P.","non-dropping-particle":"","parse-names":false,"suffix":""},{"dropping-particle":"","family":"Opgenorth","given":"Paul H.","non-dropping-particle":"","parse-names":false,"suffix":""},{"dropping-particle":"","family":"Bowie","given":"James U.","non-dropping-particle":"","parse-names":false,"suffix":""}],"container-title":"Nature Communications","id":"ITEM-1","issue":"May","issued":{"date-parts":[["2017"]]},"page":"1-8","publisher":"Nature Publishing Group","title":"A synthetic biochemistry platform for cell free production of monoterpenes from glucose","type":"article-journal","volume":"8"},"uris":["http://www.mendeley.com/documents/?uuid=99ac01cd-0803-428d-9432-ca604a9e28c0","http://www.mendeley.com/documents/?uuid=dcddd9f5-5244-43c2-984f-ffa62b217d88"]}],"mendeley":{"formattedCitation":"&lt;sup&gt;40&lt;/sup&gt;","plainTextFormattedCitation":"40","previouslyFormattedCitation":"&lt;sup&gt;40&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bCs/>
          <w:noProof/>
          <w:color w:val="000000"/>
          <w:szCs w:val="22"/>
          <w:vertAlign w:val="superscript"/>
        </w:rPr>
        <w:t>40</w:t>
      </w:r>
      <w:r w:rsidRPr="00A71FCF">
        <w:rPr>
          <w:rFonts w:cs="Arial"/>
          <w:color w:val="000000"/>
          <w:szCs w:val="22"/>
        </w:rPr>
        <w:fldChar w:fldCharType="end"/>
      </w:r>
      <w:r w:rsidRPr="00A71FCF">
        <w:rPr>
          <w:rFonts w:cs="Arial"/>
          <w:color w:val="000000"/>
          <w:szCs w:val="22"/>
        </w:rPr>
        <w:t xml:space="preserve">. Further, these purified component systems can exhibit slow catalysis rates, possibly due to the lack of accessory proteins and appropriate protein concentrations capable of </w:t>
      </w:r>
      <w:r w:rsidRPr="00A71FCF">
        <w:rPr>
          <w:rFonts w:cs="Arial"/>
          <w:color w:val="000000"/>
          <w:szCs w:val="22"/>
        </w:rPr>
        <w:lastRenderedPageBreak/>
        <w:t>improving pathway yield</w:t>
      </w:r>
      <w:r w:rsidRPr="00A71FCF">
        <w:rPr>
          <w:rFonts w:cs="Arial"/>
          <w:color w:val="000000"/>
          <w:szCs w:val="22"/>
        </w:rPr>
        <w:fldChar w:fldCharType="begin" w:fldLock="1"/>
      </w:r>
      <w:r w:rsidR="00567FF4">
        <w:rPr>
          <w:rFonts w:cs="Arial"/>
          <w:color w:val="000000"/>
          <w:szCs w:val="22"/>
        </w:rPr>
        <w:instrText>ADDIN CSL_CITATION {"citationItems":[{"id":"ITEM-1","itemData":{"DOI":"10.1038/ncomms15526","ISSN":"20411723","abstract":"Cell-free systems designed to perform complex chemical conversions of biomass to biofuels or commodity chemicals are emerging as promising alternatives to the metabolic engineering of living cells. Here we design a system comprises 27 enzymes for the conversion of glucose into monoterpenes that generates both NAD(P)H and ATP in a modified glucose breakdown module and utilizes both cofactors for building terpenes. Different monoterpenes are produced in our system by changing the terpene synthase enzyme. The system is stable for the production of limonene, pinene and sabinene, and can operate continuously for at least 5 days from a single addition of glucose. We obtain conversion yields 495% and titres 415 g l À 1 . The titres are an order of magnitude over cellular toxicity limits and thus difficult to achieve using cell-based systems. Overall, these results highlight the potential of synthetic biochemistry approaches for producing bio-based chemicals.","author":[{"dropping-particle":"","family":"Korman","given":"Tyler P.","non-dropping-particle":"","parse-names":false,"suffix":""},{"dropping-particle":"","family":"Opgenorth","given":"Paul H.","non-dropping-particle":"","parse-names":false,"suffix":""},{"dropping-particle":"","family":"Bowie","given":"James U.","non-dropping-particle":"","parse-names":false,"suffix":""}],"container-title":"Nature Communications","id":"ITEM-1","issue":"May","issued":{"date-parts":[["2017"]]},"page":"1-8","publisher":"Nature Publishing Group","title":"A synthetic biochemistry platform for cell free production of monoterpenes from glucose","type":"article-journal","volume":"8"},"uris":["http://www.mendeley.com/documents/?uuid=dcddd9f5-5244-43c2-984f-ffa62b217d88","http://www.mendeley.com/documents/?uuid=99ac01cd-0803-428d-9432-ca604a9e28c0"]}],"mendeley":{"formattedCitation":"&lt;sup&gt;40&lt;/sup&gt;","plainTextFormattedCitation":"40","previouslyFormattedCitation":"&lt;sup&gt;40&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noProof/>
          <w:color w:val="000000"/>
          <w:szCs w:val="22"/>
          <w:vertAlign w:val="superscript"/>
        </w:rPr>
        <w:t>40</w:t>
      </w:r>
      <w:r w:rsidRPr="00A71FCF">
        <w:rPr>
          <w:rFonts w:cs="Arial"/>
          <w:color w:val="000000"/>
          <w:szCs w:val="22"/>
        </w:rPr>
        <w:fldChar w:fldCharType="end"/>
      </w:r>
      <w:r w:rsidRPr="00A71FCF">
        <w:rPr>
          <w:rFonts w:cs="Arial"/>
          <w:color w:val="000000"/>
          <w:szCs w:val="22"/>
        </w:rPr>
        <w:t>. Nevertheless, long running CFME systems that can catalyze multi-step reaction pathways for days have been developed</w:t>
      </w:r>
      <w:r w:rsidRPr="00A71FCF">
        <w:rPr>
          <w:rFonts w:cs="Arial"/>
          <w:color w:val="000000"/>
          <w:szCs w:val="22"/>
        </w:rPr>
        <w:fldChar w:fldCharType="begin" w:fldLock="1"/>
      </w:r>
      <w:r w:rsidR="00567FF4">
        <w:rPr>
          <w:rFonts w:cs="Arial"/>
          <w:color w:val="000000"/>
          <w:szCs w:val="22"/>
        </w:rPr>
        <w:instrText>ADDIN CSL_CITATION {"citationItems":[{"id":"ITEM-1","itemData":{"DOI":"10.1038/nchembio.2062","ISSN":"1552-4450","PMID":"27065234","abstract":"Synthetic biochemistry, the cell-free production of biologically based chemicals, is a potentially high-yield, flexible alternative to in vivo metabolic engineering. To limit costs, cell-free systems must be designed to operate continuously with minimal addition of feedstock chemicals. We describe a robust, efficient synthetic glucose breakdown pathway and implement it for the production of bioplastic. The system's performance suggests that synthetic biochemistry has the potential to become a viable industrial alternative.","author":[{"dropping-particle":"","family":"Opgenorth","given":"Paul H","non-dropping-particle":"","parse-names":false,"suffix":""},{"dropping-particle":"","family":"Korman","given":"Tyler P","non-dropping-particle":"","parse-names":false,"suffix":""},{"dropping-particle":"","family":"Bowie","given":"James U","non-dropping-particle":"","parse-names":false,"suffix":""}],"container-title":"Nature Chemical Biology","id":"ITEM-1","issue":"6","issued":{"date-parts":[["2016"]]},"page":"1-4","publisher":"Nature Publishing Group","title":"A synthetic biochemistry module for production of bio-based chemicals from glucose","type":"article-journal","volume":"12"},"uris":["http://www.mendeley.com/documents/?uuid=c0c5c3d1-fb5c-4764-9ab6-a474693628d7"]}],"mendeley":{"formattedCitation":"&lt;sup&gt;57&lt;/sup&gt;","plainTextFormattedCitation":"57","previouslyFormattedCitation":"&lt;sup&gt;57&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noProof/>
          <w:color w:val="000000"/>
          <w:szCs w:val="22"/>
          <w:vertAlign w:val="superscript"/>
        </w:rPr>
        <w:t>57</w:t>
      </w:r>
      <w:r w:rsidRPr="00A71FCF">
        <w:rPr>
          <w:rFonts w:cs="Arial"/>
          <w:color w:val="000000"/>
          <w:szCs w:val="22"/>
        </w:rPr>
        <w:fldChar w:fldCharType="end"/>
      </w:r>
      <w:r w:rsidRPr="00A71FCF">
        <w:rPr>
          <w:rFonts w:cs="Arial"/>
          <w:color w:val="000000"/>
          <w:szCs w:val="22"/>
        </w:rPr>
        <w:t>.</w:t>
      </w:r>
    </w:p>
    <w:p w14:paraId="7D4D8CAD" w14:textId="540661D4" w:rsidR="0091138B" w:rsidRPr="00A71FCF" w:rsidRDefault="0031140D" w:rsidP="0091138B">
      <w:pPr>
        <w:pBdr>
          <w:top w:val="nil"/>
          <w:left w:val="nil"/>
          <w:bottom w:val="nil"/>
          <w:right w:val="nil"/>
          <w:between w:val="nil"/>
        </w:pBdr>
        <w:ind w:firstLine="720"/>
        <w:contextualSpacing/>
        <w:rPr>
          <w:rFonts w:cs="Arial"/>
          <w:color w:val="000000"/>
          <w:szCs w:val="22"/>
        </w:rPr>
      </w:pPr>
      <w:r w:rsidRPr="00A71FCF">
        <w:rPr>
          <w:rFonts w:cs="Arial"/>
          <w:color w:val="000000"/>
          <w:szCs w:val="22"/>
        </w:rPr>
        <w:t>The use of crude cell extracts presents an alternative approach to CFME.  Simple cell lysis and minimal fractionation can be rapidly carried out and result in complex enzyme mixtures for a fraction of the cost of purified components</w:t>
      </w:r>
      <w:r w:rsidRPr="00A71FCF">
        <w:rPr>
          <w:rFonts w:cs="Arial"/>
          <w:color w:val="000000"/>
          <w:szCs w:val="22"/>
        </w:rPr>
        <w:fldChar w:fldCharType="begin" w:fldLock="1"/>
      </w:r>
      <w:r w:rsidR="00567FF4">
        <w:rPr>
          <w:rFonts w:cs="Arial"/>
          <w:color w:val="000000"/>
          <w:szCs w:val="22"/>
        </w:rPr>
        <w:instrText>ADDIN CSL_CITATION {"citationItems":[{"id":"ITEM-1","itemData":{"DOI":"10.3791/50762","ISBN":"1940-087X; 1940-087X","ISSN":"1940-087X","PMID":"24084388","abstract":"Ideal cell-free expression systems can theoretically emulate an in vivo cellular environment in a controlled in vitro platform. This is useful for expressing proteins and genetic circuits in a controlled manner as well as for providing a prototyping environment for synthetic biology. To achieve the latter goal, cell-free expression systems that preserve endogenous Escherichia coli transcription-translation mechanisms are able to more accurately reflect in vivo cellular dynamics than those based on T7 RNA polymerase transcription. We describe the preparation and execution of an efficient endogenous E. coli based transcription-translation (TX-TL) cell-free expression system that can produce equivalent amounts of protein as T7-based systems at a 98% cost reduction to similar commercial systems. The preparation of buffers and crude cell extract are described, as well as the execution of a three tube TX-TL reaction. The entire protocol takes five days to prepare and yields enough material for up to 3000 single reactions in one preparation. Once prepared, each reaction takes under 8 hr from setup to data collection and analysis. Mechanisms of regulation and transcription exogenous to E. coli, such as lac/tet repressors and T7 RNA polymerase, can be supplemented. Endogenous properties, such as mRNA and DNA degradation rates, can also be adjusted. The TX-TL cell-free expression system has been demonstrated for large-scale circuit assembly, exploring biological phenomena, and expression of proteins under both T7- and endogenous promoters. Accompanying mathematical models are available. The resulting system has unique applications in synthetic biology as a prototyping environment, or \"TX-TL biomolecular breadboard.\"","author":[{"dropping-particle":"","family":"Sun","given":"Zachary Z","non-dropping-particle":"","parse-names":false,"suffix":""},{"dropping-particle":"","family":"Hayes","given":"Clarmyra a","non-dropping-particle":"","parse-names":false,"suffix":""},{"dropping-particle":"","family":"Shin","given":"Jonghyeon","non-dropping-particle":"","parse-names":false,"suffix":""},{"dropping-particle":"","family":"Caschera","given":"Filippo","non-dropping-particle":"","parse-names":false,"suffix":""},{"dropping-particle":"","family":"Murray","given":"Richard M","non-dropping-particle":"","parse-names":false,"suffix":""},{"dropping-particle":"","family":"Noireaux","given":"Vincent","non-dropping-particle":"","parse-names":false,"suffix":""}],"container-title":"Journal of visualized experiments : JoVE","id":"ITEM-1","issue":"79","issued":{"date-parts":[["2013"]]},"page":"e50762","title":"Protocols for implementing an Escherichia coli based TX-TL cell-free expression system for synthetic biology.","type":"article-journal"},"uris":["http://www.mendeley.com/documents/?uuid=cd6c63f9-4842-498a-babd-5e3414e67e4d","http://www.mendeley.com/documents/?uuid=467ccbde-3629-4c7c-b25c-26e1e091496d"]},{"id":"ITEM-2","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Engineering","id":"ITEM-2","issued":{"date-parts":[["2015"]]},"page":"133-142","title":"Lysate of engineered Escherichia coli supports high-level conversion of glucose to 2,3-butanediol","type":"article-journal","volume":"32"},"uris":["http://www.mendeley.com/documents/?uuid=2585804e-c32e-4b75-b10d-018035586fec","http://www.mendeley.com/documents/?uuid=cb5185b2-2e9e-42b5-808e-ce918d13a7be"]},{"id":"ITEM-3","itemData":{"DOI":"10.1021/acschembio.9b00725","ISSN":"15548937","PMID":"31693336","abstract":"Elucidating the interaction networks associated with secondary metabolite production in microorganisms is an ongoing challenge made all the more daunting by the rate at which DNA sequencing technology reveals new genes and potential pathways. Developing the culturing methods, expression conditions, and genetic systems needed for validating pathways in newly discovered microorganisms is often not possible. Therefore, new tools and techniques are needed for defining complex metabolic pathways. Here, we describe an in vitro computationally assisted pathway description approach that employs bioinformatic searches of genome databases, protein structural modeling, and protein-ligand-docking simulations to predict the gene products most likely to be involved in a particular secondary metabolite production pathway. This information is then used to direct in vitro reconstructions of the pathway and subsequent confirmation of pathway activity using crude enzyme preparations. As a test system, we elucidated the pathway for biosynthesis of indole-3-acetic acid (IAA) in the plant-associated microbe Pantoea sp. YR343. This organism is capable of metabolizing tryptophan into the plant phytohormone IAA. BLAST analyses identified a likely three-step pathway involving an amino transferase, an indole pyruvate decarboxylase, and a dehydrogenase. However, multiple candidate enzymes were identified at each step, resulting in a large number of potential pathway reconstructions (32 different enzyme combinations). Our approach shows the effectiveness of crude extracts to rapidly elucidate enzymes leading to functional pathways. Results are compared to affinity purified enzymes for select combinations and found to yield similar relative activities. Further, in vitro testing of the pathway reconstructions revealed the \"underground\" nature of IAA metabolism in Pantoea sp. YR343 and the various mechanisms used to produce IAA. Importantly, our experiments illustrate the scalable integration of computational tools and cell-free enzymatic reactions to identify and validate metabolic pathways in a broadly applicable manner.","author":[{"dropping-particle":"","family":"Garcia","given":"David C.","non-dropping-particle":"","parse-names":false,"suffix":""},{"dropping-particle":"","family":"Cheng","given":"Xiaolin","non-dropping-particle":"","parse-names":false,"suffix":""},{"dropping-particle":"","family":"Land","given":"Miriam L.","non-dropping-particle":"","parse-names":false,"suffix":""},{"dropping-particle":"","family":"Standaert","given":"Robert F.","non-dropping-particle":"","parse-names":false,"suffix":""},{"dropping-particle":"","family":"Morrell-Falvey","given":"Jennifer L.","non-dropping-particle":"","parse-names":false,"suffix":""},{"dropping-particle":"","family":"Doktycz","given":"Mitchel J.","non-dropping-particle":"","parse-names":false,"suffix":""}],"container-title":"ACS Chemical Biology","id":"ITEM-3","issue":"12","issued":{"date-parts":[["2019","11"]]},"page":"2867-2875","title":"Computationally Guided Discovery and Experimental Validation of Indole-3-acetic Acid Synthesis Pathways","type":"article-journal","volume":"14"},"uris":["http://www.mendeley.com/documents/?uuid=c08fddc1-90fa-3c35-a408-c22abd5abcb4","http://www.mendeley.com/documents/?uuid=3eab18cf-b92b-4793-8cc5-a7907fafc8e2"]}],"mendeley":{"formattedCitation":"&lt;sup&gt;46,77,89&lt;/sup&gt;","plainTextFormattedCitation":"46,77,89","previouslyFormattedCitation":"&lt;sup&gt;46,77,89&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bCs/>
          <w:noProof/>
          <w:color w:val="000000"/>
          <w:szCs w:val="22"/>
          <w:vertAlign w:val="superscript"/>
        </w:rPr>
        <w:t>46,77,89</w:t>
      </w:r>
      <w:r w:rsidRPr="00A71FCF">
        <w:rPr>
          <w:rFonts w:cs="Arial"/>
          <w:color w:val="000000"/>
          <w:szCs w:val="22"/>
        </w:rPr>
        <w:fldChar w:fldCharType="end"/>
      </w:r>
      <w:r w:rsidRPr="00A71FCF">
        <w:rPr>
          <w:rFonts w:cs="Arial"/>
          <w:color w:val="000000"/>
          <w:szCs w:val="22"/>
        </w:rPr>
        <w:t xml:space="preserve">. Crude extract systems derived from both commonly used cell-free model organisms, such as </w:t>
      </w:r>
      <w:r w:rsidRPr="00A71FCF">
        <w:rPr>
          <w:rFonts w:cs="Arial"/>
          <w:i/>
          <w:iCs/>
          <w:color w:val="000000"/>
          <w:szCs w:val="22"/>
        </w:rPr>
        <w:t>E. coli</w:t>
      </w:r>
      <w:r w:rsidRPr="00A71FCF">
        <w:rPr>
          <w:rFonts w:cs="Arial"/>
          <w:color w:val="000000"/>
          <w:szCs w:val="22"/>
        </w:rPr>
        <w:t xml:space="preserve"> BL21 Star (DE3), or nontraditional strains, such as </w:t>
      </w:r>
      <w:r w:rsidRPr="00A71FCF">
        <w:rPr>
          <w:rFonts w:cs="Arial"/>
          <w:i/>
          <w:iCs/>
          <w:color w:val="000000"/>
          <w:szCs w:val="22"/>
        </w:rPr>
        <w:t xml:space="preserve">Vibrio </w:t>
      </w:r>
      <w:proofErr w:type="spellStart"/>
      <w:r w:rsidRPr="00A71FCF">
        <w:rPr>
          <w:rFonts w:cs="Arial"/>
          <w:i/>
          <w:iCs/>
          <w:color w:val="000000"/>
          <w:szCs w:val="22"/>
        </w:rPr>
        <w:t>natriegens</w:t>
      </w:r>
      <w:proofErr w:type="spellEnd"/>
      <w:r w:rsidRPr="00A71FCF">
        <w:rPr>
          <w:rFonts w:cs="Arial"/>
          <w:color w:val="000000"/>
          <w:szCs w:val="22"/>
        </w:rPr>
        <w:t xml:space="preserve">, contain a similar biochemistry to the donor cell and can serve as both prototyping tools for </w:t>
      </w:r>
      <w:r w:rsidRPr="00A71FCF">
        <w:rPr>
          <w:rFonts w:cs="Arial"/>
          <w:i/>
          <w:iCs/>
          <w:color w:val="000000"/>
          <w:szCs w:val="22"/>
        </w:rPr>
        <w:t>in vivo</w:t>
      </w:r>
      <w:r w:rsidRPr="00A71FCF">
        <w:rPr>
          <w:rFonts w:cs="Arial"/>
          <w:color w:val="000000"/>
          <w:szCs w:val="22"/>
        </w:rPr>
        <w:t xml:space="preserve"> metabolic engineering and as bioproduction platforms</w:t>
      </w:r>
      <w:r w:rsidRPr="00A71FCF">
        <w:rPr>
          <w:rFonts w:cs="Arial"/>
          <w:color w:val="000000"/>
          <w:szCs w:val="22"/>
        </w:rPr>
        <w:fldChar w:fldCharType="begin" w:fldLock="1"/>
      </w:r>
      <w:r w:rsidR="00567FF4">
        <w:rPr>
          <w:rFonts w:cs="Arial"/>
          <w:color w:val="000000"/>
          <w:szCs w:val="22"/>
        </w:rPr>
        <w:instrText>ADDIN CSL_CITATION {"citationItems":[{"id":"ITEM-1","itemData":{"DOI":"10.1021/acs.analchem.7b02555","ISSN":"0003-2700","abstract":"Cell-free protein synthesis (CFPS) has the potential to produce enzymes, therapeutic agents, and other proteins, while circumventing difficulties associated with in vivo heterologous expression. However, the contents of the cell-free extracts used to carry out synthesis are generally not characterized, which hampers progress toward enhancing yield or functional activity of the target protein. We explored the utility of mass spectrometry (MS)-based proteomics for characterizing the bacterial extracts used for transcribing and translating gene sequences into proteins as well as the products of CFPS reactions. Full proteome experiments identified over 1000 proteins per reaction. The complete set of proteins necessary for transcription and translation were found, demonstrating the ability to define potential metabolic capabilities of the extract. Further, MS-based techniques allowed characterization of the CFPS product and provided insight into the synthesis reaction and potential functional activity of the p...","author":[{"dropping-particle":"","family":"Hurst","given":"Gregory B.","non-dropping-particle":"","parse-names":false,"suffix":""},{"dropping-particle":"","family":"Asano","given":"Keiji G.","non-dropping-particle":"","parse-names":false,"suffix":""},{"dropping-particle":"","family":"Doktycz","given":"Charles J.","non-dropping-particle":"","parse-names":false,"suffix":""},{"dropping-particle":"","family":"Consoli","given":"Elliot J.","non-dropping-particle":"","parse-names":false,"suffix":""},{"dropping-particle":"","family":"Doktycz","given":"William L.","non-dropping-particle":"","parse-names":false,"suffix":""},{"dropping-particle":"","family":"Foster","given":"Carmen M.","non-dropping-particle":"","parse-names":false,"suffix":""},{"dropping-particle":"","family":"Morrell-Falvey","given":"Jennifer L.","non-dropping-particle":"","parse-names":false,"suffix":""},{"dropping-particle":"","family":"Standaert","given":"Robert F.","non-dropping-particle":"","parse-names":false,"suffix":""},{"dropping-particle":"","family":"Doktycz","given":"Mitchel J.","non-dropping-particle":"","parse-names":false,"suffix":""}],"container-title":"Analytical Chemistry","id":"ITEM-1","issued":{"date-parts":[["2017"]]},"page":"acs.analchem.7b02555","title":"Proteomics-Based Tools for Evaluation of Cell-Free Protein Synthesis","type":"article-journal"},"uris":["http://www.mendeley.com/documents/?uuid=3c2e5f51-3210-4b0e-9eb6-080df9a1d0f9","http://www.mendeley.com/documents/?uuid=be6a8e01-67a6-41c4-893e-4b940bde13bc"]},{"id":"ITEM-2","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Engineering","id":"ITEM-2","issued":{"date-parts":[["2015"]]},"page":"133-142","title":"Lysate of engineered Escherichia coli supports high-level conversion of glucose to 2,3-butanediol","type":"article-journal","volume":"32"},"uris":["http://www.mendeley.com/documents/?uuid=cb5185b2-2e9e-42b5-808e-ce918d13a7be"]},{"id":"ITEM-3","itemData":{"DOI":"10.1073/pnas.1417719112","ISSN":"10916490","abstract":"The use of hydrogen (H&lt;inf&gt;2&lt;/inf&gt;) as a fuel offers enhanced energy conversion efficiency and tremendous potential to decrease greenhouse gas emissions, but producing it in a distributed, carbon-neutral, low-cost manner requires new technologies. Herein we demonstrate the complete conversion of glucose and xylose from plant biomass to H&lt;inf&gt;2&lt;/inf&gt; and CO&lt;inf&gt;2&lt;/inf&gt; based on an in vitro synthetic enzymatic pathway. Glucose and xylose were simultaneously converted to H&lt;inf&gt;2&lt;/inf&gt; with a yield of two H&lt;inf&gt;2&lt;/inf&gt; per carbon, the maximum possible yield. Parameters of a nonlinear kinetic model were fitted with experimental data using a genetic algorithm, and a global sensitivity analysis was used to identify the enzymes that have the greatest impact on reaction rate and yield. After optimizing enzyme loadings using this model, volumetric H&lt;inf&gt;2&lt;/inf&gt; productivity was increased 3-fold to 32 mmol H&lt;inf&gt;2&lt;/inf&gt;·L&lt;sup&gt;-1&lt;/sup&gt;·h&lt;sup&gt;-1&lt;/sup&gt;. The productivity was further enhanced to 54 mmol H&lt;inf&gt;2&lt;/inf&gt;·L&lt;sup&gt;-1&lt;/sup&gt;·h&lt;sup&gt;-1&lt;/sup&gt; by increasing reaction temperature, substrate, and enzyme concentrations - an increase of 67-fold compared with the initial studies using this method. The production of hydrogen from locally produced biomass is a promising means to achieve global green energy production.","author":[{"dropping-particle":"","family":"Rollin","given":"Joseph A.","non-dropping-particle":"","parse-names":false,"suffix":""},{"dropping-particle":"","family":"Campo","given":"Julia Martin","non-dropping-particle":"Del","parse-names":false,"suffix":""},{"dropping-particle":"","family":"Myung","given":"Suwan","non-dropping-particle":"","parse-names":false,"suffix":""},{"dropping-particle":"","family":"Sun","given":"Fangfang","non-dropping-particle":"","parse-names":false,"suffix":""},{"dropping-particle":"","family":"You","given":"Chun","non-dropping-particle":"","parse-names":false,"suffix":""},{"dropping-particle":"","family":"Bakovic","given":"Allison","non-dropping-particle":"","parse-names":false,"suffix":""},{"dropping-particle":"","family":"Castro","given":"Roberto","non-dropping-particle":"","parse-names":false,"suffix":""},{"dropping-particle":"","family":"Chandrayan","given":"Sanjeev K.","non-dropping-particle":"","parse-names":false,"suffix":""},{"dropping-particle":"","family":"Wu","given":"Chang Hao","non-dropping-particle":"","parse-names":false,"suffix":""},{"dropping-particle":"","family":"Adams","given":"Michael W.W.","non-dropping-particle":"","parse-names":false,"suffix":""},{"dropping-particle":"","family":"Senger","given":"Ryan S.","non-dropping-particle":"","parse-names":false,"suffix":""},{"dropping-particle":"","family":"Zhang","given":"Y. H.Percival","non-dropping-particle":"","parse-names":false,"suffix":""}],"container-title":"Proceedings of the National Academy of Sciences of the United States of America","id":"ITEM-3","issue":"16","issued":{"date-parts":[["2015"]]},"page":"4964-4969","title":"High-yield hydrogen production from biomass by in vitro metabolic engineering: Mixed sugars coutilization and kinetic modeling","type":"article-journal","volume":"112"},"uris":["http://www.mendeley.com/documents/?uuid=aef2d20b-fd9d-4e02-87c6-d630122ab47c","http://www.mendeley.com/documents/?uuid=0f091609-3f79-4ab2-a827-f951b5d28c7d"]},{"id":"ITEM-4","itemData":{"DOI":"10.3791/59495","ISBN":"0000000000","ISSN":"1940-087X","author":[{"dropping-particle":"","family":"Wiegand","given":"Daniel J.","non-dropping-particle":"","parse-names":false,"suffix":""},{"dropping-particle":"","family":"Lee","given":"Henry H.","non-dropping-particle":"","parse-names":false,"suffix":""},{"dropping-particle":"","family":"Ostrov","given":"Nili","non-dropping-particle":"","parse-names":false,"suffix":""},{"dropping-particle":"","family":"Church","given":"George M.","non-dropping-particle":"","parse-names":false,"suffix":""}],"container-title":"Journal of Visualized Experiments","id":"ITEM-4","issue":"145","issued":{"date-parts":[["2019","3"]]},"page":"139-148","title":"Cell-free Protein Expression Using the Rapidly Growing Bacterium &lt;em&gt;Vibrio natriegens&lt;/em&gt;","type":"article-journal","volume":"176"},"uris":["http://www.mendeley.com/documents/?uuid=eea43f69-054c-46df-8419-6884af574ac8","http://www.mendeley.com/documents/?uuid=a2f6fe8b-5708-415a-a0c3-a032f7af9ec1"]}],"mendeley":{"formattedCitation":"&lt;sup&gt;46,90–92&lt;/sup&gt;","plainTextFormattedCitation":"46,90–92","previouslyFormattedCitation":"&lt;sup&gt;46,90–92&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bCs/>
          <w:noProof/>
          <w:color w:val="000000"/>
          <w:szCs w:val="22"/>
          <w:vertAlign w:val="superscript"/>
        </w:rPr>
        <w:t>46,90–92</w:t>
      </w:r>
      <w:r w:rsidRPr="00A71FCF">
        <w:rPr>
          <w:rFonts w:cs="Arial"/>
          <w:color w:val="000000"/>
          <w:szCs w:val="22"/>
        </w:rPr>
        <w:fldChar w:fldCharType="end"/>
      </w:r>
      <w:r w:rsidRPr="00A71FCF">
        <w:rPr>
          <w:rFonts w:cs="Arial"/>
          <w:color w:val="000000"/>
          <w:szCs w:val="22"/>
        </w:rPr>
        <w:t>. Cell-free systems work well for both prototyping and production as CFME can be modularly assembled with lysates enriched for specific enzymes or entire metabolic pathways in order to produce a specific molecule</w:t>
      </w:r>
      <w:r w:rsidRPr="00A71FCF">
        <w:rPr>
          <w:rFonts w:cs="Arial"/>
          <w:color w:val="000000"/>
          <w:szCs w:val="22"/>
        </w:rPr>
        <w:fldChar w:fldCharType="begin" w:fldLock="1"/>
      </w:r>
      <w:r w:rsidR="00567FF4">
        <w:rPr>
          <w:rFonts w:cs="Arial"/>
          <w:color w:val="000000"/>
          <w:szCs w:val="22"/>
        </w:rPr>
        <w:instrText>ADDIN CSL_CITATION {"citationItems":[{"id":"ITEM-1","itemData":{"DOI":"10.1016/j.ymben.2020.06.004","ISSN":"10967184","PMID":"32540392","abstract":"Gas fermentation by autotrophic bacteria, such as clostridia, offers a sustainable path to numerous bioproducts from a range of local, highly abundant, waste and low-cost feedstocks, such as industrial flue gases or syngas generated from biomass or municipal waste. Unfortunately, designing and engineering clostridia remains laborious and slow. The ability to prototype individual genetic part function, gene expression patterns, and biosynthetic pathway performance in vitro before implementing designs in cells could help address these bottlenecks by speeding up design. Unfortunately, a high-yielding cell-free gene expression (CFE) system from clostridia has yet to be developed. Here, we report the development and optimization of a high-yielding (236 ± 24 μg/mL) batch CFE platform from the industrially relevant anaerobe, Clostridium autoethanogenum. A key feature of the platform is that both circular and linear DNA templates can be applied directly to the CFE reaction to program protein synthesis. We demonstrate the ability to prototype gene expression, and quantitatively map aerobic cell-free metabolism in lysates from this system. We anticipate that the C. autoethanogenum CFE platform will not only expand the protein synthesis toolkit for synthetic biology, but also serve as a platform in expediting the screening and prototyping of gene regulatory elements in non-model, industrially relevant microbes.","author":[{"dropping-particle":"","family":"Krüger","given":"Antje","non-dropping-particle":"","parse-names":false,"suffix":""},{"dropping-particle":"","family":"Mueller","given":"Alexander P.","non-dropping-particle":"","parse-names":false,"suffix":""},{"dropping-particle":"","family":"Rybnicky","given":"Grant A.","non-dropping-particle":"","parse-names":false,"suffix":""},{"dropping-particle":"","family":"Engle","given":"Nancy L.","non-dropping-particle":"","parse-names":false,"suffix":""},{"dropping-particle":"","family":"Yang","given":"Zamin K.","non-dropping-particle":"","parse-names":false,"suffix":""},{"dropping-particle":"","family":"Tschaplinski","given":"Timothy J.","non-dropping-particle":"","parse-names":false,"suffix":""},{"dropping-particle":"","family":"Simpson","given":"Sean D.","non-dropping-particle":"","parse-names":false,"suffix":""},{"dropping-particle":"","family":"Köpke","given":"Michael","non-dropping-particle":"","parse-names":false,"suffix":""},{"dropping-particle":"","family":"Jewett","given":"Michael C.","non-dropping-particle":"","parse-names":false,"suffix":""}],"container-title":"Metabolic Engineering","id":"ITEM-1","issue":"May","issued":{"date-parts":[["2020"]]},"page":"95-105","title":"Development of a clostridia-based cell-free system for prototyping genetic parts and metabolic pathways","type":"article-journal","volume":"62"},"uris":["http://www.mendeley.com/documents/?uuid=cb8269b2-3c7f-4388-9113-15dc24bc0d2f","http://www.mendeley.com/documents/?uuid=b8eb69d5-cd3c-4967-80e3-69c28c41b8e0"]}],"mendeley":{"formattedCitation":"&lt;sup&gt;93&lt;/sup&gt;","plainTextFormattedCitation":"93","previouslyFormattedCitation":"&lt;sup&gt;93&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noProof/>
          <w:color w:val="000000"/>
          <w:szCs w:val="22"/>
          <w:vertAlign w:val="superscript"/>
        </w:rPr>
        <w:t>93</w:t>
      </w:r>
      <w:r w:rsidRPr="00A71FCF">
        <w:rPr>
          <w:rFonts w:cs="Arial"/>
          <w:color w:val="000000"/>
          <w:szCs w:val="22"/>
        </w:rPr>
        <w:fldChar w:fldCharType="end"/>
      </w:r>
      <w:r w:rsidRPr="00A71FCF">
        <w:rPr>
          <w:rFonts w:cs="Arial"/>
          <w:color w:val="000000"/>
          <w:szCs w:val="22"/>
        </w:rPr>
        <w:t>. Additionally, their compatibility with chemical reactors and ability to consume low cost feedstocks have popularized them as potential sources for industrial production</w:t>
      </w:r>
      <w:r w:rsidRPr="00A71FCF">
        <w:rPr>
          <w:rFonts w:cs="Arial"/>
          <w:color w:val="000000"/>
          <w:szCs w:val="22"/>
        </w:rPr>
        <w:fldChar w:fldCharType="begin" w:fldLock="1"/>
      </w:r>
      <w:r w:rsidR="00567FF4">
        <w:rPr>
          <w:rFonts w:cs="Arial"/>
          <w:color w:val="000000"/>
          <w:szCs w:val="22"/>
        </w:rPr>
        <w:instrText>ADDIN CSL_CITATION {"citationItems":[{"id":"ITEM-1","itemData":{"DOI":"10.1002/smll.201502764","ISSN":"16136829","abstract":"Cell-free protein synthesis (CFPS) is a powerful technology that allows for optimization of protein production without maintenance of a living system. Integrated within micro and nanofluidic architectures, CFPS can be optimized for point-of-care use. Here, the development of a microfluidic bioreactor designed to facilitate the production of a single-dose of a therapeutic protein, in a small footprint device at the point-of-care, is described. This new design builds on the use of a long, serpentine channel bioreactor and is enhanced by integrating a nanofabricated membrane to allow exchange of materials between parallel \"reactor\" and \"feeder\" channels. This engineered membrane facilitates the exchange of metabolites, energy, and inhibitory species, and can be altered by plasma-enhanced chemical vapor deposition and atomic layer deposition to tune the exchange rate of small molecules. This allows for extended reaction times and improved yields. Further, the reaction product and higher molecular weight components of the transcription/translation machinery in the reactor channel can be retained. It has been shown that the microscale bioreactor design produces higher protein yields than conventional tube-based batch formats, and that product yields can be dramatically improved by facilitating small molecule exchange within the dual-channel bioreactor. Methods for the on-demand synthesis of therapeutic proteins at the point-of-care are needed. Here, a dual-channel, microfluidic exchange bioreactor is described, which is capable of producing therapeutics using cell-free protein synthesis. These bioreactors are designed to be one part of a modular, fluidic system enabling the synthesis of a purified therapeutic dose at the point-of-care.","author":[{"dropping-particle":"","family":"Timm","given":"Andrea C.","non-dropping-particle":"","parse-names":false,"suffix":""},{"dropping-particle":"","family":"Shankles","given":"Peter G.","non-dropping-particle":"","parse-names":false,"suffix":""},{"dropping-particle":"","family":"Foster","given":"Carmen M.","non-dropping-particle":"","parse-names":false,"suffix":""},{"dropping-particle":"","family":"Doktycz","given":"Mitchel J.","non-dropping-particle":"","parse-names":false,"suffix":""},{"dropping-particle":"","family":"Retterer","given":"Scott T.","non-dropping-particle":"","parse-names":false,"suffix":""}],"container-title":"Small","id":"ITEM-1","issue":"6","issued":{"date-parts":[["2016"]]},"page":"810-817","title":"Toward Microfluidic Reactors for Cell-Free Protein Synthesis at the Point-of-Care","type":"article-journal","volume":"12"},"uris":["http://www.mendeley.com/documents/?uuid=b3b32d3e-9863-490d-8276-f3f60ba62773","http://www.mendeley.com/documents/?uuid=1fdb60ce-7825-4884-a222-7fac0424ae87"]},{"id":"ITEM-2","itemData":{"DOI":"10.1186/s12915-019-0685-x","ISSN":"17417007","abstract":"Cell-free systems (CFS) have recently evolved into key platforms for synthetic biology applications. Many synthetic biology tools have traditionally relied on cell-based systems, and while their adoption has shown great progress, the constraints inherent to the use of cellular hosts have limited their reach and scope. Cell-free systems, which can be thought of as programmable liquids, have removed many of these complexities and have brought about exciting opportunities for rational design and manipulation of biological systems. Here we review how these simple and accessible enzymatic systems are poised to accelerate the rate of advancement in synthetic biology and, more broadly, biotechnology.","author":[{"dropping-particle":"","family":"Tinafar","given":"Aidan","non-dropping-particle":"","parse-names":false,"suffix":""},{"dropping-particle":"","family":"Jaenes","given":"Katariina","non-dropping-particle":"","parse-names":false,"suffix":""},{"dropping-particle":"","family":"Pardee","given":"Keith","non-dropping-particle":"","parse-names":false,"suffix":""}],"container-title":"BMC Biology","id":"ITEM-2","issue":"1","issued":{"date-parts":[["2019"]]},"page":"1-14","publisher":"BMC Biology","title":"Synthetic Biology Goes Cell-Free","type":"article-journal","volume":"17"},"uris":["http://www.mendeley.com/documents/?uuid=c3fc3c83-ec17-4435-811f-9449b2a84260","http://www.mendeley.com/documents/?uuid=bbf4b4a1-7778-4782-9dcf-800cf60669d3"]},{"id":"ITEM-3","itemData":{"DOI":"10.1016/j.synbio.2017.02.003","ISSN":"2405805X","abstract":"Cell-free synthetic biology emerges as a powerful and flexible enabling technology that can engineer biological parts and systems for life science applications without using living cells. It provides simpler and faster engineering solutions with an unprecedented freedom of design in an open environment than cell system. This review focuses on recent developments of cell-free synthetic biology on biological engineering fields at molecular and cellular levels, including protein engineering, metabolic engineering, and artificial cell engineering. In cell-free protein engineering, the direct control of reaction conditions in cell-free system allows for easy synthesis of complex proteins, toxic proteins, membrane proteins, and novel proteins with unnatural amino acids. Cell-free systems offer the ability to design metabolic pathways towards the production of desired products. Buildup of artificial cells based on cell-free systems will improve our understanding of life and use them for environmental and biomedical applications.","author":[{"dropping-particle":"","family":"Lu","given":"Yuan","non-dropping-particle":"","parse-names":false,"suffix":""}],"container-title":"Synthetic and Systems Biotechnology","id":"ITEM-3","issue":"1","issued":{"date-parts":[["2017"]]},"page":"23-27","publisher":"Elsevier Ltd","title":"Cell-free synthetic biology: Engineering in an open world","type":"article-journal","volume":"2"},"uris":["http://www.mendeley.com/documents/?uuid=2d8106d8-368a-4c90-ac36-568be4778e61","http://www.mendeley.com/documents/?uuid=dc6a8ebb-0ab9-4b19-8a16-4441a930befd"]}],"mendeley":{"formattedCitation":"&lt;sup&gt;29,94,95&lt;/sup&gt;","plainTextFormattedCitation":"29,94,95","previouslyFormattedCitation":"&lt;sup&gt;29,94,95&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bCs/>
          <w:noProof/>
          <w:color w:val="000000"/>
          <w:szCs w:val="22"/>
          <w:vertAlign w:val="superscript"/>
        </w:rPr>
        <w:t>29,94,95</w:t>
      </w:r>
      <w:r w:rsidRPr="00A71FCF">
        <w:rPr>
          <w:rFonts w:cs="Arial"/>
          <w:color w:val="000000"/>
          <w:szCs w:val="22"/>
        </w:rPr>
        <w:fldChar w:fldCharType="end"/>
      </w:r>
      <w:r w:rsidRPr="00A71FCF">
        <w:rPr>
          <w:rFonts w:cs="Arial"/>
          <w:color w:val="000000"/>
          <w:szCs w:val="22"/>
        </w:rPr>
        <w:t xml:space="preserve">. These combined capabilities allow CFME processes to make use of tools from traditional bioproduction platforms while taking advantage of the open and modular nature of cell-free systems. </w:t>
      </w:r>
      <w:r w:rsidR="0091138B">
        <w:rPr>
          <w:rFonts w:cs="Arial"/>
          <w:color w:val="000000"/>
          <w:szCs w:val="22"/>
        </w:rPr>
        <w:tab/>
      </w:r>
    </w:p>
    <w:p w14:paraId="77CFB6A1" w14:textId="059489D8" w:rsidR="009A5F94" w:rsidRPr="00A71FCF" w:rsidRDefault="0031140D" w:rsidP="009A5F94">
      <w:pPr>
        <w:pBdr>
          <w:top w:val="nil"/>
          <w:left w:val="nil"/>
          <w:bottom w:val="nil"/>
          <w:right w:val="nil"/>
          <w:between w:val="nil"/>
        </w:pBdr>
        <w:ind w:firstLine="720"/>
        <w:contextualSpacing/>
        <w:rPr>
          <w:rFonts w:cs="Arial"/>
          <w:color w:val="000000"/>
          <w:szCs w:val="22"/>
        </w:rPr>
      </w:pPr>
      <w:r w:rsidRPr="00A71FCF">
        <w:rPr>
          <w:rFonts w:cs="Arial"/>
          <w:color w:val="000000"/>
          <w:szCs w:val="22"/>
        </w:rPr>
        <w:t>While environmental variables of a cell-free system can be easily manipulated, the proteomic content of the crude extract is more difficult to engineer. Genetic manipulation of a donor strain can substantially impact its growth and function as a bioproduction system</w:t>
      </w:r>
      <w:r w:rsidR="009A5F94">
        <w:rPr>
          <w:rFonts w:cs="Arial"/>
          <w:color w:val="000000"/>
          <w:szCs w:val="22"/>
        </w:rPr>
        <w:t xml:space="preserve"> (</w:t>
      </w:r>
      <w:r w:rsidR="009A5F94">
        <w:rPr>
          <w:rFonts w:cs="Arial"/>
          <w:b/>
          <w:bCs/>
          <w:color w:val="000000"/>
          <w:szCs w:val="22"/>
        </w:rPr>
        <w:t>Figure 3.1</w:t>
      </w:r>
      <w:r w:rsidR="009A5F94">
        <w:rPr>
          <w:rFonts w:cs="Arial"/>
          <w:color w:val="000000"/>
          <w:szCs w:val="22"/>
        </w:rPr>
        <w:t>)</w:t>
      </w:r>
      <w:r w:rsidRPr="00A71FCF">
        <w:rPr>
          <w:rFonts w:cs="Arial"/>
          <w:color w:val="000000"/>
          <w:szCs w:val="22"/>
        </w:rPr>
        <w:fldChar w:fldCharType="begin" w:fldLock="1"/>
      </w:r>
      <w:r w:rsidR="00567FF4">
        <w:rPr>
          <w:rFonts w:cs="Arial"/>
          <w:color w:val="000000"/>
          <w:szCs w:val="22"/>
        </w:rPr>
        <w:instrText>ADDIN CSL_CITATION {"citationItems":[{"id":"ITEM-1","itemData":{"DOI":"10.1093/synbio/ysy006","ISSN":"2397-7000","author":[{"dropping-particle":"","family":"Garcia","given":"David C","non-dropping-particle":"","parse-names":false,"suffix":""},{"dropping-particle":"","family":"Mohr","given":"Benjamin P","non-dropping-particle":"","parse-names":false,"suffix":""},{"dropping-particle":"","family":"Dovgan","given":"Jakob T","non-dropping-particle":"","parse-names":false,"suffix":""},{"dropping-particle":"","family":"Hurst","given":"Gregory B","non-dropping-particle":"","parse-names":false,"suffix":""},{"dropping-particle":"","family":"Standaert","given":"Robert F","non-dropping-particle":"","parse-names":false,"suffix":""},{"dropping-particle":"","family":"Doktycz","given":"Mitchel J","non-dropping-particle":"","parse-names":false,"suffix":""}],"container-title":"Synthetic Biology","id":"ITEM-1","issue":"1","issued":{"date-parts":[["2018","1"]]},"title":"Elucidating the potential of crude cell extracts for producing pyruvate from glucose","type":"article-journal","volume":"3"},"uris":["http://www.mendeley.com/documents/?uuid=93e10a3d-9076-4efb-9000-4a5595e16d6a"]}],"mendeley":{"formattedCitation":"&lt;sup&gt;72&lt;/sup&gt;","plainTextFormattedCitation":"72","previouslyFormattedCitation":"&lt;sup&gt;72&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noProof/>
          <w:color w:val="000000"/>
          <w:szCs w:val="22"/>
          <w:vertAlign w:val="superscript"/>
        </w:rPr>
        <w:t>72</w:t>
      </w:r>
      <w:r w:rsidRPr="00A71FCF">
        <w:rPr>
          <w:rFonts w:cs="Arial"/>
          <w:color w:val="000000"/>
          <w:szCs w:val="22"/>
        </w:rPr>
        <w:fldChar w:fldCharType="end"/>
      </w:r>
      <w:r w:rsidRPr="00A71FCF">
        <w:rPr>
          <w:rFonts w:cs="Arial"/>
          <w:color w:val="000000"/>
          <w:szCs w:val="22"/>
        </w:rPr>
        <w:t>. It has been noted previously that simple variations in growth conditions can lead to complex changes in the proteome and significant differences in metabolite flux in the resulting crude extracts</w:t>
      </w:r>
      <w:r w:rsidRPr="00A71FCF">
        <w:rPr>
          <w:rFonts w:cs="Arial"/>
          <w:color w:val="000000"/>
          <w:szCs w:val="22"/>
        </w:rPr>
        <w:fldChar w:fldCharType="begin" w:fldLock="1"/>
      </w:r>
      <w:r w:rsidR="00567FF4">
        <w:rPr>
          <w:rFonts w:cs="Arial"/>
          <w:color w:val="000000"/>
          <w:szCs w:val="22"/>
        </w:rPr>
        <w:instrText>ADDIN CSL_CITATION {"citationItems":[{"id":"ITEM-1","itemData":{"DOI":"10.1038/nbt.3418","ISSN":"1087-0156","author":[{"dropping-particle":"","family":"Schmidt","given":"Alexander","non-dropping-particle":"","parse-names":false,"suffix":""},{"dropping-particle":"","family":"Kochanowski","given":"Karl","non-dropping-particle":"","parse-names":false,"suffix":""},{"dropping-particle":"","family":"Vedelaar","given":"Silke","non-dropping-particle":"","parse-names":false,"suffix":""},{"dropping-particle":"","family":"Ahrné","given":"Erik","non-dropping-particle":"","parse-names":false,"suffix":""},{"dropping-particle":"","family":"Volkmer","given":"Benjamin","non-dropping-particle":"","parse-names":false,"suffix":""},{"dropping-particle":"","family":"Callipo","given":"Luciano","non-dropping-particle":"","parse-names":false,"suffix":""},{"dropping-particle":"","family":"Knoops","given":"Kèvin","non-dropping-particle":"","parse-names":false,"suffix":""},{"dropping-particle":"","family":"Bauer","given":"Manuel","non-dropping-particle":"","parse-names":false,"suffix":""},{"dropping-particle":"","family":"Aebersold","given":"Ruedi","non-dropping-particle":"","parse-names":false,"suffix":""},{"dropping-particle":"","family":"Heinemann","given":"Matthias","non-dropping-particle":"","parse-names":false,"suffix":""}],"container-title":"Nature Biotechnology","id":"ITEM-1","issue":"1","issued":{"date-parts":[["2016","1","7"]]},"page":"104-110","title":"The quantitative and condition-dependent Escherichia coli proteome","type":"article-journal","volume":"34"},"uris":["http://www.mendeley.com/documents/?uuid=f6604114-2ae4-3535-8c42-3f79db966289"]},{"id":"ITEM-2","itemData":{"DOI":"10.1093/synbio/ysy006","ISSN":"2397-7000","author":[{"dropping-particle":"","family":"Garcia","given":"David C","non-dropping-particle":"","parse-names":false,"suffix":""},{"dropping-particle":"","family":"Mohr","given":"Benjamin P","non-dropping-particle":"","parse-names":false,"suffix":""},{"dropping-particle":"","family":"Dovgan","given":"Jakob T","non-dropping-particle":"","parse-names":false,"suffix":""},{"dropping-particle":"","family":"Hurst","given":"Gregory B","non-dropping-particle":"","parse-names":false,"suffix":""},{"dropping-particle":"","family":"Standaert","given":"Robert F","non-dropping-particle":"","parse-names":false,"suffix":""},{"dropping-particle":"","family":"Doktycz","given":"Mitchel J","non-dropping-particle":"","parse-names":false,"suffix":""}],"container-title":"Synthetic Biology","id":"ITEM-2","issue":"1","issued":{"date-parts":[["2018","1"]]},"title":"Elucidating the potential of crude cell extracts for producing pyruvate from glucose","type":"article-journal","volume":"3"},"uris":["http://www.mendeley.com/documents/?uuid=93e10a3d-9076-4efb-9000-4a5595e16d6a"]}],"mendeley":{"formattedCitation":"&lt;sup&gt;72,96&lt;/sup&gt;","plainTextFormattedCitation":"72,96","previouslyFormattedCitation":"&lt;sup&gt;72,96&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noProof/>
          <w:color w:val="000000"/>
          <w:szCs w:val="22"/>
          <w:vertAlign w:val="superscript"/>
        </w:rPr>
        <w:t>72,96</w:t>
      </w:r>
      <w:r w:rsidRPr="00A71FCF">
        <w:rPr>
          <w:rFonts w:cs="Arial"/>
          <w:color w:val="000000"/>
          <w:szCs w:val="22"/>
        </w:rPr>
        <w:fldChar w:fldCharType="end"/>
      </w:r>
      <w:r w:rsidRPr="00A71FCF">
        <w:rPr>
          <w:rFonts w:cs="Arial"/>
          <w:color w:val="000000"/>
          <w:szCs w:val="22"/>
        </w:rPr>
        <w:t>.  Further, specific enzymes can be added or expressed in an extract to further define metabolite production</w:t>
      </w:r>
      <w:r w:rsidRPr="00A71FCF">
        <w:rPr>
          <w:rFonts w:cs="Arial"/>
          <w:color w:val="000000"/>
          <w:szCs w:val="22"/>
        </w:rPr>
        <w:fldChar w:fldCharType="begin" w:fldLock="1"/>
      </w:r>
      <w:r w:rsidR="00567FF4">
        <w:rPr>
          <w:rFonts w:cs="Arial"/>
          <w:color w:val="000000"/>
          <w:szCs w:val="22"/>
        </w:rPr>
        <w:instrText>ADDIN CSL_CITATION {"citationItems":[{"id":"ITEM-1","itemData":{"DOI":"10.1002/cssc.201200365","ISBN":"1864-564X","ISSN":"18645631","PMID":"23086730","abstract":"The limited supply of fossil resources demands the development of renewable alternatives to petroleum-based products. Here, biobased higher alcohols such as isobutanol are versatile platform molecules for the synthesis of chemical commodities and fuels. Currently, their fermentation-based production is limited by the low tolerance of microbial production systems to the end products and also by the low substrate flux into cell metabolism. We developed an innovative cell-free approach, utilizing an artificial minimized glycolytic reaction cascade that only requires one single coenzyme. Using this toolbox the cell-free production of ethanol and isobutanol from glucose was achieved. We also confirmed that these streamlined cascades functioned under conditions at which microbial production would have ceased. Our system can be extended to an array of industrially-relevant molecules. Application of solvent-tolerant biocatalysts potentially allows for high product yields, which significantly simplifies downstream product recovery.","author":[{"dropping-particle":"","family":"Guterl","given":"Jan Karl","non-dropping-particle":"","parse-names":false,"suffix":""},{"dropping-particle":"","family":"Garbe","given":"Daniel","non-dropping-particle":"","parse-names":false,"suffix":""},{"dropping-particle":"","family":"Carsten","given":"Jörg","non-dropping-particle":"","parse-names":false,"suffix":""},{"dropping-particle":"","family":"Steffler","given":"Fabian","non-dropping-particle":"","parse-names":false,"suffix":""},{"dropping-particle":"","family":"Sommer","given":"Bettina","non-dropping-particle":"","parse-names":false,"suffix":""},{"dropping-particle":"","family":"Reiße","given":"Steven","non-dropping-particle":"","parse-names":false,"suffix":""},{"dropping-particle":"","family":"Philipp","given":"Anja","non-dropping-particle":"","parse-names":false,"suffix":""},{"dropping-particle":"","family":"Haack","given":"Martina","non-dropping-particle":"","parse-names":false,"suffix":""},{"dropping-particle":"","family":"Rühmann","given":"Broder","non-dropping-particle":"","parse-names":false,"suffix":""},{"dropping-particle":"","family":"Koltermann","given":"Andre","non-dropping-particle":"","parse-names":false,"suffix":""},{"dropping-particle":"","family":"Kettling","given":"Ulrich","non-dropping-particle":"","parse-names":false,"suffix":""},{"dropping-particle":"","family":"Brück","given":"Thomas","non-dropping-particle":"","parse-names":false,"suffix":""},{"dropping-particle":"","family":"Sieber","given":"Volker","non-dropping-particle":"","parse-names":false,"suffix":""}],"container-title":"ChemSusChem","id":"ITEM-1","issue":"11","issued":{"date-parts":[["2012"]]},"page":"2165-2172","title":"Cell-free metabolic engineering: Production of chemicals by minimized reaction cascades","type":"article-journal","volume":"5"},"uris":["http://www.mendeley.com/documents/?uuid=cfbe8684-ee4f-4798-a260-047d2ef31379"]}],"mendeley":{"formattedCitation":"&lt;sup&gt;86&lt;/sup&gt;","plainTextFormattedCitation":"86","previouslyFormattedCitation":"&lt;sup&gt;86&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noProof/>
          <w:color w:val="000000"/>
          <w:szCs w:val="22"/>
          <w:vertAlign w:val="superscript"/>
        </w:rPr>
        <w:t>86</w:t>
      </w:r>
      <w:r w:rsidRPr="00A71FCF">
        <w:rPr>
          <w:rFonts w:cs="Arial"/>
          <w:color w:val="000000"/>
          <w:szCs w:val="22"/>
        </w:rPr>
        <w:fldChar w:fldCharType="end"/>
      </w:r>
      <w:r w:rsidRPr="00A71FCF">
        <w:rPr>
          <w:rFonts w:cs="Arial"/>
          <w:color w:val="000000"/>
          <w:szCs w:val="22"/>
        </w:rPr>
        <w:t>. However, removing specific proteins is challenging as gene deletions can affect the growth and global expression of the donor cell. In particular, deletions to central metabolism can be lethal, which severely limits the ability to direct flux from simple carbon sources. The inability to remove specific pathways from CFME reactions poses a significant constraint and limits the use of crude extracts for bioproduction</w:t>
      </w:r>
      <w:r w:rsidRPr="00A71FCF">
        <w:rPr>
          <w:rFonts w:cs="Arial"/>
          <w:color w:val="000000"/>
          <w:szCs w:val="22"/>
        </w:rPr>
        <w:fldChar w:fldCharType="begin" w:fldLock="1"/>
      </w:r>
      <w:r w:rsidR="00567FF4">
        <w:rPr>
          <w:rFonts w:cs="Arial"/>
          <w:color w:val="000000"/>
          <w:szCs w:val="22"/>
        </w:rPr>
        <w:instrText>ADDIN CSL_CITATION {"citationItems":[{"id":"ITEM-1","itemData":{"DOI":"10.1016/j.ymben.2015.09.015","ISSN":"10967184","PMID":"26428449","abstract":"Cell-free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Engineering","id":"ITEM-1","issued":{"date-parts":[["2015"]]},"page":"133-142","title":"Lysate of engineered Escherichia coli supports high-level conversion of glucose to 2,3-butanediol","type":"article-journal","volume":"32"},"uris":["http://www.mendeley.com/documents/?uuid=cb5185b2-2e9e-42b5-808e-ce918d13a7be"]},{"id":"ITEM-2","itemData":{"DOI":"10.1093/synbio/ysy006","ISSN":"2397-7000","author":[{"dropping-particle":"","family":"Garcia","given":"David C","non-dropping-particle":"","parse-names":false,"suffix":""},{"dropping-particle":"","family":"Mohr","given":"Benjamin P","non-dropping-particle":"","parse-names":false,"suffix":""},{"dropping-particle":"","family":"Dovgan","given":"Jakob T","non-dropping-particle":"","parse-names":false,"suffix":""},{"dropping-particle":"","family":"Hurst","given":"Gregory B","non-dropping-particle":"","parse-names":false,"suffix":""},{"dropping-particle":"","family":"Standaert","given":"Robert F","non-dropping-particle":"","parse-names":false,"suffix":""},{"dropping-particle":"","family":"Doktycz","given":"Mitchel J","non-dropping-particle":"","parse-names":false,"suffix":""}],"container-title":"Synthetic Biology","id":"ITEM-2","issue":"1","issued":{"date-parts":[["2018","1"]]},"title":"Elucidating the potential of crude cell extracts for producing pyruvate from glucose","type":"article-journal","volume":"3"},"uris":["http://www.mendeley.com/documents/?uuid=93e10a3d-9076-4efb-9000-4a5595e16d6a"]}],"mendeley":{"formattedCitation":"&lt;sup&gt;46,72&lt;/sup&gt;","plainTextFormattedCitation":"46,72","previouslyFormattedCitation":"&lt;sup&gt;46,72&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noProof/>
          <w:color w:val="000000"/>
          <w:szCs w:val="22"/>
          <w:vertAlign w:val="superscript"/>
        </w:rPr>
        <w:t>46,72</w:t>
      </w:r>
      <w:r w:rsidRPr="00A71FCF">
        <w:rPr>
          <w:rFonts w:cs="Arial"/>
          <w:color w:val="000000"/>
          <w:szCs w:val="22"/>
        </w:rPr>
        <w:fldChar w:fldCharType="end"/>
      </w:r>
      <w:r w:rsidRPr="00A71FCF">
        <w:rPr>
          <w:rFonts w:cs="Arial"/>
          <w:color w:val="000000"/>
          <w:szCs w:val="22"/>
        </w:rPr>
        <w:t xml:space="preserve">. Tools that allow shaping of </w:t>
      </w:r>
    </w:p>
    <w:p w14:paraId="462DEF36" w14:textId="77777777" w:rsidR="0031140D" w:rsidRPr="00A71FCF" w:rsidRDefault="0031140D" w:rsidP="0008141D">
      <w:pPr>
        <w:keepNext/>
        <w:pBdr>
          <w:top w:val="nil"/>
          <w:left w:val="nil"/>
          <w:bottom w:val="nil"/>
          <w:right w:val="nil"/>
          <w:between w:val="nil"/>
        </w:pBdr>
        <w:contextualSpacing/>
        <w:rPr>
          <w:rFonts w:cs="Arial"/>
          <w:szCs w:val="22"/>
        </w:rPr>
      </w:pPr>
      <w:r w:rsidRPr="00A71FCF">
        <w:rPr>
          <w:rFonts w:cs="Arial"/>
          <w:noProof/>
          <w:szCs w:val="22"/>
        </w:rPr>
        <w:lastRenderedPageBreak/>
        <w:drawing>
          <wp:inline distT="0" distB="0" distL="0" distR="0" wp14:anchorId="4B7F0A59" wp14:editId="32D3C78E">
            <wp:extent cx="5969000" cy="4759534"/>
            <wp:effectExtent l="0" t="0" r="0" b="4445"/>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10;&#10;Description automatically generated"/>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5969000" cy="4759534"/>
                    </a:xfrm>
                    <a:prstGeom prst="rect">
                      <a:avLst/>
                    </a:prstGeom>
                    <a:noFill/>
                  </pic:spPr>
                </pic:pic>
              </a:graphicData>
            </a:graphic>
          </wp:inline>
        </w:drawing>
      </w:r>
    </w:p>
    <w:p w14:paraId="6C66B0FA" w14:textId="2A04031E" w:rsidR="00042AC1" w:rsidRPr="00042AC1" w:rsidRDefault="0031140D" w:rsidP="009A5F94">
      <w:pPr>
        <w:contextualSpacing/>
        <w:rPr>
          <w:rFonts w:cs="Arial"/>
          <w:color w:val="000000"/>
          <w:szCs w:val="22"/>
        </w:rPr>
      </w:pPr>
      <w:bookmarkStart w:id="45" w:name="_Toc129701144"/>
      <w:bookmarkStart w:id="46" w:name="_Toc129671155"/>
      <w:r w:rsidRPr="009A5F94">
        <w:rPr>
          <w:rStyle w:val="FigurecaptionChar"/>
        </w:rPr>
        <w:t xml:space="preserve">Figure </w:t>
      </w:r>
      <w:r w:rsidR="0091138B" w:rsidRPr="009A5F94">
        <w:rPr>
          <w:rStyle w:val="FigurecaptionChar"/>
        </w:rPr>
        <w:t>3.</w:t>
      </w:r>
      <w:r w:rsidRPr="009A5F94">
        <w:rPr>
          <w:rStyle w:val="FigurecaptionChar"/>
        </w:rPr>
        <w:fldChar w:fldCharType="begin"/>
      </w:r>
      <w:r w:rsidRPr="009A5F94">
        <w:rPr>
          <w:rStyle w:val="FigurecaptionChar"/>
        </w:rPr>
        <w:instrText xml:space="preserve"> SEQ Figure \* ARABIC </w:instrText>
      </w:r>
      <w:r w:rsidRPr="009A5F94">
        <w:rPr>
          <w:rStyle w:val="FigurecaptionChar"/>
        </w:rPr>
        <w:fldChar w:fldCharType="separate"/>
      </w:r>
      <w:r w:rsidRPr="009A5F94">
        <w:rPr>
          <w:rStyle w:val="FigurecaptionChar"/>
        </w:rPr>
        <w:t>1</w:t>
      </w:r>
      <w:r w:rsidRPr="009A5F94">
        <w:rPr>
          <w:rStyle w:val="FigurecaptionChar"/>
        </w:rPr>
        <w:fldChar w:fldCharType="end"/>
      </w:r>
      <w:r w:rsidRPr="009A5F94">
        <w:rPr>
          <w:rStyle w:val="FigurecaptionChar"/>
        </w:rPr>
        <w:t xml:space="preserve"> Overview of approaches to preparing lysates for cell free metabolic engineering.</w:t>
      </w:r>
      <w:bookmarkEnd w:id="45"/>
      <w:r w:rsidRPr="00A71FCF">
        <w:rPr>
          <w:rFonts w:cs="Arial"/>
          <w:szCs w:val="22"/>
        </w:rPr>
        <w:t xml:space="preserve">  </w:t>
      </w:r>
      <w:r w:rsidRPr="00A71FCF">
        <w:rPr>
          <w:rFonts w:eastAsiaTheme="minorEastAsia" w:cs="Arial"/>
          <w:b/>
          <w:bCs/>
          <w:color w:val="000000" w:themeColor="text1"/>
          <w:kern w:val="24"/>
          <w:szCs w:val="22"/>
        </w:rPr>
        <w:t>A</w:t>
      </w:r>
      <w:r w:rsidR="00E25FA0">
        <w:rPr>
          <w:rFonts w:eastAsiaTheme="minorEastAsia" w:cs="Arial"/>
          <w:b/>
          <w:bCs/>
          <w:color w:val="000000" w:themeColor="text1"/>
          <w:kern w:val="24"/>
          <w:szCs w:val="22"/>
        </w:rPr>
        <w:t>)</w:t>
      </w:r>
      <w:r w:rsidRPr="00A71FCF">
        <w:rPr>
          <w:rFonts w:eastAsiaTheme="minorEastAsia" w:cs="Arial"/>
          <w:color w:val="000000" w:themeColor="text1"/>
          <w:kern w:val="24"/>
          <w:szCs w:val="22"/>
        </w:rPr>
        <w:t xml:space="preserve"> Complex metabolism present in </w:t>
      </w:r>
      <w:r w:rsidRPr="00A71FCF">
        <w:rPr>
          <w:rFonts w:eastAsiaTheme="minorEastAsia" w:cs="Arial"/>
          <w:i/>
          <w:iCs/>
          <w:color w:val="000000" w:themeColor="text1"/>
          <w:kern w:val="24"/>
          <w:szCs w:val="22"/>
        </w:rPr>
        <w:t xml:space="preserve">E. coli </w:t>
      </w:r>
      <w:r w:rsidRPr="00A71FCF">
        <w:rPr>
          <w:rFonts w:eastAsiaTheme="minorEastAsia" w:cs="Arial"/>
          <w:color w:val="000000" w:themeColor="text1"/>
          <w:kern w:val="24"/>
          <w:szCs w:val="22"/>
        </w:rPr>
        <w:t xml:space="preserve">lysates harnessed for cell-free metabolite production can compromise central metabolic precursor yields. </w:t>
      </w:r>
      <w:r w:rsidRPr="00A71FCF">
        <w:rPr>
          <w:rFonts w:eastAsiaTheme="minorEastAsia" w:cs="Arial"/>
          <w:b/>
          <w:bCs/>
          <w:color w:val="000000" w:themeColor="text1"/>
          <w:kern w:val="24"/>
          <w:szCs w:val="22"/>
        </w:rPr>
        <w:t>B &amp; C</w:t>
      </w:r>
      <w:r w:rsidR="00E25FA0">
        <w:rPr>
          <w:rFonts w:eastAsiaTheme="minorEastAsia" w:cs="Arial"/>
          <w:b/>
          <w:bCs/>
          <w:color w:val="000000" w:themeColor="text1"/>
          <w:kern w:val="24"/>
          <w:szCs w:val="22"/>
        </w:rPr>
        <w:t>)</w:t>
      </w:r>
      <w:r w:rsidRPr="00A71FCF">
        <w:rPr>
          <w:rFonts w:eastAsiaTheme="minorEastAsia" w:cs="Arial"/>
          <w:b/>
          <w:bCs/>
          <w:color w:val="000000" w:themeColor="text1"/>
          <w:kern w:val="24"/>
          <w:szCs w:val="22"/>
        </w:rPr>
        <w:t xml:space="preserve"> </w:t>
      </w:r>
      <w:r w:rsidRPr="00A71FCF">
        <w:rPr>
          <w:rFonts w:eastAsiaTheme="minorEastAsia" w:cs="Arial"/>
          <w:color w:val="000000" w:themeColor="text1"/>
          <w:kern w:val="24"/>
          <w:szCs w:val="22"/>
        </w:rPr>
        <w:t xml:space="preserve">Cell-free metabolic engineering approaches seek to reduce lysate complexity in order to redirect carbon flux and pool central metabolic precursors. </w:t>
      </w:r>
      <w:r w:rsidRPr="00A71FCF">
        <w:rPr>
          <w:rFonts w:eastAsiaTheme="minorEastAsia" w:cs="Arial"/>
          <w:b/>
          <w:bCs/>
          <w:color w:val="000000" w:themeColor="text1"/>
          <w:kern w:val="24"/>
          <w:szCs w:val="22"/>
        </w:rPr>
        <w:t>B</w:t>
      </w:r>
      <w:r w:rsidR="00E25FA0">
        <w:rPr>
          <w:rFonts w:eastAsiaTheme="minorEastAsia" w:cs="Arial"/>
          <w:b/>
          <w:bCs/>
          <w:color w:val="000000" w:themeColor="text1"/>
          <w:kern w:val="24"/>
          <w:szCs w:val="22"/>
        </w:rPr>
        <w:t>)</w:t>
      </w:r>
      <w:r w:rsidRPr="00A71FCF">
        <w:rPr>
          <w:rFonts w:eastAsiaTheme="minorEastAsia" w:cs="Arial"/>
          <w:color w:val="000000" w:themeColor="text1"/>
          <w:kern w:val="24"/>
          <w:szCs w:val="22"/>
        </w:rPr>
        <w:t xml:space="preserve"> The standard CFME approach reduces lysate complexity by deleting target genes from the source strain, often resulting in growth impaired or lethal phenotypes</w:t>
      </w:r>
      <w:r w:rsidR="00042AC1">
        <w:rPr>
          <w:rFonts w:eastAsiaTheme="minorEastAsia" w:cs="Arial"/>
          <w:color w:val="000000" w:themeColor="text1"/>
          <w:kern w:val="24"/>
          <w:szCs w:val="22"/>
        </w:rPr>
        <w:t xml:space="preserve">. </w:t>
      </w:r>
      <w:r w:rsidRPr="00A71FCF">
        <w:rPr>
          <w:rFonts w:eastAsiaTheme="minorEastAsia" w:cs="Arial"/>
          <w:color w:val="000000" w:themeColor="text1"/>
          <w:kern w:val="24"/>
          <w:szCs w:val="22"/>
        </w:rPr>
        <w:t xml:space="preserve">This can require multiple design-build-test cycles. </w:t>
      </w:r>
      <w:r w:rsidRPr="00A71FCF">
        <w:rPr>
          <w:rFonts w:eastAsiaTheme="minorEastAsia" w:cs="Arial"/>
          <w:b/>
          <w:bCs/>
          <w:color w:val="000000" w:themeColor="text1"/>
          <w:kern w:val="24"/>
          <w:szCs w:val="22"/>
        </w:rPr>
        <w:t>C</w:t>
      </w:r>
      <w:r w:rsidR="00E25FA0">
        <w:rPr>
          <w:rFonts w:eastAsiaTheme="minorEastAsia" w:cs="Arial"/>
          <w:b/>
          <w:bCs/>
          <w:color w:val="000000" w:themeColor="text1"/>
          <w:kern w:val="24"/>
          <w:szCs w:val="22"/>
        </w:rPr>
        <w:t>)</w:t>
      </w:r>
      <w:r w:rsidRPr="00A71FCF">
        <w:rPr>
          <w:rFonts w:eastAsiaTheme="minorEastAsia" w:cs="Arial"/>
          <w:color w:val="000000" w:themeColor="text1"/>
          <w:kern w:val="24"/>
          <w:szCs w:val="22"/>
        </w:rPr>
        <w:t xml:space="preserve"> The new approach involves engineering source </w:t>
      </w:r>
      <w:bookmarkEnd w:id="46"/>
    </w:p>
    <w:p w14:paraId="0F21BF44" w14:textId="54CCC83A" w:rsidR="009A5F94" w:rsidRDefault="009A5F94">
      <w:pPr>
        <w:spacing w:line="240" w:lineRule="auto"/>
        <w:jc w:val="left"/>
        <w:rPr>
          <w:rFonts w:eastAsiaTheme="minorEastAsia" w:cs="Arial"/>
          <w:color w:val="000000" w:themeColor="text1"/>
          <w:kern w:val="24"/>
          <w:szCs w:val="22"/>
        </w:rPr>
      </w:pPr>
      <w:r>
        <w:rPr>
          <w:rFonts w:eastAsiaTheme="minorEastAsia" w:cs="Arial"/>
          <w:color w:val="000000" w:themeColor="text1"/>
          <w:kern w:val="24"/>
          <w:szCs w:val="22"/>
        </w:rPr>
        <w:br w:type="page"/>
      </w:r>
    </w:p>
    <w:p w14:paraId="20436E14" w14:textId="38A0BCF0" w:rsidR="009A5F94" w:rsidRPr="009A5F94" w:rsidRDefault="009A5F94" w:rsidP="009A5F94">
      <w:pPr>
        <w:pBdr>
          <w:top w:val="nil"/>
          <w:left w:val="nil"/>
          <w:bottom w:val="nil"/>
          <w:right w:val="nil"/>
          <w:between w:val="nil"/>
        </w:pBdr>
        <w:contextualSpacing/>
        <w:rPr>
          <w:rFonts w:cs="Arial"/>
          <w:color w:val="000000"/>
          <w:szCs w:val="22"/>
        </w:rPr>
      </w:pPr>
      <w:r w:rsidRPr="00A71FCF">
        <w:rPr>
          <w:rFonts w:cs="Arial"/>
          <w:color w:val="000000"/>
          <w:szCs w:val="22"/>
        </w:rPr>
        <w:lastRenderedPageBreak/>
        <w:t>the cell-free proteome have been proposed but have not been applied towards the manipulation of cell-free metabolism. Instead, these efforts have focused  on improving various single aspects of transcription and translation</w:t>
      </w:r>
      <w:r w:rsidRPr="00A71FCF">
        <w:rPr>
          <w:rFonts w:cs="Arial"/>
          <w:color w:val="000000"/>
          <w:szCs w:val="22"/>
        </w:rPr>
        <w:fldChar w:fldCharType="begin" w:fldLock="1"/>
      </w:r>
      <w:r w:rsidR="00567FF4">
        <w:rPr>
          <w:rFonts w:cs="Arial"/>
          <w:color w:val="000000"/>
          <w:szCs w:val="22"/>
        </w:rPr>
        <w:instrText>ADDIN CSL_CITATION {"citationItems":[{"id":"ITEM-1","itemData":{"DOI":"10.4161/mabs.4.2.19202","ISBN":"1942-0862","ISSN":"19420870","PMID":"22377750","abstract":"We describe protein synthesis, folding and assembly of antibody fragments and full-length aglycosylated antibodies using an Escherichia coli-based open cell-free synthesis (OCFS) system. We use DNA template design and high throughput screening at microliter scale to rapidly optimize production of single-chain Fv (scFv) and Fab antibody fragments that bind to human IL-23 and IL-13α1R, respectively. In addition we demonstrate production of aglycosylated immunoglobulin G (IgG 1) trastuzumab. These antibodies are produced rapidly over several hours in batch mode in standard bioreactors with linear scalable yields of hundreds of milligrams/L over a 1 million-fold change in scales up to pilot scale production. We demonstrate protein expression optimization of translation initiation region (TIR) libraries from gene synthesized linear DNA templates, optimization of the temporal assembly of a Fab from independent heavy chain and light chain plasmids and optimized expression of fully assembled trastuzumab that is equivalent to mammalian expressed material in biophysical and affinity based assays. These results illustrate how the open nature of the cell-free system can be used as a seamless antibody engineering platform from discovery to preclinical development of aglycosylated monoclonal antibodies and antibody fragments as potential therapeutics.","author":[{"dropping-particle":"","family":"Yin","given":"Gang","non-dropping-particle":"","parse-names":false,"suffix":""},{"dropping-particle":"","family":"Garces","given":"Eudean D.","non-dropping-particle":"","parse-names":false,"suffix":""},{"dropping-particle":"","family":"Yang","given":"Junhao","non-dropping-particle":"","parse-names":false,"suffix":""},{"dropping-particle":"","family":"Zhang","given":"Juan","non-dropping-particle":"","parse-names":false,"suffix":""},{"dropping-particle":"","family":"Tran","given":"Cuong","non-dropping-particle":"","parse-names":false,"suffix":""},{"dropping-particle":"","family":"Steiner","given":"Alexander R.","non-dropping-particle":"","parse-names":false,"suffix":""},{"dropping-particle":"","family":"Roos","given":"Christine","non-dropping-particle":"","parse-names":false,"suffix":""},{"dropping-particle":"","family":"Bajad","given":"Sunil","non-dropping-particle":"","parse-names":false,"suffix":""},{"dropping-particle":"","family":"Hudak","given":"Susan","non-dropping-particle":"","parse-names":false,"suffix":""},{"dropping-particle":"","family":"Penta","given":"Kalyani","non-dropping-particle":"","parse-names":false,"suffix":""},{"dropping-particle":"","family":"Zawada","given":"James","non-dropping-particle":"","parse-names":false,"suffix":""},{"dropping-particle":"","family":"Pollitt","given":"Sonia","non-dropping-particle":"","parse-names":false,"suffix":""},{"dropping-particle":"","family":"Murray","given":"Christopher J.","non-dropping-particle":"","parse-names":false,"suffix":""}],"container-title":"mAbs","id":"ITEM-1","issue":"2","issued":{"date-parts":[["2012"]]},"page":"217-225","title":"Aglycosylated antibodies and antibody fragments produced in a scalable in vitro transcription-translation system","type":"article-journal","volume":"4"},"uris":["http://www.mendeley.com/documents/?uuid=68f98be0-cbea-438d-b24c-5c30a4107861","http://www.mendeley.com/documents/?uuid=69632c23-ebc1-4b28-a19b-8eba2757a2da"]},{"id":"ITEM-2","itemData":{"DOI":"10.1186/s12915-017-0440-0","ISSN":"17417007","PMID":"29084520","abstract":"Background: Internal tagging of proteins by inserting small functional peptides into surface accessible permissive sites has proven to be an indispensable tool for basic and applied science. Permissive sites are typically identified by transposon mutagenesis on a case-by-case basis, limiting scalability and their exploitation as a system-wide protein engineering tool. Methods: We developed an apporach for predicting permissive stretches (PSs) in proteins based on the identification of length-variable regions (regions containing indels) in homologous proteins. Results: We verify that a protein's primary structure information alone is sufficient to identify PSs. Identified PSs are predicted to be predominantly surface accessible; hence, the position of inserted peptides is likely suitable for diverse applications. We demonstrate the viability of this approach by inserting a Tobacco etch virus protease recognition site (TEV-tag) into several PSs in a wide range of proteins, from small monomeric enzymes (adenylate kinase) to large multi-subunit molecular machines (ATP synthase) and verify their functionality after insertion. We apply this method to engineer conditional protein knockdowns directly in the Escherichia coli chromosome and generate a cell-free platform with enhanced nucleotide stability. Conclusions: Functional internally tagged proteins can be rationally designed and directly chromosomally implemented. Critical for the successful design of protein knockdowns was the incorporation of surface accessibility and secondary structure predictions, as well as the design of an improved TEV-tag that enables efficient hydrolysis when inserted into the middle of a protein. This versatile and portable approach can likely be adapted for other applications, and broadly adopted. We provide guidelines for the design of internally tagged proteins in order to empower scientists with little or no protein engineering expertise to internally tag their target proteins.","author":[{"dropping-particle":"","family":"Oesterle","given":"Sabine","non-dropping-particle":"","parse-names":false,"suffix":""},{"dropping-particle":"","family":"Roberts","given":"Tania Michelle","non-dropping-particle":"","parse-names":false,"suffix":""},{"dropping-particle":"","family":"Widmer","given":"Lukas Andreas","non-dropping-particle":"","parse-names":false,"suffix":""},{"dropping-particle":"","family":"Mustafa","given":"Harun","non-dropping-particle":"","parse-names":false,"suffix":""},{"dropping-particle":"","family":"Panke","given":"Sven","non-dropping-particle":"","parse-names":false,"suffix":""},{"dropping-particle":"","family":"Billerbeck","given":"Sonja","non-dropping-particle":"","parse-names":false,"suffix":""}],"container-title":"BMC Biology","id":"ITEM-2","issue":"1","issued":{"date-parts":[["2017"]]},"page":"1-17","publisher":"BMC Biology","title":"Sequence-based prediction of permissive stretches for internal protein tagging and knockdown","type":"article-journal","volume":"15"},"uris":["http://www.mendeley.com/documents/?uuid=2e4a0ed7-5794-4ec2-912e-140afacb354c","http://www.mendeley.com/documents/?uuid=2e97cb2a-01cd-48b1-9802-d9868e35d5a5"]}],"mendeley":{"formattedCitation":"&lt;sup&gt;97,98&lt;/sup&gt;","plainTextFormattedCitation":"97,98","previouslyFormattedCitation":"&lt;sup&gt;97,98&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bCs/>
          <w:noProof/>
          <w:color w:val="000000"/>
          <w:szCs w:val="22"/>
          <w:vertAlign w:val="superscript"/>
        </w:rPr>
        <w:t>97,98</w:t>
      </w:r>
      <w:r w:rsidRPr="00A71FCF">
        <w:rPr>
          <w:rFonts w:cs="Arial"/>
          <w:color w:val="000000"/>
          <w:szCs w:val="22"/>
        </w:rPr>
        <w:fldChar w:fldCharType="end"/>
      </w:r>
      <w:r w:rsidRPr="00A71FCF">
        <w:rPr>
          <w:rFonts w:cs="Arial"/>
          <w:color w:val="000000"/>
          <w:szCs w:val="22"/>
        </w:rPr>
        <w:t>. Providing approaches with the ability to modulate the presence of multiple enzymes and specific pathways will be critical in enabling the use of crude extract systems for metabolic engineering applications</w:t>
      </w:r>
      <w:r>
        <w:rPr>
          <w:rFonts w:cs="Arial"/>
          <w:color w:val="000000"/>
          <w:szCs w:val="22"/>
        </w:rPr>
        <w:t xml:space="preserve"> (</w:t>
      </w:r>
      <w:r>
        <w:rPr>
          <w:rFonts w:cs="Arial"/>
          <w:b/>
          <w:bCs/>
          <w:color w:val="000000"/>
          <w:szCs w:val="22"/>
        </w:rPr>
        <w:t>Figure 3.1</w:t>
      </w:r>
      <w:r>
        <w:rPr>
          <w:rFonts w:cs="Arial"/>
          <w:color w:val="000000"/>
          <w:szCs w:val="22"/>
        </w:rPr>
        <w:t>)</w:t>
      </w:r>
      <w:r w:rsidRPr="00A71FCF">
        <w:rPr>
          <w:rFonts w:cs="Arial"/>
          <w:color w:val="000000"/>
          <w:szCs w:val="22"/>
        </w:rPr>
        <w:t>.</w:t>
      </w:r>
      <w:r>
        <w:rPr>
          <w:rFonts w:cs="Arial"/>
          <w:color w:val="000000"/>
          <w:szCs w:val="22"/>
        </w:rPr>
        <w:t xml:space="preserve"> </w:t>
      </w:r>
      <w:r w:rsidRPr="00A71FCF">
        <w:rPr>
          <w:rFonts w:eastAsiaTheme="minorEastAsia" w:cs="Arial"/>
          <w:color w:val="000000" w:themeColor="text1"/>
          <w:kern w:val="24"/>
          <w:szCs w:val="22"/>
        </w:rPr>
        <w:t xml:space="preserve">strains to endogenously express recognition sequences, such as 6xHis-tags, into target proteins for subsequent removal from lysates through affinity purification, resulting in minimal to no impact on source strain growth and enhanced pooling of specific metabolic products. </w:t>
      </w:r>
    </w:p>
    <w:p w14:paraId="55E2B960" w14:textId="0087469A" w:rsidR="009A5F94" w:rsidRPr="00042AC1" w:rsidRDefault="009A5F94" w:rsidP="009A5F94">
      <w:pPr>
        <w:pBdr>
          <w:top w:val="nil"/>
          <w:left w:val="nil"/>
          <w:bottom w:val="nil"/>
          <w:right w:val="nil"/>
          <w:between w:val="nil"/>
        </w:pBdr>
        <w:ind w:firstLine="720"/>
        <w:contextualSpacing/>
        <w:rPr>
          <w:rFonts w:cs="Arial"/>
          <w:color w:val="000000"/>
          <w:szCs w:val="22"/>
        </w:rPr>
      </w:pPr>
      <w:r w:rsidRPr="00A71FCF">
        <w:rPr>
          <w:rFonts w:cs="Arial"/>
          <w:color w:val="000000"/>
          <w:szCs w:val="22"/>
        </w:rPr>
        <w:t>In this work, we describe the use of genome engineering, specifically MAGE, to enable the removal of particular proteins from crude extracts for CFME. 6xHis-tags are incorporated into proteins that are expected to consume pyruvate and are used for the affinity-based depletion of these proteins following cell lysis. Pyruvate, a key connection point in central carbon metabolism, was chosen due to its role linking glycolysis and the Krebs cycle, as well as its relevance as a central precursor for numerous products</w:t>
      </w:r>
      <w:r w:rsidRPr="00A71FCF">
        <w:rPr>
          <w:rFonts w:cs="Arial"/>
          <w:color w:val="000000"/>
          <w:szCs w:val="22"/>
        </w:rPr>
        <w:fldChar w:fldCharType="begin" w:fldLock="1"/>
      </w:r>
      <w:r w:rsidR="00567FF4">
        <w:rPr>
          <w:rFonts w:cs="Arial"/>
          <w:color w:val="000000"/>
          <w:szCs w:val="22"/>
        </w:rPr>
        <w:instrText>ADDIN CSL_CITATION {"citationItems":[{"id":"ITEM-1","itemData":{"DOI":"10.1016/j.ymben.2016.01.007","ISBN":"1096-7176","ISSN":"10967184","PMID":"26850742","abstract":"Metabolic engineering uses microorganisms to synthesize chemicals from renewable resources. Given the thousands of known metabolites, it is unclear what valuable chemicals could be produced by a microorganism and what native and heterologous reactions are needed for their synthesis. To answer these questions, a systematic computational assessment of Escherichia coli's potential ability to produce different chemicals was performed using an integrated metabolic model that included native E.coli reactions and known heterologous reactions. By adding heterologous reactions, a total of 1777 non-native products could theoretically be produced in E. coli under glucose minimal medium conditions, of which 279 non-native products have commercial applications. Synthesis pathways involving native and heterologous reactions were identified from eight central metabolic precursors to the 279 non-native commercial products. These pathways were used to evaluate the dependence on, and diversity of, native and heterologous reactions to produce each non-native commercial product, as well as to identify each product's closest central metabolic precursor. Analysis of the synthesis pathways (with 5 or fewer reaction steps) to non-native commercial products revealed that isopentenyl diphosphate, pyruvate, and oxaloacetate are the closest central metabolic precursors to the most non-native commercial products. Additionally, 4-hydroxybenzoate, tyrosine, and phenylalanine were found to be common precursors to a large number of non-native commercial products. Strains capable of producing high levels of these precursors could be further engineered to create strains capable of producing a variety of commercial non-native chemicals.","author":[{"dropping-particle":"","family":"Zhang","given":"Xiaolin","non-dropping-particle":"","parse-names":false,"suffix":""},{"dropping-particle":"","family":"Tervo","given":"Christopher J.","non-dropping-particle":"","parse-names":false,"suffix":""},{"dropping-particle":"","family":"Reed","given":"Jennifer L.","non-dropping-particle":"","parse-names":false,"suffix":""}],"container-title":"Metabolic Engineering","id":"ITEM-1","issued":{"date-parts":[["2016"]]},"page":"64-74","publisher":"Elsevier","title":"Metabolic assessment of E. coli as a Biofactory for commercial products","type":"article-journal","volume":"35"},"uris":["http://www.mendeley.com/documents/?uuid=39b41988-dea2-48b7-9706-a9a40883d995","http://www.mendeley.com/documents/?uuid=56bd6518-4e2b-4193-a51b-03f4cf957d63"]},{"id":"ITEM-2","itemData":{"DOI":"10.3390/fermentation3010008","ISSN":"2311-5637","author":[{"dropping-particle":"","family":"Maleki","given":"Neda","non-dropping-particle":"","parse-names":false,"suffix":""},{"dropping-particle":"","family":"Eiteman","given":"Mark","non-dropping-particle":"","parse-names":false,"suffix":""}],"container-title":"Fermentation","id":"ITEM-2","issue":"1","issued":{"date-parts":[["2017"]]},"page":"8","title":"Recent Progress in the Microbial Production of Pyruvic Acid","type":"article-journal","volume":"3"},"uris":["http://www.mendeley.com/documents/?uuid=34cdbe8e-a100-4ebc-a7dd-c5e6cd126e1a","http://www.mendeley.com/documents/?uuid=abeab3b7-5979-43d8-a46b-9a05bbd92bd2"]}],"mendeley":{"formattedCitation":"&lt;sup&gt;99,100&lt;/sup&gt;","plainTextFormattedCitation":"99,100","previouslyFormattedCitation":"&lt;sup&gt;99,100&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bCs/>
          <w:noProof/>
          <w:color w:val="000000"/>
          <w:szCs w:val="22"/>
          <w:vertAlign w:val="superscript"/>
        </w:rPr>
        <w:t>99,100</w:t>
      </w:r>
      <w:r w:rsidRPr="00A71FCF">
        <w:rPr>
          <w:rFonts w:cs="Arial"/>
          <w:color w:val="000000"/>
          <w:szCs w:val="22"/>
        </w:rPr>
        <w:fldChar w:fldCharType="end"/>
      </w:r>
      <w:r w:rsidRPr="00A71FCF">
        <w:rPr>
          <w:rFonts w:cs="Arial"/>
          <w:color w:val="000000"/>
          <w:szCs w:val="22"/>
        </w:rPr>
        <w:t>. The use of genome engineering results in a modified proteome capable of producing engineered metabolic phenotypes with minimal impact on the viability of the donor cell (</w:t>
      </w:r>
      <w:r>
        <w:rPr>
          <w:rFonts w:cs="Arial"/>
          <w:b/>
          <w:bCs/>
          <w:color w:val="000000"/>
          <w:szCs w:val="22"/>
        </w:rPr>
        <w:t>Figure</w:t>
      </w:r>
      <w:r w:rsidRPr="00ED1D2C">
        <w:rPr>
          <w:rFonts w:cs="Arial"/>
          <w:b/>
          <w:bCs/>
          <w:color w:val="000000"/>
          <w:szCs w:val="22"/>
        </w:rPr>
        <w:t xml:space="preserve"> </w:t>
      </w:r>
      <w:r>
        <w:rPr>
          <w:rFonts w:cs="Arial"/>
          <w:b/>
          <w:bCs/>
          <w:color w:val="000000"/>
          <w:szCs w:val="22"/>
        </w:rPr>
        <w:t>3.</w:t>
      </w:r>
      <w:r w:rsidRPr="00ED1D2C">
        <w:rPr>
          <w:rFonts w:cs="Arial"/>
          <w:b/>
          <w:bCs/>
          <w:color w:val="000000"/>
          <w:szCs w:val="22"/>
        </w:rPr>
        <w:t>1</w:t>
      </w:r>
      <w:r w:rsidRPr="00A71FCF">
        <w:rPr>
          <w:rFonts w:cs="Arial"/>
          <w:color w:val="000000"/>
          <w:szCs w:val="22"/>
        </w:rPr>
        <w:t>)</w:t>
      </w:r>
      <w:bookmarkStart w:id="47" w:name="_Hlk34823533"/>
      <w:r w:rsidRPr="00A71FCF">
        <w:rPr>
          <w:rFonts w:cs="Arial"/>
          <w:i/>
          <w:iCs/>
          <w:color w:val="000000"/>
          <w:szCs w:val="22"/>
        </w:rPr>
        <w:fldChar w:fldCharType="begin" w:fldLock="1"/>
      </w:r>
      <w:r w:rsidR="00567FF4">
        <w:rPr>
          <w:rFonts w:cs="Arial"/>
          <w:iCs/>
          <w:color w:val="000000"/>
          <w:szCs w:val="22"/>
        </w:rPr>
        <w:instrText>ADDIN CSL_CITATION {"citationItems":[{"id":"ITEM-1","itemData":{"DOI":"10.1016/j.copbio.2015.08.006","ISSN":"09581669","author":[{"dropping-particle":"","family":"Dai","given":"Zongjie","non-dropping-particle":"","parse-names":false,"suffix":""},{"dropping-particle":"","family":"Nielsen","given":"Jens","non-dropping-particle":"","parse-names":false,"suffix":""}],"container-title":"Current Opinion in Biotechnology","id":"ITEM-1","issued":{"date-parts":[["2015","12"]]},"page":"8-15","title":"Advancing metabolic engineering through systems biology of industrial microorganisms","type":"article-journal","volume":"36"},"uris":["http://www.mendeley.com/documents/?uuid=e8160f56-989b-4732-9048-abcf6d8878da","http://www.mendeley.com/documents/?uuid=9a9b1526-0f59-4e16-a60f-761f171fc4e4"]},{"id":"ITEM-2","itemData":{"author":[{"dropping-particle":"","family":"T. Rydzak*, D. Garcia, M. Sladek, D.M. Klingeman","given":"S.D. Brown and A. Guss","non-dropping-particle":"","parse-names":false,"suffix":""}],"container-title":"2016 SIMB Annual Meeting and Exhibition","id":"ITEM-2","issued":{"date-parts":[["2016"]]},"title":"Understanding nitrogen assimilation in Clostridium thermocellum for bioengineering","type":"article-journal"},"uris":["http://www.mendeley.com/documents/?uuid=9ef4a6a7-aee6-40d2-87c5-64da469da378","http://www.mendeley.com/documents/?uuid=0e41e237-4c77-48c5-8346-6d51dedcb291"]}],"mendeley":{"formattedCitation":"&lt;sup&gt;101,102&lt;/sup&gt;","plainTextFormattedCitation":"101,102","previouslyFormattedCitation":"&lt;sup&gt;101,102&lt;/sup&gt;"},"properties":{"noteIndex":0},"schema":"https://github.com/citation-style-language/schema/raw/master/csl-citation.json"}</w:instrText>
      </w:r>
      <w:r w:rsidRPr="00A71FCF">
        <w:rPr>
          <w:rFonts w:cs="Arial"/>
          <w:i/>
          <w:iCs/>
          <w:color w:val="000000"/>
          <w:szCs w:val="22"/>
        </w:rPr>
        <w:fldChar w:fldCharType="separate"/>
      </w:r>
      <w:r w:rsidR="00567FF4" w:rsidRPr="00567FF4">
        <w:rPr>
          <w:rFonts w:cs="Arial"/>
          <w:bCs/>
          <w:iCs/>
          <w:noProof/>
          <w:color w:val="000000"/>
          <w:szCs w:val="22"/>
          <w:vertAlign w:val="superscript"/>
        </w:rPr>
        <w:t>101,102</w:t>
      </w:r>
      <w:r w:rsidRPr="00A71FCF">
        <w:rPr>
          <w:rFonts w:cs="Arial"/>
          <w:i/>
          <w:iCs/>
          <w:color w:val="000000"/>
          <w:szCs w:val="22"/>
        </w:rPr>
        <w:fldChar w:fldCharType="end"/>
      </w:r>
      <w:r w:rsidRPr="00A71FCF">
        <w:rPr>
          <w:rFonts w:cs="Arial"/>
          <w:color w:val="000000"/>
          <w:szCs w:val="22"/>
        </w:rPr>
        <w:t>.</w:t>
      </w:r>
      <w:bookmarkEnd w:id="47"/>
      <w:r w:rsidRPr="00A71FCF">
        <w:rPr>
          <w:rFonts w:cs="Arial"/>
          <w:szCs w:val="22"/>
        </w:rPr>
        <w:t xml:space="preserve"> </w:t>
      </w:r>
      <w:r w:rsidRPr="00A71FCF">
        <w:rPr>
          <w:rFonts w:cs="Arial"/>
          <w:color w:val="000000"/>
          <w:szCs w:val="22"/>
        </w:rPr>
        <w:t xml:space="preserve">This general strategy was demonstrated using </w:t>
      </w:r>
      <w:r w:rsidRPr="00A71FCF">
        <w:rPr>
          <w:rFonts w:cs="Arial"/>
          <w:i/>
          <w:iCs/>
          <w:color w:val="000000"/>
          <w:szCs w:val="22"/>
        </w:rPr>
        <w:t>E. coli</w:t>
      </w:r>
      <w:r w:rsidRPr="00A71FCF">
        <w:rPr>
          <w:rFonts w:cs="Arial"/>
          <w:color w:val="000000"/>
          <w:szCs w:val="22"/>
        </w:rPr>
        <w:t xml:space="preserve"> BL21 Star (DE3) as a chassis due to its prevalent use for cell-free synthetic biology.</w:t>
      </w:r>
    </w:p>
    <w:p w14:paraId="4F2A2E6A" w14:textId="77777777" w:rsidR="0091138B" w:rsidRDefault="0091138B" w:rsidP="0091138B">
      <w:pPr>
        <w:contextualSpacing/>
        <w:rPr>
          <w:rFonts w:eastAsiaTheme="minorEastAsia" w:cs="Arial"/>
          <w:color w:val="000000" w:themeColor="text1"/>
          <w:kern w:val="24"/>
          <w:szCs w:val="22"/>
        </w:rPr>
      </w:pPr>
    </w:p>
    <w:p w14:paraId="272B6573" w14:textId="03CDF15E" w:rsidR="0091138B" w:rsidRPr="0091138B" w:rsidRDefault="0091138B" w:rsidP="009E4CE7">
      <w:pPr>
        <w:pStyle w:val="ChapterHeading"/>
      </w:pPr>
      <w:bookmarkStart w:id="48" w:name="_Toc129701024"/>
      <w:r w:rsidRPr="0091138B">
        <w:rPr>
          <w:rFonts w:eastAsiaTheme="minorEastAsia"/>
        </w:rPr>
        <w:t>3.3. Methods</w:t>
      </w:r>
      <w:bookmarkEnd w:id="48"/>
    </w:p>
    <w:p w14:paraId="7FE0F36E" w14:textId="3FCA6120" w:rsidR="0031140D" w:rsidRPr="00A71FCF" w:rsidRDefault="0091138B" w:rsidP="009E4CE7">
      <w:pPr>
        <w:pStyle w:val="ChapterSub-heading"/>
      </w:pPr>
      <w:bookmarkStart w:id="49" w:name="_Toc129701025"/>
      <w:r>
        <w:t xml:space="preserve">3.3.1. </w:t>
      </w:r>
      <w:r w:rsidR="0031140D" w:rsidRPr="00A71FCF">
        <w:t xml:space="preserve">Generation and </w:t>
      </w:r>
      <w:r w:rsidR="00E033D4">
        <w:t>v</w:t>
      </w:r>
      <w:r w:rsidR="0031140D" w:rsidRPr="00A71FCF">
        <w:t xml:space="preserve">alidation of </w:t>
      </w:r>
      <w:r w:rsidR="00E033D4">
        <w:t>g</w:t>
      </w:r>
      <w:r w:rsidR="0031140D" w:rsidRPr="00A71FCF">
        <w:t xml:space="preserve">enome </w:t>
      </w:r>
      <w:r w:rsidR="00E033D4">
        <w:t>e</w:t>
      </w:r>
      <w:r w:rsidR="0031140D" w:rsidRPr="00A71FCF">
        <w:t xml:space="preserve">ngineered </w:t>
      </w:r>
      <w:r w:rsidR="00E033D4">
        <w:t>s</w:t>
      </w:r>
      <w:r w:rsidR="0031140D" w:rsidRPr="00A71FCF">
        <w:t>trains using MAGE</w:t>
      </w:r>
      <w:bookmarkEnd w:id="49"/>
      <w:r w:rsidR="0031140D" w:rsidRPr="00A71FCF">
        <w:t xml:space="preserve"> </w:t>
      </w:r>
    </w:p>
    <w:p w14:paraId="73E7C5B5" w14:textId="567A6D13" w:rsidR="0031140D" w:rsidRDefault="0031140D" w:rsidP="00202E24">
      <w:pPr>
        <w:ind w:firstLine="720"/>
        <w:contextualSpacing/>
        <w:rPr>
          <w:rFonts w:cs="Arial"/>
          <w:szCs w:val="22"/>
        </w:rPr>
      </w:pPr>
      <w:r w:rsidRPr="00A71FCF">
        <w:rPr>
          <w:rFonts w:cs="Arial"/>
          <w:szCs w:val="22"/>
        </w:rPr>
        <w:t xml:space="preserve">All multiplex allele-specific PCR (MASC-PCR), Sanger Sequencing oligos, and recombineering oligos were created manually and ordered from IDT (Coralville, IA) with standard purification. Each targeting oligo incorporated four </w:t>
      </w:r>
      <w:bookmarkStart w:id="50" w:name="_Hlk34760414"/>
      <w:proofErr w:type="spellStart"/>
      <w:r w:rsidRPr="00A71FCF">
        <w:rPr>
          <w:rFonts w:cs="Arial"/>
          <w:szCs w:val="22"/>
        </w:rPr>
        <w:t>phosphorothioated</w:t>
      </w:r>
      <w:proofErr w:type="spellEnd"/>
      <w:r w:rsidRPr="00A71FCF">
        <w:rPr>
          <w:rFonts w:cs="Arial"/>
          <w:szCs w:val="22"/>
        </w:rPr>
        <w:t xml:space="preserve"> bases</w:t>
      </w:r>
      <w:bookmarkEnd w:id="50"/>
      <w:r w:rsidRPr="00A71FCF">
        <w:rPr>
          <w:rFonts w:cs="Arial"/>
          <w:szCs w:val="22"/>
        </w:rPr>
        <w:t xml:space="preserve"> on the 5′ terminus. An 18-base CACCATCACCATCACCAT sequence was used to add the 6xHis-tag and directed at either the N- or C-terminus based on previous literature or crystal structure analysis</w:t>
      </w:r>
      <w:r w:rsidRPr="00A71FCF">
        <w:rPr>
          <w:rFonts w:cs="Arial"/>
          <w:szCs w:val="22"/>
        </w:rPr>
        <w:fldChar w:fldCharType="begin" w:fldLock="1"/>
      </w:r>
      <w:r w:rsidR="00567FF4">
        <w:rPr>
          <w:rFonts w:cs="Arial"/>
          <w:szCs w:val="22"/>
        </w:rPr>
        <w:instrText>ADDIN CSL_CITATION {"citationItems":[{"id":"ITEM-1","itemData":{"DOI":"10.1016/j.mimet.2014.07.012","ISSN":"18728359","abstract":"The analysis of protein-protein interactions in Mycobacterium tuberculosis has the potential to shed light on the functions of the large number of predicted open-reading frames annotated as conserved hypothetical proteins. We have developed a formaldehyde crosslinking system to detect in vivo interactions in mycobacteria. Our Gateway-adapted vector system uses three promoter strengths, including constitutive and regulatable versions, for the expression of target proteins with either an N- or C-terminal His-Strep-Strep tag. Tandem affinity purification using the His- and Strep-tags is well-suited to the isolation of protein complexes with a high purity and no detectable background. We have validated this approach using the well-described pyruvate dehydrogenase complex. © 2014 .","author":[{"dropping-particle":"","family":"Lougheed","given":"Kathryn E A","non-dropping-particle":"","parse-names":false,"suffix":""},{"dropping-particle":"","family":"Bennett","given":"Mark H.","non-dropping-particle":"","parse-names":false,"suffix":""},{"dropping-particle":"","family":"Williams","given":"Huw D.","non-dropping-particle":"","parse-names":false,"suffix":""}],"container-title":"Journal of Microbiological Methods","id":"ITEM-1","issued":{"date-parts":[["2014"]]},"page":"67-71","publisher":"Elsevier B.V.","title":"An in vivo crosslinking system for identifying mycobacterial protein-protein interactions","type":"article-journal","volume":"105"},"uris":["http://www.mendeley.com/documents/?uuid=48bb2292-3f89-4441-85ac-f048c41f2fb2"]},{"id":"ITEM-2","itemData":{"DOI":"10.1006/abio.2001.5182","ISSN":"00032697","abstract":"A (poly)histidine tag was fused to either the N- or the C-terminus of L-lactate dehydrogenase (LDH) of Bacillus stearothermophilus to facilitate purification and immobilization of these enzymes. The C-terminally tagged enzyme displayed lower activity compared both to the wild-type and to the N-terminally tagged variant. The reason for this loss of activity was investigated by affinity chromatography of the enzymes on a 5′-AMP-Sepharose resin and by size-exclusion chromatography. The C-terminally tagged enzyme could be separated into an inactive, unbound fraction and an active, bound fraction. Further differences between the C-terminally tagged enzyme and the N-terminally tagged and wild-type LDH were observed on size-exclusion chromatography of the three enzymes. These data suggest that the introduction of a \"his-tag\" at the C-terminus may induce misfolding of the LDH and serve as a warning that the introduction of a (poly)histidine tag can produce unforseen changes in a protein. © 2001 Academic Press.","author":[{"dropping-particle":"","family":"Halliwell","given":"Catherine M.","non-dropping-particle":"","parse-names":false,"suffix":""},{"dropping-particle":"","family":"Morgan","given":"Gareth","non-dropping-particle":"","parse-names":false,"suffix":""},{"dropping-particle":"","family":"Ou","given":"Chung Pei","non-dropping-particle":"","parse-names":false,"suffix":""},{"dropping-particle":"","family":"Cass","given":"Anthony E.G.","non-dropping-particle":"","parse-names":false,"suffix":""}],"container-title":"Analytical Biochemistry","id":"ITEM-2","issue":"2","issued":{"date-parts":[["2001"]]},"page":"257-261","title":"Introduction of a (poly)histidine tag in L-lactate dehydrogenase produces a mixture of active and inactive molecules","type":"article-journal","volume":"295"},"uris":["http://www.mendeley.com/documents/?uuid=63115328-a416-4b33-b6db-2b6a18240a4d"]}],"mendeley":{"formattedCitation":"&lt;sup&gt;103,104&lt;/sup&gt;","plainTextFormattedCitation":"103,104","previouslyFormattedCitation":"&lt;sup&gt;103,104&lt;/sup&gt;"},"properties":{"noteIndex":0},"schema":"https://github.com/citation-style-language/schema/raw/master/csl-citation.json"}</w:instrText>
      </w:r>
      <w:r w:rsidRPr="00A71FCF">
        <w:rPr>
          <w:rFonts w:cs="Arial"/>
          <w:szCs w:val="22"/>
        </w:rPr>
        <w:fldChar w:fldCharType="separate"/>
      </w:r>
      <w:r w:rsidR="00567FF4" w:rsidRPr="00567FF4">
        <w:rPr>
          <w:rFonts w:cs="Arial"/>
          <w:bCs/>
          <w:noProof/>
          <w:szCs w:val="22"/>
          <w:vertAlign w:val="superscript"/>
        </w:rPr>
        <w:t>103,104</w:t>
      </w:r>
      <w:r w:rsidRPr="00A71FCF">
        <w:rPr>
          <w:rFonts w:cs="Arial"/>
          <w:szCs w:val="22"/>
        </w:rPr>
        <w:fldChar w:fldCharType="end"/>
      </w:r>
      <w:r w:rsidRPr="00A71FCF">
        <w:rPr>
          <w:rFonts w:cs="Arial"/>
          <w:szCs w:val="22"/>
        </w:rPr>
        <w:t xml:space="preserve">. The </w:t>
      </w:r>
      <w:proofErr w:type="spellStart"/>
      <w:r w:rsidRPr="00A71FCF">
        <w:rPr>
          <w:rFonts w:cs="Arial"/>
          <w:szCs w:val="22"/>
        </w:rPr>
        <w:lastRenderedPageBreak/>
        <w:t>pORTMAGE</w:t>
      </w:r>
      <w:proofErr w:type="spellEnd"/>
      <w:r w:rsidRPr="00A71FCF">
        <w:rPr>
          <w:rFonts w:cs="Arial"/>
          <w:szCs w:val="22"/>
        </w:rPr>
        <w:t xml:space="preserve"> protocol used in this study followed previous work with the exception that growth was carried out in 6 mL of Luria-Bertani-Lennox (</w:t>
      </w:r>
      <w:proofErr w:type="spellStart"/>
      <w:r w:rsidRPr="00A71FCF">
        <w:rPr>
          <w:rFonts w:cs="Arial"/>
          <w:szCs w:val="22"/>
        </w:rPr>
        <w:t>lbl</w:t>
      </w:r>
      <w:proofErr w:type="spellEnd"/>
      <w:r w:rsidRPr="00A71FCF">
        <w:rPr>
          <w:rFonts w:cs="Arial"/>
          <w:szCs w:val="22"/>
        </w:rPr>
        <w:t xml:space="preserve">) cultures in glass tubes with 100 mg/mL of carbenicillin, recovery was performed in 3 mL of terrific broth with a 1-hour incubation time prior to adding 3 mL of </w:t>
      </w:r>
      <w:proofErr w:type="spellStart"/>
      <w:r w:rsidRPr="00A71FCF">
        <w:rPr>
          <w:rFonts w:cs="Arial"/>
          <w:szCs w:val="22"/>
        </w:rPr>
        <w:t>lbl</w:t>
      </w:r>
      <w:proofErr w:type="spellEnd"/>
      <w:r w:rsidRPr="00A71FCF">
        <w:rPr>
          <w:rFonts w:cs="Arial"/>
          <w:szCs w:val="22"/>
        </w:rPr>
        <w:t>-carb for outgrowth</w:t>
      </w:r>
      <w:r w:rsidRPr="00A71FCF">
        <w:rPr>
          <w:rFonts w:cs="Arial"/>
          <w:szCs w:val="22"/>
        </w:rPr>
        <w:fldChar w:fldCharType="begin" w:fldLock="1"/>
      </w:r>
      <w:r w:rsidR="00567FF4">
        <w:rPr>
          <w:rFonts w:cs="Arial"/>
          <w:szCs w:val="22"/>
        </w:rPr>
        <w:instrText>ADDIN CSL_CITATION {"citationItems":[{"id":"ITEM-1","itemData":{"DOI":"10.1073/pnas.1520040113","ISSN":"1091-6490","PMID":"26884157","abstract":"Currently available tools for multiplex bacterial genome engineering are optimized for a few laboratory model strains, demand extensive prior modification of the host strain, and lead to the accumulation of numerous off-target modifications. Building on prior development of multiplex automated genome engineering (MAGE), our work addresses these problems in a single framework. Using a dominant-negative mutant protein of the methyl-directed mismatch repair (MMR) system, we achieved a transient suppression of DNA repair in Escherichia coli, which is necessary for efficient oligonucleotide integration. By integrating all necessary components into a broad-host vector, we developed a new workflow we term pORTMAGE. It allows efficient modification of multiple loci, without any observable off-target mutagenesis and prior modification of the host genome. Because of the conserved nature of the bacterial MMR system, pORTMAGE simultaneously allows genome editing and mutant library generation in other biotechnologically and clinically relevant bacterial species. Finally, we applied pORTMAGE to study a set of antibiotic resistance-conferring mutations in Salmonella enterica and E. coli. Despite over 100 million y of divergence between the two species, mutational effects remained generally conserved. In sum, a single transformation of a pORTMAGE plasmid allows bacterial species of interest to become an efficient host for genome engineering. These advances pave the way toward biotechnological and therapeutic applications. Finally, pORTMAGE allows systematic comparison of mutational effects and epistasis across a wide range of bacterial species.","author":[{"dropping-particle":"","family":"Nyerges","given":"Ákos","non-dropping-particle":"","parse-names":false,"suffix":""},{"dropping-particle":"","family":"Csörgő","given":"Bálint","non-dropping-particle":"","parse-names":false,"suffix":""},{"dropping-particle":"","family":"Nagy","given":"István","non-dropping-particle":"","parse-names":false,"suffix":""},{"dropping-particle":"","family":"Bálint","given":"Balázs","non-dropping-particle":"","parse-names":false,"suffix":""},{"dropping-particle":"","family":"Bihari","given":"Péter","non-dropping-particle":"","parse-names":false,"suffix":""},{"dropping-particle":"","family":"Lázár","given":"Viktória","non-dropping-particle":"","parse-names":false,"suffix":""},{"dropping-particle":"","family":"Apjok","given":"Gábor","non-dropping-particle":"","parse-names":false,"suffix":""},{"dropping-particle":"","family":"Umenhoffer","given":"Kinga","non-dropping-particle":"","parse-names":false,"suffix":""},{"dropping-particle":"","family":"Bogos","given":"Balázs","non-dropping-particle":"","parse-names":false,"suffix":""},{"dropping-particle":"","family":"Pósfai","given":"György","non-dropping-particle":"","parse-names":false,"suffix":""},{"dropping-particle":"","family":"Pál","given":"Csaba","non-dropping-particle":"","parse-names":false,"suffix":""}],"container-title":"Proceedings of the National Academy of Sciences of the United States of America","id":"ITEM-1","issue":"9","issued":{"date-parts":[["2016","3","1"]]},"page":"2502-7","publisher":"National Academy of Sciences","title":"A highly precise and portable genome engineering method allows comparison of mutational effects across bacterial species.","type":"article-journal","volume":"113"},"uris":["http://www.mendeley.com/documents/?uuid=b96ff422-8f1b-3d22-a1e4-b07bedd24431"]}],"mendeley":{"formattedCitation":"&lt;sup&gt;105&lt;/sup&gt;","plainTextFormattedCitation":"105","previouslyFormattedCitation":"&lt;sup&gt;105&lt;/sup&gt;"},"properties":{"noteIndex":0},"schema":"https://github.com/citation-style-language/schema/raw/master/csl-citation.json"}</w:instrText>
      </w:r>
      <w:r w:rsidRPr="00A71FCF">
        <w:rPr>
          <w:rFonts w:cs="Arial"/>
          <w:szCs w:val="22"/>
        </w:rPr>
        <w:fldChar w:fldCharType="separate"/>
      </w:r>
      <w:r w:rsidR="00567FF4" w:rsidRPr="00567FF4">
        <w:rPr>
          <w:rFonts w:cs="Arial"/>
          <w:noProof/>
          <w:szCs w:val="22"/>
          <w:vertAlign w:val="superscript"/>
        </w:rPr>
        <w:t>105</w:t>
      </w:r>
      <w:r w:rsidRPr="00A71FCF">
        <w:rPr>
          <w:rFonts w:cs="Arial"/>
          <w:szCs w:val="22"/>
        </w:rPr>
        <w:fldChar w:fldCharType="end"/>
      </w:r>
      <w:r w:rsidRPr="00A71FCF">
        <w:rPr>
          <w:rFonts w:cs="Arial"/>
          <w:szCs w:val="22"/>
        </w:rPr>
        <w:t>. Given the significant time required to find accumulated mutations in a single strain, the additive mutations were started from previously found mutations such that Δ1 was used to create Δ2 and so on as per the protocols used in previous studies</w:t>
      </w:r>
      <w:r w:rsidRPr="00A71FCF">
        <w:rPr>
          <w:rFonts w:cs="Arial"/>
          <w:szCs w:val="22"/>
        </w:rPr>
        <w:fldChar w:fldCharType="begin" w:fldLock="1"/>
      </w:r>
      <w:r w:rsidR="00567FF4">
        <w:rPr>
          <w:rFonts w:cs="Arial"/>
          <w:szCs w:val="22"/>
        </w:rPr>
        <w:instrText>ADDIN CSL_CITATION {"citationItems":[{"id":"ITEM-1","itemData":{"DOI":"10.1021/sb3000029","ISSN":"2161-5063","PMID":"22737598","abstract":"Protein pathways are dynamic and highly coordinated spatially and temporally, capable of performing a diverse range of complex chemistries and enzymatic reactions with precision and at high efficiency. Biotechnology aims to harvest these natural systems to construct more advanced in vitro reactions, capable of new chemistries and operating at high yield. Here, we present an efficient Multiplex Automated Genome Engineering (MAGE) strategy to simultaneously modify and co-purify large protein complexes and pathways from the model organism Escherichia coli to reconstitute functional synthetic proteomes in vitro. By application of over 110 MAGE cycles, we successfully inserted hexa-histidine sequences into 38 essential genes in vivo that encode for the entire translation machinery. Streamlined co-purification and reconstitution of the translation protein complex enabled protein synthesis in vitro. Our approach can be applied to a growing area of applications in in vitro one-pot multienzyme catalysis (MEC) to manipulate or enhance in vitro pathways such as natural product or carbohydrate biosynthesis.","author":[{"dropping-particle":"","family":"Wang","given":"Harris H","non-dropping-particle":"","parse-names":false,"suffix":""},{"dropping-particle":"","family":"Huang","given":"Po-Yi","non-dropping-particle":"","parse-names":false,"suffix":""},{"dropping-particle":"","family":"Xu","given":"George","non-dropping-particle":"","parse-names":false,"suffix":""},{"dropping-particle":"","family":"Haas","given":"Wilhelm","non-dropping-particle":"","parse-names":false,"suffix":""},{"dropping-particle":"","family":"Marblestone","given":"Adam","non-dropping-particle":"","parse-names":false,"suffix":""},{"dropping-particle":"","family":"Li","given":"Jun","non-dropping-particle":"","parse-names":false,"suffix":""},{"dropping-particle":"","family":"Gygi","given":"Steven P","non-dropping-particle":"","parse-names":false,"suffix":""},{"dropping-particle":"","family":"Forster","given":"Anthony C","non-dropping-particle":"","parse-names":false,"suffix":""},{"dropping-particle":"","family":"Jewett","given":"Michael C","non-dropping-particle":"","parse-names":false,"suffix":""},{"dropping-particle":"","family":"Church","given":"George M","non-dropping-particle":"","parse-names":false,"suffix":""}],"container-title":"ACS synthetic biology","id":"ITEM-1","issue":"2","issued":{"date-parts":[["2012","2","17"]]},"page":"43-52","publisher":"NIH Public Access","title":"Multiplexed in vivo His-tagging of enzyme pathways for in vitro single-pot multienzyme catalysis.","type":"article-journal","volume":"1"},"uris":["http://www.mendeley.com/documents/?uuid=7c2d7024-c1bd-31dd-89f1-e508b70fc2b0"]}],"mendeley":{"formattedCitation":"&lt;sup&gt;88&lt;/sup&gt;","plainTextFormattedCitation":"88","previouslyFormattedCitation":"&lt;sup&gt;88&lt;/sup&gt;"},"properties":{"noteIndex":0},"schema":"https://github.com/citation-style-language/schema/raw/master/csl-citation.json"}</w:instrText>
      </w:r>
      <w:r w:rsidRPr="00A71FCF">
        <w:rPr>
          <w:rFonts w:cs="Arial"/>
          <w:szCs w:val="22"/>
        </w:rPr>
        <w:fldChar w:fldCharType="separate"/>
      </w:r>
      <w:r w:rsidR="00567FF4" w:rsidRPr="00567FF4">
        <w:rPr>
          <w:rFonts w:cs="Arial"/>
          <w:noProof/>
          <w:szCs w:val="22"/>
          <w:vertAlign w:val="superscript"/>
        </w:rPr>
        <w:t>88</w:t>
      </w:r>
      <w:r w:rsidRPr="00A71FCF">
        <w:rPr>
          <w:rFonts w:cs="Arial"/>
          <w:szCs w:val="22"/>
        </w:rPr>
        <w:fldChar w:fldCharType="end"/>
      </w:r>
      <w:r w:rsidRPr="00A71FCF">
        <w:rPr>
          <w:rFonts w:cs="Arial"/>
          <w:szCs w:val="22"/>
        </w:rPr>
        <w:t>. After every 8-12 cycles of MAGE, 30-60 colonies were screened for genome edits using MASC-PCR as detailed previously</w:t>
      </w:r>
      <w:r w:rsidRPr="00A71FCF">
        <w:rPr>
          <w:rFonts w:cs="Arial"/>
          <w:szCs w:val="22"/>
        </w:rPr>
        <w:fldChar w:fldCharType="begin" w:fldLock="1"/>
      </w:r>
      <w:r w:rsidR="00567FF4">
        <w:rPr>
          <w:rFonts w:cs="Arial"/>
          <w:szCs w:val="22"/>
        </w:rPr>
        <w:instrText>ADDIN CSL_CITATION {"citationItems":[{"id":"ITEM-1","itemData":{"DOI":"10.1021/sb3000029","ISSN":"2161-5063","PMID":"22737598","abstract":"Protein pathways are dynamic and highly coordinated spatially and temporally, capable of performing a diverse range of complex chemistries and enzymatic reactions with precision and at high efficiency. Biotechnology aims to harvest these natural systems to construct more advanced in vitro reactions, capable of new chemistries and operating at high yield. Here, we present an efficient Multiplex Automated Genome Engineering (MAGE) strategy to simultaneously modify and co-purify large protein complexes and pathways from the model organism Escherichia coli to reconstitute functional synthetic proteomes in vitro. By application of over 110 MAGE cycles, we successfully inserted hexa-histidine sequences into 38 essential genes in vivo that encode for the entire translation machinery. Streamlined co-purification and reconstitution of the translation protein complex enabled protein synthesis in vitro. Our approach can be applied to a growing area of applications in in vitro one-pot multienzyme catalysis (MEC) to manipulate or enhance in vitro pathways such as natural product or carbohydrate biosynthesis.","author":[{"dropping-particle":"","family":"Wang","given":"Harris H","non-dropping-particle":"","parse-names":false,"suffix":""},{"dropping-particle":"","family":"Huang","given":"Po-Yi","non-dropping-particle":"","parse-names":false,"suffix":""},{"dropping-particle":"","family":"Xu","given":"George","non-dropping-particle":"","parse-names":false,"suffix":""},{"dropping-particle":"","family":"Haas","given":"Wilhelm","non-dropping-particle":"","parse-names":false,"suffix":""},{"dropping-particle":"","family":"Marblestone","given":"Adam","non-dropping-particle":"","parse-names":false,"suffix":""},{"dropping-particle":"","family":"Li","given":"Jun","non-dropping-particle":"","parse-names":false,"suffix":""},{"dropping-particle":"","family":"Gygi","given":"Steven P","non-dropping-particle":"","parse-names":false,"suffix":""},{"dropping-particle":"","family":"Forster","given":"Anthony C","non-dropping-particle":"","parse-names":false,"suffix":""},{"dropping-particle":"","family":"Jewett","given":"Michael C","non-dropping-particle":"","parse-names":false,"suffix":""},{"dropping-particle":"","family":"Church","given":"George M","non-dropping-particle":"","parse-names":false,"suffix":""}],"container-title":"ACS synthetic biology","id":"ITEM-1","issue":"2","issued":{"date-parts":[["2012","2","17"]]},"page":"43-52","publisher":"NIH Public Access","title":"Multiplexed in vivo His-tagging of enzyme pathways for in vitro single-pot multienzyme catalysis.","type":"article-journal","volume":"1"},"uris":["http://www.mendeley.com/documents/?uuid=7c2d7024-c1bd-31dd-89f1-e508b70fc2b0"]}],"mendeley":{"formattedCitation":"&lt;sup&gt;88&lt;/sup&gt;","plainTextFormattedCitation":"88","previouslyFormattedCitation":"&lt;sup&gt;88&lt;/sup&gt;"},"properties":{"noteIndex":0},"schema":"https://github.com/citation-style-language/schema/raw/master/csl-citation.json"}</w:instrText>
      </w:r>
      <w:r w:rsidRPr="00A71FCF">
        <w:rPr>
          <w:rFonts w:cs="Arial"/>
          <w:szCs w:val="22"/>
        </w:rPr>
        <w:fldChar w:fldCharType="separate"/>
      </w:r>
      <w:r w:rsidR="00567FF4" w:rsidRPr="00567FF4">
        <w:rPr>
          <w:rFonts w:cs="Arial"/>
          <w:noProof/>
          <w:szCs w:val="22"/>
          <w:vertAlign w:val="superscript"/>
        </w:rPr>
        <w:t>88</w:t>
      </w:r>
      <w:r w:rsidRPr="00A71FCF">
        <w:rPr>
          <w:rFonts w:cs="Arial"/>
          <w:szCs w:val="22"/>
        </w:rPr>
        <w:fldChar w:fldCharType="end"/>
      </w:r>
      <w:r w:rsidRPr="00A71FCF">
        <w:rPr>
          <w:rFonts w:cs="Arial"/>
          <w:szCs w:val="22"/>
        </w:rPr>
        <w:t xml:space="preserve">. Allelic genotyping was performed using standard primers designed to flank both modified genes. Amplicons were Sanger sequenced to validate the insertion of the 6xHis-tag sequence. Primer sequences used in this study are listed in Supplemental Table </w:t>
      </w:r>
      <w:r w:rsidRPr="00A71FCF">
        <w:rPr>
          <w:rFonts w:cs="Arial"/>
          <w:szCs w:val="22"/>
        </w:rPr>
        <w:fldChar w:fldCharType="begin"/>
      </w:r>
      <w:r w:rsidRPr="00A71FCF">
        <w:rPr>
          <w:rFonts w:cs="Arial"/>
          <w:szCs w:val="22"/>
        </w:rPr>
        <w:instrText xml:space="preserve"> SEQ Supplemental_Table \* ARABIC </w:instrText>
      </w:r>
      <w:r w:rsidRPr="00A71FCF">
        <w:rPr>
          <w:rFonts w:cs="Arial"/>
          <w:szCs w:val="22"/>
        </w:rPr>
        <w:fldChar w:fldCharType="separate"/>
      </w:r>
      <w:r w:rsidRPr="00A71FCF">
        <w:rPr>
          <w:rFonts w:cs="Arial"/>
          <w:noProof/>
          <w:szCs w:val="22"/>
        </w:rPr>
        <w:t>1</w:t>
      </w:r>
      <w:r w:rsidRPr="00A71FCF">
        <w:rPr>
          <w:rFonts w:cs="Arial"/>
          <w:noProof/>
          <w:szCs w:val="22"/>
        </w:rPr>
        <w:fldChar w:fldCharType="end"/>
      </w:r>
      <w:r w:rsidRPr="00A71FCF">
        <w:rPr>
          <w:rFonts w:cs="Arial"/>
          <w:szCs w:val="22"/>
        </w:rPr>
        <w:t xml:space="preserve"> and Supplemental Table 2.</w:t>
      </w:r>
    </w:p>
    <w:p w14:paraId="171D2FA4" w14:textId="77777777" w:rsidR="00202E24" w:rsidRPr="00A71FCF" w:rsidRDefault="00202E24" w:rsidP="0008141D">
      <w:pPr>
        <w:contextualSpacing/>
        <w:rPr>
          <w:rFonts w:cs="Arial"/>
          <w:szCs w:val="22"/>
        </w:rPr>
      </w:pPr>
    </w:p>
    <w:p w14:paraId="1D98AF9C" w14:textId="2CCCF913" w:rsidR="0031140D" w:rsidRPr="00A71FCF" w:rsidRDefault="00202E24" w:rsidP="009E4CE7">
      <w:pPr>
        <w:pStyle w:val="ChapterSub-heading"/>
      </w:pPr>
      <w:bookmarkStart w:id="51" w:name="_Toc129701026"/>
      <w:r>
        <w:t>3.3</w:t>
      </w:r>
      <w:r w:rsidR="0031140D" w:rsidRPr="00A71FCF">
        <w:t>.2 Cell-</w:t>
      </w:r>
      <w:r w:rsidR="00E033D4">
        <w:t>f</w:t>
      </w:r>
      <w:r w:rsidR="0031140D" w:rsidRPr="00A71FCF">
        <w:t>ree</w:t>
      </w:r>
      <w:r w:rsidR="00E033D4">
        <w:t xml:space="preserve"> e</w:t>
      </w:r>
      <w:r w:rsidR="0031140D" w:rsidRPr="00A71FCF">
        <w:t xml:space="preserve">xtract </w:t>
      </w:r>
      <w:r w:rsidR="00E033D4">
        <w:t>p</w:t>
      </w:r>
      <w:r w:rsidR="0031140D" w:rsidRPr="00A71FCF">
        <w:t xml:space="preserve">reparation </w:t>
      </w:r>
      <w:r w:rsidR="00E033D4">
        <w:t>p</w:t>
      </w:r>
      <w:r w:rsidR="0031140D" w:rsidRPr="00A71FCF">
        <w:t>rotocol</w:t>
      </w:r>
      <w:bookmarkEnd w:id="51"/>
      <w:r w:rsidR="0031140D" w:rsidRPr="00A71FCF">
        <w:t xml:space="preserve"> </w:t>
      </w:r>
    </w:p>
    <w:p w14:paraId="0595BB15" w14:textId="77777777" w:rsidR="0031140D" w:rsidRPr="00A71FCF" w:rsidRDefault="0031140D" w:rsidP="00202E24">
      <w:pPr>
        <w:ind w:firstLine="720"/>
        <w:contextualSpacing/>
        <w:rPr>
          <w:rFonts w:cs="Arial"/>
          <w:szCs w:val="22"/>
        </w:rPr>
      </w:pPr>
      <w:r w:rsidRPr="00A71FCF">
        <w:rPr>
          <w:rFonts w:cs="Arial"/>
          <w:szCs w:val="22"/>
        </w:rPr>
        <w:t xml:space="preserve">Following plasmid curing, the cell extracts were prepared from </w:t>
      </w:r>
      <w:r w:rsidRPr="00A71FCF">
        <w:rPr>
          <w:rFonts w:cs="Arial"/>
          <w:i/>
          <w:iCs/>
          <w:szCs w:val="22"/>
        </w:rPr>
        <w:t>E. coli</w:t>
      </w:r>
      <w:r w:rsidRPr="00A71FCF">
        <w:rPr>
          <w:rFonts w:cs="Arial"/>
          <w:szCs w:val="22"/>
        </w:rPr>
        <w:t xml:space="preserve"> BL21 Star (DE3) grown at 37 °C in 2xYPT-G (16 g L-1 tryptone, 10 g L-1 yeast extract, 5 g L-1 NaCl, 7 g L-1 KH</w:t>
      </w:r>
      <w:r w:rsidRPr="00A71FCF">
        <w:rPr>
          <w:rFonts w:cs="Arial"/>
          <w:szCs w:val="22"/>
          <w:vertAlign w:val="subscript"/>
        </w:rPr>
        <w:t>2</w:t>
      </w:r>
      <w:r w:rsidRPr="00A71FCF">
        <w:rPr>
          <w:rFonts w:cs="Arial"/>
          <w:szCs w:val="22"/>
        </w:rPr>
        <w:t>PO</w:t>
      </w:r>
      <w:r w:rsidRPr="00A71FCF">
        <w:rPr>
          <w:rFonts w:cs="Arial"/>
          <w:szCs w:val="22"/>
          <w:vertAlign w:val="subscript"/>
        </w:rPr>
        <w:t>4</w:t>
      </w:r>
      <w:r w:rsidRPr="00A71FCF">
        <w:rPr>
          <w:rFonts w:cs="Arial"/>
          <w:szCs w:val="22"/>
        </w:rPr>
        <w:t>, 3 g L-1 K</w:t>
      </w:r>
      <w:r w:rsidRPr="00A71FCF">
        <w:rPr>
          <w:rFonts w:cs="Arial"/>
          <w:szCs w:val="22"/>
          <w:vertAlign w:val="subscript"/>
        </w:rPr>
        <w:t>2</w:t>
      </w:r>
      <w:r w:rsidRPr="00A71FCF">
        <w:rPr>
          <w:rFonts w:cs="Arial"/>
          <w:szCs w:val="22"/>
        </w:rPr>
        <w:t>HPO</w:t>
      </w:r>
      <w:r w:rsidRPr="00A71FCF">
        <w:rPr>
          <w:rFonts w:cs="Arial"/>
          <w:szCs w:val="22"/>
          <w:vertAlign w:val="subscript"/>
        </w:rPr>
        <w:t>4</w:t>
      </w:r>
      <w:r w:rsidRPr="00A71FCF">
        <w:rPr>
          <w:rFonts w:cs="Arial"/>
          <w:szCs w:val="22"/>
        </w:rPr>
        <w:t>, 18 g L -1 glucose). Cell extracts were prepared by harvesting 50-mL cultures grown in baffled Erlenmeyer flasks to an OD600 of 5.0. Cells were harvested by centrifugation at 5000x g for 10 min in 50 mL volumes and washed twice with S30 buffer (14 mM magnesium acetate, 60 mM potassium acetate, 1 mM dithiothreitol (DTT) and 10 mM Tris-acetate, pH 8.2) by resuspension and centrifugation. The pellets were weighed, flash-frozen, and stored at –80 °C. Extracts were prepared by thawing and resuspending the cells in 0.8 mL of S30 buffer per gram of cell wet weight. The resuspension was lysed using 530 joules per mL of suspension at 50% tip amplitude with ice water cooling. Following sonication, tubes of cell extract were centrifuged twice at 21,100 x g for 10 minutes at 4 °C, aliquoted, frozen with liquid nitrogen, and stored at –80 °C.</w:t>
      </w:r>
    </w:p>
    <w:p w14:paraId="421CC421" w14:textId="77777777" w:rsidR="00202E24" w:rsidRDefault="00202E24" w:rsidP="0008141D">
      <w:pPr>
        <w:contextualSpacing/>
        <w:rPr>
          <w:rFonts w:cs="Arial"/>
          <w:b/>
          <w:szCs w:val="22"/>
        </w:rPr>
      </w:pPr>
    </w:p>
    <w:p w14:paraId="4ED28218" w14:textId="35E95998" w:rsidR="00202E24" w:rsidRDefault="00202E24" w:rsidP="009E4CE7">
      <w:pPr>
        <w:pStyle w:val="ChapterSub-heading"/>
      </w:pPr>
      <w:bookmarkStart w:id="52" w:name="_Toc129701027"/>
      <w:r>
        <w:lastRenderedPageBreak/>
        <w:t>3.3</w:t>
      </w:r>
      <w:r w:rsidR="0031140D" w:rsidRPr="00A71FCF">
        <w:t>.3 Cell-</w:t>
      </w:r>
      <w:r w:rsidR="00E033D4">
        <w:t>f</w:t>
      </w:r>
      <w:r w:rsidR="0031140D" w:rsidRPr="00A71FCF">
        <w:t xml:space="preserve">ree </w:t>
      </w:r>
      <w:r w:rsidR="00E033D4">
        <w:t>e</w:t>
      </w:r>
      <w:r w:rsidR="0031140D" w:rsidRPr="00A71FCF">
        <w:t xml:space="preserve">xtract </w:t>
      </w:r>
      <w:r w:rsidR="00E033D4">
        <w:t>d</w:t>
      </w:r>
      <w:r w:rsidR="0031140D" w:rsidRPr="00A71FCF">
        <w:t>epletions</w:t>
      </w:r>
      <w:bookmarkEnd w:id="52"/>
      <w:r w:rsidR="0031140D" w:rsidRPr="00A71FCF">
        <w:t xml:space="preserve"> </w:t>
      </w:r>
    </w:p>
    <w:p w14:paraId="3D3FDEA0" w14:textId="76B31250" w:rsidR="0031140D" w:rsidRPr="00A71FCF" w:rsidRDefault="0031140D" w:rsidP="00202E24">
      <w:pPr>
        <w:ind w:firstLine="720"/>
        <w:contextualSpacing/>
        <w:rPr>
          <w:rFonts w:cs="Arial"/>
          <w:szCs w:val="22"/>
        </w:rPr>
      </w:pPr>
      <w:r w:rsidRPr="00A71FCF">
        <w:rPr>
          <w:rFonts w:cs="Arial"/>
          <w:szCs w:val="22"/>
        </w:rPr>
        <w:t xml:space="preserve">Cell extracts were depleted for specific proteins by adding one volume of cell extract to 0.2X volume of ice-cold </w:t>
      </w:r>
      <w:proofErr w:type="spellStart"/>
      <w:r w:rsidRPr="00A71FCF">
        <w:rPr>
          <w:rFonts w:cs="Arial"/>
          <w:szCs w:val="22"/>
        </w:rPr>
        <w:t>HisPur</w:t>
      </w:r>
      <w:proofErr w:type="spellEnd"/>
      <w:r w:rsidRPr="00A71FCF">
        <w:rPr>
          <w:rFonts w:cs="Arial"/>
          <w:szCs w:val="22"/>
        </w:rPr>
        <w:t>™ Cobalt Resin (</w:t>
      </w:r>
      <w:proofErr w:type="spellStart"/>
      <w:r w:rsidRPr="00A71FCF">
        <w:rPr>
          <w:rFonts w:cs="Arial"/>
          <w:szCs w:val="22"/>
        </w:rPr>
        <w:t>ThermoFisher</w:t>
      </w:r>
      <w:proofErr w:type="spellEnd"/>
      <w:r w:rsidRPr="00A71FCF">
        <w:rPr>
          <w:rFonts w:cs="Arial"/>
          <w:szCs w:val="22"/>
        </w:rPr>
        <w:t xml:space="preserve"> Scientific) suspension in 1.5 mL microcentrifuge tubes. Prior to the addition of lysate, </w:t>
      </w:r>
      <w:proofErr w:type="spellStart"/>
      <w:r w:rsidRPr="00A71FCF">
        <w:rPr>
          <w:rFonts w:cs="Arial"/>
          <w:szCs w:val="22"/>
        </w:rPr>
        <w:t>HisPur</w:t>
      </w:r>
      <w:proofErr w:type="spellEnd"/>
      <w:r w:rsidRPr="00A71FCF">
        <w:rPr>
          <w:rFonts w:cs="Arial"/>
          <w:szCs w:val="22"/>
        </w:rPr>
        <w:t xml:space="preserve">™ Cobalt Resin was washed 2X with 500 µL S30 buffer and incubated with 10 mM imidazole buffer (pH 4.5; 10 mM imidazole, 50 mM monopotassium chloride, 300 mM NaCl). Lysate-resin mixtures were incubated for 1 hour at 4˚C under shaking conditions (800 rpm) to ensure the suspension of the resin particles in the extracts and then centrifuged at 14,000 x g for 30 seconds. Supernatants were aliquoted, flash-frozen, and stored at -80˚C until used. His-tagged proteins were eluted from the </w:t>
      </w:r>
      <w:proofErr w:type="spellStart"/>
      <w:r w:rsidRPr="00A71FCF">
        <w:rPr>
          <w:rFonts w:cs="Arial"/>
          <w:szCs w:val="22"/>
        </w:rPr>
        <w:t>HisPur</w:t>
      </w:r>
      <w:proofErr w:type="spellEnd"/>
      <w:r w:rsidRPr="00A71FCF">
        <w:rPr>
          <w:rFonts w:cs="Arial"/>
          <w:szCs w:val="22"/>
        </w:rPr>
        <w:t xml:space="preserve">™ Cobalt Resin by suspending the resin in 50 µL elution buffer (pH 4.5; 250 mM imidazole, 50 mM monosodium phosphate, 300 mM NaCl) for 30 minutes at 4˚C under shaking conditions (800 rpm). The eluate was obtained for proteomic quantification by spinning down the suspension at 14,000 x g for 30 seconds and collecting the supernatant. The selective depletions were verified with an anti-6xHis Western Blot. </w:t>
      </w:r>
    </w:p>
    <w:p w14:paraId="564C8547" w14:textId="77777777" w:rsidR="0031140D" w:rsidRPr="00A71FCF" w:rsidRDefault="0031140D" w:rsidP="0008141D">
      <w:pPr>
        <w:contextualSpacing/>
        <w:rPr>
          <w:rFonts w:cs="Arial"/>
          <w:szCs w:val="22"/>
        </w:rPr>
      </w:pPr>
    </w:p>
    <w:p w14:paraId="50A1D6E0" w14:textId="21C6623A" w:rsidR="0031140D" w:rsidRPr="00A71FCF" w:rsidRDefault="00202E24" w:rsidP="009E4CE7">
      <w:pPr>
        <w:pStyle w:val="ChapterSub-heading"/>
      </w:pPr>
      <w:bookmarkStart w:id="53" w:name="_Toc129701028"/>
      <w:r>
        <w:t>3.3</w:t>
      </w:r>
      <w:r w:rsidR="0031140D" w:rsidRPr="00A71FCF">
        <w:t xml:space="preserve">.4 CFME </w:t>
      </w:r>
      <w:r w:rsidR="00E033D4">
        <w:t>r</w:t>
      </w:r>
      <w:r w:rsidR="0031140D" w:rsidRPr="00A71FCF">
        <w:t xml:space="preserve">eaction </w:t>
      </w:r>
      <w:r w:rsidR="00E033D4">
        <w:t>s</w:t>
      </w:r>
      <w:r w:rsidR="0031140D" w:rsidRPr="00A71FCF">
        <w:t>et-up</w:t>
      </w:r>
      <w:bookmarkEnd w:id="53"/>
      <w:r w:rsidR="0031140D" w:rsidRPr="00A71FCF">
        <w:t xml:space="preserve"> </w:t>
      </w:r>
    </w:p>
    <w:p w14:paraId="6BBD204C" w14:textId="77777777" w:rsidR="0031140D" w:rsidRPr="00A71FCF" w:rsidRDefault="0031140D" w:rsidP="00202E24">
      <w:pPr>
        <w:ind w:firstLine="720"/>
        <w:contextualSpacing/>
        <w:rPr>
          <w:rFonts w:cs="Arial"/>
          <w:szCs w:val="22"/>
        </w:rPr>
      </w:pPr>
      <w:r w:rsidRPr="00A71FCF">
        <w:rPr>
          <w:rFonts w:cs="Arial"/>
          <w:szCs w:val="22"/>
        </w:rPr>
        <w:t xml:space="preserve">Glucose consumption reactions were carried out at 37 °C in 50 </w:t>
      </w:r>
      <w:proofErr w:type="spellStart"/>
      <w:r w:rsidRPr="00A71FCF">
        <w:rPr>
          <w:rFonts w:cs="Arial"/>
          <w:szCs w:val="22"/>
        </w:rPr>
        <w:t>μL</w:t>
      </w:r>
      <w:proofErr w:type="spellEnd"/>
      <w:r w:rsidRPr="00A71FCF">
        <w:rPr>
          <w:rFonts w:cs="Arial"/>
          <w:szCs w:val="22"/>
        </w:rPr>
        <w:t xml:space="preserve"> volumes using a solution of 100 mM glucose, 18 mM magnesium glutamate, 15 mM ammonium glutamate, 0.2 mM Coenzyme A, 195 mM potassium glutamate, 1 mM ATP, 150 mM Bis-Tris, 1 mM NAD</w:t>
      </w:r>
      <w:r w:rsidRPr="00A71FCF">
        <w:rPr>
          <w:rFonts w:cs="Arial"/>
          <w:szCs w:val="22"/>
          <w:vertAlign w:val="superscript"/>
        </w:rPr>
        <w:t>+</w:t>
      </w:r>
      <w:r w:rsidRPr="00A71FCF">
        <w:rPr>
          <w:rFonts w:cs="Arial"/>
          <w:szCs w:val="22"/>
        </w:rPr>
        <w:t>, 10 mM dipotassium phosphate. Similarly, pyruvate fed reactions were carried out using the same conditions with the exception of 25 mM pyruvate being used in place of glucose. Extracts were added to a final protein concentration of 4.5 mg mL</w:t>
      </w:r>
      <w:r w:rsidRPr="00A71FCF">
        <w:rPr>
          <w:rFonts w:cs="Arial"/>
          <w:szCs w:val="22"/>
          <w:vertAlign w:val="superscript"/>
        </w:rPr>
        <w:t>-1</w:t>
      </w:r>
      <w:r w:rsidRPr="00A71FCF">
        <w:rPr>
          <w:rFonts w:cs="Arial"/>
          <w:szCs w:val="22"/>
        </w:rPr>
        <w:t xml:space="preserve">. Each reaction was quenched by the addition of 50 </w:t>
      </w:r>
      <w:proofErr w:type="spellStart"/>
      <w:r w:rsidRPr="00A71FCF">
        <w:rPr>
          <w:rFonts w:cs="Arial"/>
          <w:szCs w:val="22"/>
        </w:rPr>
        <w:t>μL</w:t>
      </w:r>
      <w:proofErr w:type="spellEnd"/>
      <w:r w:rsidRPr="00A71FCF">
        <w:rPr>
          <w:rFonts w:cs="Arial"/>
          <w:szCs w:val="22"/>
        </w:rPr>
        <w:t xml:space="preserve"> of 5% TCA. The supernatant was centrifuged at 11,000 x g for 5 minutes and directly used for analytical measurements. </w:t>
      </w:r>
    </w:p>
    <w:p w14:paraId="518ECCEA" w14:textId="77777777" w:rsidR="00202E24" w:rsidRDefault="00202E24" w:rsidP="0008141D">
      <w:pPr>
        <w:contextualSpacing/>
        <w:rPr>
          <w:rFonts w:cs="Arial"/>
          <w:b/>
          <w:szCs w:val="22"/>
          <w:shd w:val="clear" w:color="auto" w:fill="FFFFFF"/>
        </w:rPr>
      </w:pPr>
    </w:p>
    <w:p w14:paraId="583123C8" w14:textId="77777777" w:rsidR="009A5F94" w:rsidRDefault="009A5F94">
      <w:pPr>
        <w:spacing w:line="240" w:lineRule="auto"/>
        <w:jc w:val="left"/>
        <w:rPr>
          <w:rFonts w:cs="Arial"/>
          <w:b/>
          <w:bCs/>
          <w:color w:val="000000" w:themeColor="text1"/>
          <w:szCs w:val="22"/>
        </w:rPr>
      </w:pPr>
      <w:r>
        <w:br w:type="page"/>
      </w:r>
    </w:p>
    <w:p w14:paraId="518CE40B" w14:textId="75EE75FB" w:rsidR="0031140D" w:rsidRPr="00E033D4" w:rsidRDefault="00202E24" w:rsidP="00E033D4">
      <w:pPr>
        <w:pStyle w:val="ChapterSub-heading"/>
      </w:pPr>
      <w:bookmarkStart w:id="54" w:name="_Toc129701029"/>
      <w:r w:rsidRPr="00E033D4">
        <w:lastRenderedPageBreak/>
        <w:t>3.3</w:t>
      </w:r>
      <w:r w:rsidR="0031140D" w:rsidRPr="00E033D4">
        <w:t xml:space="preserve">.5 Proteomics </w:t>
      </w:r>
      <w:r w:rsidR="00E033D4">
        <w:t>s</w:t>
      </w:r>
      <w:r w:rsidR="0031140D" w:rsidRPr="00E033D4">
        <w:t xml:space="preserve">ample </w:t>
      </w:r>
      <w:r w:rsidR="00E033D4">
        <w:t>p</w:t>
      </w:r>
      <w:r w:rsidR="0031140D" w:rsidRPr="00E033D4">
        <w:t>reparation</w:t>
      </w:r>
      <w:bookmarkEnd w:id="54"/>
      <w:r w:rsidR="0031140D" w:rsidRPr="00E033D4">
        <w:t xml:space="preserve"> </w:t>
      </w:r>
    </w:p>
    <w:p w14:paraId="25154B25" w14:textId="77777777" w:rsidR="0031140D" w:rsidRPr="00A71FCF" w:rsidRDefault="0031140D" w:rsidP="00202E24">
      <w:pPr>
        <w:ind w:firstLine="720"/>
        <w:contextualSpacing/>
        <w:rPr>
          <w:rFonts w:cs="Arial"/>
          <w:szCs w:val="22"/>
          <w:shd w:val="clear" w:color="auto" w:fill="FFFFFF"/>
        </w:rPr>
      </w:pPr>
      <w:r w:rsidRPr="00A71FCF">
        <w:rPr>
          <w:rFonts w:cs="Arial"/>
          <w:szCs w:val="22"/>
          <w:shd w:val="clear" w:color="auto" w:fill="FFFFFF"/>
        </w:rPr>
        <w:t>Samples of both depleted and nondepleted versions of WT, 6xHis</w:t>
      </w:r>
      <w:r w:rsidRPr="00A71FCF">
        <w:rPr>
          <w:rFonts w:cs="Arial"/>
          <w:i/>
          <w:iCs/>
          <w:szCs w:val="22"/>
          <w:shd w:val="clear" w:color="auto" w:fill="FFFFFF"/>
        </w:rPr>
        <w:t>-pflB,</w:t>
      </w:r>
      <w:r w:rsidRPr="00A71FCF">
        <w:rPr>
          <w:rFonts w:cs="Arial"/>
          <w:szCs w:val="22"/>
          <w:shd w:val="clear" w:color="auto" w:fill="FFFFFF"/>
        </w:rPr>
        <w:t xml:space="preserve"> 6xHis-2, 6xHis-3, and 6xHis-4 cell extracts were each prepared in triplicate as follows. Extracts were solubilized in 200 </w:t>
      </w:r>
      <w:proofErr w:type="spellStart"/>
      <w:r w:rsidRPr="00A71FCF">
        <w:rPr>
          <w:rFonts w:cs="Arial"/>
          <w:szCs w:val="22"/>
        </w:rPr>
        <w:t>μ</w:t>
      </w:r>
      <w:r w:rsidRPr="00A71FCF">
        <w:rPr>
          <w:rFonts w:cs="Arial"/>
          <w:szCs w:val="22"/>
          <w:shd w:val="clear" w:color="auto" w:fill="FFFFFF"/>
        </w:rPr>
        <w:t>L</w:t>
      </w:r>
      <w:proofErr w:type="spellEnd"/>
      <w:r w:rsidRPr="00A71FCF">
        <w:rPr>
          <w:rFonts w:cs="Arial"/>
          <w:szCs w:val="22"/>
          <w:shd w:val="clear" w:color="auto" w:fill="FFFFFF"/>
        </w:rPr>
        <w:t xml:space="preserve"> of 4% SDS in 100 mM Tris buffer</w:t>
      </w:r>
      <w:r w:rsidRPr="00A71FCF">
        <w:rPr>
          <w:rFonts w:cs="Arial"/>
          <w:color w:val="000000"/>
          <w:szCs w:val="22"/>
          <w:shd w:val="clear" w:color="auto" w:fill="FFFFFF"/>
        </w:rPr>
        <w:t>, pH 8.0</w:t>
      </w:r>
      <w:r w:rsidRPr="00A71FCF">
        <w:rPr>
          <w:rFonts w:cs="Arial"/>
          <w:szCs w:val="22"/>
          <w:shd w:val="clear" w:color="auto" w:fill="FFFFFF"/>
        </w:rPr>
        <w:t xml:space="preserve">. </w:t>
      </w:r>
      <w:r w:rsidRPr="00A71FCF">
        <w:rPr>
          <w:rFonts w:cs="Arial"/>
          <w:color w:val="000000"/>
          <w:szCs w:val="22"/>
          <w:shd w:val="clear" w:color="auto" w:fill="FFFFFF"/>
        </w:rPr>
        <w:t xml:space="preserve">Trichloroacetic acid was added to achieve a concentration of 20% (w/v). </w:t>
      </w:r>
      <w:r w:rsidRPr="00A71FCF">
        <w:rPr>
          <w:rFonts w:cs="Arial"/>
          <w:szCs w:val="22"/>
          <w:shd w:val="clear" w:color="auto" w:fill="FFFFFF"/>
        </w:rPr>
        <w:t>Samples were vortexed and incubated at 4</w:t>
      </w:r>
      <w:r w:rsidRPr="00A71FCF">
        <w:rPr>
          <w:rFonts w:cs="Arial"/>
          <w:szCs w:val="22"/>
          <w:shd w:val="clear" w:color="auto" w:fill="FFFFFF"/>
        </w:rPr>
        <w:sym w:font="Symbol" w:char="F0B0"/>
      </w:r>
      <w:r w:rsidRPr="00A71FCF">
        <w:rPr>
          <w:rFonts w:cs="Arial"/>
          <w:szCs w:val="22"/>
          <w:shd w:val="clear" w:color="auto" w:fill="FFFFFF"/>
        </w:rPr>
        <w:t>C for 2 h followed by 10 min at -80</w:t>
      </w:r>
      <w:r w:rsidRPr="00A71FCF">
        <w:rPr>
          <w:rFonts w:cs="Arial"/>
          <w:szCs w:val="22"/>
          <w:shd w:val="clear" w:color="auto" w:fill="FFFFFF"/>
        </w:rPr>
        <w:sym w:font="Symbol" w:char="F0B0"/>
      </w:r>
      <w:r w:rsidRPr="00A71FCF">
        <w:rPr>
          <w:rFonts w:cs="Arial"/>
          <w:szCs w:val="22"/>
          <w:shd w:val="clear" w:color="auto" w:fill="FFFFFF"/>
        </w:rPr>
        <w:t>C. Samples were then thawed on ice prior to centrifugation (~21,000g) for 10 min at 4</w:t>
      </w:r>
      <w:r w:rsidRPr="00A71FCF">
        <w:rPr>
          <w:rFonts w:cs="Arial"/>
          <w:szCs w:val="22"/>
          <w:shd w:val="clear" w:color="auto" w:fill="FFFFFF"/>
        </w:rPr>
        <w:sym w:font="Symbol" w:char="F0B0"/>
      </w:r>
      <w:r w:rsidRPr="00A71FCF">
        <w:rPr>
          <w:rFonts w:cs="Arial"/>
          <w:szCs w:val="22"/>
          <w:shd w:val="clear" w:color="auto" w:fill="FFFFFF"/>
        </w:rPr>
        <w:t xml:space="preserve">C to pellet precipitated </w:t>
      </w:r>
      <w:r w:rsidRPr="00A71FCF">
        <w:rPr>
          <w:rFonts w:cs="Arial"/>
          <w:color w:val="000000"/>
          <w:szCs w:val="22"/>
          <w:shd w:val="clear" w:color="auto" w:fill="FFFFFF"/>
        </w:rPr>
        <w:t>proteins from the detergent and solutes</w:t>
      </w:r>
      <w:r w:rsidRPr="00A71FCF">
        <w:rPr>
          <w:rFonts w:cs="Arial"/>
          <w:szCs w:val="22"/>
          <w:shd w:val="clear" w:color="auto" w:fill="FFFFFF"/>
        </w:rPr>
        <w:t xml:space="preserve">. The supernatant was discarded, and samples were washed with 1 mL of </w:t>
      </w:r>
      <w:r w:rsidRPr="00A71FCF">
        <w:rPr>
          <w:rFonts w:cs="Arial"/>
          <w:color w:val="000000"/>
          <w:szCs w:val="22"/>
          <w:shd w:val="clear" w:color="auto" w:fill="FFFFFF"/>
        </w:rPr>
        <w:t>ice-cold acetone</w:t>
      </w:r>
      <w:r w:rsidRPr="00A71FCF">
        <w:rPr>
          <w:rFonts w:cs="Arial"/>
          <w:szCs w:val="22"/>
          <w:shd w:val="clear" w:color="auto" w:fill="FFFFFF"/>
        </w:rPr>
        <w:t xml:space="preserve">. </w:t>
      </w:r>
      <w:r w:rsidRPr="00A71FCF">
        <w:rPr>
          <w:rFonts w:cs="Arial"/>
          <w:color w:val="000000"/>
          <w:szCs w:val="22"/>
          <w:shd w:val="clear" w:color="auto" w:fill="FFFFFF"/>
        </w:rPr>
        <w:t xml:space="preserve">Pelleted proteins </w:t>
      </w:r>
      <w:r w:rsidRPr="00A71FCF">
        <w:rPr>
          <w:rFonts w:cs="Arial"/>
          <w:szCs w:val="22"/>
          <w:shd w:val="clear" w:color="auto" w:fill="FFFFFF"/>
        </w:rPr>
        <w:t xml:space="preserve">were then air-dried and </w:t>
      </w:r>
      <w:r w:rsidRPr="00A71FCF">
        <w:rPr>
          <w:rFonts w:cs="Arial"/>
          <w:color w:val="000000"/>
          <w:szCs w:val="22"/>
          <w:shd w:val="clear" w:color="auto" w:fill="FFFFFF"/>
        </w:rPr>
        <w:t xml:space="preserve">resuspended </w:t>
      </w:r>
      <w:r w:rsidRPr="00A71FCF">
        <w:rPr>
          <w:rFonts w:cs="Arial"/>
          <w:szCs w:val="22"/>
          <w:shd w:val="clear" w:color="auto" w:fill="FFFFFF"/>
        </w:rPr>
        <w:t xml:space="preserve">in 100 </w:t>
      </w:r>
      <w:proofErr w:type="spellStart"/>
      <w:r w:rsidRPr="00A71FCF">
        <w:rPr>
          <w:rFonts w:cs="Arial"/>
          <w:szCs w:val="22"/>
        </w:rPr>
        <w:t>μ</w:t>
      </w:r>
      <w:r w:rsidRPr="00A71FCF">
        <w:rPr>
          <w:rFonts w:cs="Arial"/>
          <w:szCs w:val="22"/>
          <w:shd w:val="clear" w:color="auto" w:fill="FFFFFF"/>
        </w:rPr>
        <w:t>L</w:t>
      </w:r>
      <w:proofErr w:type="spellEnd"/>
      <w:r w:rsidRPr="00A71FCF">
        <w:rPr>
          <w:rFonts w:cs="Arial"/>
          <w:szCs w:val="22"/>
          <w:shd w:val="clear" w:color="auto" w:fill="FFFFFF"/>
        </w:rPr>
        <w:t xml:space="preserve"> of 8 M urea in </w:t>
      </w:r>
      <w:r w:rsidRPr="00A71FCF">
        <w:rPr>
          <w:rFonts w:cs="Arial"/>
          <w:color w:val="000000"/>
          <w:szCs w:val="22"/>
          <w:shd w:val="clear" w:color="auto" w:fill="FFFFFF"/>
        </w:rPr>
        <w:t>100 mM Tris buffer, pH 8.0</w:t>
      </w:r>
      <w:r w:rsidRPr="00A71FCF">
        <w:rPr>
          <w:rFonts w:cs="Arial"/>
          <w:szCs w:val="22"/>
          <w:shd w:val="clear" w:color="auto" w:fill="FFFFFF"/>
        </w:rPr>
        <w:t xml:space="preserve">. </w:t>
      </w:r>
      <w:r w:rsidRPr="00A71FCF">
        <w:rPr>
          <w:rFonts w:cs="Arial"/>
          <w:color w:val="000000"/>
          <w:szCs w:val="22"/>
          <w:shd w:val="clear" w:color="auto" w:fill="FFFFFF"/>
        </w:rPr>
        <w:t xml:space="preserve">Proteins </w:t>
      </w:r>
      <w:r w:rsidRPr="00A71FCF">
        <w:rPr>
          <w:rFonts w:cs="Arial"/>
          <w:szCs w:val="22"/>
          <w:shd w:val="clear" w:color="auto" w:fill="FFFFFF"/>
        </w:rPr>
        <w:t xml:space="preserve">were reduced with 10 mM dithiothreitol incubated for 30 min and alkylated with 30 mM iodoacetamide for 15 min in the dark at room temperature. </w:t>
      </w:r>
      <w:r w:rsidRPr="00A71FCF">
        <w:rPr>
          <w:rFonts w:cs="Arial"/>
          <w:color w:val="000000"/>
          <w:szCs w:val="22"/>
          <w:shd w:val="clear" w:color="auto" w:fill="FFFFFF"/>
        </w:rPr>
        <w:t xml:space="preserve">Proteins were digested with two separate and sequential aliquots of sequencing grade trypsin (Promega) of 1 </w:t>
      </w:r>
      <w:proofErr w:type="spellStart"/>
      <w:r w:rsidRPr="00A71FCF">
        <w:rPr>
          <w:rFonts w:cs="Arial"/>
          <w:szCs w:val="22"/>
        </w:rPr>
        <w:t>μ</w:t>
      </w:r>
      <w:r w:rsidRPr="00A71FCF">
        <w:rPr>
          <w:rFonts w:cs="Arial"/>
          <w:color w:val="000000"/>
          <w:szCs w:val="22"/>
          <w:shd w:val="clear" w:color="auto" w:fill="FFFFFF"/>
        </w:rPr>
        <w:t>g</w:t>
      </w:r>
      <w:proofErr w:type="spellEnd"/>
      <w:r w:rsidRPr="00A71FCF">
        <w:rPr>
          <w:rFonts w:cs="Arial"/>
          <w:color w:val="000000"/>
          <w:szCs w:val="22"/>
          <w:shd w:val="clear" w:color="auto" w:fill="FFFFFF"/>
        </w:rPr>
        <w:t xml:space="preserve">. Samples were diluted to 4 M urea and digested for </w:t>
      </w:r>
      <w:r w:rsidRPr="00A71FCF">
        <w:rPr>
          <w:rFonts w:cs="Arial"/>
          <w:szCs w:val="22"/>
          <w:shd w:val="clear" w:color="auto" w:fill="FFFFFF"/>
        </w:rPr>
        <w:t>3 hours</w:t>
      </w:r>
      <w:r w:rsidRPr="00A71FCF">
        <w:rPr>
          <w:rFonts w:cs="Arial"/>
          <w:color w:val="000000"/>
          <w:szCs w:val="22"/>
          <w:shd w:val="clear" w:color="auto" w:fill="FFFFFF"/>
        </w:rPr>
        <w:t>, followed by dilution to 2 M urea for overnight digestion.</w:t>
      </w:r>
      <w:r w:rsidRPr="00A71FCF">
        <w:rPr>
          <w:rFonts w:cs="Arial"/>
          <w:szCs w:val="22"/>
          <w:shd w:val="clear" w:color="auto" w:fill="FFFFFF"/>
        </w:rPr>
        <w:t xml:space="preserve"> </w:t>
      </w:r>
      <w:r w:rsidRPr="00A71FCF">
        <w:rPr>
          <w:rFonts w:cs="Arial"/>
          <w:color w:val="000000"/>
          <w:szCs w:val="22"/>
          <w:shd w:val="clear" w:color="auto" w:fill="FFFFFF"/>
        </w:rPr>
        <w:t>Samples were then adjusted to</w:t>
      </w:r>
      <w:r w:rsidRPr="00A71FCF">
        <w:rPr>
          <w:rFonts w:cs="Arial"/>
          <w:szCs w:val="22"/>
          <w:shd w:val="clear" w:color="auto" w:fill="FFFFFF"/>
        </w:rPr>
        <w:t xml:space="preserve"> 0.1% trifluoracetic acid and then desalted on Pierce peptide desalting spin columns (Thermo Scientific) as per manufacturer’s instructions. Samples were vacuum-dried with a </w:t>
      </w:r>
      <w:proofErr w:type="spellStart"/>
      <w:r w:rsidRPr="00A71FCF">
        <w:rPr>
          <w:rFonts w:cs="Arial"/>
          <w:szCs w:val="22"/>
          <w:shd w:val="clear" w:color="auto" w:fill="FFFFFF"/>
        </w:rPr>
        <w:t>SpeedVac</w:t>
      </w:r>
      <w:proofErr w:type="spellEnd"/>
      <w:r w:rsidRPr="00A71FCF">
        <w:rPr>
          <w:rFonts w:cs="Arial"/>
          <w:szCs w:val="22"/>
          <w:shd w:val="clear" w:color="auto" w:fill="FFFFFF"/>
        </w:rPr>
        <w:t xml:space="preserve"> (Thermo Scientific) and then resuspended in 50 </w:t>
      </w:r>
      <w:proofErr w:type="spellStart"/>
      <w:r w:rsidRPr="00A71FCF">
        <w:rPr>
          <w:rFonts w:cs="Arial"/>
          <w:szCs w:val="22"/>
        </w:rPr>
        <w:t>μ</w:t>
      </w:r>
      <w:r w:rsidRPr="00A71FCF">
        <w:rPr>
          <w:rFonts w:cs="Arial"/>
          <w:szCs w:val="22"/>
          <w:shd w:val="clear" w:color="auto" w:fill="FFFFFF"/>
        </w:rPr>
        <w:t>L</w:t>
      </w:r>
      <w:proofErr w:type="spellEnd"/>
      <w:r w:rsidRPr="00A71FCF">
        <w:rPr>
          <w:rFonts w:cs="Arial"/>
          <w:szCs w:val="22"/>
          <w:shd w:val="clear" w:color="auto" w:fill="FFFFFF"/>
        </w:rPr>
        <w:t xml:space="preserve"> of 0.1% formic acid. </w:t>
      </w:r>
      <w:r w:rsidRPr="00A71FCF">
        <w:rPr>
          <w:rFonts w:cs="Arial"/>
          <w:color w:val="000000"/>
          <w:szCs w:val="22"/>
          <w:shd w:val="clear" w:color="auto" w:fill="FFFFFF"/>
        </w:rPr>
        <w:t xml:space="preserve">Peptide concentrations were then measured using a </w:t>
      </w:r>
      <w:proofErr w:type="spellStart"/>
      <w:r w:rsidRPr="00A71FCF">
        <w:rPr>
          <w:rFonts w:cs="Arial"/>
          <w:szCs w:val="22"/>
          <w:shd w:val="clear" w:color="auto" w:fill="FFFFFF"/>
        </w:rPr>
        <w:t>NanoDrop</w:t>
      </w:r>
      <w:proofErr w:type="spellEnd"/>
      <w:r w:rsidRPr="00A71FCF">
        <w:rPr>
          <w:rFonts w:cs="Arial"/>
          <w:szCs w:val="22"/>
          <w:shd w:val="clear" w:color="auto" w:fill="FFFFFF"/>
        </w:rPr>
        <w:t xml:space="preserve"> spectrophotometer (Thermo Scientific) and 2 </w:t>
      </w:r>
      <w:proofErr w:type="spellStart"/>
      <w:r w:rsidRPr="00A71FCF">
        <w:rPr>
          <w:rFonts w:cs="Arial"/>
          <w:szCs w:val="22"/>
        </w:rPr>
        <w:t>μ</w:t>
      </w:r>
      <w:r w:rsidRPr="00A71FCF">
        <w:rPr>
          <w:rFonts w:cs="Arial"/>
          <w:szCs w:val="22"/>
          <w:shd w:val="clear" w:color="auto" w:fill="FFFFFF"/>
        </w:rPr>
        <w:t>g</w:t>
      </w:r>
      <w:proofErr w:type="spellEnd"/>
      <w:r w:rsidRPr="00A71FCF">
        <w:rPr>
          <w:rFonts w:cs="Arial"/>
          <w:szCs w:val="22"/>
          <w:shd w:val="clear" w:color="auto" w:fill="FFFFFF"/>
        </w:rPr>
        <w:t xml:space="preserve"> of each sample was used for LC-MS measurement.</w:t>
      </w:r>
    </w:p>
    <w:p w14:paraId="678F8BEC" w14:textId="77777777" w:rsidR="00202E24" w:rsidRDefault="00202E24" w:rsidP="0008141D">
      <w:pPr>
        <w:contextualSpacing/>
        <w:rPr>
          <w:rFonts w:cs="Arial"/>
          <w:b/>
          <w:szCs w:val="22"/>
        </w:rPr>
      </w:pPr>
    </w:p>
    <w:p w14:paraId="3CF0996B" w14:textId="144FEF05" w:rsidR="0031140D" w:rsidRPr="00A71FCF" w:rsidRDefault="00202E24" w:rsidP="009E4CE7">
      <w:pPr>
        <w:pStyle w:val="ChapterSub-heading"/>
        <w:rPr>
          <w:shd w:val="clear" w:color="auto" w:fill="FFFFFF"/>
        </w:rPr>
      </w:pPr>
      <w:bookmarkStart w:id="55" w:name="_Toc129701030"/>
      <w:r>
        <w:t>3.3</w:t>
      </w:r>
      <w:r w:rsidR="0031140D" w:rsidRPr="00A71FCF">
        <w:t>.6 LC-MS/MS analysis</w:t>
      </w:r>
      <w:bookmarkEnd w:id="55"/>
      <w:r w:rsidR="0031140D" w:rsidRPr="00A71FCF">
        <w:rPr>
          <w:shd w:val="clear" w:color="auto" w:fill="FFFFFF"/>
        </w:rPr>
        <w:t xml:space="preserve"> </w:t>
      </w:r>
    </w:p>
    <w:p w14:paraId="753A6294" w14:textId="77777777" w:rsidR="0031140D" w:rsidRPr="00A71FCF" w:rsidRDefault="0031140D" w:rsidP="00202E24">
      <w:pPr>
        <w:ind w:firstLine="720"/>
        <w:contextualSpacing/>
        <w:rPr>
          <w:rFonts w:cs="Arial"/>
          <w:b/>
          <w:szCs w:val="22"/>
        </w:rPr>
      </w:pPr>
      <w:r w:rsidRPr="00A71FCF">
        <w:rPr>
          <w:rFonts w:cs="Arial"/>
          <w:szCs w:val="22"/>
        </w:rPr>
        <w:t xml:space="preserve">All samples were analyzed on a Q </w:t>
      </w:r>
      <w:proofErr w:type="spellStart"/>
      <w:r w:rsidRPr="00A71FCF">
        <w:rPr>
          <w:rFonts w:cs="Arial"/>
          <w:szCs w:val="22"/>
        </w:rPr>
        <w:t>Exactive</w:t>
      </w:r>
      <w:proofErr w:type="spellEnd"/>
      <w:r w:rsidRPr="00A71FCF">
        <w:rPr>
          <w:rFonts w:cs="Arial"/>
          <w:szCs w:val="22"/>
        </w:rPr>
        <w:t xml:space="preserve"> Plus mass spectrometer (Thermo Scientific) coupled with an automated Vanquish UHPLC system (Thermo Scientific). Peptides were separated on a triphasic precolumn (RP-SCX-RP; 100 </w:t>
      </w:r>
      <w:proofErr w:type="spellStart"/>
      <w:r w:rsidRPr="00A71FCF">
        <w:rPr>
          <w:rFonts w:cs="Arial"/>
          <w:szCs w:val="22"/>
        </w:rPr>
        <w:t>μm</w:t>
      </w:r>
      <w:proofErr w:type="spellEnd"/>
      <w:r w:rsidRPr="00A71FCF">
        <w:rPr>
          <w:rFonts w:cs="Arial"/>
          <w:szCs w:val="22"/>
        </w:rPr>
        <w:t xml:space="preserve"> inner diameter and 15 cm total length) coupled to an in-house-pulled </w:t>
      </w:r>
      <w:proofErr w:type="spellStart"/>
      <w:r w:rsidRPr="00A71FCF">
        <w:rPr>
          <w:rFonts w:cs="Arial"/>
          <w:szCs w:val="22"/>
        </w:rPr>
        <w:t>nanospray</w:t>
      </w:r>
      <w:proofErr w:type="spellEnd"/>
      <w:r w:rsidRPr="00A71FCF">
        <w:rPr>
          <w:rFonts w:cs="Arial"/>
          <w:szCs w:val="22"/>
        </w:rPr>
        <w:t xml:space="preserve"> emitter of 75 </w:t>
      </w:r>
      <w:proofErr w:type="spellStart"/>
      <w:r w:rsidRPr="00A71FCF">
        <w:rPr>
          <w:rFonts w:cs="Arial"/>
          <w:szCs w:val="22"/>
        </w:rPr>
        <w:t>μm</w:t>
      </w:r>
      <w:proofErr w:type="spellEnd"/>
      <w:r w:rsidRPr="00A71FCF">
        <w:rPr>
          <w:rFonts w:cs="Arial"/>
          <w:szCs w:val="22"/>
        </w:rPr>
        <w:t xml:space="preserve"> inner diameter packed with 25 cm of 1.7 </w:t>
      </w:r>
      <w:proofErr w:type="spellStart"/>
      <w:r w:rsidRPr="00A71FCF">
        <w:rPr>
          <w:rFonts w:cs="Arial"/>
          <w:szCs w:val="22"/>
        </w:rPr>
        <w:t>μm</w:t>
      </w:r>
      <w:proofErr w:type="spellEnd"/>
      <w:r w:rsidRPr="00A71FCF">
        <w:rPr>
          <w:rFonts w:cs="Arial"/>
          <w:szCs w:val="22"/>
        </w:rPr>
        <w:t xml:space="preserve"> of </w:t>
      </w:r>
      <w:proofErr w:type="spellStart"/>
      <w:r w:rsidRPr="00A71FCF">
        <w:rPr>
          <w:rFonts w:cs="Arial"/>
          <w:szCs w:val="22"/>
        </w:rPr>
        <w:t>Kinetex</w:t>
      </w:r>
      <w:proofErr w:type="spellEnd"/>
      <w:r w:rsidRPr="00A71FCF">
        <w:rPr>
          <w:rFonts w:cs="Arial"/>
          <w:szCs w:val="22"/>
        </w:rPr>
        <w:t xml:space="preserve"> C18 resin (Phenomenex). For each sample, a single 2 </w:t>
      </w:r>
      <w:proofErr w:type="spellStart"/>
      <w:r w:rsidRPr="00A71FCF">
        <w:rPr>
          <w:rFonts w:cs="Arial"/>
          <w:szCs w:val="22"/>
        </w:rPr>
        <w:t>μg</w:t>
      </w:r>
      <w:proofErr w:type="spellEnd"/>
      <w:r w:rsidRPr="00A71FCF">
        <w:rPr>
          <w:rFonts w:cs="Arial"/>
          <w:szCs w:val="22"/>
        </w:rPr>
        <w:t xml:space="preserve"> injection of peptides </w:t>
      </w:r>
      <w:r w:rsidRPr="00A71FCF">
        <w:rPr>
          <w:rFonts w:cs="Arial"/>
          <w:szCs w:val="22"/>
        </w:rPr>
        <w:lastRenderedPageBreak/>
        <w:t xml:space="preserve">were loaded and analyzed across a salt cut of ammonium acetate (500 mM) followed by a 210 min split-flow (300 </w:t>
      </w:r>
      <w:proofErr w:type="spellStart"/>
      <w:r w:rsidRPr="00A71FCF">
        <w:rPr>
          <w:rFonts w:cs="Arial"/>
          <w:szCs w:val="22"/>
        </w:rPr>
        <w:t>nL</w:t>
      </w:r>
      <w:proofErr w:type="spellEnd"/>
      <w:r w:rsidRPr="00A71FCF">
        <w:rPr>
          <w:rFonts w:cs="Arial"/>
          <w:szCs w:val="22"/>
        </w:rPr>
        <w:t xml:space="preserve">/min) organic gradient, wash, and re-equilibration: 0% to 2% solvent B over 27 min, 2% to 25% solvent B over 148 min, 25% to 50% solvent B over 10 min, 50% to 0% solvent B over 10 min, hold at 0% solvent B for 15 min. MS data were acquired with the Thermo </w:t>
      </w:r>
      <w:proofErr w:type="spellStart"/>
      <w:r w:rsidRPr="00A71FCF">
        <w:rPr>
          <w:rFonts w:cs="Arial"/>
          <w:szCs w:val="22"/>
        </w:rPr>
        <w:t>Xcalibur</w:t>
      </w:r>
      <w:proofErr w:type="spellEnd"/>
      <w:r w:rsidRPr="00A71FCF">
        <w:rPr>
          <w:rFonts w:cs="Arial"/>
          <w:szCs w:val="22"/>
        </w:rPr>
        <w:t xml:space="preserve"> software using the top 10 data-dependent acquisition.</w:t>
      </w:r>
    </w:p>
    <w:p w14:paraId="4EF154A2" w14:textId="77777777" w:rsidR="00202E24" w:rsidRDefault="00202E24" w:rsidP="0008141D">
      <w:pPr>
        <w:contextualSpacing/>
        <w:rPr>
          <w:rFonts w:cs="Arial"/>
          <w:b/>
          <w:szCs w:val="22"/>
        </w:rPr>
      </w:pPr>
    </w:p>
    <w:p w14:paraId="5BE4B742" w14:textId="2D8052E6" w:rsidR="0031140D" w:rsidRPr="00A71FCF" w:rsidRDefault="00202E24" w:rsidP="009E4CE7">
      <w:pPr>
        <w:pStyle w:val="ChapterSub-heading"/>
        <w:rPr>
          <w:shd w:val="clear" w:color="auto" w:fill="FFFFFF"/>
        </w:rPr>
      </w:pPr>
      <w:bookmarkStart w:id="56" w:name="_Toc129701031"/>
      <w:r>
        <w:t>3.3</w:t>
      </w:r>
      <w:r w:rsidR="0031140D" w:rsidRPr="00A71FCF">
        <w:t xml:space="preserve">.7 Proteome </w:t>
      </w:r>
      <w:r w:rsidR="00E033D4">
        <w:t>d</w:t>
      </w:r>
      <w:r w:rsidR="0031140D" w:rsidRPr="00A71FCF">
        <w:t xml:space="preserve">atabase </w:t>
      </w:r>
      <w:r w:rsidR="00E033D4">
        <w:t>s</w:t>
      </w:r>
      <w:r w:rsidR="0031140D" w:rsidRPr="00A71FCF">
        <w:t>earch</w:t>
      </w:r>
      <w:bookmarkEnd w:id="56"/>
      <w:r w:rsidR="0031140D" w:rsidRPr="00A71FCF">
        <w:rPr>
          <w:shd w:val="clear" w:color="auto" w:fill="FFFFFF"/>
        </w:rPr>
        <w:t xml:space="preserve"> </w:t>
      </w:r>
    </w:p>
    <w:p w14:paraId="7057439A" w14:textId="77777777" w:rsidR="0031140D" w:rsidRPr="00A71FCF" w:rsidRDefault="0031140D" w:rsidP="00202E24">
      <w:pPr>
        <w:ind w:firstLine="720"/>
        <w:contextualSpacing/>
        <w:rPr>
          <w:rFonts w:cs="Arial"/>
          <w:b/>
          <w:szCs w:val="22"/>
        </w:rPr>
      </w:pPr>
      <w:r w:rsidRPr="00A71FCF">
        <w:rPr>
          <w:rFonts w:cs="Arial"/>
          <w:szCs w:val="22"/>
        </w:rPr>
        <w:t xml:space="preserve">All MS/MS spectra collected were processed in Proteome Discoverer, version 2.3 with MS Amanda and Percolator. Spectral data were searched against the most recent </w:t>
      </w:r>
      <w:r w:rsidRPr="00A71FCF">
        <w:rPr>
          <w:rFonts w:cs="Arial"/>
          <w:i/>
          <w:szCs w:val="22"/>
        </w:rPr>
        <w:t>E. coli</w:t>
      </w:r>
      <w:r w:rsidRPr="00A71FCF">
        <w:rPr>
          <w:rFonts w:cs="Arial"/>
          <w:szCs w:val="22"/>
        </w:rPr>
        <w:t xml:space="preserve"> reference proteome database from </w:t>
      </w:r>
      <w:proofErr w:type="spellStart"/>
      <w:r w:rsidRPr="00A71FCF">
        <w:rPr>
          <w:rFonts w:cs="Arial"/>
          <w:szCs w:val="22"/>
        </w:rPr>
        <w:t>UniProt</w:t>
      </w:r>
      <w:proofErr w:type="spellEnd"/>
      <w:r w:rsidRPr="00A71FCF">
        <w:rPr>
          <w:rFonts w:cs="Arial"/>
          <w:szCs w:val="22"/>
        </w:rPr>
        <w:t xml:space="preserve"> to which mutated sequences and common laboratory contaminants were appended. The following parameters were set up in MS Amanda to derive fully tryptic peptides: MS1 tolerance = 5 ppm; MS2 tolerance = 0.02 Da; missed cleavages = 2; Carbamidomethyl (C, + 57.021 Da) as static modification; and oxidation (M, + 15.995 Da) as dynamic modifications. The Percolator false discovery rate threshold was set to 1% at the peptide-spectrum match and peptide levels.</w:t>
      </w:r>
      <w:r w:rsidRPr="00A71FCF">
        <w:rPr>
          <w:rFonts w:cs="Arial"/>
          <w:szCs w:val="22"/>
          <w:shd w:val="clear" w:color="auto" w:fill="FFFFFF"/>
        </w:rPr>
        <w:t xml:space="preserve"> </w:t>
      </w:r>
      <w:r w:rsidRPr="00A71FCF">
        <w:rPr>
          <w:rFonts w:cs="Arial"/>
          <w:szCs w:val="22"/>
        </w:rPr>
        <w:t>FDR-controlled peptides were then quantified according to the chromatographic area-under-the-curve and mapped to their respective proteins. Areas were summed to estimate protein-level abundance.</w:t>
      </w:r>
    </w:p>
    <w:p w14:paraId="13A3742C" w14:textId="77777777" w:rsidR="00202E24" w:rsidRDefault="00202E24" w:rsidP="0008141D">
      <w:pPr>
        <w:contextualSpacing/>
        <w:rPr>
          <w:rFonts w:cs="Arial"/>
          <w:b/>
          <w:szCs w:val="22"/>
        </w:rPr>
      </w:pPr>
    </w:p>
    <w:p w14:paraId="5EC968F9" w14:textId="3ACCB63B" w:rsidR="0031140D" w:rsidRPr="00A71FCF" w:rsidRDefault="00202E24" w:rsidP="009E4CE7">
      <w:pPr>
        <w:pStyle w:val="ChapterSub-heading"/>
      </w:pPr>
      <w:bookmarkStart w:id="57" w:name="_Toc129701032"/>
      <w:r>
        <w:t>3.3</w:t>
      </w:r>
      <w:r w:rsidR="0031140D" w:rsidRPr="00A71FCF">
        <w:t xml:space="preserve">.8 Proteomic </w:t>
      </w:r>
      <w:r w:rsidR="00E033D4">
        <w:t>d</w:t>
      </w:r>
      <w:r w:rsidR="0031140D" w:rsidRPr="00A71FCF">
        <w:t xml:space="preserve">ata </w:t>
      </w:r>
      <w:r w:rsidR="00E033D4">
        <w:t>a</w:t>
      </w:r>
      <w:r w:rsidR="0031140D" w:rsidRPr="00A71FCF">
        <w:t>nalysis</w:t>
      </w:r>
      <w:bookmarkEnd w:id="57"/>
      <w:r w:rsidR="0031140D" w:rsidRPr="00A71FCF">
        <w:t xml:space="preserve"> </w:t>
      </w:r>
    </w:p>
    <w:p w14:paraId="6FCD0660" w14:textId="77777777" w:rsidR="0031140D" w:rsidRPr="00A71FCF" w:rsidRDefault="0031140D" w:rsidP="00202E24">
      <w:pPr>
        <w:ind w:firstLine="720"/>
        <w:contextualSpacing/>
        <w:rPr>
          <w:rFonts w:cs="Arial"/>
          <w:szCs w:val="22"/>
          <w:shd w:val="clear" w:color="auto" w:fill="FFFFFF"/>
        </w:rPr>
      </w:pPr>
      <w:r w:rsidRPr="00A71FCF">
        <w:rPr>
          <w:rFonts w:cs="Arial"/>
          <w:szCs w:val="22"/>
        </w:rPr>
        <w:t>For differential abundance analysis of proteins, the protein table was exported from Proteome Discoverer. Proteins were filtered to remove stochastic sampling. All proteins present in 2 out of 3 biological replicates in any condition were considered valid for quantitative analysis. Data was log</w:t>
      </w:r>
      <w:r w:rsidRPr="00A71FCF">
        <w:rPr>
          <w:rFonts w:cs="Arial"/>
          <w:szCs w:val="22"/>
          <w:vertAlign w:val="subscript"/>
        </w:rPr>
        <w:t>2</w:t>
      </w:r>
      <w:r w:rsidRPr="00A71FCF">
        <w:rPr>
          <w:rFonts w:cs="Arial"/>
          <w:szCs w:val="22"/>
        </w:rPr>
        <w:t xml:space="preserve"> transformed, LOESS normalized between the biological replicates and mean-centered across all the conditions. Missing data were imputed by random numbers drawn from a normal distribution (width = 0.3 and downshift = 2.8 using Perseus software (http://www.perseus-framework.org). The resulting matrix was subjected to ANOVA and a post-hoc </w:t>
      </w:r>
      <w:proofErr w:type="spellStart"/>
      <w:r w:rsidRPr="00A71FCF">
        <w:rPr>
          <w:rFonts w:cs="Arial"/>
          <w:szCs w:val="22"/>
        </w:rPr>
        <w:t>TukeyHSD</w:t>
      </w:r>
      <w:proofErr w:type="spellEnd"/>
      <w:r w:rsidRPr="00A71FCF">
        <w:rPr>
          <w:rFonts w:cs="Arial"/>
          <w:szCs w:val="22"/>
        </w:rPr>
        <w:t xml:space="preserve"> test to </w:t>
      </w:r>
      <w:r w:rsidRPr="00A71FCF">
        <w:rPr>
          <w:rFonts w:cs="Arial"/>
          <w:szCs w:val="22"/>
        </w:rPr>
        <w:lastRenderedPageBreak/>
        <w:t>assess protein abundance differences between the different experimental groups. The statistical analyses were done using an in-house developed R script.</w:t>
      </w:r>
    </w:p>
    <w:p w14:paraId="2DB142BC" w14:textId="77777777" w:rsidR="00202E24" w:rsidRDefault="00202E24" w:rsidP="0008141D">
      <w:pPr>
        <w:pBdr>
          <w:top w:val="nil"/>
          <w:left w:val="nil"/>
          <w:bottom w:val="nil"/>
          <w:right w:val="nil"/>
          <w:between w:val="nil"/>
        </w:pBdr>
        <w:contextualSpacing/>
        <w:rPr>
          <w:rFonts w:cs="Arial"/>
          <w:b/>
          <w:szCs w:val="22"/>
        </w:rPr>
      </w:pPr>
    </w:p>
    <w:p w14:paraId="277A7CA0" w14:textId="42B07295" w:rsidR="0031140D" w:rsidRPr="00A71FCF" w:rsidRDefault="00202E24" w:rsidP="009E4CE7">
      <w:pPr>
        <w:pStyle w:val="ChapterSub-heading"/>
      </w:pPr>
      <w:bookmarkStart w:id="58" w:name="_Toc129701033"/>
      <w:r>
        <w:t>3.3</w:t>
      </w:r>
      <w:r w:rsidR="0031140D" w:rsidRPr="00A71FCF">
        <w:t xml:space="preserve">.9 Metabolite </w:t>
      </w:r>
      <w:r w:rsidR="00E033D4">
        <w:t>m</w:t>
      </w:r>
      <w:r w:rsidR="0031140D" w:rsidRPr="00A71FCF">
        <w:t>easurements</w:t>
      </w:r>
      <w:bookmarkEnd w:id="58"/>
      <w:r w:rsidR="0031140D" w:rsidRPr="00A71FCF">
        <w:t xml:space="preserve"> </w:t>
      </w:r>
    </w:p>
    <w:p w14:paraId="210BC165" w14:textId="3F304C65" w:rsidR="0031140D" w:rsidRDefault="0031140D" w:rsidP="00202E24">
      <w:pPr>
        <w:pBdr>
          <w:top w:val="nil"/>
          <w:left w:val="nil"/>
          <w:bottom w:val="nil"/>
          <w:right w:val="nil"/>
          <w:between w:val="nil"/>
        </w:pBdr>
        <w:ind w:firstLine="720"/>
        <w:contextualSpacing/>
        <w:rPr>
          <w:rFonts w:cs="Arial"/>
          <w:szCs w:val="22"/>
        </w:rPr>
      </w:pPr>
      <w:r w:rsidRPr="00A71FCF">
        <w:rPr>
          <w:rFonts w:cs="Arial"/>
          <w:szCs w:val="22"/>
        </w:rPr>
        <w:t xml:space="preserve">Glucose, pyruvate, lactate, acetate, </w:t>
      </w:r>
      <w:proofErr w:type="spellStart"/>
      <w:r w:rsidRPr="00A71FCF">
        <w:rPr>
          <w:rFonts w:cs="Arial"/>
          <w:szCs w:val="22"/>
        </w:rPr>
        <w:t>formate</w:t>
      </w:r>
      <w:proofErr w:type="spellEnd"/>
      <w:r w:rsidRPr="00A71FCF">
        <w:rPr>
          <w:rFonts w:cs="Arial"/>
          <w:szCs w:val="22"/>
        </w:rPr>
        <w:t xml:space="preserve">, and ethanol measurements were performed via high-performance liquid chromatography (HPLC) with an Agilent 1260 equipped with an </w:t>
      </w:r>
      <w:proofErr w:type="spellStart"/>
      <w:r w:rsidRPr="00A71FCF">
        <w:rPr>
          <w:rFonts w:cs="Arial"/>
          <w:szCs w:val="22"/>
        </w:rPr>
        <w:t>Aminex</w:t>
      </w:r>
      <w:proofErr w:type="spellEnd"/>
      <w:r w:rsidRPr="00A71FCF">
        <w:rPr>
          <w:rFonts w:cs="Arial"/>
          <w:szCs w:val="22"/>
        </w:rPr>
        <w:t xml:space="preserve"> HPX 87-H column (Bio-Rad, Hercules, CA). Analytes were eluted with isocratic 5 mM sulfuric acid at a flow rate of 0.55 mL min–1 at 35 °C for 25 min. Metabolite concentrations were calculated from measurements collected through a refractive index detector (Agilent, Santa Clara, CA) and a diode array UV-visible detector (Agilent, Santa Clara, CA) reading at 191 nm. Pyruvate, glucose, lactate, acetate, </w:t>
      </w:r>
      <w:proofErr w:type="spellStart"/>
      <w:r w:rsidRPr="00A71FCF">
        <w:rPr>
          <w:rFonts w:cs="Arial"/>
          <w:szCs w:val="22"/>
        </w:rPr>
        <w:t>formate</w:t>
      </w:r>
      <w:proofErr w:type="spellEnd"/>
      <w:r w:rsidRPr="00A71FCF">
        <w:rPr>
          <w:rFonts w:cs="Arial"/>
          <w:szCs w:val="22"/>
        </w:rPr>
        <w:t>, and ethanol standards were used for sample quantification using linear interpolation of external standard curves.</w:t>
      </w:r>
    </w:p>
    <w:p w14:paraId="5616AE79" w14:textId="77777777" w:rsidR="00042AC1" w:rsidRDefault="00042AC1" w:rsidP="00042AC1">
      <w:pPr>
        <w:rPr>
          <w:rFonts w:cs="Arial"/>
          <w:b/>
          <w:color w:val="000000"/>
        </w:rPr>
      </w:pPr>
    </w:p>
    <w:p w14:paraId="5B070D2A" w14:textId="6EF18E88" w:rsidR="0031140D" w:rsidRDefault="00202E24" w:rsidP="00042AC1">
      <w:pPr>
        <w:pStyle w:val="ChapterHeading"/>
      </w:pPr>
      <w:bookmarkStart w:id="59" w:name="_Toc129701034"/>
      <w:r w:rsidRPr="00202E24">
        <w:t>3.4. Results</w:t>
      </w:r>
      <w:r w:rsidR="0031140D" w:rsidRPr="00202E24">
        <w:t xml:space="preserve"> and Discussion</w:t>
      </w:r>
      <w:bookmarkEnd w:id="59"/>
    </w:p>
    <w:p w14:paraId="43F5FA4E" w14:textId="3AE3BF4F" w:rsidR="00E033D4" w:rsidRPr="00042AC1" w:rsidRDefault="00E033D4" w:rsidP="00E033D4">
      <w:pPr>
        <w:pStyle w:val="ChapterSub-heading"/>
      </w:pPr>
      <w:bookmarkStart w:id="60" w:name="_Toc129701035"/>
      <w:r>
        <w:t>3.4.1. Genome engineering enabled display of 6xHis-tags on endogenous pyruvate-consuming enzymes</w:t>
      </w:r>
      <w:bookmarkEnd w:id="60"/>
      <w:r>
        <w:t xml:space="preserve"> </w:t>
      </w:r>
    </w:p>
    <w:p w14:paraId="172EC99E" w14:textId="51A01A52" w:rsidR="009A5F94" w:rsidRDefault="0031140D" w:rsidP="009A5F94">
      <w:pPr>
        <w:pBdr>
          <w:top w:val="nil"/>
          <w:left w:val="nil"/>
          <w:bottom w:val="nil"/>
          <w:right w:val="nil"/>
          <w:between w:val="nil"/>
        </w:pBdr>
        <w:contextualSpacing/>
        <w:rPr>
          <w:rFonts w:cs="Arial"/>
          <w:color w:val="000000"/>
          <w:szCs w:val="22"/>
        </w:rPr>
      </w:pPr>
      <w:r w:rsidRPr="00A71FCF">
        <w:rPr>
          <w:rFonts w:cs="Arial"/>
          <w:color w:val="000000"/>
          <w:szCs w:val="22"/>
        </w:rPr>
        <w:t>Pyruvate sits at the biochemical junction of glycolysis and the TCA cycle.  It is a key intermediate in producing many food, cosmetic, pharmaceutical and agricultural products whose improved production has been largely unexplored in cell-free systems</w:t>
      </w:r>
      <w:r w:rsidRPr="00A71FCF">
        <w:rPr>
          <w:rFonts w:cs="Arial"/>
          <w:color w:val="000000"/>
          <w:szCs w:val="22"/>
        </w:rPr>
        <w:fldChar w:fldCharType="begin" w:fldLock="1"/>
      </w:r>
      <w:r w:rsidR="00567FF4">
        <w:rPr>
          <w:rFonts w:cs="Arial"/>
          <w:color w:val="000000"/>
          <w:szCs w:val="22"/>
        </w:rPr>
        <w:instrText>ADDIN CSL_CITATION {"citationItems":[{"id":"ITEM-1","itemData":{"DOI":"10.1016/j.ymben.2016.01.007","ISBN":"1096-7176","ISSN":"10967184","PMID":"26850742","abstract":"Metabolic engineering uses microorganisms to synthesize chemicals from renewable resources. Given the thousands of known metabolites, it is unclear what valuable chemicals could be produced by a microorganism and what native and heterologous reactions are needed for their synthesis. To answer these questions, a systematic computational assessment of Escherichia coli's potential ability to produce different chemicals was performed using an integrated metabolic model that included native E.coli reactions and known heterologous reactions. By adding heterologous reactions, a total of 1777 non-native products could theoretically be produced in E. coli under glucose minimal medium conditions, of which 279 non-native products have commercial applications. Synthesis pathways involving native and heterologous reactions were identified from eight central metabolic precursors to the 279 non-native commercial products. These pathways were used to evaluate the dependence on, and diversity of, native and heterologous reactions to produce each non-native commercial product, as well as to identify each product's closest central metabolic precursor. Analysis of the synthesis pathways (with 5 or fewer reaction steps) to non-native commercial products revealed that isopentenyl diphosphate, pyruvate, and oxaloacetate are the closest central metabolic precursors to the most non-native commercial products. Additionally, 4-hydroxybenzoate, tyrosine, and phenylalanine were found to be common precursors to a large number of non-native commercial products. Strains capable of producing high levels of these precursors could be further engineered to create strains capable of producing a variety of commercial non-native chemicals.","author":[{"dropping-particle":"","family":"Zhang","given":"Xiaolin","non-dropping-particle":"","parse-names":false,"suffix":""},{"dropping-particle":"","family":"Tervo","given":"Christopher J.","non-dropping-particle":"","parse-names":false,"suffix":""},{"dropping-particle":"","family":"Reed","given":"Jennifer L.","non-dropping-particle":"","parse-names":false,"suffix":""}],"container-title":"Metabolic Engineering","id":"ITEM-1","issued":{"date-parts":[["2016"]]},"page":"64-74","publisher":"Elsevier","title":"Metabolic assessment of E. coli as a Biofactory for commercial products","type":"article-journal","volume":"35"},"uris":["http://www.mendeley.com/documents/?uuid=39b41988-dea2-48b7-9706-a9a40883d995","http://www.mendeley.com/documents/?uuid=56bd6518-4e2b-4193-a51b-03f4cf957d63"]},{"id":"ITEM-2","itemData":{"DOI":"10.3390/fermentation3010008","ISSN":"2311-5637","author":[{"dropping-particle":"","family":"Maleki","given":"Neda","non-dropping-particle":"","parse-names":false,"suffix":""},{"dropping-particle":"","family":"Eiteman","given":"Mark","non-dropping-particle":"","parse-names":false,"suffix":""}],"container-title":"Fermentation","id":"ITEM-2","issue":"1","issued":{"date-parts":[["2017"]]},"page":"8","title":"Recent Progress in the Microbial Production of Pyruvic Acid","type":"article-journal","volume":"3"},"uris":["http://www.mendeley.com/documents/?uuid=34cdbe8e-a100-4ebc-a7dd-c5e6cd126e1a","http://www.mendeley.com/documents/?uuid=abeab3b7-5979-43d8-a46b-9a05bbd92bd2"]}],"mendeley":{"formattedCitation":"&lt;sup&gt;99,100&lt;/sup&gt;","plainTextFormattedCitation":"99,100","previouslyFormattedCitation":"&lt;sup&gt;99,100&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noProof/>
          <w:color w:val="000000"/>
          <w:szCs w:val="22"/>
          <w:vertAlign w:val="superscript"/>
        </w:rPr>
        <w:t>99,100</w:t>
      </w:r>
      <w:r w:rsidRPr="00A71FCF">
        <w:rPr>
          <w:rFonts w:cs="Arial"/>
          <w:color w:val="000000"/>
          <w:szCs w:val="22"/>
        </w:rPr>
        <w:fldChar w:fldCharType="end"/>
      </w:r>
      <w:r w:rsidRPr="00A71FCF">
        <w:rPr>
          <w:rFonts w:cs="Arial"/>
          <w:color w:val="000000"/>
          <w:szCs w:val="22"/>
        </w:rPr>
        <w:t xml:space="preserve">. In order to create a pyruvate pooling phenotype in an </w:t>
      </w:r>
      <w:r w:rsidRPr="00A71FCF">
        <w:rPr>
          <w:rFonts w:cs="Arial"/>
          <w:i/>
          <w:iCs/>
          <w:color w:val="000000"/>
          <w:szCs w:val="22"/>
        </w:rPr>
        <w:t>E. coli</w:t>
      </w:r>
      <w:r w:rsidRPr="00A71FCF">
        <w:rPr>
          <w:rFonts w:cs="Arial"/>
          <w:color w:val="000000"/>
          <w:szCs w:val="22"/>
        </w:rPr>
        <w:t xml:space="preserve"> cell-free extract, four proteins were chosen as targets for removal, </w:t>
      </w:r>
      <w:proofErr w:type="spellStart"/>
      <w:r w:rsidRPr="00A71FCF">
        <w:rPr>
          <w:rFonts w:cs="Arial"/>
          <w:color w:val="000000"/>
          <w:szCs w:val="22"/>
        </w:rPr>
        <w:t>LdhA</w:t>
      </w:r>
      <w:proofErr w:type="spellEnd"/>
      <w:r w:rsidRPr="00A71FCF">
        <w:rPr>
          <w:rFonts w:cs="Arial"/>
          <w:color w:val="000000"/>
          <w:szCs w:val="22"/>
        </w:rPr>
        <w:t xml:space="preserve">, </w:t>
      </w:r>
      <w:proofErr w:type="spellStart"/>
      <w:r w:rsidRPr="00A71FCF">
        <w:rPr>
          <w:rFonts w:cs="Arial"/>
          <w:color w:val="000000"/>
          <w:szCs w:val="22"/>
        </w:rPr>
        <w:t>PflB</w:t>
      </w:r>
      <w:proofErr w:type="spellEnd"/>
      <w:r w:rsidRPr="00A71FCF">
        <w:rPr>
          <w:rFonts w:cs="Arial"/>
          <w:color w:val="000000"/>
          <w:szCs w:val="22"/>
        </w:rPr>
        <w:t xml:space="preserve">, </w:t>
      </w:r>
      <w:proofErr w:type="spellStart"/>
      <w:r w:rsidRPr="00A71FCF">
        <w:rPr>
          <w:rFonts w:cs="Arial"/>
          <w:color w:val="000000"/>
          <w:szCs w:val="22"/>
        </w:rPr>
        <w:t>AceE</w:t>
      </w:r>
      <w:proofErr w:type="spellEnd"/>
      <w:r w:rsidRPr="00A71FCF">
        <w:rPr>
          <w:rFonts w:cs="Arial"/>
          <w:color w:val="000000"/>
          <w:szCs w:val="22"/>
        </w:rPr>
        <w:t xml:space="preserve">, and </w:t>
      </w:r>
      <w:proofErr w:type="spellStart"/>
      <w:r w:rsidRPr="00A71FCF">
        <w:rPr>
          <w:rFonts w:cs="Arial"/>
          <w:szCs w:val="22"/>
        </w:rPr>
        <w:t>PpsA</w:t>
      </w:r>
      <w:proofErr w:type="spellEnd"/>
      <w:r w:rsidRPr="00A71FCF">
        <w:rPr>
          <w:rFonts w:cs="Arial"/>
          <w:szCs w:val="22"/>
        </w:rPr>
        <w:t xml:space="preserve"> (</w:t>
      </w:r>
      <w:r w:rsidRPr="007569D2">
        <w:rPr>
          <w:rFonts w:cs="Arial"/>
          <w:b/>
          <w:bCs/>
          <w:color w:val="000000"/>
          <w:szCs w:val="22"/>
        </w:rPr>
        <w:t xml:space="preserve">Table </w:t>
      </w:r>
      <w:r w:rsidR="007569D2">
        <w:rPr>
          <w:rFonts w:cs="Arial"/>
          <w:b/>
          <w:bCs/>
          <w:color w:val="000000"/>
          <w:szCs w:val="22"/>
        </w:rPr>
        <w:t>3.</w:t>
      </w:r>
      <w:r w:rsidRPr="007569D2">
        <w:rPr>
          <w:rFonts w:cs="Arial"/>
          <w:b/>
          <w:bCs/>
          <w:color w:val="000000"/>
          <w:szCs w:val="22"/>
        </w:rPr>
        <w:t>1</w:t>
      </w:r>
      <w:r w:rsidRPr="00A71FCF">
        <w:rPr>
          <w:rFonts w:cs="Arial"/>
          <w:color w:val="000000"/>
          <w:szCs w:val="22"/>
        </w:rPr>
        <w:t>) (</w:t>
      </w:r>
      <w:r w:rsidR="00405F98">
        <w:rPr>
          <w:rFonts w:cs="Arial"/>
          <w:b/>
          <w:bCs/>
          <w:color w:val="000000"/>
          <w:szCs w:val="22"/>
        </w:rPr>
        <w:t>Figure</w:t>
      </w:r>
      <w:r w:rsidRPr="007569D2">
        <w:rPr>
          <w:rFonts w:cs="Arial"/>
          <w:b/>
          <w:bCs/>
          <w:color w:val="000000"/>
          <w:szCs w:val="22"/>
        </w:rPr>
        <w:t xml:space="preserve"> </w:t>
      </w:r>
      <w:r w:rsidR="007569D2">
        <w:rPr>
          <w:rFonts w:cs="Arial"/>
          <w:b/>
          <w:bCs/>
          <w:color w:val="000000"/>
          <w:szCs w:val="22"/>
        </w:rPr>
        <w:t>3.</w:t>
      </w:r>
      <w:r w:rsidRPr="007569D2">
        <w:rPr>
          <w:rFonts w:cs="Arial"/>
          <w:b/>
          <w:bCs/>
          <w:color w:val="000000"/>
          <w:szCs w:val="22"/>
        </w:rPr>
        <w:t>2</w:t>
      </w:r>
      <w:r w:rsidRPr="00A71FCF">
        <w:rPr>
          <w:rFonts w:cs="Arial"/>
          <w:color w:val="000000"/>
          <w:szCs w:val="22"/>
        </w:rPr>
        <w:t>)</w:t>
      </w:r>
      <w:r w:rsidRPr="00A71FCF">
        <w:rPr>
          <w:rFonts w:cs="Arial"/>
          <w:color w:val="000000"/>
          <w:szCs w:val="22"/>
        </w:rPr>
        <w:fldChar w:fldCharType="begin" w:fldLock="1"/>
      </w:r>
      <w:r w:rsidR="00567FF4">
        <w:rPr>
          <w:rFonts w:cs="Arial"/>
          <w:color w:val="000000"/>
          <w:szCs w:val="22"/>
        </w:rPr>
        <w:instrText>ADDIN CSL_CITATION {"citationItems":[{"id":"ITEM-1","itemData":{"DOI":"10.3390/fermentation3010008","ISSN":"2311-5637","author":[{"dropping-particle":"","family":"Maleki","given":"Neda","non-dropping-particle":"","parse-names":false,"suffix":""},{"dropping-particle":"","family":"Eiteman","given":"Mark","non-dropping-particle":"","parse-names":false,"suffix":""}],"container-title":"Fermentation","id":"ITEM-1","issue":"1","issued":{"date-parts":[["2017"]]},"page":"8","title":"Recent Progress in the Microbial Production of Pyruvic Acid","type":"article-journal","volume":"3"},"uris":["http://www.mendeley.com/documents/?uuid=abeab3b7-5979-43d8-a46b-9a05bbd92bd2","http://www.mendeley.com/documents/?uuid=34cdbe8e-a100-4ebc-a7dd-c5e6cd126e1a"]}],"mendeley":{"formattedCitation":"&lt;sup&gt;100&lt;/sup&gt;","plainTextFormattedCitation":"100","previouslyFormattedCitation":"&lt;sup&gt;100&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noProof/>
          <w:color w:val="000000"/>
          <w:szCs w:val="22"/>
          <w:vertAlign w:val="superscript"/>
        </w:rPr>
        <w:t>100</w:t>
      </w:r>
      <w:r w:rsidRPr="00A71FCF">
        <w:rPr>
          <w:rFonts w:cs="Arial"/>
          <w:color w:val="000000"/>
          <w:szCs w:val="22"/>
        </w:rPr>
        <w:fldChar w:fldCharType="end"/>
      </w:r>
      <w:r w:rsidRPr="00A71FCF">
        <w:rPr>
          <w:rFonts w:cs="Arial"/>
          <w:color w:val="000000"/>
          <w:szCs w:val="22"/>
        </w:rPr>
        <w:t xml:space="preserve">. These were chosen due to their direct role in consuming pyruvate as well as the likelihood that they are active in lysates. </w:t>
      </w:r>
      <w:proofErr w:type="spellStart"/>
      <w:r w:rsidRPr="00A71FCF">
        <w:rPr>
          <w:rFonts w:cs="Arial"/>
          <w:color w:val="000000"/>
          <w:szCs w:val="22"/>
        </w:rPr>
        <w:t>LdhA</w:t>
      </w:r>
      <w:proofErr w:type="spellEnd"/>
      <w:r w:rsidRPr="00A71FCF">
        <w:rPr>
          <w:rFonts w:cs="Arial"/>
          <w:color w:val="000000"/>
          <w:szCs w:val="22"/>
        </w:rPr>
        <w:t xml:space="preserve"> was selected as the production of lactate from pyruvate has been observed in cell-free systems generated under similar conditions to those prepared here</w:t>
      </w:r>
      <w:r w:rsidRPr="00A71FCF">
        <w:rPr>
          <w:rFonts w:cs="Arial"/>
          <w:color w:val="000000"/>
          <w:szCs w:val="22"/>
        </w:rPr>
        <w:fldChar w:fldCharType="begin" w:fldLock="1"/>
      </w:r>
      <w:r w:rsidR="00567FF4">
        <w:rPr>
          <w:rFonts w:cs="Arial"/>
          <w:color w:val="000000"/>
          <w:szCs w:val="22"/>
        </w:rPr>
        <w:instrText>ADDIN CSL_CITATION {"citationItems":[{"id":"ITEM-1","itemData":{"DOI":"10.1093/synbio/ysz027","abstract":"Engineering metabolism for the synthesis of bio-based products in non-model organisms can be challenging. One specific challenge is that biosynthetic pathways are often built from enzyme candidates sourced from diverse organisms, which can prove difficult to implement in recombinant hosts due to differences in their cellular environments (e.g. pH, cofactor balance). To address this problem, we report a cell-free synthetic biology approach for understanding metabolism in a range of environmental conditions, specifically under varied pH. The key idea is to control the pH of Escherichia coli-based cell-free systems for assessing pathway performance using enzymes sourced from organisms other than E. coli. As a model, we apply this approach to study the impact of pH on the n-butanol biosynthesis pathway derived from clostridia in E. coli lysates. Specifically, we exploit the open, cell-free reaction environment to explore pH outside the habitable range of E. coli, revealing insights into how chemical context impacts the interaction between native metabolism and heterologous enzymes. We find that the pH optimum for butanol production from acetyl-CoA is substantially lower than the optimal pH of glycolysis in E. coli-based crude lysates. In addition, pH is an essential factor to consider when activating metabolic pathways in the cell-free environment due to its effect on reaction yield or enzyme activity, the latter of which is demonstrated in this work for alcohol dehydrogenases from a range of extremophiles. Ultimately, altering metabolism through pH control will allow cell-free systems to be used in studying the metabolic state of organisms and identify suitable enzymes for pathway engineering.","author":[{"dropping-particle":"","family":"Karim","given":"Ashty S","non-dropping-particle":"","parse-names":false,"suffix":""},{"dropping-particle":"","family":"Rasor","given":"Blake J","non-dropping-particle":"","parse-names":false,"suffix":""},{"dropping-particle":"","family":"Jewett","given":"Michael C","non-dropping-particle":"","parse-names":false,"suffix":""}],"container-title":"Synthetic Biology","id":"ITEM-1","issue":"1","issued":{"date-parts":[["2020","1","1"]]},"publisher":"Oxford Academic","title":"Enhancing control of cell-free metabolism through pH modulation","type":"article-journal","volume":"5"},"uris":["http://www.mendeley.com/documents/?uuid=8088fefb-6e17-3ff6-91fc-9aaecbaf8f13","http://www.mendeley.com/documents/?uuid=7aa13d41-374c-4ef2-83e2-34d5b371fd3e"]},{"id":"ITEM-2","itemData":{"DOI":"10.1093/SYNBIO/YSZ003","author":[{"dropping-particle":"","family":"Dudley","given":"Quentin M","non-dropping-particle":"","parse-names":false,"suffix":""},{"dropping-particle":"","family":"Nash","given":"Connor J","non-dropping-particle":"","parse-names":false,"suffix":""},{"dropping-particle":"","family":"Jewett","given":"Michael C","non-dropping-particle":"","parse-names":false,"suffix":""}],"container-title":"Synthetic Biology","id":"ITEM-2","issue":"1","issued":{"date-parts":[["2019","1","1"]]},"publisher":"Oxford Academic","title":"Cell-free biosynthesis of limonene using enzyme-enriched Escherichia coli lysates","type":"article-journal","volume":"4"},"uris":["http://www.mendeley.com/documents/?uuid=577985a1-9cd6-3f2a-94a3-08a91160af41","http://www.mendeley.com/documents/?uuid=a75a091f-2fb6-4adc-b686-aeb80911814b"]}],"mendeley":{"formattedCitation":"&lt;sup&gt;71,78&lt;/sup&gt;","plainTextFormattedCitation":"71,78","previouslyFormattedCitation":"&lt;sup&gt;71,78&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bCs/>
          <w:noProof/>
          <w:color w:val="000000"/>
          <w:szCs w:val="22"/>
          <w:vertAlign w:val="superscript"/>
        </w:rPr>
        <w:t>71,78</w:t>
      </w:r>
      <w:r w:rsidRPr="00A71FCF">
        <w:rPr>
          <w:rFonts w:cs="Arial"/>
          <w:color w:val="000000"/>
          <w:szCs w:val="22"/>
        </w:rPr>
        <w:fldChar w:fldCharType="end"/>
      </w:r>
      <w:r w:rsidRPr="00A71FCF">
        <w:rPr>
          <w:rFonts w:cs="Arial"/>
          <w:color w:val="000000"/>
          <w:szCs w:val="22"/>
        </w:rPr>
        <w:t xml:space="preserve">. Since </w:t>
      </w:r>
      <w:proofErr w:type="spellStart"/>
      <w:r w:rsidRPr="00A71FCF">
        <w:rPr>
          <w:rFonts w:cs="Arial"/>
          <w:color w:val="000000"/>
          <w:szCs w:val="22"/>
        </w:rPr>
        <w:t>LdhA</w:t>
      </w:r>
      <w:proofErr w:type="spellEnd"/>
      <w:r w:rsidRPr="00A71FCF">
        <w:rPr>
          <w:rFonts w:cs="Arial"/>
          <w:color w:val="000000"/>
          <w:szCs w:val="22"/>
        </w:rPr>
        <w:t xml:space="preserve"> has previously been reported to be absent in lysates derived from aerobically grown cultures, we assumed that </w:t>
      </w:r>
      <w:r w:rsidRPr="00A71FCF">
        <w:rPr>
          <w:rFonts w:cs="Arial"/>
          <w:color w:val="000000"/>
          <w:szCs w:val="22"/>
        </w:rPr>
        <w:lastRenderedPageBreak/>
        <w:t>oxygen-limited zones are present in the cultures upon harvesting at mid-log phase</w:t>
      </w:r>
      <w:r w:rsidRPr="00A71FCF">
        <w:rPr>
          <w:rFonts w:cs="Arial"/>
          <w:color w:val="000000"/>
          <w:szCs w:val="22"/>
        </w:rPr>
        <w:fldChar w:fldCharType="begin" w:fldLock="1"/>
      </w:r>
      <w:r w:rsidR="00567FF4">
        <w:rPr>
          <w:rFonts w:cs="Arial"/>
          <w:color w:val="000000"/>
          <w:szCs w:val="22"/>
        </w:rPr>
        <w:instrText>ADDIN CSL_CITATION {"citationItems":[{"id":"ITEM-1","itemData":{"DOI":"10.1038/nchembio.541","ISBN":"1552-4469 (Electronic) 1552-4450 (Linking)","ISSN":"1552-4450","PMID":"21423171","abstract":"Nature Chemical Biology 7, (2011). doi:10.1038/nchembio.541","author":[{"dropping-particle":"","family":"Bujara","given":"Matthias","non-dropping-particle":"","parse-names":false,"suffix":""},{"dropping-particle":"","family":"Mperli","given":"Michael","non-dropping-particle":"","parse-names":false,"suffix":""},{"dropping-particle":"","family":"Pellaux","given":"René","non-dropping-particle":"","parse-names":false,"suffix":""},{"dropping-particle":"","family":"Heinemann","given":"Matthias","non-dropping-particle":"","parse-names":false,"suffix":""},{"dropping-particle":"","family":"Panke","given":"Sven","non-dropping-particle":"","parse-names":false,"suffix":""},{"dropping-particle":"","family":"Schümperli","given":"Michael","non-dropping-particle":"","parse-names":false,"suffix":""},{"dropping-particle":"","family":"Pellaux","given":"René","non-dropping-particle":"","parse-names":false,"suffix":""},{"dropping-particle":"","family":"Heinemann","given":"Matthias","non-dropping-particle":"","parse-names":false,"suffix":""},{"dropping-particle":"","family":"Panke","given":"Sven","non-dropping-particle":"","parse-names":false,"suffix":""}],"container-title":"Nature Chemical Biology","id":"ITEM-1","issue":"5","issued":{"date-parts":[["2011"]]},"page":"271-277","title":"Optimization of a blueprint for in vitro glycolysis by metabolic real-time analysis","type":"article-journal","volume":"7"},"uris":["http://www.mendeley.com/documents/?uuid=c78e1174-f50b-4c13-b268-cdef8469ab29","http://www.mendeley.com/documents/?uuid=9b2a8822-e3f4-411f-94e4-dd93c5000352"]}],"mendeley":{"formattedCitation":"&lt;sup&gt;106&lt;/sup&gt;","plainTextFormattedCitation":"106","previouslyFormattedCitation":"&lt;sup&gt;106&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bCs/>
          <w:noProof/>
          <w:color w:val="000000"/>
          <w:szCs w:val="22"/>
          <w:vertAlign w:val="superscript"/>
        </w:rPr>
        <w:t>106</w:t>
      </w:r>
      <w:r w:rsidRPr="00A71FCF">
        <w:rPr>
          <w:rFonts w:cs="Arial"/>
          <w:color w:val="000000"/>
          <w:szCs w:val="22"/>
        </w:rPr>
        <w:fldChar w:fldCharType="end"/>
      </w:r>
      <w:r w:rsidRPr="00A71FCF">
        <w:rPr>
          <w:rFonts w:cs="Arial"/>
          <w:color w:val="000000"/>
          <w:szCs w:val="22"/>
        </w:rPr>
        <w:t>. This is typical for cells grown in flasks, even under constant shaking, in media with high concentrations of glucose such as the 2xYPTG media (18 g L</w:t>
      </w:r>
      <w:r w:rsidRPr="00A71FCF">
        <w:rPr>
          <w:rFonts w:cs="Arial"/>
          <w:color w:val="000000"/>
          <w:szCs w:val="22"/>
          <w:vertAlign w:val="superscript"/>
        </w:rPr>
        <w:t>-1</w:t>
      </w:r>
      <w:r w:rsidRPr="00A71FCF">
        <w:rPr>
          <w:rFonts w:cs="Arial"/>
          <w:color w:val="000000"/>
          <w:szCs w:val="22"/>
        </w:rPr>
        <w:t xml:space="preserve"> glucose) used here</w:t>
      </w:r>
      <w:r w:rsidRPr="00A71FCF">
        <w:rPr>
          <w:rFonts w:cs="Arial"/>
          <w:color w:val="000000"/>
          <w:szCs w:val="22"/>
        </w:rPr>
        <w:fldChar w:fldCharType="begin" w:fldLock="1"/>
      </w:r>
      <w:r w:rsidR="00567FF4">
        <w:rPr>
          <w:rFonts w:cs="Arial"/>
          <w:color w:val="000000"/>
          <w:szCs w:val="22"/>
        </w:rPr>
        <w:instrText>ADDIN CSL_CITATION {"citationItems":[{"id":"ITEM-1","itemData":{"DOI":"10.1186/1475-2859-7-26","ISSN":"14752859","abstract":"Background: For the cultivation of Escherichia coli in bioreactors trace element solutions are generally designed for optimal growth under aerobic conditions. They do normally not contain selenium and nickel. Molybdenum is only contained in few of them. These elements are part of the formate hydrogen lyase (FHL) complex which is induced under anaerobic conditions. As it is generally known that oxygen limitation appears in shake flask cultures and locally in large-scale bioreactors, function of the FHL complex may influence the process behaviour. Formate has been described to accumulate in large-scale cultures and may have toxic effects on E. coli. Although the anaerobic metabolism of E. coli is well studied, reference data which estimate the impact of the FHL complex on bioprocesses of E. coli with oxygen limitation have so far not been published, but are important for a better process understanding. Results: Two sets of fed-batch cultures with conditions triggering oxygen limitation and formate accumulation were performed. Permanent oxygen limitation which is typical for shake flask cultures was caused in a bioreactor by reduction of the agitation rate. Transient oxygen limitation, which has been described to eventually occur in the feed-zone of large-scale bioreactors, was mimicked in a two-compartment scale-down bioreactor consisting of a stirred tank reactor and a plug flow reactor (PFR) with continuous glucose feeding into the PFR. In both models formate accumulated up to about 20 mM in the culture medium without addition of selenium, molybdenum and nickel. By addition of these trace elements the formate accumulation decreased below the level observed in well-mixed laboratory-scale cultures. Interestingly, addition of the extra trace elements caused accumulation of large amounts of lactate and reduced biomass yield in the simulator with permanent oxygen limitation, but not in the scale-down two-compartment bioreactor. Conclusion: The accumulation of formate in oxygen limited cultivations of E. coli can be fully prevented by addition of the trace elements selenium, nickel and molybdenum, necessary for the function of FHL complex. For large-scale cultivations, if glucose gradients are likely, the results from the two-compartment scale-down bioreactor indicate that the addition of the extra trace elements is beneficial. No negative effects on the biomass yield or on any other bioprocess parameters could be observed in cultures with the extra trace ele…","author":[{"dropping-particle":"","family":"Soini","given":"Jaakko","non-dropping-particle":"","parse-names":false,"suffix":""},{"dropping-particle":"","family":"Ukkonen","given":"Kaisa","non-dropping-particle":"","parse-names":false,"suffix":""},{"dropping-particle":"","family":"Neubauer","given":"Peter","non-dropping-particle":"","parse-names":false,"suffix":""}],"container-title":"Microbial Cell Factories","id":"ITEM-1","issue":"1","issued":{"date-parts":[["2008","8","7"]]},"page":"26","publisher":"BioMed Central","title":"High cell density media for Escherichia coli are generally designed for aerobic cultivations - Consequences for large-scale bioprocesses and shake flask cultures","type":"article-journal","volume":"7"},"uris":["http://www.mendeley.com/documents/?uuid=2e57ccc4-af33-36ad-8bd4-208b8fc7ab2d","http://www.mendeley.com/documents/?uuid=66e0646c-b43b-4908-a831-84d4fd8a6fc4"]},{"id":"ITEM-2","itemData":{"DOI":"10.1016/S0168-1656(00)00365-5","ISSN":"01681656","PMID":"11165362","abstract":"Escherichia coli fed-batch cultivations at 22 m3 scale were compared to corresponding laboratory scale processes and cultivations using a scale-down reactor furnished with a high-glucose concentration zone to mimic the conditions in a feed zone of the large bioreactor. Formate accumulated in the large reactor, indicating the existence of oxygen limitation zones. It is suggested that the reduced biomass yield at large scale partly is due to repeated production/re-assimilation of acetate from overflow metabolism and mixed acid fermentation products due to local moving zones with oxygen limitation. The conditions that generated mixed-acid fermentation in the scale-down reactor also induced a number of stress responses, monitored by analysis of mRNA of selected stress induced genes. The stress responses were relaxed when the cells returned to the substrate limited and oxygen sufficient compartment of the reactor. Corresponding analysis in the large reactor showed that the concentration of mRNA of four stress induced genes was lowest at the sampling port most distant from the feed zone. It is assumed that repeated induction/relaxation of stress responses in a large bioreactor may contribute to altered physiological properties of the cells grown in large-scale bioreactor. Flow cytometric analysis revealed reduced damage with respect to cytoplasmic membrane potential and integrity in cells grown in the dynamic environments of the large scale reactor and the scale-down reactor. © 2001 Elsevier Science B.V.","author":[{"dropping-particle":"","family":"Enfors","given":"S. O.","non-dropping-particle":"","parse-names":false,"suffix":""},{"dropping-particle":"","family":"Jahic","given":"M.","non-dropping-particle":"","parse-names":false,"suffix":""},{"dropping-particle":"","family":"Rozkov","given":"A.","non-dropping-particle":"","parse-names":false,"suffix":""},{"dropping-particle":"","family":"Xu","given":"B.","non-dropping-particle":"","parse-names":false,"suffix":""},{"dropping-particle":"","family":"Hecker","given":"M.","non-dropping-particle":"","parse-names":false,"suffix":""},{"dropping-particle":"","family":"Jürgen","given":"B.","non-dropping-particle":"","parse-names":false,"suffix":""},{"dropping-particle":"","family":"Krüger","given":"E.","non-dropping-particle":"","parse-names":false,"suffix":""},{"dropping-particle":"","family":"Schweder","given":"T.","non-dropping-particle":"","parse-names":false,"suffix":""},{"dropping-particle":"","family":"Hamer","given":"G.","non-dropping-particle":"","parse-names":false,"suffix":""},{"dropping-particle":"","family":"O'Beirne","given":"D.","non-dropping-particle":"","parse-names":false,"suffix":""},{"dropping-particle":"","family":"Noisommit-Rizzi","given":"N.","non-dropping-particle":"","parse-names":false,"suffix":""},{"dropping-particle":"","family":"Reuss","given":"M.","non-dropping-particle":"","parse-names":false,"suffix":""},{"dropping-particle":"","family":"Boone","given":"L.","non-dropping-particle":"","parse-names":false,"suffix":""},{"dropping-particle":"","family":"Hewitt","given":"C.","non-dropping-particle":"","parse-names":false,"suffix":""},{"dropping-particle":"","family":"McFarlane","given":"C.","non-dropping-particle":"","parse-names":false,"suffix":""},{"dropping-particle":"","family":"Nienow","given":"A.","non-dropping-particle":"","parse-names":false,"suffix":""},{"dropping-particle":"","family":"Kovacs","given":"T.","non-dropping-particle":"","parse-names":false,"suffix":""},{"dropping-particle":"","family":"Trägårdh","given":"C.","non-dropping-particle":"","parse-names":false,"suffix":""},{"dropping-particle":"","family":"Fuchs","given":"L.","non-dropping-particle":"","parse-names":false,"suffix":""},{"dropping-particle":"","family":"Revstedt","given":"J.","non-dropping-particle":"","parse-names":false,"suffix":""},{"dropping-particle":"","family":"Friberg","given":"P. C.","non-dropping-particle":"","parse-names":false,"suffix":""},{"dropping-particle":"","family":"Hjertager","given":"B.","non-dropping-particle":"","parse-names":false,"suffix":""},{"dropping-particle":"","family":"Blomsten","given":"G.","non-dropping-particle":"","parse-names":false,"suffix":""},{"dropping-particle":"","family":"Skogman","given":"H.","non-dropping-particle":"","parse-names":false,"suffix":""},{"dropping-particle":"","family":"Hjort","given":"S.","non-dropping-particle":"","parse-names":false,"suffix":""},{"dropping-particle":"","family":"Hoeks","given":"F.","non-dropping-particle":"","parse-names":false,"suffix":""},{"dropping-particle":"","family":"Lin","given":"H. Y.","non-dropping-particle":"","parse-names":false,"suffix":""},{"dropping-particle":"","family":"Neubauer","given":"P.","non-dropping-particle":"","parse-names":false,"suffix":""},{"dropping-particle":"","family":"Lans","given":"R.","non-dropping-particle":"Van der","parse-names":false,"suffix":""},{"dropping-particle":"","family":"Luyben","given":"K.","non-dropping-particle":"","parse-names":false,"suffix":""},{"dropping-particle":"","family":"Vrabel","given":"P.","non-dropping-particle":"","parse-names":false,"suffix":""},{"dropping-particle":"","family":"Manelius","given":"Å","non-dropping-particle":"","parse-names":false,"suffix":""}],"container-title":"Journal of Biotechnology","id":"ITEM-2","issue":"2","issued":{"date-parts":[["2001","2","13"]]},"page":"175-185","publisher":"Elsevier Sci B.V.","title":"Physiological responses to mixing in large scale bioreactors","type":"article-journal","volume":"85"},"uris":["http://www.mendeley.com/documents/?uuid=477d013d-4429-3d45-a681-7fa5a94fcbe1","http://www.mendeley.com/documents/?uuid=6f38a3cd-1fb6-481d-b203-428cf9391261"]}],"mendeley":{"formattedCitation":"&lt;sup&gt;107,108&lt;/sup&gt;","plainTextFormattedCitation":"107,108","previouslyFormattedCitation":"&lt;sup&gt;107,108&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noProof/>
          <w:color w:val="000000"/>
          <w:szCs w:val="22"/>
          <w:vertAlign w:val="superscript"/>
        </w:rPr>
        <w:t>107,108</w:t>
      </w:r>
      <w:r w:rsidRPr="00A71FCF">
        <w:rPr>
          <w:rFonts w:cs="Arial"/>
          <w:color w:val="000000"/>
          <w:szCs w:val="22"/>
        </w:rPr>
        <w:fldChar w:fldCharType="end"/>
      </w:r>
      <w:r w:rsidRPr="00A71FCF">
        <w:rPr>
          <w:rFonts w:cs="Arial"/>
          <w:color w:val="000000"/>
          <w:szCs w:val="22"/>
        </w:rPr>
        <w:t xml:space="preserve">. Under this assumption, </w:t>
      </w:r>
      <w:proofErr w:type="spellStart"/>
      <w:r w:rsidRPr="00A71FCF">
        <w:rPr>
          <w:rFonts w:cs="Arial"/>
          <w:color w:val="000000"/>
          <w:szCs w:val="22"/>
        </w:rPr>
        <w:t>PflB</w:t>
      </w:r>
      <w:proofErr w:type="spellEnd"/>
      <w:r w:rsidRPr="00A71FCF">
        <w:rPr>
          <w:rFonts w:cs="Arial"/>
          <w:color w:val="000000"/>
          <w:szCs w:val="22"/>
        </w:rPr>
        <w:t xml:space="preserve"> is also likely expressed minimally in the culture and would be capable of carrying pyruvate flux for glycolytic fermentation </w:t>
      </w:r>
      <w:r w:rsidRPr="00A71FCF">
        <w:rPr>
          <w:rFonts w:cs="Arial"/>
          <w:color w:val="000000"/>
          <w:szCs w:val="22"/>
        </w:rPr>
        <w:fldChar w:fldCharType="begin" w:fldLock="1"/>
      </w:r>
      <w:r w:rsidR="00567FF4">
        <w:rPr>
          <w:rFonts w:cs="Arial"/>
          <w:color w:val="000000"/>
          <w:szCs w:val="22"/>
        </w:rPr>
        <w:instrText>ADDIN CSL_CITATION {"citationItems":[{"id":"ITEM-1","itemData":{"DOI":"10.1128/AEM.02545-09","ISSN":"00992240","PMID":"20118372","abstract":"During anaerobic growth of Escherichia coli, pyruvate formate-lyase (PFL) and lactate dehydrogenase (LDH) channel pyruvate toward a mixture of fermentation products. We have introduced a third branch at the pyruvate node in a mutant of E. coli with a mutation in pyruvate dehydrogenase (PDH*) that renders the enzyme less sensitive to inhibition by NADH. The key starting enzymes of the three branches at the pyruvate node in such a mutant, PDH*, PFL, and LDH, have different metabolic potentials and kinetic properties. In such a mutant (strain QZ2), pyruvate flux through LDH was about 30%, with the remainder of the flux occurring through PFL, indicating that LDH is a preferred route of pyruvate conversion over PDH*. In a pfl mutant (strain YKl67) with both PDH* and LDH activities, flux through PDH* was about 33% of the total, confirming the ability of LDH to outcompete the PDH pathway for pyruvate in vivo. Only in the absence of LDH (strain QZ3) was pyruvate carbon equally distributed between the PDH* and PFL pathways. Apfl mutant with LDH and PDH* activities, as well as a pfl ldh double mutant with PDH* activity, had a surprisingly low cell yield per mole of ATP (Y ATP) (about 7.0 g of cells per mol of ATP) compared to 10.9 g of cells per mol of ATP for the wild type. The lower YATP suggests the operation of a futile energy cycle in the absence of PFL in this strain. An understanding of the controls at the pyruvate node during anaerobic growth is expected to provide unique insights into rational metabolic engineering of E. coli and related bacteria for the production of various biobased products at high rates and yields. Copyright © 2010, American Society for Microbiology. All Rights Reserved.","author":[{"dropping-particle":"","family":"Wang","given":"Qingzhao","non-dropping-particle":"","parse-names":false,"suffix":""},{"dropping-particle":"","family":"Ou","given":"Mark S.","non-dropping-particle":"","parse-names":false,"suffix":""},{"dropping-particle":"","family":"Kim","given":"Y.","non-dropping-particle":"","parse-names":false,"suffix":""},{"dropping-particle":"","family":"Ingram","given":"L. O.","non-dropping-particle":"","parse-names":false,"suffix":""},{"dropping-particle":"","family":"Shanmugam","given":"K. T.","non-dropping-particle":"","parse-names":false,"suffix":""}],"container-title":"Applied and Environmental Microbiology","id":"ITEM-1","issue":"7","issued":{"date-parts":[["2010","4","1"]]},"page":"2107-2114","publisher":"American Society for Microbiology","title":"Metabolie flux control at the pyruvate node in an anaerobic escherichia coli strain with an active pyruvate dehydrogenase","type":"article-journal","volume":"76"},"uris":["http://www.mendeley.com/documents/?uuid=6ffafc4d-2eb8-3b2f-8291-5d17baba9fe9","http://www.mendeley.com/documents/?uuid=98bb099e-d391-435b-bfa8-a8fe17d31e08"]},{"id":"ITEM-2","itemData":{"DOI":"10.1007/s002530051433","ISSN":"01757598","PMID":"10390814","abstract":"Industrial 20-m3-scale and laboratory-scale aerobic fed-batch processes with Escherichia coli were compared. In the large-scale process the observed overall biomass yield was reduced by 12% at a cell density of 33 g/l and formate accumulated to 50 mg/l during the later constant-feeding stage of the process. Though the dissolved oxygen signal did not show any oxygen limitation, it is proposed that the lowered yield and the formate accumulation are caused by mixed-acid fermentation in local zones where a high glucose concentration induced oxygen limitation. The hypothesis was further investigated in a scale-down reactor with a controlled oxygen- limitation compartment. In this scale-down reactor similar results were obtained: i.e. an observed yield lowered by 12% and formate accumulation to 238 mg/l. The dynamics of glucose uptake and mixed-acid product formation (acetate, formate, D-lactate, succinate and ethanol) were investigated within the 54 s of passage time through the oxygen-limited compartment. Of these, all except succinate and ethanol were formed; however, the products were re- assimilated in the oxygen-sufficient reactor compartment. Formate was less readily assimilated, which accounts for its accumulation. The total volume of the induced-oxygen-limited zones was estimated to be 10% of the whole liquid volume in the large bioreactor. It is also suggested that repeated excretion and re-assimilation of mixed-acid products contribute to the reduced yield during scale-up and that formate analysis is useful for detecting local oxygen deficiency in large-scale E. coli processes.","author":[{"dropping-particle":"","family":"Xu","given":"B.","non-dropping-particle":"","parse-names":false,"suffix":""},{"dropping-particle":"","family":"Jahic","given":"M.","non-dropping-particle":"","parse-names":false,"suffix":""},{"dropping-particle":"","family":"Blomsten","given":"G.","non-dropping-particle":"","parse-names":false,"suffix":""},{"dropping-particle":"","family":"Enfors","given":"S. O.","non-dropping-particle":"","parse-names":false,"suffix":""}],"container-title":"Applied Microbiology and Biotechnology","id":"ITEM-2","issue":"5","issued":{"date-parts":[["1999"]]},"page":"564-571","publisher":"Appl Microbiol Biotechnol","title":"Glucose overflow metabolism and mixed-acid fermentation in aerobic large-scale fed-batch processes with Escherichia coli","type":"article-journal","volume":"51"},"uris":["http://www.mendeley.com/documents/?uuid=75b9c1b5-6bf4-36a9-9cf6-62160d65b03a","http://www.mendeley.com/documents/?uuid=075cb74b-24a1-4726-b1d9-d9f770e342be"]}],"mendeley":{"formattedCitation":"&lt;sup&gt;109,110&lt;/sup&gt;","plainTextFormattedCitation":"109,110","previouslyFormattedCitation":"&lt;sup&gt;109,110&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bCs/>
          <w:noProof/>
          <w:color w:val="000000"/>
          <w:szCs w:val="22"/>
          <w:vertAlign w:val="superscript"/>
        </w:rPr>
        <w:t>109,110</w:t>
      </w:r>
      <w:r w:rsidRPr="00A71FCF">
        <w:rPr>
          <w:rFonts w:cs="Arial"/>
          <w:color w:val="000000"/>
          <w:szCs w:val="22"/>
        </w:rPr>
        <w:fldChar w:fldCharType="end"/>
      </w:r>
      <w:r w:rsidRPr="00A71FCF">
        <w:rPr>
          <w:rFonts w:cs="Arial"/>
          <w:color w:val="000000"/>
          <w:szCs w:val="22"/>
        </w:rPr>
        <w:t>. At the same time, pyruvate dehydrogenase (</w:t>
      </w:r>
      <w:proofErr w:type="spellStart"/>
      <w:r w:rsidRPr="00A71FCF">
        <w:rPr>
          <w:rFonts w:cs="Arial"/>
          <w:color w:val="000000"/>
          <w:szCs w:val="22"/>
        </w:rPr>
        <w:t>Pdh</w:t>
      </w:r>
      <w:proofErr w:type="spellEnd"/>
      <w:r w:rsidRPr="00A71FCF">
        <w:rPr>
          <w:rFonts w:cs="Arial"/>
          <w:color w:val="000000"/>
          <w:szCs w:val="22"/>
        </w:rPr>
        <w:t>), responsible for pyruvate flux in aerobic conditions, is also expected to be expressed in under these conditions as respiratory metabolism is reportedly active in S30 lysates</w:t>
      </w:r>
      <w:r w:rsidRPr="00A71FCF">
        <w:rPr>
          <w:rFonts w:cs="Arial"/>
          <w:color w:val="000000"/>
          <w:szCs w:val="22"/>
        </w:rPr>
        <w:fldChar w:fldCharType="begin" w:fldLock="1"/>
      </w:r>
      <w:r w:rsidR="00567FF4">
        <w:rPr>
          <w:rFonts w:cs="Arial"/>
          <w:color w:val="000000"/>
          <w:szCs w:val="22"/>
        </w:rPr>
        <w:instrText>ADDIN CSL_CITATION {"citationItems":[{"id":"ITEM-1","itemData":{"DOI":"10.1016/j.nbt.2017.09.005","ISSN":"18764347","PMID":"28943390","abstract":"Protein production using processed cell lysates is a core technology in synthetic biology and these systems are excellent to produce difficult toxins or membrane proteins. However, the composition of the central lysate of cell-free systems is still a “black box”. Escherichia coli lysates are most productive for cell-free expression, yielding several mgs of protein per ml of reaction. Their preparation implies proteome fractionation, resulting in strongly biased and yet unknown lysate compositions. Many metabolic pathways are expected to be truncated or completely removed. The lack of knowledge of basic cell-free lysate proteomes is a major bottleneck for directed lysate engineering approaches as well as for assay design using non-purified reaction mixtures. This study is starting to close this gap by providing a blueprint of the S30 lysate proteome derived from the commonly used E. coli strain A19. S30 lysates are frequently used for cell-free protein production and represent the basis of most commercial E. coli cell-free expression systems. A fraction of 821 proteins was identified as the core proteome in S30 lysates, representing approximately a quarter of the known E. coli proteome. Its classification into functional groups relevant for transcription/translation, folding, stability and metabolic processes will build the framework for tailored cell-free reactions. As an example, we show that SOS response induction during cultivation results in tuned S30 lysate with better folding capacity, and improved solubility and activity of synthesized proteins. The presented data and protocols can serve as a platform for the generation of customized cell-free systems and product analysis.","author":[{"dropping-particle":"","family":"Foshag","given":"Daniel","non-dropping-particle":"","parse-names":false,"suffix":""},{"dropping-particle":"","family":"Henrich","given":"Erik","non-dropping-particle":"","parse-names":false,"suffix":""},{"dropping-particle":"","family":"Hiller","given":"Ekkehard","non-dropping-particle":"","parse-names":false,"suffix":""},{"dropping-particle":"","family":"Schäfer","given":"Miriam","non-dropping-particle":"","parse-names":false,"suffix":""},{"dropping-particle":"","family":"Kerger","given":"Christian","non-dropping-particle":"","parse-names":false,"suffix":""},{"dropping-particle":"","family":"Burger-Kentischer","given":"Anke","non-dropping-particle":"","parse-names":false,"suffix":""},{"dropping-particle":"","family":"Diaz-Moreno","given":"Irene","non-dropping-particle":"","parse-names":false,"suffix":""},{"dropping-particle":"","family":"García-Mauriño","given":"Sofía M.","non-dropping-particle":"","parse-names":false,"suffix":""},{"dropping-particle":"","family":"Dötsch","given":"Volker","non-dropping-particle":"","parse-names":false,"suffix":""},{"dropping-particle":"","family":"Rupp","given":"Steffen","non-dropping-particle":"","parse-names":false,"suffix":""},{"dropping-particle":"","family":"Bernhard","given":"Frank","non-dropping-particle":"","parse-names":false,"suffix":""}],"container-title":"New Biotechnology","id":"ITEM-1","issued":{"date-parts":[["2018","1","25"]]},"page":"245-260","publisher":"Elsevier B.V.","title":"The E. coli S30 lysate proteome: A prototype for cell-free protein production","type":"article-journal","volume":"40"},"uris":["http://www.mendeley.com/documents/?uuid=b12e6687-faf2-3e5c-8da5-e664cfb650be","http://www.mendeley.com/documents/?uuid=0c498af2-77c5-47fb-8e56-b729cfc89e8b"]}],"mendeley":{"formattedCitation":"&lt;sup&gt;111&lt;/sup&gt;","plainTextFormattedCitation":"111","previouslyFormattedCitation":"&lt;sup&gt;111&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noProof/>
          <w:color w:val="000000"/>
          <w:szCs w:val="22"/>
          <w:vertAlign w:val="superscript"/>
        </w:rPr>
        <w:t>111</w:t>
      </w:r>
      <w:r w:rsidRPr="00A71FCF">
        <w:rPr>
          <w:rFonts w:cs="Arial"/>
          <w:color w:val="000000"/>
          <w:szCs w:val="22"/>
        </w:rPr>
        <w:fldChar w:fldCharType="end"/>
      </w:r>
      <w:r w:rsidRPr="00A71FCF">
        <w:rPr>
          <w:rFonts w:cs="Arial"/>
          <w:color w:val="000000"/>
          <w:szCs w:val="22"/>
        </w:rPr>
        <w:t xml:space="preserve">. </w:t>
      </w:r>
      <w:proofErr w:type="spellStart"/>
      <w:r w:rsidRPr="00A71FCF">
        <w:rPr>
          <w:rFonts w:cs="Arial"/>
          <w:color w:val="000000"/>
          <w:szCs w:val="22"/>
        </w:rPr>
        <w:t>Pdh</w:t>
      </w:r>
      <w:proofErr w:type="spellEnd"/>
      <w:r w:rsidRPr="00A71FCF">
        <w:rPr>
          <w:rFonts w:cs="Arial"/>
          <w:color w:val="000000"/>
          <w:szCs w:val="22"/>
        </w:rPr>
        <w:t xml:space="preserve"> expressed in oxygen-limited cultures is additionally known to be functional in </w:t>
      </w:r>
      <w:r w:rsidRPr="00A71FCF">
        <w:rPr>
          <w:rFonts w:cs="Arial"/>
          <w:i/>
          <w:iCs/>
          <w:color w:val="000000"/>
          <w:szCs w:val="22"/>
        </w:rPr>
        <w:t xml:space="preserve">E. coli </w:t>
      </w:r>
      <w:r w:rsidRPr="00A71FCF">
        <w:rPr>
          <w:rFonts w:cs="Arial"/>
          <w:color w:val="000000"/>
          <w:szCs w:val="22"/>
        </w:rPr>
        <w:t xml:space="preserve">lysates as long as NADH </w:t>
      </w:r>
      <w:r w:rsidR="009A5F94" w:rsidRPr="00A71FCF">
        <w:rPr>
          <w:rFonts w:cs="Arial"/>
          <w:color w:val="000000"/>
          <w:szCs w:val="22"/>
        </w:rPr>
        <w:t>concentrations are not allosterically inhibiting</w:t>
      </w:r>
      <w:r w:rsidR="009A5F94" w:rsidRPr="00A71FCF">
        <w:rPr>
          <w:rFonts w:cs="Arial"/>
          <w:color w:val="000000"/>
          <w:szCs w:val="22"/>
        </w:rPr>
        <w:fldChar w:fldCharType="begin" w:fldLock="1"/>
      </w:r>
      <w:r w:rsidR="00567FF4">
        <w:rPr>
          <w:rFonts w:cs="Arial"/>
          <w:color w:val="000000"/>
          <w:szCs w:val="22"/>
        </w:rPr>
        <w:instrText>ADDIN CSL_CITATION {"citationItems":[{"id":"ITEM-1","itemData":{"DOI":"10.1111/j.1574-6968.1993.tb06586.x","ISSN":"03781097","PMID":"8288104","abstract":"The effect of NADH on the activity of the purified pyruvate dehydrogenase complexes (PDHc) of Enterococcus (Ec.) faecalis, Lactococcus lactis, Azotobacter vinelandii and Escherichia coli was determined in vitro. It was found that the PDHc of E. coli and L. lactis was active only at relatively low NADH/NAD ratios, whereas the PDHc of Ec. faecalis was inhibited only at high NADH/NAD ratios. The PDHc of Azotobacter vinelandii showed an intermediate sensitivity. The organisms were grown in chemostat culture under conditions that led to different intracellular NADH/NAD ratios and the PDHc activities in vivo could be calculated from the specific rates of product formation. Under anaerobic growth conditions, only Ec. faecelis expressed PDHc activity in vivo. The activities in vivo of the complexes of the different organisms were in good agreement with their properties determined in vitro. The physiological consequences of these results are discussed. © 1993.","author":[{"dropping-particle":"","family":"Snoep","given":"Jacky L.","non-dropping-particle":"","parse-names":false,"suffix":""},{"dropping-particle":"","family":"Graef","given":"Mark R.","non-dropping-particle":"de","parse-names":false,"suffix":""},{"dropping-particle":"","family":"Westphal","given":"Adrie H.","non-dropping-particle":"","parse-names":false,"suffix":""},{"dropping-particle":"","family":"Kok","given":"Arie","non-dropping-particle":"de","parse-names":false,"suffix":""},{"dropping-particle":"","family":"Joost Teixeira de Mattos","given":"M.","non-dropping-particle":"","parse-names":false,"suffix":""},{"dropping-particle":"","family":"Neijssel","given":"Oense M.","non-dropping-particle":"","parse-names":false,"suffix":""}],"container-title":"FEMS Microbiology Letters","id":"ITEM-1","issue":"3","issued":{"date-parts":[["1993","12","15"]]},"page":"279-283","publisher":"FEMS Microbiol Lett","title":"Differences in sensitivity to NADH of purified pyruvate dehydrogenase complexes of Enterococcus faecalis, Lactococcus lactis, Azotobacter vinelandii and Escherichia coli: Implications for their activity in vivo","type":"article-journal","volume":"114"},"uris":["http://www.mendeley.com/documents/?uuid=6bc3ee26-d9fe-3c42-b669-927e679e22a0","http://www.mendeley.com/documents/?uuid=eca9a849-be66-4756-bed4-755dcc096954"]},{"id":"ITEM-2","itemData":{"DOI":"10.1074/jbc.M110.121095","ISSN":"1083351X","PMID":"20667837","abstract":"Pyruvate is located at a metabolic junction of assimilatory and dissimilatory pathways and represents a switch point between respiratory and fermentative metabolism. In Escherichia coli, the pyruvate dehydrogenase complex (PDHC) and pyruvate formate-lyase are considered the primary routes of pyruvate conversion to acetyl-CoA for aerobic respiration and anaerobic fermentation, respectively. During glucose fermentation, the in vivo activity of PDHC has been reported as either very low or undetectable, and the role of this enzyme remains unknown. In this study, a comprehensive characterization of wild-type E. coli MG1655 and a PDHC-deficient derivative (Pdh) led to the identification of the role of PDHC in the anaerobic fermentation of glucose. The metabolism of these strains was investigated by using a mixture of 13C-labeled and -unlabeled glucose followed by the analysis of the labeling pattern in protein-bound amino acids via two-dimensional 13C,1H NMR spectroscopy. Metabolite balancing, biosynthetic 13C labeling of proteinogenic amino acids, and isotopomer balancing all indicated a large increase in the flux of the oxidative branch of the pentose phosphate pathway (ox-PPP) in response to the PDHC deficiency. Because both ox-PPP and PDHC generate CO2 and the calculated CO2 evolution rate was significantly reduced in Pdh, it was hypothesized that the role of PDHC is to provide CO2 for cell growth. The similarly negative impact of either PDHC or ox-PPP deficiencies, and an even more pronounced impairment of cell growth in a strain lacking both ox-PPP and PDHC, provided further support for this hypothesis. The three strains exhibited similar phenotypes in the presence of an external source of CO2, thus confirming the role of PDHC. Activation of formate hydrogen-lyase (which converts formate to CO2 and H2) rendered the PDHC deficiency silent, but its negative impact reappeared in a strain lacking both PDHC and formate hydrogen-lyase. A stoichiometric analysis of CO2 generation via PDHC and ox-PPP revealed that the PDHC route is more carbon- and energy-efficient, in agreement with its beneficial role in cell growth. © 2010 by The American Society for Biochemistry and Molecular Biology, Inc.","author":[{"dropping-particle":"","family":"Murarka","given":"Abhishek","non-dropping-particle":"","parse-names":false,"suffix":""},{"dropping-particle":"","family":"Clomburg","given":"James M.","non-dropping-particle":"","parse-names":false,"suffix":""},{"dropping-particle":"","family":"Moran","given":"Sean","non-dropping-particle":"","parse-names":false,"suffix":""},{"dropping-particle":"V.","family":"Shanks","given":"Jacqueline","non-dropping-particle":"","parse-names":false,"suffix":""},{"dropping-particle":"","family":"Gonzalez","given":"Ramon","non-dropping-particle":"","parse-names":false,"suffix":""}],"container-title":"Journal of Biological Chemistry","id":"ITEM-2","issue":"41","issued":{"date-parts":[["2010","10","8"]]},"page":"31548-31558","publisher":"American Society for Biochemistry and Molecular Biology Inc.","title":"Metabolic analysis of wild-type Escherichia coli and a Pyruvate Dehydrogenase Complex (PDHC)-deficient derivative reveals the role of PDHC in the fermentative metabolism of glucose","type":"article-journal","volume":"285"},"uris":["http://www.mendeley.com/documents/?uuid=96ae9906-9382-3e68-ba72-440ccdf0b908","http://www.mendeley.com/documents/?uuid=64904fae-a1ac-4555-9e14-2ff9bad62932"]}],"mendeley":{"formattedCitation":"&lt;sup&gt;112,113&lt;/sup&gt;","plainTextFormattedCitation":"112,113","previouslyFormattedCitation":"&lt;sup&gt;112,113&lt;/sup&gt;"},"properties":{"noteIndex":0},"schema":"https://github.com/citation-style-language/schema/raw/master/csl-citation.json"}</w:instrText>
      </w:r>
      <w:r w:rsidR="009A5F94" w:rsidRPr="00A71FCF">
        <w:rPr>
          <w:rFonts w:cs="Arial"/>
          <w:color w:val="000000"/>
          <w:szCs w:val="22"/>
        </w:rPr>
        <w:fldChar w:fldCharType="separate"/>
      </w:r>
      <w:r w:rsidR="00567FF4" w:rsidRPr="00567FF4">
        <w:rPr>
          <w:rFonts w:cs="Arial"/>
          <w:noProof/>
          <w:color w:val="000000"/>
          <w:szCs w:val="22"/>
          <w:vertAlign w:val="superscript"/>
        </w:rPr>
        <w:t>112,113</w:t>
      </w:r>
      <w:r w:rsidR="009A5F94" w:rsidRPr="00A71FCF">
        <w:rPr>
          <w:rFonts w:cs="Arial"/>
          <w:color w:val="000000"/>
          <w:szCs w:val="22"/>
        </w:rPr>
        <w:fldChar w:fldCharType="end"/>
      </w:r>
      <w:r w:rsidR="009A5F94" w:rsidRPr="00A71FCF">
        <w:rPr>
          <w:rFonts w:cs="Arial"/>
          <w:color w:val="000000"/>
          <w:szCs w:val="22"/>
        </w:rPr>
        <w:t xml:space="preserve">. During a cell-free metabolic reaction, one might expect </w:t>
      </w:r>
      <w:proofErr w:type="spellStart"/>
      <w:r w:rsidR="009A5F94" w:rsidRPr="00A71FCF">
        <w:rPr>
          <w:rFonts w:cs="Arial"/>
          <w:color w:val="000000"/>
          <w:szCs w:val="22"/>
        </w:rPr>
        <w:t>PflB</w:t>
      </w:r>
      <w:proofErr w:type="spellEnd"/>
      <w:r w:rsidR="009A5F94" w:rsidRPr="00A71FCF">
        <w:rPr>
          <w:rFonts w:cs="Arial"/>
          <w:color w:val="000000"/>
          <w:szCs w:val="22"/>
        </w:rPr>
        <w:t xml:space="preserve"> to be inactivated by oxygen due to its oxygen-sensitivity, and for pyruvate to acetyl-CoA flux to be controlled by Pdh</w:t>
      </w:r>
      <w:r w:rsidR="009A5F94" w:rsidRPr="00A71FCF">
        <w:rPr>
          <w:rFonts w:cs="Arial"/>
          <w:color w:val="000000"/>
          <w:szCs w:val="22"/>
        </w:rPr>
        <w:fldChar w:fldCharType="begin" w:fldLock="1"/>
      </w:r>
      <w:r w:rsidR="00567FF4">
        <w:rPr>
          <w:rFonts w:cs="Arial"/>
          <w:color w:val="000000"/>
          <w:szCs w:val="22"/>
        </w:rPr>
        <w:instrText>ADDIN CSL_CITATION {"citationItems":[{"id":"ITEM-1","itemData":{"DOI":"10.1073/pnas.89.3.996","ISSN":"00278424","PMID":"1310545","abstract":"Pyruvate formate-lyase (acetyl-CoA:formate C-acetyltransferase, EC 2.3.1.54) from anaerobic Escherichia coli cells converts pyruvate to acetyl- CoA and formate by a unique homolytic mechanism that involves a free radical harbored in the protein structure. By EPR spectroscopy of selectively 13C- labeled enzyme, the radical (g = 2.0037) has been assigned to carbon-2 of a glycine residue. Estimated hyperfine coupling constants to the central 13C nucleus (A is parallel with = 4.9 mT and A is perpendicular to = 0.1 mT) and to 13C nuclei in α and β positions agree with literature data for glycine radical models. N-coupling was verified through uniform 15N-labeling. The large 1H hyperfine splitting (1.5 mT) dominating the EPR spectrum was assigned to the α proton, which in the enzyme radical is readily solvent- exchangeable. Oxygen destruction of the radical produced two unique fragments (82 and 3 kDa) of the constituent polypeptide chain. The N-terminal block on the small fragment was identified by mass spectrometry as an oxalyl residue that derives from Gly-734, thus assigning the primary structural glycyl radical position. The carbon-centered radical is probably resonance- stabilized through the adjacent carboxamide groups in the polypeptide main chain and could be comparable energetically with other known protein radicals carrying the unpaired electron in tyrosine or tryptophan residues.","author":[{"dropping-particle":"","family":"Wagner","given":"A. F.V.","non-dropping-particle":"","parse-names":false,"suffix":""},{"dropping-particle":"","family":"Frey","given":"M.","non-dropping-particle":"","parse-names":false,"suffix":""},{"dropping-particle":"","family":"Neugebauer","given":"F. A.","non-dropping-particle":"","parse-names":false,"suffix":""},{"dropping-particle":"","family":"Schafer","given":"W.","non-dropping-particle":"","parse-names":false,"suffix":""},{"dropping-particle":"","family":"Knappe","given":"J.","non-dropping-particle":"","parse-names":false,"suffix":""}],"container-title":"Proceedings of the National Academy of Sciences of the United States of America","id":"ITEM-1","issue":"3","issued":{"date-parts":[["1992"]]},"page":"996-1000","publisher":"Proc Natl Acad Sci U S A","title":"The free radical in pyruvate formate-lyase is located on glycine-734","type":"article-journal","volume":"89"},"uris":["http://www.mendeley.com/documents/?uuid=59cc4fa0-bd13-3997-8107-4c9e33d7d7ca","http://www.mendeley.com/documents/?uuid=5db670f6-fc29-4dfb-869d-05993232e898"]}],"mendeley":{"formattedCitation":"&lt;sup&gt;114&lt;/sup&gt;","plainTextFormattedCitation":"114","previouslyFormattedCitation":"&lt;sup&gt;114&lt;/sup&gt;"},"properties":{"noteIndex":0},"schema":"https://github.com/citation-style-language/schema/raw/master/csl-citation.json"}</w:instrText>
      </w:r>
      <w:r w:rsidR="009A5F94" w:rsidRPr="00A71FCF">
        <w:rPr>
          <w:rFonts w:cs="Arial"/>
          <w:color w:val="000000"/>
          <w:szCs w:val="22"/>
        </w:rPr>
        <w:fldChar w:fldCharType="separate"/>
      </w:r>
      <w:r w:rsidR="00567FF4" w:rsidRPr="00567FF4">
        <w:rPr>
          <w:rFonts w:cs="Arial"/>
          <w:bCs/>
          <w:noProof/>
          <w:color w:val="000000"/>
          <w:szCs w:val="22"/>
          <w:vertAlign w:val="superscript"/>
        </w:rPr>
        <w:t>114</w:t>
      </w:r>
      <w:r w:rsidR="009A5F94" w:rsidRPr="00A71FCF">
        <w:rPr>
          <w:rFonts w:cs="Arial"/>
          <w:color w:val="000000"/>
          <w:szCs w:val="22"/>
        </w:rPr>
        <w:fldChar w:fldCharType="end"/>
      </w:r>
      <w:r w:rsidR="009A5F94" w:rsidRPr="00A71FCF">
        <w:rPr>
          <w:rFonts w:cs="Arial"/>
          <w:color w:val="000000"/>
          <w:szCs w:val="22"/>
        </w:rPr>
        <w:t xml:space="preserve">. Such activity however has yet to be reported so both </w:t>
      </w:r>
      <w:proofErr w:type="spellStart"/>
      <w:r w:rsidR="009A5F94" w:rsidRPr="00A71FCF">
        <w:rPr>
          <w:rFonts w:cs="Arial"/>
          <w:color w:val="000000"/>
          <w:szCs w:val="22"/>
        </w:rPr>
        <w:t>PflB</w:t>
      </w:r>
      <w:proofErr w:type="spellEnd"/>
      <w:r w:rsidR="009A5F94" w:rsidRPr="00A71FCF">
        <w:rPr>
          <w:rFonts w:cs="Arial"/>
          <w:color w:val="000000"/>
          <w:szCs w:val="22"/>
        </w:rPr>
        <w:t xml:space="preserve"> and </w:t>
      </w:r>
      <w:proofErr w:type="spellStart"/>
      <w:r w:rsidR="009A5F94" w:rsidRPr="00A71FCF">
        <w:rPr>
          <w:rFonts w:cs="Arial"/>
          <w:color w:val="000000"/>
          <w:szCs w:val="22"/>
        </w:rPr>
        <w:t>AceE</w:t>
      </w:r>
      <w:proofErr w:type="spellEnd"/>
      <w:r w:rsidR="009A5F94" w:rsidRPr="00A71FCF">
        <w:rPr>
          <w:rFonts w:cs="Arial"/>
          <w:color w:val="000000"/>
          <w:szCs w:val="22"/>
        </w:rPr>
        <w:t xml:space="preserve">, the E1 component of </w:t>
      </w:r>
      <w:proofErr w:type="spellStart"/>
      <w:r w:rsidR="009A5F94" w:rsidRPr="00A71FCF">
        <w:rPr>
          <w:rFonts w:cs="Arial"/>
          <w:color w:val="000000"/>
          <w:szCs w:val="22"/>
        </w:rPr>
        <w:t>Pdh</w:t>
      </w:r>
      <w:proofErr w:type="spellEnd"/>
      <w:r w:rsidR="009A5F94" w:rsidRPr="00A71FCF">
        <w:rPr>
          <w:rFonts w:cs="Arial"/>
          <w:color w:val="000000"/>
          <w:szCs w:val="22"/>
        </w:rPr>
        <w:t xml:space="preserve">, were additionally chosen as targets here. We also selected </w:t>
      </w:r>
      <w:proofErr w:type="spellStart"/>
      <w:r w:rsidR="009A5F94" w:rsidRPr="00A71FCF">
        <w:rPr>
          <w:rFonts w:cs="Arial"/>
          <w:color w:val="000000"/>
          <w:szCs w:val="22"/>
        </w:rPr>
        <w:t>PpsA</w:t>
      </w:r>
      <w:proofErr w:type="spellEnd"/>
      <w:r w:rsidR="009A5F94" w:rsidRPr="00A71FCF">
        <w:rPr>
          <w:rFonts w:cs="Arial"/>
          <w:color w:val="000000"/>
          <w:szCs w:val="22"/>
        </w:rPr>
        <w:t xml:space="preserve"> under the assumption that back-flux to phosphoenolpyruvate (PEP) might occur upon high pyruvate pooling in the lysates (</w:t>
      </w:r>
      <w:r w:rsidR="009A5F94">
        <w:rPr>
          <w:rFonts w:cs="Arial"/>
          <w:b/>
          <w:bCs/>
          <w:color w:val="000000"/>
          <w:szCs w:val="22"/>
        </w:rPr>
        <w:t>Figure</w:t>
      </w:r>
      <w:r w:rsidR="009A5F94" w:rsidRPr="007569D2">
        <w:rPr>
          <w:rFonts w:cs="Arial"/>
          <w:b/>
          <w:bCs/>
          <w:color w:val="000000"/>
          <w:szCs w:val="22"/>
        </w:rPr>
        <w:t xml:space="preserve"> 3.2</w:t>
      </w:r>
      <w:r w:rsidR="009A5F94" w:rsidRPr="00A71FCF">
        <w:rPr>
          <w:rFonts w:cs="Arial"/>
          <w:color w:val="000000"/>
          <w:szCs w:val="22"/>
        </w:rPr>
        <w:t>). 6xHis tags were fused on either the amino or carboxyl terminus by genetic modification based on an evaluation of literature related to previous purification attempts or crystal structures in order to find a non-inhibitory location (</w:t>
      </w:r>
      <w:r w:rsidR="009A5F94" w:rsidRPr="007569D2">
        <w:rPr>
          <w:rFonts w:cs="Arial"/>
          <w:b/>
          <w:bCs/>
          <w:color w:val="000000"/>
          <w:szCs w:val="22"/>
        </w:rPr>
        <w:t>Table 3.1</w:t>
      </w:r>
      <w:r w:rsidR="009A5F94" w:rsidRPr="00A71FCF">
        <w:rPr>
          <w:rFonts w:cs="Arial"/>
          <w:color w:val="000000"/>
          <w:szCs w:val="22"/>
        </w:rPr>
        <w:t>)</w:t>
      </w:r>
      <w:r w:rsidR="009A5F94" w:rsidRPr="00A71FCF">
        <w:rPr>
          <w:rFonts w:cs="Arial"/>
          <w:color w:val="000000"/>
          <w:szCs w:val="22"/>
        </w:rPr>
        <w:fldChar w:fldCharType="begin" w:fldLock="1"/>
      </w:r>
      <w:r w:rsidR="00567FF4">
        <w:rPr>
          <w:rFonts w:cs="Arial"/>
          <w:color w:val="000000"/>
          <w:szCs w:val="22"/>
        </w:rPr>
        <w:instrText>ADDIN CSL_CITATION {"citationItems":[{"id":"ITEM-1","itemData":{"DOI":"10.1016/j.mimet.2014.07.012","ISSN":"18728359","abstract":"The analysis of protein-protein interactions in Mycobacterium tuberculosis has the potential to shed light on the functions of the large number of predicted open-reading frames annotated as conserved hypothetical proteins. We have developed a formaldehyde crosslinking system to detect in vivo interactions in mycobacteria. Our Gateway-adapted vector system uses three promoter strengths, including constitutive and regulatable versions, for the expression of target proteins with either an N- or C-terminal His-Strep-Strep tag. Tandem affinity purification using the His- and Strep-tags is well-suited to the isolation of protein complexes with a high purity and no detectable background. We have validated this approach using the well-described pyruvate dehydrogenase complex. © 2014 .","author":[{"dropping-particle":"","family":"Lougheed","given":"Kathryn E A","non-dropping-particle":"","parse-names":false,"suffix":""},{"dropping-particle":"","family":"Bennett","given":"Mark H.","non-dropping-particle":"","parse-names":false,"suffix":""},{"dropping-particle":"","family":"Williams","given":"Huw D.","non-dropping-particle":"","parse-names":false,"suffix":""}],"container-title":"Journal of Microbiological Methods","id":"ITEM-1","issued":{"date-parts":[["2014"]]},"page":"67-71","publisher":"Elsevier B.V.","title":"An in vivo crosslinking system for identifying mycobacterial protein-protein interactions","type":"article-journal","volume":"105"},"uris":["http://www.mendeley.com/documents/?uuid=45183225-bcd1-4b4b-b498-9246d36cee21","http://www.mendeley.com/documents/?uuid=48bb2292-3f89-4441-85ac-f048c41f2fb2"]},{"id":"ITEM-2","itemData":{"DOI":"10.1006/abio.2001.5182","ISSN":"00032697","abstract":"A (poly)histidine tag was fused to either the N- or the C-terminus of L-lactate dehydrogenase (LDH) of Bacillus stearothermophilus to facilitate purification and immobilization of these enzymes. The C-terminally tagged enzyme displayed lower activity compared both to the wild-type and to the N-terminally tagged variant. The reason for this loss of activity was investigated by affinity chromatography of the enzymes on a 5′-AMP-Sepharose resin and by size-exclusion chromatography. The C-terminally tagged enzyme could be separated into an inactive, unbound fraction and an active, bound fraction. Further differences between the C-terminally tagged enzyme and the N-terminally tagged and wild-type LDH were observed on size-exclusion chromatography of the three enzymes. These data suggest that the introduction of a \"his-tag\" at the C-terminus may induce misfolding of the LDH and serve as a warning that the introduction of a (poly)histidine tag can produce unforseen changes in a protein. © 2001 Academic Press.","author":[{"dropping-particle":"","family":"Halliwell","given":"Catherine M.","non-dropping-particle":"","parse-names":false,"suffix":""},{"dropping-particle":"","family":"Morgan","given":"Gareth","non-dropping-particle":"","parse-names":false,"suffix":""},{"dropping-particle":"","family":"Ou","given":"Chung Pei","non-dropping-particle":"","parse-names":false,"suffix":""},{"dropping-particle":"","family":"Cass","given":"Anthony E.G.","non-dropping-particle":"","parse-names":false,"suffix":""}],"container-title":"Analytical Biochemistry","id":"ITEM-2","issue":"2","issued":{"date-parts":[["2001"]]},"page":"257-261","title":"Introduction of a (poly)histidine tag in L-lactate dehydrogenase produces a mixture of active and inactive molecules","type":"article-journal","volume":"295"},"uris":["http://www.mendeley.com/documents/?uuid=879b1cbd-091c-4fc6-9071-eec5f094f32a","http://www.mendeley.com/documents/?uuid=63115328-a416-4b33-b6db-2b6a18240a4d"]}],"mendeley":{"formattedCitation":"&lt;sup&gt;103,104&lt;/sup&gt;","plainTextFormattedCitation":"103,104","previouslyFormattedCitation":"&lt;sup&gt;103,104&lt;/sup&gt;"},"properties":{"noteIndex":0},"schema":"https://github.com/citation-style-language/schema/raw/master/csl-citation.json"}</w:instrText>
      </w:r>
      <w:r w:rsidR="009A5F94" w:rsidRPr="00A71FCF">
        <w:rPr>
          <w:rFonts w:cs="Arial"/>
          <w:color w:val="000000"/>
          <w:szCs w:val="22"/>
        </w:rPr>
        <w:fldChar w:fldCharType="separate"/>
      </w:r>
      <w:r w:rsidR="00567FF4" w:rsidRPr="00567FF4">
        <w:rPr>
          <w:rFonts w:cs="Arial"/>
          <w:noProof/>
          <w:color w:val="000000"/>
          <w:szCs w:val="22"/>
          <w:vertAlign w:val="superscript"/>
        </w:rPr>
        <w:t>103,104</w:t>
      </w:r>
      <w:r w:rsidR="009A5F94" w:rsidRPr="00A71FCF">
        <w:rPr>
          <w:rFonts w:cs="Arial"/>
          <w:color w:val="000000"/>
          <w:szCs w:val="22"/>
        </w:rPr>
        <w:fldChar w:fldCharType="end"/>
      </w:r>
      <w:r w:rsidR="009A5F94" w:rsidRPr="00A71FCF">
        <w:rPr>
          <w:rFonts w:cs="Arial"/>
          <w:color w:val="000000"/>
          <w:szCs w:val="22"/>
        </w:rPr>
        <w:t xml:space="preserve">. </w:t>
      </w:r>
    </w:p>
    <w:p w14:paraId="7682279A" w14:textId="135B5517" w:rsidR="009A5F94" w:rsidRDefault="009A5F94" w:rsidP="009A5F94">
      <w:pPr>
        <w:pBdr>
          <w:top w:val="nil"/>
          <w:left w:val="nil"/>
          <w:bottom w:val="nil"/>
          <w:right w:val="nil"/>
          <w:between w:val="nil"/>
        </w:pBdr>
        <w:ind w:firstLine="720"/>
        <w:contextualSpacing/>
        <w:rPr>
          <w:rFonts w:cs="Arial"/>
          <w:color w:val="000000"/>
          <w:szCs w:val="22"/>
        </w:rPr>
      </w:pPr>
      <w:r w:rsidRPr="00A71FCF">
        <w:rPr>
          <w:rFonts w:cs="Arial"/>
          <w:color w:val="000000"/>
          <w:szCs w:val="22"/>
        </w:rPr>
        <w:t xml:space="preserve">The </w:t>
      </w:r>
      <w:proofErr w:type="spellStart"/>
      <w:r w:rsidRPr="00A71FCF">
        <w:rPr>
          <w:rFonts w:cs="Arial"/>
          <w:color w:val="000000"/>
          <w:szCs w:val="22"/>
        </w:rPr>
        <w:t>pORTMAGE</w:t>
      </w:r>
      <w:proofErr w:type="spellEnd"/>
      <w:r w:rsidRPr="00A71FCF">
        <w:rPr>
          <w:rFonts w:cs="Arial"/>
          <w:color w:val="000000"/>
          <w:szCs w:val="22"/>
        </w:rPr>
        <w:t xml:space="preserve"> system was used instead of the traditional genome integrated system due to its potential transferability to multiple donor organisms including </w:t>
      </w:r>
      <w:r w:rsidRPr="00A71FCF">
        <w:rPr>
          <w:rFonts w:cs="Arial"/>
          <w:i/>
          <w:iCs/>
          <w:color w:val="000000"/>
          <w:szCs w:val="22"/>
        </w:rPr>
        <w:t>E. coli</w:t>
      </w:r>
      <w:r w:rsidRPr="00A71FCF">
        <w:rPr>
          <w:rFonts w:cs="Arial"/>
          <w:color w:val="000000"/>
          <w:szCs w:val="22"/>
        </w:rPr>
        <w:t xml:space="preserve"> BL21 Star(DE3) </w:t>
      </w:r>
      <w:r w:rsidRPr="00A71FCF">
        <w:rPr>
          <w:rFonts w:cs="Arial"/>
          <w:color w:val="000000"/>
          <w:szCs w:val="22"/>
        </w:rPr>
        <w:fldChar w:fldCharType="begin" w:fldLock="1"/>
      </w:r>
      <w:r w:rsidR="00567FF4">
        <w:rPr>
          <w:rFonts w:cs="Arial"/>
          <w:color w:val="000000"/>
          <w:szCs w:val="22"/>
        </w:rPr>
        <w:instrText>ADDIN CSL_CITATION {"citationItems":[{"id":"ITEM-1","itemData":{"DOI":"10.1038/nature08187","ISBN":"1476-4687 (Electronic)\\r0028-0836 (Linking)","ISSN":"1476-4687","PMID":"19633652","abstract":"The breadth of genomic diversity found among organisms in nature allows populations to adapt to diverse environments. However, genomic diversity is difficult to generate in the laboratory and new phenotypes do not easily arise on practical timescales. Although in vitro and directed evolution methods have created genetic variants with usefully altered phenotypes, these methods are limited to laborious and serial manipulation of single genes and are not used for parallel and continuous directed evolution of gene networks or genomes. Here, we describe multiplex automated genome engineering (MAGE) for large-scale programming and evolution of cells. MAGE simultaneously targets many locations on the chromosome for modification in a single cell or across a population of cells, thus producing combinatorial genomic diversity. Because the process is cyclical and scalable, we constructed prototype devices that automate the MAGE technology to facilitate rapid and continuous generation of a diverse set of genetic changes (mismatches, insertions, deletions). We applied MAGE to optimize the 1-deoxy-D-xylulose-5-phosphate (DXP) biosynthesis pathway in Escherichia coli to overproduce the industrially important isoprenoid lycopene. Twenty-four genetic components in the DXP pathway were modified simultaneously using a complex pool of synthetic DNA, creating over 4.3 billion combinatorial genomic variants per day. We isolated variants with more than fivefold increase in lycopene production within 3 days, a significant improvement over existing metabolic engineering techniques. Our multiplex approach embraces engineering in the context of evolution by expediting the design and evolution of organisms with new and improved properties.","author":[{"dropping-particle":"","family":"Wang","given":"Harris H","non-dropping-particle":"","parse-names":false,"suffix":""},{"dropping-particle":"","family":"Isaacs","given":"Farren J","non-dropping-particle":"","parse-names":false,"suffix":""},{"dropping-particle":"","family":"Carr","given":"Peter A","non-dropping-particle":"","parse-names":false,"suffix":""},{"dropping-particle":"","family":"Sun","given":"Zachary Z","non-dropping-particle":"","parse-names":false,"suffix":""},{"dropping-particle":"","family":"Xu","given":"George","non-dropping-particle":"","parse-names":false,"suffix":""},{"dropping-particle":"","family":"Forest","given":"Craig R","non-dropping-particle":"","parse-names":false,"suffix":""},{"dropping-particle":"","family":"Church","given":"George M","non-dropping-particle":"","parse-names":false,"suffix":""}],"container-title":"Nature","id":"ITEM-1","issue":"7257","issued":{"date-parts":[["2009"]]},"page":"894-8","publisher":"Nature Publishing Group","title":"Programming cells by multiplex genome engineering and accelerated evolution.","type":"article-journal","volume":"460"},"uris":["http://www.mendeley.com/documents/?uuid=fcbb5073-406a-4e79-bf9d-f3a375566c4f","http://www.mendeley.com/documents/?uuid=55fe84c7-7ea1-4420-a85e-16f670c704ed"]},{"id":"ITEM-2","itemData":{"DOI":"10.1038/srep19452","ISBN":"2045-2322","ISSN":"2045-2322","PMID":"26797514","abstract":"A bottleneck in metabolic engineering and systems biology approaches is the lack of efficient genome engineering technologies. Here, we combine CRISPR/Cas9 and λ Red recombineering based MAGE technology (CRMAGE) to create a highly efficient and fast method for genome engineering of Escherichia coli. Using CRMAGE, the recombineering efficiency was between 96.5% and 99.7% for gene recoding of three genomic targets, compared to between 0.68% and 5.4% using traditional recombineering. For modulation of protein synthesis (small insertion/RBS substitution) the efficiency was increased from 6% to 70%. CRMAGE can be multiplexed and enables introduction of at least two mutations in a single round of recombineering with similar efficiencies. PAM-independent loci were targeted using degenerate codons, thereby making it possible to modify any site in the genome. CRMAGE is based on two plasmids that are assembled by a USER-cloning approach enabling quick and cost efficient gRNA replacement. CRMAGE furthermore utilizes CRISPR/Cas9 for efficient plasmid curing, thereby enabling multiple engineering rounds per day. To facilitate the design process, a web-based tool was developed to predict both the λ Red oligos and the gRNAs. The CRMAGE platform enables highly efficient and fast genome editing and may open up promising prospective for automation of genome-scale engineering.","author":[{"dropping-particle":"","family":"Ronda","given":"Carlotta","non-dropping-particle":"","parse-names":false,"suffix":""},{"dropping-particle":"","family":"Pedersen","given":"Lasse Ebdrup","non-dropping-particle":"","parse-names":false,"suffix":""},{"dropping-particle":"","family":"Sommer","given":"Morten O A","non-dropping-particle":"","parse-names":false,"suffix":""},{"dropping-particle":"","family":"Nielsen","given":"Alex Toftgaard","non-dropping-particle":"","parse-names":false,"suffix":""}],"container-title":"Scientific reports","id":"ITEM-2","issue":"January","issued":{"date-parts":[["2016"]]},"page":"19452","publisher":"Nature Publishing Group","title":"CRMAGE: CRISPR Optimized MAGE Recombineering.","type":"article-journal","volume":"6"},"uris":["http://www.mendeley.com/documents/?uuid=db0c3197-41a3-47db-a5a5-9b982936d632","http://www.mendeley.com/documents/?uuid=5238f79f-261b-4512-8522-3f00ba04c6f5"]}],"mendeley":{"formattedCitation":"&lt;sup&gt;115,116&lt;/sup&gt;","plainTextFormattedCitation":"115,116","previouslyFormattedCitation":"&lt;sup&gt;115,116&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bCs/>
          <w:noProof/>
          <w:color w:val="000000"/>
          <w:szCs w:val="22"/>
          <w:vertAlign w:val="superscript"/>
        </w:rPr>
        <w:t>115,116</w:t>
      </w:r>
      <w:r w:rsidRPr="00A71FCF">
        <w:rPr>
          <w:rFonts w:cs="Arial"/>
          <w:color w:val="000000"/>
          <w:szCs w:val="22"/>
        </w:rPr>
        <w:fldChar w:fldCharType="end"/>
      </w:r>
      <w:r w:rsidRPr="00A71FCF">
        <w:rPr>
          <w:rFonts w:cs="Arial"/>
          <w:color w:val="000000"/>
          <w:szCs w:val="22"/>
        </w:rPr>
        <w:t xml:space="preserve">. Additionally, </w:t>
      </w:r>
      <w:proofErr w:type="spellStart"/>
      <w:r w:rsidRPr="00A71FCF">
        <w:rPr>
          <w:rFonts w:cs="Arial"/>
          <w:color w:val="000000"/>
          <w:szCs w:val="22"/>
        </w:rPr>
        <w:t>pORTMAGE</w:t>
      </w:r>
      <w:proofErr w:type="spellEnd"/>
      <w:r w:rsidRPr="00A71FCF">
        <w:rPr>
          <w:rFonts w:cs="Arial"/>
          <w:color w:val="000000"/>
          <w:szCs w:val="22"/>
        </w:rPr>
        <w:t xml:space="preserve"> is curable following genome engineering and relieves the metabolic burden on the cell that can be imparted due to plasmid maintenance</w:t>
      </w:r>
      <w:r w:rsidRPr="00A71FCF">
        <w:rPr>
          <w:rFonts w:cs="Arial"/>
          <w:color w:val="000000"/>
          <w:szCs w:val="22"/>
        </w:rPr>
        <w:fldChar w:fldCharType="begin" w:fldLock="1"/>
      </w:r>
      <w:r w:rsidR="00567FF4">
        <w:rPr>
          <w:rFonts w:cs="Arial"/>
          <w:color w:val="000000"/>
          <w:szCs w:val="22"/>
        </w:rPr>
        <w:instrText>ADDIN CSL_CITATION {"citationItems":[{"id":"ITEM-1","itemData":{"DOI":"10.1016/j.biotechadv.2011.12.005","ISSN":"07349750","abstract":"In the context of recombinant DNA technology, the development of feasible and high-yielding plasmid DNA production processes has regained attention as more evidence for its efficacy as vectors for gene therapy and DNA vaccination arise. When producing plasmid DNA in Escherichia coli, a number of biological restraints, triggered by plasmid maintenance and replication as well as culture conditions are responsible for limiting final biomass and product yields. This termed \"metabolic burden\" can also cause detrimental effects on plasmid stability and quality, since the cell machinery is no longer capable of maintaining an active metabolism towards plasmid synthesis and the stress responses elicited by plasmid maintenance can also cause increased plasmid instability. The optimization of plasmid DNA production bioprocesses is still hindered by the lack of information on the host metabolic responses as well as information on plasmid instability. Therefore, systematic and on-line approaches are required not only to characterise this \"metabolic burden\" and plasmid stability but also for the design of appropriate metabolic engineering and culture strategies. The monitoring tools described to date rapidly evolve from laborious, off-line and at-line monitoring to online monitoring, at a time-scale that enables researchers to solve these bioprocessing problems as they occur. This review highlights major E. coli biological alterations caused by plasmid maintenance and replication, possible causes for plasmid instability and discusses the ability of currently employed bioprocess monitoring techniques to provide information in order to circumvent metabolic burden and plasmid instability, pointing out the possible evolution of these methods towards online bioprocess monitoring. © 2012 Elsevier Inc.","author":[{"dropping-particle":"","family":"Silva","given":"Filomena","non-dropping-particle":"","parse-names":false,"suffix":""},{"dropping-particle":"","family":"Queiroz","given":"João A.","non-dropping-particle":"","parse-names":false,"suffix":""},{"dropping-particle":"","family":"Domingues","given":"Fernanda C.","non-dropping-particle":"","parse-names":false,"suffix":""}],"container-title":"Biotechnology Advances","id":"ITEM-1","issue":"3","issued":{"date-parts":[["2012"]]},"page":"691-708","publisher":"Elsevier Inc.","title":"Evaluating metabolic stress and plasmid stability in plasmid DNA production by Escherichia coli","type":"article-journal","volume":"30"},"uris":["http://www.mendeley.com/documents/?uuid=767b925f-3327-4799-8e52-7c67482d35fb","http://www.mendeley.com/documents/?uuid=bd948821-265f-4e5a-8d8c-fdd4888f2512"]}],"mendeley":{"formattedCitation":"&lt;sup&gt;36&lt;/sup&gt;","plainTextFormattedCitation":"36","previouslyFormattedCitation":"&lt;sup&gt;36&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bCs/>
          <w:noProof/>
          <w:color w:val="000000"/>
          <w:szCs w:val="22"/>
          <w:vertAlign w:val="superscript"/>
        </w:rPr>
        <w:t>36</w:t>
      </w:r>
      <w:r w:rsidRPr="00A71FCF">
        <w:rPr>
          <w:rFonts w:cs="Arial"/>
          <w:color w:val="000000"/>
          <w:szCs w:val="22"/>
        </w:rPr>
        <w:fldChar w:fldCharType="end"/>
      </w:r>
      <w:r w:rsidRPr="00A71FCF">
        <w:rPr>
          <w:rFonts w:cs="Arial"/>
          <w:color w:val="000000"/>
          <w:szCs w:val="22"/>
        </w:rPr>
        <w:t>.  Colony screening was performed using MASC-PCR and further verified using Sanger sequencing (</w:t>
      </w:r>
      <w:r>
        <w:rPr>
          <w:rFonts w:cs="Arial"/>
          <w:b/>
          <w:bCs/>
          <w:color w:val="000000"/>
          <w:szCs w:val="22"/>
        </w:rPr>
        <w:t>Figure</w:t>
      </w:r>
      <w:r w:rsidRPr="007569D2">
        <w:rPr>
          <w:rFonts w:cs="Arial"/>
          <w:b/>
          <w:bCs/>
          <w:color w:val="000000"/>
          <w:szCs w:val="22"/>
        </w:rPr>
        <w:t xml:space="preserve"> 3.3B</w:t>
      </w:r>
      <w:r w:rsidRPr="00A71FCF">
        <w:rPr>
          <w:rFonts w:cs="Arial"/>
          <w:color w:val="000000"/>
          <w:szCs w:val="22"/>
        </w:rPr>
        <w:t>)</w:t>
      </w:r>
      <w:r w:rsidRPr="00A71FCF">
        <w:rPr>
          <w:rFonts w:cs="Arial"/>
          <w:color w:val="000000"/>
          <w:szCs w:val="22"/>
        </w:rPr>
        <w:fldChar w:fldCharType="begin" w:fldLock="1"/>
      </w:r>
      <w:r w:rsidR="00567FF4">
        <w:rPr>
          <w:rFonts w:cs="Arial"/>
          <w:color w:val="000000"/>
          <w:szCs w:val="22"/>
        </w:rPr>
        <w:instrText>ADDIN CSL_CITATION {"citationItems":[{"id":"ITEM-1","itemData":{"DOI":"10.1016/B978-0-12-385120-8.00018-8","ISBN":"9780123851208","ISSN":"00766879","PMID":"21601688","abstract":"Engineering at the scale of whole genomes requires fundamentally new molecular biology tools. Recent advances in recombineering using synthetic oligonucleotides enable the rapid generation of mutants at high efficiency and specificity and can be implemented at the genome scale. With these techniques, libraries of mutants can be generated, from which individuals with functionally useful phenotypes can be isolated. Furthermore, populations of cells can be evolved in situ by directed evolution using complex pools of oligonucleotides. Here, we discuss ways to utilize these multiplexed genome engineering methods, with special emphasis on experimental design and implementation. ?? 2011 Elsevier Inc. All rights reserved.","author":[{"dropping-particle":"","family":"Wang","given":"Harris H.","non-dropping-particle":"","parse-names":false,"suffix":""},{"dropping-particle":"","family":"Church","given":"George M.","non-dropping-particle":"","parse-names":false,"suffix":""}],"container-title":"Methods in Enzymology","edition":"1","id":"ITEM-1","issued":{"date-parts":[["2011"]]},"number-of-pages":"409-426","publisher":"Elsevier Inc.","title":"Multiplexed genome engineering and genotyping methods: Applications for synthetic biology and metabolic engineering","type":"book","volume":"498"},"uris":["http://www.mendeley.com/documents/?uuid=fd015ecc-e7e2-4be8-888d-2649c4780181","http://www.mendeley.com/documents/?uuid=a3e4fef6-e29b-419e-a916-01754c541016"]}],"mendeley":{"formattedCitation":"&lt;sup&gt;117&lt;/sup&gt;","plainTextFormattedCitation":"117","previouslyFormattedCitation":"&lt;sup&gt;117&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bCs/>
          <w:noProof/>
          <w:color w:val="000000"/>
          <w:szCs w:val="22"/>
          <w:vertAlign w:val="superscript"/>
        </w:rPr>
        <w:t>117</w:t>
      </w:r>
      <w:r w:rsidRPr="00A71FCF">
        <w:rPr>
          <w:rFonts w:cs="Arial"/>
          <w:color w:val="000000"/>
          <w:szCs w:val="22"/>
        </w:rPr>
        <w:fldChar w:fldCharType="end"/>
      </w:r>
      <w:r w:rsidRPr="00A71FCF">
        <w:rPr>
          <w:rFonts w:cs="Arial"/>
          <w:color w:val="000000"/>
          <w:szCs w:val="22"/>
        </w:rPr>
        <w:t>. A total of 5 strains were used for this work. (</w:t>
      </w:r>
      <w:r w:rsidRPr="007569D2">
        <w:rPr>
          <w:rFonts w:cs="Arial"/>
          <w:b/>
          <w:bCs/>
          <w:color w:val="000000"/>
          <w:szCs w:val="22"/>
        </w:rPr>
        <w:t>Table 3.2</w:t>
      </w:r>
      <w:r w:rsidRPr="00A71FCF">
        <w:rPr>
          <w:rFonts w:cs="Arial"/>
          <w:color w:val="000000"/>
          <w:szCs w:val="22"/>
        </w:rPr>
        <w:t>).  The strains included 6xHis-</w:t>
      </w:r>
      <w:r w:rsidRPr="00A71FCF">
        <w:rPr>
          <w:rFonts w:cs="Arial"/>
          <w:i/>
          <w:iCs/>
          <w:color w:val="000000"/>
          <w:szCs w:val="22"/>
        </w:rPr>
        <w:t>pflB</w:t>
      </w:r>
      <w:r w:rsidRPr="00A71FCF">
        <w:rPr>
          <w:rFonts w:cs="Arial"/>
          <w:color w:val="000000"/>
          <w:szCs w:val="22"/>
        </w:rPr>
        <w:t>, 6xHis-2 (6xHis-</w:t>
      </w:r>
      <w:r w:rsidRPr="00A71FCF">
        <w:rPr>
          <w:rFonts w:cs="Arial"/>
          <w:i/>
          <w:iCs/>
          <w:color w:val="000000"/>
          <w:szCs w:val="22"/>
        </w:rPr>
        <w:t>pflB-ldhA</w:t>
      </w:r>
      <w:r w:rsidRPr="00A71FCF">
        <w:rPr>
          <w:rFonts w:cs="Arial"/>
          <w:color w:val="000000"/>
          <w:szCs w:val="22"/>
        </w:rPr>
        <w:t>), 6xHis-3 (6xHis-</w:t>
      </w:r>
      <w:r w:rsidRPr="00A71FCF">
        <w:rPr>
          <w:rFonts w:cs="Arial"/>
          <w:i/>
          <w:iCs/>
          <w:color w:val="000000"/>
          <w:szCs w:val="22"/>
        </w:rPr>
        <w:t>pflB-ldhA-ppsA</w:t>
      </w:r>
      <w:r w:rsidRPr="00A71FCF">
        <w:rPr>
          <w:rFonts w:cs="Arial"/>
          <w:color w:val="000000"/>
          <w:szCs w:val="22"/>
        </w:rPr>
        <w:t>), 6xHis-4 (6xHis-</w:t>
      </w:r>
      <w:r w:rsidRPr="00A71FCF">
        <w:rPr>
          <w:rFonts w:cs="Arial"/>
          <w:i/>
          <w:iCs/>
          <w:color w:val="000000"/>
          <w:szCs w:val="22"/>
        </w:rPr>
        <w:t>pflB-ldhA-ppsA-aceE</w:t>
      </w:r>
      <w:r w:rsidRPr="00A71FCF">
        <w:rPr>
          <w:rFonts w:cs="Arial"/>
          <w:color w:val="000000"/>
          <w:szCs w:val="22"/>
        </w:rPr>
        <w:t>) and 6xHis-</w:t>
      </w:r>
      <w:r w:rsidRPr="00A71FCF">
        <w:rPr>
          <w:rFonts w:cs="Arial"/>
          <w:i/>
          <w:iCs/>
          <w:color w:val="000000"/>
          <w:szCs w:val="22"/>
        </w:rPr>
        <w:t xml:space="preserve">ldhA </w:t>
      </w:r>
      <w:r w:rsidRPr="00A71FCF">
        <w:rPr>
          <w:rFonts w:cs="Arial"/>
          <w:color w:val="000000"/>
          <w:szCs w:val="22"/>
        </w:rPr>
        <w:t xml:space="preserve">with each having a varying metabolic phenotype. 60 rounds of MAGE were needed to incorporate all four of the tags into the </w:t>
      </w:r>
      <w:r w:rsidRPr="00A71FCF">
        <w:rPr>
          <w:rFonts w:cs="Arial"/>
          <w:i/>
          <w:iCs/>
          <w:color w:val="000000"/>
          <w:szCs w:val="22"/>
        </w:rPr>
        <w:t>E. coli</w:t>
      </w:r>
      <w:r w:rsidRPr="00A71FCF">
        <w:rPr>
          <w:rFonts w:cs="Arial"/>
          <w:color w:val="000000"/>
          <w:szCs w:val="22"/>
        </w:rPr>
        <w:t xml:space="preserve"> genome (</w:t>
      </w:r>
      <w:r>
        <w:rPr>
          <w:rFonts w:cs="Arial"/>
          <w:b/>
          <w:bCs/>
          <w:color w:val="000000"/>
          <w:szCs w:val="22"/>
        </w:rPr>
        <w:t>Figure</w:t>
      </w:r>
      <w:r w:rsidRPr="007569D2">
        <w:rPr>
          <w:rFonts w:cs="Arial"/>
          <w:b/>
          <w:bCs/>
          <w:color w:val="000000"/>
          <w:szCs w:val="22"/>
        </w:rPr>
        <w:t xml:space="preserve"> 3.3A</w:t>
      </w:r>
      <w:r w:rsidRPr="00A71FCF">
        <w:rPr>
          <w:rFonts w:cs="Arial"/>
          <w:color w:val="000000"/>
          <w:szCs w:val="22"/>
        </w:rPr>
        <w:t>) (</w:t>
      </w:r>
      <w:r w:rsidRPr="007569D2">
        <w:rPr>
          <w:rFonts w:cs="Arial"/>
          <w:b/>
          <w:bCs/>
          <w:color w:val="000000"/>
          <w:szCs w:val="22"/>
        </w:rPr>
        <w:t>Table 3.2</w:t>
      </w:r>
      <w:r w:rsidRPr="00A71FCF">
        <w:rPr>
          <w:rFonts w:cs="Arial"/>
          <w:color w:val="000000"/>
          <w:szCs w:val="22"/>
        </w:rPr>
        <w:t>).</w:t>
      </w:r>
      <w:r>
        <w:rPr>
          <w:rFonts w:cs="Arial"/>
          <w:color w:val="000000"/>
          <w:szCs w:val="22"/>
        </w:rPr>
        <w:br w:type="page"/>
      </w:r>
    </w:p>
    <w:p w14:paraId="45A8D8B0" w14:textId="70368466" w:rsidR="0039202C" w:rsidRDefault="0039202C" w:rsidP="0039202C">
      <w:pPr>
        <w:pBdr>
          <w:top w:val="nil"/>
          <w:left w:val="nil"/>
          <w:bottom w:val="nil"/>
          <w:right w:val="nil"/>
          <w:between w:val="nil"/>
        </w:pBdr>
        <w:contextualSpacing/>
        <w:jc w:val="center"/>
        <w:rPr>
          <w:rFonts w:cs="Arial"/>
          <w:color w:val="000000"/>
          <w:szCs w:val="22"/>
        </w:rPr>
      </w:pPr>
      <w:r w:rsidRPr="00A71FCF">
        <w:rPr>
          <w:rFonts w:cs="Arial"/>
          <w:b/>
          <w:i/>
          <w:noProof/>
          <w:szCs w:val="22"/>
        </w:rPr>
        <w:lastRenderedPageBreak/>
        <w:drawing>
          <wp:inline distT="0" distB="0" distL="0" distR="0" wp14:anchorId="26833E90" wp14:editId="1403EFBC">
            <wp:extent cx="3403942" cy="3776870"/>
            <wp:effectExtent l="0" t="0" r="0" b="0"/>
            <wp:docPr id="197" name="Picture 19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20"/>
                    <a:stretch>
                      <a:fillRect/>
                    </a:stretch>
                  </pic:blipFill>
                  <pic:spPr>
                    <a:xfrm>
                      <a:off x="0" y="0"/>
                      <a:ext cx="3433811" cy="3810012"/>
                    </a:xfrm>
                    <a:prstGeom prst="rect">
                      <a:avLst/>
                    </a:prstGeom>
                  </pic:spPr>
                </pic:pic>
              </a:graphicData>
            </a:graphic>
          </wp:inline>
        </w:drawing>
      </w:r>
    </w:p>
    <w:p w14:paraId="798DB658" w14:textId="5936D263" w:rsidR="0039202C" w:rsidRDefault="0039202C" w:rsidP="009A5F94">
      <w:pPr>
        <w:pStyle w:val="Figurecaption"/>
      </w:pPr>
      <w:bookmarkStart w:id="61" w:name="_Toc129671156"/>
      <w:bookmarkStart w:id="62" w:name="_Toc129701145"/>
      <w:r w:rsidRPr="00202E24">
        <w:t>Figure 3</w:t>
      </w:r>
      <w:r w:rsidR="009A5F94">
        <w:t>.2</w:t>
      </w:r>
      <w:r w:rsidRPr="00202E24">
        <w:t xml:space="preserve">. Glycolysis and engineered pathway nodes showing the location of the modified enzymes </w:t>
      </w:r>
      <w:proofErr w:type="spellStart"/>
      <w:r w:rsidRPr="00202E24">
        <w:t>PflB</w:t>
      </w:r>
      <w:proofErr w:type="spellEnd"/>
      <w:r w:rsidRPr="00202E24">
        <w:t xml:space="preserve">, </w:t>
      </w:r>
      <w:proofErr w:type="spellStart"/>
      <w:r w:rsidRPr="00202E24">
        <w:t>LdhA</w:t>
      </w:r>
      <w:proofErr w:type="spellEnd"/>
      <w:r w:rsidRPr="00202E24">
        <w:t xml:space="preserve">, </w:t>
      </w:r>
      <w:proofErr w:type="spellStart"/>
      <w:r w:rsidRPr="00202E24">
        <w:t>PpsA</w:t>
      </w:r>
      <w:proofErr w:type="spellEnd"/>
      <w:r w:rsidRPr="00202E24">
        <w:t xml:space="preserve">, </w:t>
      </w:r>
      <w:proofErr w:type="spellStart"/>
      <w:r w:rsidRPr="00202E24">
        <w:t>AceE</w:t>
      </w:r>
      <w:bookmarkEnd w:id="61"/>
      <w:proofErr w:type="spellEnd"/>
      <w:r w:rsidR="009A5F94">
        <w:t>.</w:t>
      </w:r>
      <w:bookmarkEnd w:id="62"/>
    </w:p>
    <w:p w14:paraId="4C994913" w14:textId="77777777" w:rsidR="0039202C" w:rsidRDefault="0039202C" w:rsidP="0039202C">
      <w:pPr>
        <w:pBdr>
          <w:top w:val="nil"/>
          <w:left w:val="nil"/>
          <w:bottom w:val="nil"/>
          <w:right w:val="nil"/>
          <w:between w:val="nil"/>
        </w:pBdr>
        <w:contextualSpacing/>
        <w:rPr>
          <w:rFonts w:cs="Arial"/>
          <w:color w:val="000000"/>
          <w:szCs w:val="22"/>
        </w:rPr>
      </w:pPr>
    </w:p>
    <w:p w14:paraId="2F954887" w14:textId="77777777" w:rsidR="0039202C" w:rsidRPr="00202E24" w:rsidRDefault="0039202C" w:rsidP="009A5F94">
      <w:pPr>
        <w:pStyle w:val="Tablecaption"/>
      </w:pPr>
      <w:bookmarkStart w:id="63" w:name="_Toc129676392"/>
      <w:r>
        <w:rPr>
          <w:bCs/>
        </w:rPr>
        <w:t xml:space="preserve">Table 3.1. </w:t>
      </w:r>
      <w:r>
        <w:t>Gene and protein information for MAGE targets with a potential effect on pyruvate metabolism.</w:t>
      </w:r>
      <w:bookmarkEnd w:id="63"/>
    </w:p>
    <w:p w14:paraId="0D0C28BB" w14:textId="77777777" w:rsidR="0039202C" w:rsidRDefault="0039202C" w:rsidP="0039202C">
      <w:pPr>
        <w:pBdr>
          <w:top w:val="nil"/>
          <w:left w:val="nil"/>
          <w:bottom w:val="nil"/>
          <w:right w:val="nil"/>
          <w:between w:val="nil"/>
        </w:pBdr>
        <w:contextualSpacing/>
        <w:jc w:val="center"/>
        <w:rPr>
          <w:rFonts w:cs="Arial"/>
          <w:color w:val="000000"/>
          <w:szCs w:val="22"/>
        </w:rPr>
      </w:pPr>
      <w:r w:rsidRPr="00A71FCF">
        <w:rPr>
          <w:rFonts w:cs="Arial"/>
          <w:noProof/>
          <w:color w:val="000000"/>
          <w:szCs w:val="22"/>
        </w:rPr>
        <w:drawing>
          <wp:inline distT="0" distB="0" distL="0" distR="0" wp14:anchorId="7610B578" wp14:editId="7A0EA2F1">
            <wp:extent cx="3800684" cy="2066925"/>
            <wp:effectExtent l="0" t="0" r="0" b="3175"/>
            <wp:docPr id="198" name="Picture 19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rotWithShape="1">
                    <a:blip r:embed="rId21">
                      <a:extLst>
                        <a:ext uri="{28A0092B-C50C-407E-A947-70E740481C1C}">
                          <a14:useLocalDpi xmlns:a14="http://schemas.microsoft.com/office/drawing/2010/main"/>
                        </a:ext>
                      </a:extLst>
                    </a:blip>
                    <a:srcRect/>
                    <a:stretch/>
                  </pic:blipFill>
                  <pic:spPr bwMode="auto">
                    <a:xfrm>
                      <a:off x="0" y="0"/>
                      <a:ext cx="3861997" cy="2100269"/>
                    </a:xfrm>
                    <a:prstGeom prst="rect">
                      <a:avLst/>
                    </a:prstGeom>
                    <a:ln>
                      <a:noFill/>
                    </a:ln>
                    <a:extLst>
                      <a:ext uri="{53640926-AAD7-44D8-BBD7-CCE9431645EC}">
                        <a14:shadowObscured xmlns:a14="http://schemas.microsoft.com/office/drawing/2010/main"/>
                      </a:ext>
                    </a:extLst>
                  </pic:spPr>
                </pic:pic>
              </a:graphicData>
            </a:graphic>
          </wp:inline>
        </w:drawing>
      </w:r>
    </w:p>
    <w:p w14:paraId="23DF3960" w14:textId="77777777" w:rsidR="0039202C" w:rsidRDefault="0039202C">
      <w:pPr>
        <w:rPr>
          <w:rFonts w:cs="Arial"/>
          <w:color w:val="000000"/>
          <w:szCs w:val="22"/>
        </w:rPr>
      </w:pPr>
      <w:r>
        <w:rPr>
          <w:rFonts w:cs="Arial"/>
          <w:color w:val="000000"/>
          <w:szCs w:val="22"/>
        </w:rPr>
        <w:br w:type="page"/>
      </w:r>
    </w:p>
    <w:p w14:paraId="2127D156" w14:textId="5ED0B693" w:rsidR="009A5F94" w:rsidRDefault="009A5F94" w:rsidP="009A5F94">
      <w:pPr>
        <w:pBdr>
          <w:top w:val="nil"/>
          <w:left w:val="nil"/>
          <w:bottom w:val="nil"/>
          <w:right w:val="nil"/>
          <w:between w:val="nil"/>
        </w:pBdr>
        <w:contextualSpacing/>
        <w:rPr>
          <w:rFonts w:cs="Arial"/>
          <w:color w:val="000000"/>
          <w:szCs w:val="22"/>
        </w:rPr>
      </w:pPr>
      <w:r w:rsidRPr="00A71FCF">
        <w:rPr>
          <w:rFonts w:cs="Arial"/>
          <w:color w:val="000000"/>
          <w:szCs w:val="22"/>
        </w:rPr>
        <w:lastRenderedPageBreak/>
        <w:t>This is high when compared to studies producing single nucleotide changes, but in line with other efforts using 6xHis-tags with a genome incorporated MAGE system</w:t>
      </w:r>
      <w:r w:rsidRPr="00A71FCF">
        <w:rPr>
          <w:rFonts w:cs="Arial"/>
          <w:color w:val="000000"/>
          <w:szCs w:val="22"/>
        </w:rPr>
        <w:fldChar w:fldCharType="begin" w:fldLock="1"/>
      </w:r>
      <w:r w:rsidR="00567FF4">
        <w:rPr>
          <w:rFonts w:cs="Arial"/>
          <w:color w:val="000000"/>
          <w:szCs w:val="22"/>
        </w:rPr>
        <w:instrText>ADDIN CSL_CITATION {"citationItems":[{"id":"ITEM-1","itemData":{"DOI":"10.1021/sb3000029","ISSN":"2161-5063","PMID":"22737598","abstract":"Protein pathways are dynamic and highly coordinated spatially and temporally, capable of performing a diverse range of complex chemistries and enzymatic reactions with precision and at high efficiency. Biotechnology aims to harvest these natural systems to construct more advanced in vitro reactions, capable of new chemistries and operating at high yield. Here, we present an efficient Multiplex Automated Genome Engineering (MAGE) strategy to simultaneously modify and co-purify large protein complexes and pathways from the model organism Escherichia coli to reconstitute functional synthetic proteomes in vitro. By application of over 110 MAGE cycles, we successfully inserted hexa-histidine sequences into 38 essential genes in vivo that encode for the entire translation machinery. Streamlined co-purification and reconstitution of the translation protein complex enabled protein synthesis in vitro. Our approach can be applied to a growing area of applications in in vitro one-pot multienzyme catalysis (MEC) to manipulate or enhance in vitro pathways such as natural product or carbohydrate biosynthesis.","author":[{"dropping-particle":"","family":"Wang","given":"Harris H","non-dropping-particle":"","parse-names":false,"suffix":""},{"dropping-particle":"","family":"Huang","given":"Po-Yi","non-dropping-particle":"","parse-names":false,"suffix":""},{"dropping-particle":"","family":"Xu","given":"George","non-dropping-particle":"","parse-names":false,"suffix":""},{"dropping-particle":"","family":"Haas","given":"Wilhelm","non-dropping-particle":"","parse-names":false,"suffix":""},{"dropping-particle":"","family":"Marblestone","given":"Adam","non-dropping-particle":"","parse-names":false,"suffix":""},{"dropping-particle":"","family":"Li","given":"Jun","non-dropping-particle":"","parse-names":false,"suffix":""},{"dropping-particle":"","family":"Gygi","given":"Steven P","non-dropping-particle":"","parse-names":false,"suffix":""},{"dropping-particle":"","family":"Forster","given":"Anthony C","non-dropping-particle":"","parse-names":false,"suffix":""},{"dropping-particle":"","family":"Jewett","given":"Michael C","non-dropping-particle":"","parse-names":false,"suffix":""},{"dropping-particle":"","family":"Church","given":"George M","non-dropping-particle":"","parse-names":false,"suffix":""}],"container-title":"ACS synthetic biology","id":"ITEM-1","issue":"2","issued":{"date-parts":[["2012","2","17"]]},"page":"43-52","publisher":"NIH Public Access","title":"Multiplexed in vivo His-tagging of enzyme pathways for in vitro single-pot multienzyme catalysis.","type":"article-journal","volume":"1"},"uris":["http://www.mendeley.com/documents/?uuid=7c2d7024-c1bd-31dd-89f1-e508b70fc2b0"]}],"mendeley":{"formattedCitation":"&lt;sup&gt;88&lt;/sup&gt;","plainTextFormattedCitation":"88","previouslyFormattedCitation":"&lt;sup&gt;88&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noProof/>
          <w:color w:val="000000"/>
          <w:szCs w:val="22"/>
          <w:vertAlign w:val="superscript"/>
        </w:rPr>
        <w:t>88</w:t>
      </w:r>
      <w:r w:rsidRPr="00A71FCF">
        <w:rPr>
          <w:rFonts w:cs="Arial"/>
          <w:color w:val="000000"/>
          <w:szCs w:val="22"/>
        </w:rPr>
        <w:fldChar w:fldCharType="end"/>
      </w:r>
      <w:r w:rsidRPr="00A71FCF">
        <w:rPr>
          <w:rFonts w:cs="Arial"/>
          <w:color w:val="000000"/>
          <w:szCs w:val="22"/>
        </w:rPr>
        <w:t xml:space="preserve">. </w:t>
      </w:r>
    </w:p>
    <w:p w14:paraId="70D6632D" w14:textId="0A39A318" w:rsidR="00042AC1" w:rsidRDefault="00042AC1" w:rsidP="00042AC1">
      <w:pPr>
        <w:pBdr>
          <w:top w:val="nil"/>
          <w:left w:val="nil"/>
          <w:bottom w:val="nil"/>
          <w:right w:val="nil"/>
          <w:between w:val="nil"/>
        </w:pBdr>
        <w:ind w:firstLine="720"/>
        <w:contextualSpacing/>
        <w:rPr>
          <w:rFonts w:cs="Arial"/>
          <w:color w:val="000000"/>
          <w:szCs w:val="22"/>
        </w:rPr>
      </w:pPr>
      <w:r w:rsidRPr="00A71FCF">
        <w:rPr>
          <w:rFonts w:cs="Arial"/>
          <w:noProof/>
          <w:szCs w:val="22"/>
        </w:rPr>
        <mc:AlternateContent>
          <mc:Choice Requires="wps">
            <w:drawing>
              <wp:anchor distT="0" distB="0" distL="114300" distR="114300" simplePos="0" relativeHeight="251667456" behindDoc="0" locked="0" layoutInCell="1" hidden="0" allowOverlap="1" wp14:anchorId="6BA7BA0B" wp14:editId="1C992C36">
                <wp:simplePos x="0" y="0"/>
                <wp:positionH relativeFrom="column">
                  <wp:posOffset>101601</wp:posOffset>
                </wp:positionH>
                <wp:positionV relativeFrom="paragraph">
                  <wp:posOffset>2362200</wp:posOffset>
                </wp:positionV>
                <wp:extent cx="2994660" cy="12700"/>
                <wp:effectExtent l="0" t="0" r="0" b="0"/>
                <wp:wrapTopAndBottom distT="0" distB="0"/>
                <wp:docPr id="12" name="Rectangle 12"/>
                <wp:cNvGraphicFramePr/>
                <a:graphic xmlns:a="http://schemas.openxmlformats.org/drawingml/2006/main">
                  <a:graphicData uri="http://schemas.microsoft.com/office/word/2010/wordprocessingShape">
                    <wps:wsp>
                      <wps:cNvSpPr/>
                      <wps:spPr>
                        <a:xfrm>
                          <a:off x="3848670" y="3779683"/>
                          <a:ext cx="2994660" cy="635"/>
                        </a:xfrm>
                        <a:prstGeom prst="rect">
                          <a:avLst/>
                        </a:prstGeom>
                        <a:solidFill>
                          <a:srgbClr val="FFFFFF"/>
                        </a:solidFill>
                        <a:ln>
                          <a:noFill/>
                        </a:ln>
                      </wps:spPr>
                      <wps:txbx>
                        <w:txbxContent>
                          <w:p w14:paraId="36979907" w14:textId="77777777" w:rsidR="00042AC1" w:rsidRDefault="00042AC1" w:rsidP="00042AC1">
                            <w:pPr>
                              <w:spacing w:after="200"/>
                              <w:textDirection w:val="btLr"/>
                            </w:pPr>
                            <w:r>
                              <w:rPr>
                                <w:rFonts w:eastAsia="Arial" w:cs="Arial"/>
                                <w:b/>
                                <w:i/>
                                <w:color w:val="000000"/>
                                <w:sz w:val="18"/>
                              </w:rPr>
                              <w:t>Figure  SEQ Figure \* ARABIC 2.</w:t>
                            </w:r>
                            <w:r>
                              <w:rPr>
                                <w:rFonts w:eastAsia="Arial" w:cs="Arial"/>
                                <w:i/>
                                <w:color w:val="000000"/>
                                <w:sz w:val="18"/>
                              </w:rPr>
                              <w:t xml:space="preserve"> </w:t>
                            </w:r>
                            <w:r>
                              <w:rPr>
                                <w:rFonts w:eastAsia="Arial" w:cs="Arial"/>
                                <w:color w:val="000000"/>
                                <w:sz w:val="18"/>
                              </w:rPr>
                              <w:t>MASC-PCR amplicons of isolated colonies in a 1.5% gel.</w:t>
                            </w:r>
                          </w:p>
                        </w:txbxContent>
                      </wps:txbx>
                      <wps:bodyPr spcFirstLastPara="1" wrap="square" lIns="0" tIns="0" rIns="0" bIns="0" anchor="t" anchorCtr="0">
                        <a:noAutofit/>
                      </wps:bodyPr>
                    </wps:wsp>
                  </a:graphicData>
                </a:graphic>
              </wp:anchor>
            </w:drawing>
          </mc:Choice>
          <mc:Fallback>
            <w:pict>
              <v:rect w14:anchorId="6BA7BA0B" id="Rectangle 12" o:spid="_x0000_s1026" style="position:absolute;left:0;text-align:left;margin-left:8pt;margin-top:186pt;width:235.8pt;height:1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" stroked="f">
                <v:textbox inset="0,0,0,0">
                  <w:txbxContent>
                    <w:p w14:paraId="36979907" w14:textId="77777777" w:rsidR="00042AC1" w:rsidRDefault="00042AC1" w:rsidP="00042AC1">
                      <w:pPr>
                        <w:spacing w:after="200"/>
                        <w:textDirection w:val="btLr"/>
                      </w:pPr>
                      <w:r>
                        <w:rPr>
                          <w:rFonts w:eastAsia="Arial" w:cs="Arial"/>
                          <w:b/>
                          <w:i/>
                          <w:color w:val="000000"/>
                          <w:sz w:val="18"/>
                        </w:rPr>
                        <w:t>Figure  SEQ Figure \* ARABIC 2.</w:t>
                      </w:r>
                      <w:r>
                        <w:rPr>
                          <w:rFonts w:eastAsia="Arial" w:cs="Arial"/>
                          <w:i/>
                          <w:color w:val="000000"/>
                          <w:sz w:val="18"/>
                        </w:rPr>
                        <w:t xml:space="preserve"> </w:t>
                      </w:r>
                      <w:r>
                        <w:rPr>
                          <w:rFonts w:eastAsia="Arial" w:cs="Arial"/>
                          <w:color w:val="000000"/>
                          <w:sz w:val="18"/>
                        </w:rPr>
                        <w:t>MASC-PCR amplicons of isolated colonies in a 1.5% gel.</w:t>
                      </w:r>
                    </w:p>
                  </w:txbxContent>
                </v:textbox>
                <w10:wrap type="topAndBottom"/>
              </v:rect>
            </w:pict>
          </mc:Fallback>
        </mc:AlternateContent>
      </w:r>
      <w:r w:rsidRPr="00A71FCF">
        <w:rPr>
          <w:rFonts w:cs="Arial"/>
          <w:color w:val="000000"/>
          <w:szCs w:val="22"/>
        </w:rPr>
        <w:t xml:space="preserve">After curing each strain of the </w:t>
      </w:r>
      <w:proofErr w:type="spellStart"/>
      <w:r w:rsidRPr="00A71FCF">
        <w:rPr>
          <w:rFonts w:cs="Arial"/>
          <w:color w:val="000000"/>
          <w:szCs w:val="22"/>
        </w:rPr>
        <w:t>pORTMAGE</w:t>
      </w:r>
      <w:proofErr w:type="spellEnd"/>
      <w:r w:rsidRPr="00A71FCF">
        <w:rPr>
          <w:rFonts w:cs="Arial"/>
          <w:color w:val="000000"/>
          <w:szCs w:val="22"/>
        </w:rPr>
        <w:t xml:space="preserve"> plasmid, potential inhibitory effects on growth caused by the expression of tagged proteins were evaluated. Though the presence of the </w:t>
      </w:r>
      <w:proofErr w:type="spellStart"/>
      <w:r w:rsidRPr="00A71FCF">
        <w:rPr>
          <w:rFonts w:cs="Arial"/>
          <w:color w:val="000000"/>
          <w:szCs w:val="22"/>
        </w:rPr>
        <w:t>polyhistidine</w:t>
      </w:r>
      <w:proofErr w:type="spellEnd"/>
      <w:r w:rsidRPr="00A71FCF">
        <w:rPr>
          <w:rFonts w:cs="Arial"/>
          <w:color w:val="000000"/>
          <w:szCs w:val="22"/>
        </w:rPr>
        <w:t xml:space="preserve"> tags has previously been observed to cause growth defects due to the stability of tagged proteins, none of the cells produced for this work showed a significant drop in growth rate (</w:t>
      </w:r>
      <w:r>
        <w:rPr>
          <w:rFonts w:cs="Arial"/>
          <w:b/>
          <w:bCs/>
          <w:color w:val="000000"/>
          <w:szCs w:val="22"/>
        </w:rPr>
        <w:t>Appendix Figure</w:t>
      </w:r>
      <w:r w:rsidRPr="007569D2">
        <w:rPr>
          <w:rFonts w:cs="Arial"/>
          <w:b/>
          <w:bCs/>
          <w:color w:val="000000"/>
          <w:szCs w:val="22"/>
        </w:rPr>
        <w:t xml:space="preserve"> 3.</w:t>
      </w:r>
      <w:r>
        <w:rPr>
          <w:rFonts w:cs="Arial"/>
          <w:b/>
          <w:bCs/>
          <w:color w:val="000000"/>
          <w:szCs w:val="22"/>
        </w:rPr>
        <w:t>6</w:t>
      </w:r>
      <w:r w:rsidRPr="00A71FCF">
        <w:rPr>
          <w:rFonts w:cs="Arial"/>
          <w:color w:val="000000"/>
          <w:szCs w:val="22"/>
        </w:rPr>
        <w:t>)</w:t>
      </w:r>
      <w:r w:rsidRPr="00A71FCF">
        <w:rPr>
          <w:rFonts w:cs="Arial"/>
          <w:color w:val="000000"/>
          <w:szCs w:val="22"/>
        </w:rPr>
        <w:fldChar w:fldCharType="begin" w:fldLock="1"/>
      </w:r>
      <w:r w:rsidR="00567FF4">
        <w:rPr>
          <w:rFonts w:cs="Arial"/>
          <w:color w:val="000000"/>
          <w:szCs w:val="22"/>
        </w:rPr>
        <w:instrText>ADDIN CSL_CITATION {"citationItems":[{"id":"ITEM-1","itemData":{"DOI":"10.1021/acsomega.7b01598","ISSN":"24701343","abstract":"For years, the use of polyhistidine tags (His-tags) has been a staple in the isolation of recombinant proteins in immobilized metal affinity chromatography experiments. Their usage has been widely beneficial in increasing protein purity from crude cell lysates. For some recombinant proteins, a consequence of His-tag addition is that it can affect protein function and stability. Functional proteins are essential in the elucidation of their biological, kinetic, structural, and thermodynamic properties. In this study, we determine the effect of N-terminal His-tags on the thermal stability of select proteins using differential scanning fluorimetry and identify that the removal of the His-tag can have both beneficial and deleterious effects on their stability.","author":[{"dropping-particle":"","family":"Booth","given":"William T.","non-dropping-particle":"","parse-names":false,"suffix":""},{"dropping-particle":"","family":"Schlachter","given":"Caleb R.","non-dropping-particle":"","parse-names":false,"suffix":""},{"dropping-particle":"","family":"Pote","given":"Swanandi","non-dropping-particle":"","parse-names":false,"suffix":""},{"dropping-particle":"","family":"Ussin","given":"Nikita","non-dropping-particle":"","parse-names":false,"suffix":""},{"dropping-particle":"","family":"Mank","given":"Nicholas J.","non-dropping-particle":"","parse-names":false,"suffix":""},{"dropping-particle":"","family":"Klapper","given":"Vincent","non-dropping-particle":"","parse-names":false,"suffix":""},{"dropping-particle":"","family":"Offermann","given":"Lesa R.","non-dropping-particle":"","parse-names":false,"suffix":""},{"dropping-particle":"","family":"Tang","given":"Chuanbing","non-dropping-particle":"","parse-names":false,"suffix":""},{"dropping-particle":"","family":"Hurlburt","given":"Barry K.","non-dropping-particle":"","parse-names":false,"suffix":""},{"dropping-particle":"","family":"Chruszcz","given":"Maksymilian","non-dropping-particle":"","parse-names":false,"suffix":""}],"container-title":"ACS Omega","id":"ITEM-1","issue":"1","issued":{"date-parts":[["2018"]]},"page":"760-768","title":"Impact of an N</w:instrText>
      </w:r>
      <w:r w:rsidR="00567FF4">
        <w:rPr>
          <w:rFonts w:ascii="Cambria Math" w:hAnsi="Cambria Math" w:cs="Cambria Math"/>
          <w:color w:val="000000"/>
          <w:szCs w:val="22"/>
        </w:rPr>
        <w:instrText>‑</w:instrText>
      </w:r>
      <w:r w:rsidR="00567FF4">
        <w:rPr>
          <w:rFonts w:cs="Arial"/>
          <w:color w:val="000000"/>
          <w:szCs w:val="22"/>
        </w:rPr>
        <w:instrText>terminal polyhistidine tag on protein thermal stability","type":"article-journal","volume":"3"},"uris":["http://www.mendeley.com/documents/?uuid=5133b5bd-1d5b-4f1c-8795-d7f7994ec9dc","http://www.mendeley.com/documents/?uuid=1d2064aa-e6d9-4f9a-8680-0f10707c1f14"]},{"id":"ITEM-2","itemData":{"DOI":"10.1002/0471140864.ps0601s80","ISBN":"0000000000000","ISSN":"1934-3655","PMID":"24655651","author":[{"dropping-particle":"","family":"Wingfield","given":"Paul T.","non-dropping-particle":"","parse-names":false,"suffix":""}],"container-title":"Current Protocols in Protein Science","id":"ITEM-2","issue":"1","issued":{"date-parts":[["2015","4"]]},"page":"289-313","title":"Overview of the Purification of Recombinant Proteins","type":"article-journal","volume":"80"},"uris":["http://www.mendeley.com/documents/?uuid=1ad2c67e-755d-4e03-9f5d-af0a1b192e51","http://www.mendeley.com/documents/?uuid=8b699518-dcd3-46c8-9ded-03a847ed347e"]}],"mendeley":{"formattedCitation":"&lt;sup&gt;118,119&lt;/sup&gt;","plainTextFormattedCitation":"118,119","previouslyFormattedCitation":"&lt;sup&gt;118,119&lt;/sup&gt;"},"properties":{"noteIndex":0},"schema":"https://github.com/citation-style-language/schema/raw/master/csl-citation.json"}</w:instrText>
      </w:r>
      <w:r w:rsidRPr="00A71FCF">
        <w:rPr>
          <w:rFonts w:cs="Arial"/>
          <w:color w:val="000000"/>
          <w:szCs w:val="22"/>
        </w:rPr>
        <w:fldChar w:fldCharType="separate"/>
      </w:r>
      <w:r w:rsidR="00567FF4" w:rsidRPr="00567FF4">
        <w:rPr>
          <w:rFonts w:cs="Arial"/>
          <w:bCs/>
          <w:noProof/>
          <w:color w:val="000000"/>
          <w:szCs w:val="22"/>
          <w:vertAlign w:val="superscript"/>
        </w:rPr>
        <w:t>118,119</w:t>
      </w:r>
      <w:r w:rsidRPr="00A71FCF">
        <w:rPr>
          <w:rFonts w:cs="Arial"/>
          <w:color w:val="000000"/>
          <w:szCs w:val="22"/>
        </w:rPr>
        <w:fldChar w:fldCharType="end"/>
      </w:r>
      <w:r w:rsidRPr="00A71FCF">
        <w:rPr>
          <w:rFonts w:cs="Arial"/>
          <w:color w:val="000000"/>
          <w:szCs w:val="22"/>
        </w:rPr>
        <w:t>.</w:t>
      </w:r>
    </w:p>
    <w:p w14:paraId="4485300A" w14:textId="434CD979" w:rsidR="009A5F94" w:rsidRDefault="009A5F94" w:rsidP="009A5F94">
      <w:pPr>
        <w:pBdr>
          <w:top w:val="nil"/>
          <w:left w:val="nil"/>
          <w:bottom w:val="nil"/>
          <w:right w:val="nil"/>
          <w:between w:val="nil"/>
        </w:pBdr>
        <w:contextualSpacing/>
        <w:rPr>
          <w:rFonts w:cs="Arial"/>
          <w:color w:val="000000"/>
          <w:szCs w:val="22"/>
        </w:rPr>
      </w:pPr>
    </w:p>
    <w:p w14:paraId="6F2B281E" w14:textId="2056EFDA" w:rsidR="009A5F94" w:rsidRDefault="005478FE" w:rsidP="009A5F94">
      <w:pPr>
        <w:pStyle w:val="ChapterSub-heading"/>
      </w:pPr>
      <w:bookmarkStart w:id="64" w:name="_Toc129701036"/>
      <w:r>
        <w:t>3</w:t>
      </w:r>
      <w:r w:rsidR="009A5F94">
        <w:t>.4.2. Analysis of glucose metabolism and pyruvate production in enzyme-depleted extracts</w:t>
      </w:r>
      <w:bookmarkEnd w:id="64"/>
    </w:p>
    <w:p w14:paraId="763FCAE0" w14:textId="35C0C323" w:rsidR="009A5F94" w:rsidRPr="009A5F94" w:rsidRDefault="009A5F94" w:rsidP="009A5F94">
      <w:pPr>
        <w:ind w:firstLine="720"/>
        <w:rPr>
          <w:rFonts w:cs="Arial"/>
          <w:szCs w:val="22"/>
        </w:rPr>
      </w:pPr>
      <w:r w:rsidRPr="00A71FCF">
        <w:rPr>
          <w:rFonts w:cs="Arial"/>
          <w:szCs w:val="22"/>
        </w:rPr>
        <w:t>The effect of proteome reduction on the extract’s metabolic profile was then tested b</w:t>
      </w:r>
      <w:r>
        <w:rPr>
          <w:rFonts w:cs="Arial"/>
          <w:szCs w:val="22"/>
        </w:rPr>
        <w:t xml:space="preserve">y </w:t>
      </w:r>
      <w:r w:rsidRPr="00A71FCF">
        <w:rPr>
          <w:rFonts w:cs="Arial"/>
          <w:szCs w:val="22"/>
        </w:rPr>
        <w:t xml:space="preserve">measurement of glucose consumption, pyruvate accumulation, and the pooling of fermentation </w:t>
      </w:r>
      <w:r>
        <w:rPr>
          <w:rFonts w:cs="Arial"/>
          <w:szCs w:val="22"/>
        </w:rPr>
        <w:t xml:space="preserve"> </w:t>
      </w:r>
      <w:r w:rsidRPr="00A71FCF">
        <w:rPr>
          <w:rFonts w:cs="Arial"/>
          <w:szCs w:val="22"/>
        </w:rPr>
        <w:t xml:space="preserve">end-products (i.e., lactate, ethanol, </w:t>
      </w:r>
      <w:proofErr w:type="spellStart"/>
      <w:r w:rsidRPr="00A71FCF">
        <w:rPr>
          <w:rFonts w:cs="Arial"/>
          <w:szCs w:val="22"/>
        </w:rPr>
        <w:t>formate</w:t>
      </w:r>
      <w:proofErr w:type="spellEnd"/>
      <w:r w:rsidRPr="00A71FCF">
        <w:rPr>
          <w:rFonts w:cs="Arial"/>
          <w:szCs w:val="22"/>
        </w:rPr>
        <w:t>, and acetate) in a CFME reaction mix. As nonspecific binding is commonly associated with the use of 6xHis-tags, we evaluated whether the reduction method would result in significant alterations in lysate metabolism. Evidently, the wild-type derived lysate and the wild-type lysate taken through the depletion process have comparable glucose consumption and fermentation end-product pooling (</w:t>
      </w:r>
      <w:r>
        <w:rPr>
          <w:rFonts w:cs="Arial"/>
          <w:b/>
          <w:bCs/>
          <w:szCs w:val="22"/>
        </w:rPr>
        <w:t>Appendix Figure</w:t>
      </w:r>
      <w:r w:rsidRPr="007569D2">
        <w:rPr>
          <w:rFonts w:cs="Arial"/>
          <w:b/>
          <w:bCs/>
          <w:szCs w:val="22"/>
        </w:rPr>
        <w:t xml:space="preserve"> 3.</w:t>
      </w:r>
      <w:r>
        <w:rPr>
          <w:rFonts w:cs="Arial"/>
          <w:b/>
          <w:bCs/>
          <w:szCs w:val="22"/>
        </w:rPr>
        <w:t>7</w:t>
      </w:r>
      <w:r w:rsidRPr="007569D2">
        <w:rPr>
          <w:rFonts w:cs="Arial"/>
          <w:b/>
          <w:bCs/>
          <w:szCs w:val="22"/>
        </w:rPr>
        <w:t>A</w:t>
      </w:r>
      <w:r w:rsidRPr="00A71FCF">
        <w:rPr>
          <w:rFonts w:cs="Arial"/>
          <w:szCs w:val="22"/>
        </w:rPr>
        <w:t>). Initial concentrations of acetate from the S30 buffer used to prepare the extracts could be observed (</w:t>
      </w:r>
      <w:r>
        <w:rPr>
          <w:rFonts w:cs="Arial"/>
          <w:b/>
          <w:bCs/>
          <w:szCs w:val="22"/>
        </w:rPr>
        <w:t>Appendix</w:t>
      </w:r>
      <w:r w:rsidRPr="007569D2">
        <w:rPr>
          <w:rFonts w:cs="Arial"/>
          <w:b/>
          <w:bCs/>
          <w:szCs w:val="22"/>
        </w:rPr>
        <w:t xml:space="preserve"> </w:t>
      </w:r>
      <w:r>
        <w:rPr>
          <w:rFonts w:cs="Arial"/>
          <w:b/>
          <w:bCs/>
          <w:szCs w:val="22"/>
        </w:rPr>
        <w:t>Figure</w:t>
      </w:r>
      <w:r w:rsidRPr="007569D2">
        <w:rPr>
          <w:rFonts w:cs="Arial"/>
          <w:b/>
          <w:bCs/>
          <w:szCs w:val="22"/>
        </w:rPr>
        <w:t xml:space="preserve"> 3.</w:t>
      </w:r>
      <w:r>
        <w:rPr>
          <w:rFonts w:cs="Arial"/>
          <w:b/>
          <w:bCs/>
          <w:szCs w:val="22"/>
        </w:rPr>
        <w:t>7</w:t>
      </w:r>
      <w:r w:rsidRPr="00A71FCF">
        <w:rPr>
          <w:rFonts w:cs="Arial"/>
          <w:szCs w:val="22"/>
        </w:rPr>
        <w:t>). Further, there is no apparent pyruvate accumulation after incubation of the WT lysates with cobalt beads, indicating that the depletion process does not remove proteins that affect cell-free pyruvate production in an appreciable manner (</w:t>
      </w:r>
      <w:r>
        <w:rPr>
          <w:rFonts w:cs="Arial"/>
          <w:b/>
          <w:bCs/>
          <w:szCs w:val="22"/>
        </w:rPr>
        <w:t>Appendix Figure</w:t>
      </w:r>
      <w:r w:rsidRPr="007569D2">
        <w:rPr>
          <w:rFonts w:cs="Arial"/>
          <w:b/>
          <w:bCs/>
          <w:szCs w:val="22"/>
        </w:rPr>
        <w:t xml:space="preserve"> 3.</w:t>
      </w:r>
      <w:r>
        <w:rPr>
          <w:rFonts w:cs="Arial"/>
          <w:b/>
          <w:bCs/>
          <w:szCs w:val="22"/>
        </w:rPr>
        <w:t>7</w:t>
      </w:r>
      <w:r w:rsidRPr="007569D2">
        <w:rPr>
          <w:rFonts w:cs="Arial"/>
          <w:b/>
          <w:bCs/>
          <w:szCs w:val="22"/>
        </w:rPr>
        <w:t>A</w:t>
      </w:r>
      <w:r w:rsidRPr="00A71FCF">
        <w:rPr>
          <w:rFonts w:cs="Arial"/>
          <w:szCs w:val="22"/>
        </w:rPr>
        <w:t>). Extracts derived from 6xHis-</w:t>
      </w:r>
      <w:r w:rsidRPr="00A71FCF">
        <w:rPr>
          <w:rFonts w:cs="Arial"/>
          <w:i/>
          <w:iCs/>
          <w:szCs w:val="22"/>
        </w:rPr>
        <w:t>pflB</w:t>
      </w:r>
      <w:r w:rsidRPr="00A71FCF">
        <w:rPr>
          <w:rFonts w:cs="Arial"/>
          <w:szCs w:val="22"/>
        </w:rPr>
        <w:t>, 6xHis-</w:t>
      </w:r>
      <w:r w:rsidRPr="00A71FCF">
        <w:rPr>
          <w:rFonts w:cs="Arial"/>
          <w:i/>
          <w:iCs/>
          <w:szCs w:val="22"/>
        </w:rPr>
        <w:t>ldh,</w:t>
      </w:r>
      <w:r w:rsidRPr="00A71FCF">
        <w:rPr>
          <w:rFonts w:cs="Arial"/>
          <w:szCs w:val="22"/>
        </w:rPr>
        <w:t xml:space="preserve"> 6xHis-2, 6xHis-3, and 6xHis-4 were thus reduced and assessed for glucose consumption and pyruvate build-up relative to their unreduced counterparts (</w:t>
      </w:r>
      <w:r>
        <w:rPr>
          <w:rFonts w:cs="Arial"/>
          <w:b/>
          <w:bCs/>
          <w:szCs w:val="22"/>
        </w:rPr>
        <w:t>Figures</w:t>
      </w:r>
      <w:r w:rsidRPr="007569D2">
        <w:rPr>
          <w:rFonts w:cs="Arial"/>
          <w:b/>
          <w:bCs/>
          <w:szCs w:val="22"/>
        </w:rPr>
        <w:t xml:space="preserve"> </w:t>
      </w:r>
      <w:r>
        <w:rPr>
          <w:rFonts w:cs="Arial"/>
          <w:b/>
          <w:bCs/>
          <w:szCs w:val="22"/>
        </w:rPr>
        <w:t>3.</w:t>
      </w:r>
      <w:r w:rsidRPr="007569D2">
        <w:rPr>
          <w:rFonts w:cs="Arial"/>
          <w:b/>
          <w:bCs/>
          <w:szCs w:val="22"/>
        </w:rPr>
        <w:t xml:space="preserve">4A </w:t>
      </w:r>
      <w:r>
        <w:rPr>
          <w:rFonts w:cs="Arial"/>
          <w:b/>
          <w:bCs/>
          <w:szCs w:val="22"/>
        </w:rPr>
        <w:t xml:space="preserve">&amp; </w:t>
      </w:r>
      <w:r w:rsidRPr="007569D2">
        <w:rPr>
          <w:rFonts w:cs="Arial"/>
          <w:b/>
          <w:bCs/>
          <w:szCs w:val="22"/>
        </w:rPr>
        <w:t>B</w:t>
      </w:r>
      <w:r w:rsidRPr="00A71FCF">
        <w:rPr>
          <w:rFonts w:cs="Arial"/>
          <w:szCs w:val="22"/>
        </w:rPr>
        <w:t xml:space="preserve">). Significantly, none of the nondepleted extracts derived from these strains accumulated pyruvate, and metabolite profiles all trended similarly in terms of </w:t>
      </w:r>
    </w:p>
    <w:p w14:paraId="1115976D" w14:textId="77777777" w:rsidR="0039202C" w:rsidRPr="00A71FCF" w:rsidRDefault="0039202C" w:rsidP="0039202C">
      <w:pPr>
        <w:spacing w:line="240" w:lineRule="auto"/>
        <w:jc w:val="center"/>
        <w:rPr>
          <w:rFonts w:cs="Arial"/>
          <w:szCs w:val="22"/>
        </w:rPr>
      </w:pPr>
      <w:bookmarkStart w:id="65" w:name="_Hlk30899692"/>
      <w:r w:rsidRPr="00A71FCF">
        <w:rPr>
          <w:rFonts w:cs="Arial"/>
          <w:noProof/>
          <w:szCs w:val="22"/>
        </w:rPr>
        <w:lastRenderedPageBreak/>
        <w:drawing>
          <wp:inline distT="0" distB="0" distL="0" distR="0" wp14:anchorId="42702F50" wp14:editId="0E1B6987">
            <wp:extent cx="6010739" cy="3150973"/>
            <wp:effectExtent l="0" t="0" r="0" b="0"/>
            <wp:docPr id="11" name="Picture 1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a computer&#10;&#10;Description automatically generated with medium confidence"/>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6081955" cy="3188306"/>
                    </a:xfrm>
                    <a:prstGeom prst="rect">
                      <a:avLst/>
                    </a:prstGeom>
                    <a:noFill/>
                  </pic:spPr>
                </pic:pic>
              </a:graphicData>
            </a:graphic>
          </wp:inline>
        </w:drawing>
      </w:r>
    </w:p>
    <w:p w14:paraId="045EDB9C" w14:textId="1837E2D0" w:rsidR="0039202C" w:rsidRDefault="0039202C" w:rsidP="0039202C">
      <w:pPr>
        <w:pStyle w:val="Caption"/>
        <w:contextualSpacing/>
        <w:rPr>
          <w:rFonts w:ascii="Arial" w:eastAsiaTheme="minorEastAsia" w:hAnsi="Arial" w:cs="Arial"/>
          <w:i w:val="0"/>
          <w:iCs w:val="0"/>
          <w:color w:val="000000" w:themeColor="text1"/>
          <w:kern w:val="24"/>
          <w:sz w:val="22"/>
          <w:szCs w:val="22"/>
        </w:rPr>
      </w:pPr>
      <w:bookmarkStart w:id="66" w:name="_Toc129701146"/>
      <w:bookmarkStart w:id="67" w:name="_Toc129671157"/>
      <w:r w:rsidRPr="009A5F94">
        <w:rPr>
          <w:rStyle w:val="FigurecaptionChar"/>
          <w:i w:val="0"/>
          <w:iCs w:val="0"/>
        </w:rPr>
        <w:t>Figure</w:t>
      </w:r>
      <w:r w:rsidR="009A5F94" w:rsidRPr="009A5F94">
        <w:rPr>
          <w:rStyle w:val="FigurecaptionChar"/>
          <w:i w:val="0"/>
          <w:iCs w:val="0"/>
        </w:rPr>
        <w:t xml:space="preserve"> 3.3</w:t>
      </w:r>
      <w:r w:rsidRPr="009A5F94">
        <w:rPr>
          <w:rStyle w:val="FigurecaptionChar"/>
          <w:i w:val="0"/>
          <w:iCs w:val="0"/>
        </w:rPr>
        <w:t>. Source strain multiplex genome engineering and expected metabolic phenotypes of derived lysates post-depletion.</w:t>
      </w:r>
      <w:bookmarkEnd w:id="66"/>
      <w:r w:rsidRPr="009A5F94">
        <w:rPr>
          <w:rFonts w:ascii="Arial" w:eastAsiaTheme="minorEastAsia" w:hAnsi="Arial" w:cs="Arial"/>
          <w:i w:val="0"/>
          <w:iCs w:val="0"/>
          <w:color w:val="000000" w:themeColor="text1"/>
          <w:kern w:val="24"/>
          <w:sz w:val="22"/>
          <w:szCs w:val="22"/>
        </w:rPr>
        <w:t xml:space="preserve"> </w:t>
      </w:r>
      <w:r w:rsidRPr="00A71FCF">
        <w:rPr>
          <w:rFonts w:ascii="Arial" w:eastAsiaTheme="minorEastAsia" w:hAnsi="Arial" w:cs="Arial"/>
          <w:b/>
          <w:bCs/>
          <w:i w:val="0"/>
          <w:iCs w:val="0"/>
          <w:color w:val="000000" w:themeColor="text1"/>
          <w:kern w:val="24"/>
          <w:sz w:val="22"/>
          <w:szCs w:val="22"/>
        </w:rPr>
        <w:t>A</w:t>
      </w:r>
      <w:r>
        <w:rPr>
          <w:rFonts w:ascii="Arial" w:eastAsiaTheme="minorEastAsia" w:hAnsi="Arial" w:cs="Arial"/>
          <w:b/>
          <w:bCs/>
          <w:i w:val="0"/>
          <w:iCs w:val="0"/>
          <w:color w:val="000000" w:themeColor="text1"/>
          <w:kern w:val="24"/>
          <w:sz w:val="22"/>
          <w:szCs w:val="22"/>
        </w:rPr>
        <w:t>)</w:t>
      </w:r>
      <w:r w:rsidRPr="00A71FCF">
        <w:rPr>
          <w:rFonts w:ascii="Arial" w:eastAsiaTheme="minorEastAsia" w:hAnsi="Arial" w:cs="Arial"/>
          <w:i w:val="0"/>
          <w:iCs w:val="0"/>
          <w:color w:val="000000" w:themeColor="text1"/>
          <w:kern w:val="24"/>
          <w:sz w:val="22"/>
          <w:szCs w:val="22"/>
        </w:rPr>
        <w:t xml:space="preserve"> Strain construction course by MAGE cycling culminating with the 6xHis-4 containing all 4 tags. Each arrow designates the strain being taken through the MAGE process with the oligos used to transform each strain above the arrow. </w:t>
      </w:r>
      <w:r w:rsidRPr="00A71FCF">
        <w:rPr>
          <w:rFonts w:ascii="Arial" w:eastAsiaTheme="minorEastAsia" w:hAnsi="Arial" w:cs="Arial"/>
          <w:b/>
          <w:bCs/>
          <w:i w:val="0"/>
          <w:iCs w:val="0"/>
          <w:color w:val="000000" w:themeColor="text1"/>
          <w:kern w:val="24"/>
          <w:sz w:val="22"/>
          <w:szCs w:val="22"/>
        </w:rPr>
        <w:t>B</w:t>
      </w:r>
      <w:r>
        <w:rPr>
          <w:rFonts w:ascii="Arial" w:eastAsiaTheme="minorEastAsia" w:hAnsi="Arial" w:cs="Arial"/>
          <w:b/>
          <w:bCs/>
          <w:i w:val="0"/>
          <w:iCs w:val="0"/>
          <w:color w:val="000000" w:themeColor="text1"/>
          <w:kern w:val="24"/>
          <w:sz w:val="22"/>
          <w:szCs w:val="22"/>
        </w:rPr>
        <w:t>)</w:t>
      </w:r>
      <w:r w:rsidRPr="00A71FCF">
        <w:rPr>
          <w:rFonts w:ascii="Arial" w:eastAsiaTheme="minorEastAsia" w:hAnsi="Arial" w:cs="Arial"/>
          <w:i w:val="0"/>
          <w:iCs w:val="0"/>
          <w:color w:val="000000" w:themeColor="text1"/>
          <w:kern w:val="24"/>
          <w:sz w:val="22"/>
          <w:szCs w:val="22"/>
        </w:rPr>
        <w:t xml:space="preserve"> MASC-PCR results for additive mutations using primers specifically designed for the 6xHis-tagged version of the gene. </w:t>
      </w:r>
      <w:r w:rsidRPr="00A71FCF">
        <w:rPr>
          <w:rFonts w:ascii="Arial" w:eastAsiaTheme="minorEastAsia" w:hAnsi="Arial" w:cs="Arial"/>
          <w:b/>
          <w:bCs/>
          <w:i w:val="0"/>
          <w:iCs w:val="0"/>
          <w:color w:val="000000" w:themeColor="text1"/>
          <w:kern w:val="24"/>
          <w:sz w:val="22"/>
          <w:szCs w:val="22"/>
        </w:rPr>
        <w:t>C</w:t>
      </w:r>
      <w:r>
        <w:rPr>
          <w:rFonts w:ascii="Arial" w:eastAsiaTheme="minorEastAsia" w:hAnsi="Arial" w:cs="Arial"/>
          <w:b/>
          <w:bCs/>
          <w:i w:val="0"/>
          <w:iCs w:val="0"/>
          <w:color w:val="000000" w:themeColor="text1"/>
          <w:kern w:val="24"/>
          <w:sz w:val="22"/>
          <w:szCs w:val="22"/>
        </w:rPr>
        <w:t>)</w:t>
      </w:r>
      <w:r w:rsidRPr="00A71FCF">
        <w:rPr>
          <w:rFonts w:ascii="Arial" w:eastAsiaTheme="minorEastAsia" w:hAnsi="Arial" w:cs="Arial"/>
          <w:i w:val="0"/>
          <w:iCs w:val="0"/>
          <w:color w:val="000000" w:themeColor="text1"/>
          <w:kern w:val="24"/>
          <w:sz w:val="22"/>
          <w:szCs w:val="22"/>
        </w:rPr>
        <w:t xml:space="preserve"> Expected metabolic phenotypes present in WT and engineered lysate proteomes after the depletion of lysates derived from all generated strains.</w:t>
      </w:r>
      <w:bookmarkEnd w:id="67"/>
      <w:r w:rsidRPr="00A71FCF">
        <w:rPr>
          <w:rFonts w:ascii="Arial" w:eastAsiaTheme="minorEastAsia" w:hAnsi="Arial" w:cs="Arial"/>
          <w:i w:val="0"/>
          <w:iCs w:val="0"/>
          <w:color w:val="000000" w:themeColor="text1"/>
          <w:kern w:val="24"/>
          <w:sz w:val="22"/>
          <w:szCs w:val="22"/>
        </w:rPr>
        <w:t xml:space="preserve"> </w:t>
      </w:r>
    </w:p>
    <w:p w14:paraId="461BAD30" w14:textId="77777777" w:rsidR="0039202C" w:rsidRDefault="0039202C" w:rsidP="0039202C">
      <w:pPr>
        <w:rPr>
          <w:rFonts w:cs="Arial"/>
          <w:b/>
          <w:bCs/>
          <w:color w:val="000000" w:themeColor="text1"/>
          <w:szCs w:val="22"/>
        </w:rPr>
      </w:pPr>
    </w:p>
    <w:p w14:paraId="003C2994" w14:textId="77777777" w:rsidR="009A5F94" w:rsidRDefault="009A5F94">
      <w:pPr>
        <w:spacing w:line="240" w:lineRule="auto"/>
        <w:jc w:val="left"/>
        <w:rPr>
          <w:rFonts w:cs="Arial"/>
          <w:b/>
          <w:bCs/>
          <w:color w:val="000000" w:themeColor="text1"/>
          <w:szCs w:val="22"/>
        </w:rPr>
      </w:pPr>
      <w:r>
        <w:rPr>
          <w:rFonts w:cs="Arial"/>
          <w:b/>
          <w:bCs/>
          <w:color w:val="000000" w:themeColor="text1"/>
          <w:szCs w:val="22"/>
        </w:rPr>
        <w:br w:type="page"/>
      </w:r>
    </w:p>
    <w:p w14:paraId="2ECFE926" w14:textId="4CAC1205" w:rsidR="0039202C" w:rsidRPr="0039202C" w:rsidRDefault="0039202C" w:rsidP="009A5F94">
      <w:pPr>
        <w:pStyle w:val="Tablecaption"/>
        <w:rPr>
          <w:rFonts w:eastAsia="Calibri"/>
          <w:bCs/>
          <w:lang w:val="en-US"/>
        </w:rPr>
      </w:pPr>
      <w:bookmarkStart w:id="68" w:name="_Toc129676393"/>
      <w:r w:rsidRPr="00D635E6">
        <w:rPr>
          <w:bCs/>
        </w:rPr>
        <w:lastRenderedPageBreak/>
        <w:t xml:space="preserve">Table 3.2. </w:t>
      </w:r>
      <w:r w:rsidRPr="00D635E6">
        <w:t>Strains created for this study.</w:t>
      </w:r>
      <w:bookmarkEnd w:id="68"/>
    </w:p>
    <w:tbl>
      <w:tblPr>
        <w:tblStyle w:val="2"/>
        <w:tblpPr w:leftFromText="180" w:rightFromText="180" w:vertAnchor="text" w:horzAnchor="margin" w:tblpXSpec="center" w:tblpY="218"/>
        <w:tblOverlap w:val="never"/>
        <w:tblW w:w="7020" w:type="dxa"/>
        <w:tblLayout w:type="fixed"/>
        <w:tblLook w:val="0400" w:firstRow="0" w:lastRow="0" w:firstColumn="0" w:lastColumn="0" w:noHBand="0" w:noVBand="1"/>
      </w:tblPr>
      <w:tblGrid>
        <w:gridCol w:w="1170"/>
        <w:gridCol w:w="2070"/>
        <w:gridCol w:w="3780"/>
      </w:tblGrid>
      <w:tr w:rsidR="0039202C" w:rsidRPr="00A71FCF" w14:paraId="0022AC65" w14:textId="77777777" w:rsidTr="00747667">
        <w:trPr>
          <w:trHeight w:val="17"/>
        </w:trPr>
        <w:tc>
          <w:tcPr>
            <w:tcW w:w="1170" w:type="dxa"/>
            <w:tcBorders>
              <w:top w:val="single" w:sz="4" w:space="0" w:color="auto"/>
              <w:bottom w:val="single" w:sz="4" w:space="0" w:color="auto"/>
            </w:tcBorders>
            <w:vAlign w:val="center"/>
          </w:tcPr>
          <w:p w14:paraId="7930210E" w14:textId="77777777" w:rsidR="0039202C" w:rsidRPr="00A71FCF" w:rsidRDefault="0039202C" w:rsidP="00747667">
            <w:pPr>
              <w:spacing w:after="0"/>
              <w:contextualSpacing/>
              <w:rPr>
                <w:rFonts w:cs="Arial"/>
                <w:b/>
                <w:bCs/>
              </w:rPr>
            </w:pPr>
            <w:r w:rsidRPr="00A71FCF">
              <w:rPr>
                <w:rFonts w:cs="Arial"/>
                <w:b/>
                <w:bCs/>
              </w:rPr>
              <w:t>Strain Name</w:t>
            </w:r>
          </w:p>
        </w:tc>
        <w:tc>
          <w:tcPr>
            <w:tcW w:w="2070" w:type="dxa"/>
            <w:tcBorders>
              <w:top w:val="single" w:sz="4" w:space="0" w:color="auto"/>
              <w:bottom w:val="single" w:sz="4" w:space="0" w:color="auto"/>
            </w:tcBorders>
            <w:vAlign w:val="center"/>
          </w:tcPr>
          <w:p w14:paraId="46711683" w14:textId="77777777" w:rsidR="0039202C" w:rsidRPr="00A71FCF" w:rsidRDefault="0039202C" w:rsidP="00747667">
            <w:pPr>
              <w:spacing w:after="0"/>
              <w:contextualSpacing/>
              <w:rPr>
                <w:rFonts w:cs="Arial"/>
                <w:b/>
                <w:bCs/>
              </w:rPr>
            </w:pPr>
            <w:r w:rsidRPr="00A71FCF">
              <w:rPr>
                <w:rFonts w:cs="Arial"/>
                <w:b/>
                <w:bCs/>
              </w:rPr>
              <w:t>Background</w:t>
            </w:r>
          </w:p>
        </w:tc>
        <w:tc>
          <w:tcPr>
            <w:tcW w:w="3780" w:type="dxa"/>
            <w:tcBorders>
              <w:top w:val="single" w:sz="4" w:space="0" w:color="auto"/>
              <w:bottom w:val="single" w:sz="4" w:space="0" w:color="auto"/>
            </w:tcBorders>
            <w:vAlign w:val="center"/>
          </w:tcPr>
          <w:p w14:paraId="7B798650" w14:textId="77777777" w:rsidR="0039202C" w:rsidRPr="00A71FCF" w:rsidRDefault="0039202C" w:rsidP="00747667">
            <w:pPr>
              <w:spacing w:after="0"/>
              <w:contextualSpacing/>
              <w:rPr>
                <w:rFonts w:cs="Arial"/>
                <w:b/>
                <w:bCs/>
              </w:rPr>
            </w:pPr>
            <w:r w:rsidRPr="00A71FCF">
              <w:rPr>
                <w:rFonts w:cs="Arial"/>
                <w:b/>
                <w:bCs/>
              </w:rPr>
              <w:t>Modified Genes</w:t>
            </w:r>
          </w:p>
        </w:tc>
      </w:tr>
      <w:tr w:rsidR="0039202C" w:rsidRPr="00A71FCF" w14:paraId="0637A354" w14:textId="77777777" w:rsidTr="00747667">
        <w:trPr>
          <w:trHeight w:val="17"/>
        </w:trPr>
        <w:tc>
          <w:tcPr>
            <w:tcW w:w="1170" w:type="dxa"/>
            <w:tcBorders>
              <w:top w:val="single" w:sz="4" w:space="0" w:color="auto"/>
            </w:tcBorders>
          </w:tcPr>
          <w:p w14:paraId="4D3C3F96" w14:textId="77777777" w:rsidR="0039202C" w:rsidRPr="00A71FCF" w:rsidRDefault="0039202C" w:rsidP="00747667">
            <w:pPr>
              <w:spacing w:after="0"/>
              <w:contextualSpacing/>
              <w:rPr>
                <w:rFonts w:cs="Arial"/>
                <w:b/>
                <w:bCs/>
              </w:rPr>
            </w:pPr>
            <w:r w:rsidRPr="00A71FCF">
              <w:rPr>
                <w:rFonts w:cs="Arial"/>
                <w:color w:val="000000"/>
              </w:rPr>
              <w:t>6xHis-pflb</w:t>
            </w:r>
          </w:p>
        </w:tc>
        <w:tc>
          <w:tcPr>
            <w:tcW w:w="2070" w:type="dxa"/>
            <w:tcBorders>
              <w:top w:val="single" w:sz="4" w:space="0" w:color="auto"/>
            </w:tcBorders>
          </w:tcPr>
          <w:p w14:paraId="1B602D5F" w14:textId="77777777" w:rsidR="0039202C" w:rsidRPr="00A71FCF" w:rsidRDefault="0039202C" w:rsidP="00747667">
            <w:pPr>
              <w:spacing w:after="0"/>
              <w:contextualSpacing/>
              <w:rPr>
                <w:rFonts w:cs="Arial"/>
                <w:b/>
                <w:bCs/>
              </w:rPr>
            </w:pPr>
            <w:r w:rsidRPr="00A71FCF">
              <w:rPr>
                <w:rFonts w:cs="Arial"/>
              </w:rPr>
              <w:t xml:space="preserve">BL21 </w:t>
            </w:r>
            <w:proofErr w:type="gramStart"/>
            <w:r w:rsidRPr="00A71FCF">
              <w:rPr>
                <w:rFonts w:cs="Arial"/>
              </w:rPr>
              <w:t>Star(</w:t>
            </w:r>
            <w:proofErr w:type="gramEnd"/>
            <w:r w:rsidRPr="00A71FCF">
              <w:rPr>
                <w:rFonts w:cs="Arial"/>
              </w:rPr>
              <w:t>DE3)</w:t>
            </w:r>
          </w:p>
        </w:tc>
        <w:tc>
          <w:tcPr>
            <w:tcW w:w="3780" w:type="dxa"/>
            <w:tcBorders>
              <w:top w:val="single" w:sz="4" w:space="0" w:color="auto"/>
            </w:tcBorders>
          </w:tcPr>
          <w:p w14:paraId="53B94923" w14:textId="77777777" w:rsidR="0039202C" w:rsidRPr="00A71FCF" w:rsidRDefault="0039202C" w:rsidP="00747667">
            <w:pPr>
              <w:spacing w:after="0"/>
              <w:contextualSpacing/>
              <w:rPr>
                <w:rFonts w:cs="Arial"/>
                <w:b/>
                <w:bCs/>
              </w:rPr>
            </w:pPr>
            <w:r w:rsidRPr="00A71FCF">
              <w:rPr>
                <w:rFonts w:cs="Arial"/>
              </w:rPr>
              <w:t>6xhis-pflB</w:t>
            </w:r>
          </w:p>
        </w:tc>
      </w:tr>
      <w:tr w:rsidR="0039202C" w:rsidRPr="00A71FCF" w14:paraId="5B40D90A" w14:textId="77777777" w:rsidTr="00747667">
        <w:trPr>
          <w:trHeight w:val="17"/>
        </w:trPr>
        <w:tc>
          <w:tcPr>
            <w:tcW w:w="1170" w:type="dxa"/>
          </w:tcPr>
          <w:p w14:paraId="1F81784D" w14:textId="77777777" w:rsidR="0039202C" w:rsidRPr="00A71FCF" w:rsidRDefault="0039202C" w:rsidP="00747667">
            <w:pPr>
              <w:spacing w:after="0"/>
              <w:contextualSpacing/>
              <w:rPr>
                <w:rFonts w:cs="Arial"/>
              </w:rPr>
            </w:pPr>
            <w:bookmarkStart w:id="69" w:name="_Hlk35884440"/>
            <w:r w:rsidRPr="00A71FCF">
              <w:rPr>
                <w:rFonts w:cs="Arial"/>
                <w:color w:val="000000"/>
              </w:rPr>
              <w:t>6xHis-ldh</w:t>
            </w:r>
          </w:p>
        </w:tc>
        <w:tc>
          <w:tcPr>
            <w:tcW w:w="2070" w:type="dxa"/>
          </w:tcPr>
          <w:p w14:paraId="44F0F0F2" w14:textId="77777777" w:rsidR="0039202C" w:rsidRPr="00A71FCF" w:rsidRDefault="0039202C" w:rsidP="00747667">
            <w:pPr>
              <w:spacing w:after="0"/>
              <w:contextualSpacing/>
              <w:rPr>
                <w:rFonts w:cs="Arial"/>
              </w:rPr>
            </w:pPr>
            <w:r w:rsidRPr="00A71FCF">
              <w:rPr>
                <w:rFonts w:cs="Arial"/>
              </w:rPr>
              <w:t xml:space="preserve">BL21 </w:t>
            </w:r>
            <w:proofErr w:type="gramStart"/>
            <w:r w:rsidRPr="00A71FCF">
              <w:rPr>
                <w:rFonts w:cs="Arial"/>
              </w:rPr>
              <w:t>Star(</w:t>
            </w:r>
            <w:proofErr w:type="gramEnd"/>
            <w:r w:rsidRPr="00A71FCF">
              <w:rPr>
                <w:rFonts w:cs="Arial"/>
              </w:rPr>
              <w:t>DE3)</w:t>
            </w:r>
          </w:p>
        </w:tc>
        <w:tc>
          <w:tcPr>
            <w:tcW w:w="3780" w:type="dxa"/>
          </w:tcPr>
          <w:p w14:paraId="6A585EFC" w14:textId="77777777" w:rsidR="0039202C" w:rsidRPr="00A71FCF" w:rsidRDefault="0039202C" w:rsidP="00747667">
            <w:pPr>
              <w:spacing w:after="0"/>
              <w:contextualSpacing/>
              <w:rPr>
                <w:rFonts w:cs="Arial"/>
              </w:rPr>
            </w:pPr>
            <w:r w:rsidRPr="00A71FCF">
              <w:rPr>
                <w:rFonts w:cs="Arial"/>
              </w:rPr>
              <w:t>6xhis-</w:t>
            </w:r>
            <w:sdt>
              <w:sdtPr>
                <w:rPr>
                  <w:rFonts w:cs="Arial"/>
                </w:rPr>
                <w:tag w:val="goog_rdk_19"/>
                <w:id w:val="1029146677"/>
              </w:sdtPr>
              <w:sdtEndPr/>
              <w:sdtContent>
                <w:r w:rsidRPr="00A71FCF">
                  <w:rPr>
                    <w:rFonts w:cs="Arial"/>
                    <w:i/>
                    <w:iCs/>
                  </w:rPr>
                  <w:t>ldhA</w:t>
                </w:r>
              </w:sdtContent>
            </w:sdt>
          </w:p>
        </w:tc>
      </w:tr>
      <w:tr w:rsidR="0039202C" w:rsidRPr="00A71FCF" w14:paraId="1043C93D" w14:textId="77777777" w:rsidTr="00747667">
        <w:trPr>
          <w:trHeight w:val="17"/>
        </w:trPr>
        <w:tc>
          <w:tcPr>
            <w:tcW w:w="1170" w:type="dxa"/>
          </w:tcPr>
          <w:p w14:paraId="61D33943" w14:textId="77777777" w:rsidR="0039202C" w:rsidRPr="00A71FCF" w:rsidRDefault="0039202C" w:rsidP="00747667">
            <w:pPr>
              <w:spacing w:after="0"/>
              <w:contextualSpacing/>
              <w:rPr>
                <w:rFonts w:cs="Arial"/>
              </w:rPr>
            </w:pPr>
            <w:r w:rsidRPr="00A71FCF">
              <w:rPr>
                <w:rFonts w:cs="Arial"/>
                <w:color w:val="000000"/>
              </w:rPr>
              <w:t>6xHis-2</w:t>
            </w:r>
          </w:p>
        </w:tc>
        <w:tc>
          <w:tcPr>
            <w:tcW w:w="2070" w:type="dxa"/>
          </w:tcPr>
          <w:p w14:paraId="7F489701" w14:textId="77777777" w:rsidR="0039202C" w:rsidRPr="00A71FCF" w:rsidRDefault="0039202C" w:rsidP="00747667">
            <w:pPr>
              <w:spacing w:after="0"/>
              <w:contextualSpacing/>
              <w:rPr>
                <w:rFonts w:cs="Arial"/>
              </w:rPr>
            </w:pPr>
            <w:r w:rsidRPr="00A71FCF">
              <w:rPr>
                <w:rFonts w:cs="Arial"/>
              </w:rPr>
              <w:t xml:space="preserve">BL21 </w:t>
            </w:r>
            <w:proofErr w:type="gramStart"/>
            <w:r w:rsidRPr="00A71FCF">
              <w:rPr>
                <w:rFonts w:cs="Arial"/>
              </w:rPr>
              <w:t>Star(</w:t>
            </w:r>
            <w:proofErr w:type="gramEnd"/>
            <w:r w:rsidRPr="00A71FCF">
              <w:rPr>
                <w:rFonts w:cs="Arial"/>
              </w:rPr>
              <w:t>DE3)</w:t>
            </w:r>
          </w:p>
        </w:tc>
        <w:tc>
          <w:tcPr>
            <w:tcW w:w="3780" w:type="dxa"/>
          </w:tcPr>
          <w:p w14:paraId="1ED5EF23" w14:textId="77777777" w:rsidR="0039202C" w:rsidRPr="00A71FCF" w:rsidRDefault="0039202C" w:rsidP="00747667">
            <w:pPr>
              <w:spacing w:after="0"/>
              <w:contextualSpacing/>
              <w:rPr>
                <w:rFonts w:cs="Arial"/>
              </w:rPr>
            </w:pPr>
            <w:r w:rsidRPr="00A71FCF">
              <w:rPr>
                <w:rFonts w:cs="Arial"/>
              </w:rPr>
              <w:t>6xhis-</w:t>
            </w:r>
            <w:r w:rsidRPr="00A71FCF">
              <w:rPr>
                <w:rFonts w:cs="Arial"/>
                <w:i/>
              </w:rPr>
              <w:t xml:space="preserve">ldhA, </w:t>
            </w:r>
            <w:r w:rsidRPr="00A71FCF">
              <w:rPr>
                <w:rFonts w:cs="Arial"/>
                <w:iCs/>
              </w:rPr>
              <w:t>6x</w:t>
            </w:r>
            <w:r w:rsidRPr="00A71FCF">
              <w:rPr>
                <w:rFonts w:cs="Arial"/>
              </w:rPr>
              <w:t>his-</w:t>
            </w:r>
            <w:r w:rsidRPr="00A71FCF">
              <w:rPr>
                <w:rFonts w:cs="Arial"/>
                <w:i/>
              </w:rPr>
              <w:t>pflB</w:t>
            </w:r>
          </w:p>
        </w:tc>
      </w:tr>
      <w:tr w:rsidR="0039202C" w:rsidRPr="00A71FCF" w14:paraId="688C70C6" w14:textId="77777777" w:rsidTr="00747667">
        <w:trPr>
          <w:trHeight w:val="17"/>
        </w:trPr>
        <w:tc>
          <w:tcPr>
            <w:tcW w:w="1170" w:type="dxa"/>
          </w:tcPr>
          <w:p w14:paraId="138BF37E" w14:textId="77777777" w:rsidR="0039202C" w:rsidRPr="00A71FCF" w:rsidRDefault="0039202C" w:rsidP="00747667">
            <w:pPr>
              <w:spacing w:after="0"/>
              <w:contextualSpacing/>
              <w:rPr>
                <w:rFonts w:cs="Arial"/>
              </w:rPr>
            </w:pPr>
            <w:r w:rsidRPr="00A71FCF">
              <w:rPr>
                <w:rFonts w:cs="Arial"/>
                <w:color w:val="000000"/>
              </w:rPr>
              <w:t>6xHis-3</w:t>
            </w:r>
          </w:p>
        </w:tc>
        <w:tc>
          <w:tcPr>
            <w:tcW w:w="2070" w:type="dxa"/>
          </w:tcPr>
          <w:p w14:paraId="7B08E370" w14:textId="77777777" w:rsidR="0039202C" w:rsidRPr="00A71FCF" w:rsidRDefault="0039202C" w:rsidP="00747667">
            <w:pPr>
              <w:spacing w:after="0"/>
              <w:contextualSpacing/>
              <w:rPr>
                <w:rFonts w:cs="Arial"/>
              </w:rPr>
            </w:pPr>
            <w:r w:rsidRPr="00A71FCF">
              <w:rPr>
                <w:rFonts w:cs="Arial"/>
              </w:rPr>
              <w:t xml:space="preserve">BL21 </w:t>
            </w:r>
            <w:proofErr w:type="gramStart"/>
            <w:r w:rsidRPr="00A71FCF">
              <w:rPr>
                <w:rFonts w:cs="Arial"/>
              </w:rPr>
              <w:t>Star(</w:t>
            </w:r>
            <w:proofErr w:type="gramEnd"/>
            <w:r w:rsidRPr="00A71FCF">
              <w:rPr>
                <w:rFonts w:cs="Arial"/>
              </w:rPr>
              <w:t>DE3)</w:t>
            </w:r>
          </w:p>
        </w:tc>
        <w:tc>
          <w:tcPr>
            <w:tcW w:w="3780" w:type="dxa"/>
          </w:tcPr>
          <w:p w14:paraId="1F0A4882" w14:textId="77777777" w:rsidR="0039202C" w:rsidRPr="00A71FCF" w:rsidRDefault="0039202C" w:rsidP="00747667">
            <w:pPr>
              <w:spacing w:after="0"/>
              <w:contextualSpacing/>
              <w:rPr>
                <w:rFonts w:cs="Arial"/>
              </w:rPr>
            </w:pPr>
            <w:r w:rsidRPr="00A71FCF">
              <w:rPr>
                <w:rFonts w:cs="Arial"/>
              </w:rPr>
              <w:t>6xhis-</w:t>
            </w:r>
            <w:r w:rsidRPr="00A71FCF">
              <w:rPr>
                <w:rFonts w:cs="Arial"/>
                <w:i/>
              </w:rPr>
              <w:t xml:space="preserve">ldhA, </w:t>
            </w:r>
            <w:r w:rsidRPr="00A71FCF">
              <w:rPr>
                <w:rFonts w:cs="Arial"/>
                <w:iCs/>
              </w:rPr>
              <w:t>6x</w:t>
            </w:r>
            <w:r w:rsidRPr="00A71FCF">
              <w:rPr>
                <w:rFonts w:cs="Arial"/>
              </w:rPr>
              <w:t>his-</w:t>
            </w:r>
            <w:r w:rsidRPr="00A71FCF">
              <w:rPr>
                <w:rFonts w:cs="Arial"/>
                <w:i/>
              </w:rPr>
              <w:t xml:space="preserve">pflB, </w:t>
            </w:r>
            <w:r w:rsidRPr="00A71FCF">
              <w:rPr>
                <w:rFonts w:cs="Arial"/>
                <w:iCs/>
              </w:rPr>
              <w:t>6x</w:t>
            </w:r>
            <w:r w:rsidRPr="00A71FCF">
              <w:rPr>
                <w:rFonts w:cs="Arial"/>
              </w:rPr>
              <w:t>his-</w:t>
            </w:r>
            <w:r w:rsidRPr="00A71FCF">
              <w:rPr>
                <w:rFonts w:cs="Arial"/>
                <w:iCs/>
              </w:rPr>
              <w:t>pps</w:t>
            </w:r>
            <w:r w:rsidRPr="00A71FCF">
              <w:rPr>
                <w:rFonts w:cs="Arial"/>
                <w:i/>
              </w:rPr>
              <w:t>a</w:t>
            </w:r>
          </w:p>
        </w:tc>
      </w:tr>
      <w:tr w:rsidR="0039202C" w:rsidRPr="00A71FCF" w14:paraId="04F127F0" w14:textId="77777777" w:rsidTr="00747667">
        <w:trPr>
          <w:trHeight w:val="747"/>
        </w:trPr>
        <w:tc>
          <w:tcPr>
            <w:tcW w:w="1170" w:type="dxa"/>
            <w:tcBorders>
              <w:bottom w:val="single" w:sz="4" w:space="0" w:color="auto"/>
            </w:tcBorders>
          </w:tcPr>
          <w:p w14:paraId="6ECF5C0E" w14:textId="77777777" w:rsidR="0039202C" w:rsidRPr="00A71FCF" w:rsidRDefault="0039202C" w:rsidP="00747667">
            <w:pPr>
              <w:spacing w:after="0"/>
              <w:contextualSpacing/>
              <w:rPr>
                <w:rFonts w:cs="Arial"/>
              </w:rPr>
            </w:pPr>
            <w:bookmarkStart w:id="70" w:name="_Hlk34760523"/>
            <w:r w:rsidRPr="00A71FCF">
              <w:rPr>
                <w:rFonts w:cs="Arial"/>
                <w:color w:val="000000"/>
              </w:rPr>
              <w:t>6xHis-4</w:t>
            </w:r>
          </w:p>
        </w:tc>
        <w:tc>
          <w:tcPr>
            <w:tcW w:w="2070" w:type="dxa"/>
            <w:tcBorders>
              <w:bottom w:val="single" w:sz="4" w:space="0" w:color="auto"/>
            </w:tcBorders>
          </w:tcPr>
          <w:p w14:paraId="240B7628" w14:textId="77777777" w:rsidR="0039202C" w:rsidRPr="00A71FCF" w:rsidRDefault="0039202C" w:rsidP="00747667">
            <w:pPr>
              <w:spacing w:after="0"/>
              <w:contextualSpacing/>
              <w:rPr>
                <w:rFonts w:cs="Arial"/>
              </w:rPr>
            </w:pPr>
            <w:r w:rsidRPr="00A71FCF">
              <w:rPr>
                <w:rFonts w:cs="Arial"/>
              </w:rPr>
              <w:t xml:space="preserve">BL21 </w:t>
            </w:r>
            <w:proofErr w:type="gramStart"/>
            <w:r w:rsidRPr="00A71FCF">
              <w:rPr>
                <w:rFonts w:cs="Arial"/>
              </w:rPr>
              <w:t>Star(</w:t>
            </w:r>
            <w:proofErr w:type="gramEnd"/>
            <w:r w:rsidRPr="00A71FCF">
              <w:rPr>
                <w:rFonts w:cs="Arial"/>
              </w:rPr>
              <w:t>DE3)</w:t>
            </w:r>
          </w:p>
        </w:tc>
        <w:tc>
          <w:tcPr>
            <w:tcW w:w="3780" w:type="dxa"/>
            <w:tcBorders>
              <w:bottom w:val="single" w:sz="4" w:space="0" w:color="auto"/>
            </w:tcBorders>
          </w:tcPr>
          <w:p w14:paraId="66C093C0" w14:textId="77777777" w:rsidR="0039202C" w:rsidRPr="00A71FCF" w:rsidRDefault="0039202C" w:rsidP="00747667">
            <w:pPr>
              <w:spacing w:after="0"/>
              <w:contextualSpacing/>
              <w:rPr>
                <w:rFonts w:cs="Arial"/>
              </w:rPr>
            </w:pPr>
            <w:r w:rsidRPr="00A71FCF">
              <w:rPr>
                <w:rFonts w:cs="Arial"/>
              </w:rPr>
              <w:t>6xhis-</w:t>
            </w:r>
            <w:r w:rsidRPr="00A71FCF">
              <w:rPr>
                <w:rFonts w:cs="Arial"/>
                <w:i/>
              </w:rPr>
              <w:t xml:space="preserve">ldhA, </w:t>
            </w:r>
            <w:r w:rsidRPr="00A71FCF">
              <w:rPr>
                <w:rFonts w:cs="Arial"/>
                <w:iCs/>
              </w:rPr>
              <w:t>6x</w:t>
            </w:r>
            <w:r w:rsidRPr="00A71FCF">
              <w:rPr>
                <w:rFonts w:cs="Arial"/>
              </w:rPr>
              <w:t>his-</w:t>
            </w:r>
            <w:r w:rsidRPr="00A71FCF">
              <w:rPr>
                <w:rFonts w:cs="Arial"/>
                <w:i/>
              </w:rPr>
              <w:t xml:space="preserve">pflB, </w:t>
            </w:r>
            <w:r w:rsidRPr="00A71FCF">
              <w:rPr>
                <w:rFonts w:cs="Arial"/>
                <w:iCs/>
              </w:rPr>
              <w:t>6x</w:t>
            </w:r>
            <w:r w:rsidRPr="00A71FCF">
              <w:rPr>
                <w:rFonts w:cs="Arial"/>
              </w:rPr>
              <w:t>his-</w:t>
            </w:r>
            <w:r w:rsidRPr="00A71FCF">
              <w:rPr>
                <w:rFonts w:cs="Arial"/>
                <w:i/>
              </w:rPr>
              <w:t xml:space="preserve">ppsa, </w:t>
            </w:r>
            <w:r w:rsidRPr="00A71FCF">
              <w:rPr>
                <w:rFonts w:cs="Arial"/>
                <w:iCs/>
              </w:rPr>
              <w:t>6x</w:t>
            </w:r>
            <w:r w:rsidRPr="00A71FCF">
              <w:rPr>
                <w:rFonts w:cs="Arial"/>
              </w:rPr>
              <w:t>his-</w:t>
            </w:r>
            <w:r w:rsidRPr="00A71FCF">
              <w:rPr>
                <w:rFonts w:cs="Arial"/>
                <w:i/>
              </w:rPr>
              <w:t>a</w:t>
            </w:r>
            <w:sdt>
              <w:sdtPr>
                <w:rPr>
                  <w:rFonts w:cs="Arial"/>
                </w:rPr>
                <w:tag w:val="goog_rdk_21"/>
                <w:id w:val="1779214376"/>
              </w:sdtPr>
              <w:sdtEndPr/>
              <w:sdtContent>
                <w:r w:rsidRPr="00A71FCF">
                  <w:rPr>
                    <w:rFonts w:cs="Arial"/>
                    <w:i/>
                  </w:rPr>
                  <w:t>ce</w:t>
                </w:r>
              </w:sdtContent>
            </w:sdt>
            <w:r w:rsidRPr="00A71FCF">
              <w:rPr>
                <w:rFonts w:cs="Arial"/>
                <w:i/>
              </w:rPr>
              <w:t>E</w:t>
            </w:r>
          </w:p>
        </w:tc>
      </w:tr>
      <w:bookmarkEnd w:id="69"/>
      <w:bookmarkEnd w:id="70"/>
    </w:tbl>
    <w:p w14:paraId="3295C6FA" w14:textId="77777777" w:rsidR="0039202C" w:rsidRPr="00A71FCF" w:rsidRDefault="0039202C" w:rsidP="0039202C">
      <w:pPr>
        <w:contextualSpacing/>
        <w:rPr>
          <w:rFonts w:cs="Arial"/>
          <w:szCs w:val="22"/>
        </w:rPr>
      </w:pPr>
    </w:p>
    <w:p w14:paraId="36FF45C7" w14:textId="77777777" w:rsidR="0039202C" w:rsidRPr="00A71FCF" w:rsidRDefault="0039202C" w:rsidP="0039202C">
      <w:pPr>
        <w:pBdr>
          <w:top w:val="nil"/>
          <w:left w:val="nil"/>
          <w:bottom w:val="nil"/>
          <w:right w:val="nil"/>
          <w:between w:val="nil"/>
        </w:pBdr>
        <w:contextualSpacing/>
        <w:rPr>
          <w:rFonts w:cs="Arial"/>
          <w:color w:val="000000"/>
          <w:szCs w:val="22"/>
        </w:rPr>
      </w:pPr>
    </w:p>
    <w:p w14:paraId="7A24BEC7" w14:textId="77777777" w:rsidR="0039202C" w:rsidRPr="00A71FCF" w:rsidRDefault="0039202C" w:rsidP="0039202C">
      <w:pPr>
        <w:pBdr>
          <w:top w:val="nil"/>
          <w:left w:val="nil"/>
          <w:bottom w:val="nil"/>
          <w:right w:val="nil"/>
          <w:between w:val="nil"/>
        </w:pBdr>
        <w:contextualSpacing/>
        <w:rPr>
          <w:rFonts w:cs="Arial"/>
          <w:color w:val="000000"/>
          <w:szCs w:val="22"/>
        </w:rPr>
      </w:pPr>
    </w:p>
    <w:p w14:paraId="6EB7D02D" w14:textId="77777777" w:rsidR="0039202C" w:rsidRPr="00A71FCF" w:rsidRDefault="0039202C" w:rsidP="0039202C">
      <w:pPr>
        <w:pBdr>
          <w:top w:val="nil"/>
          <w:left w:val="nil"/>
          <w:bottom w:val="nil"/>
          <w:right w:val="nil"/>
          <w:between w:val="nil"/>
        </w:pBdr>
        <w:contextualSpacing/>
        <w:rPr>
          <w:rFonts w:cs="Arial"/>
          <w:color w:val="000000"/>
          <w:szCs w:val="22"/>
        </w:rPr>
      </w:pPr>
    </w:p>
    <w:p w14:paraId="1CBA402B" w14:textId="77777777" w:rsidR="0039202C" w:rsidRPr="00A71FCF" w:rsidRDefault="0039202C" w:rsidP="0039202C">
      <w:pPr>
        <w:pBdr>
          <w:top w:val="nil"/>
          <w:left w:val="nil"/>
          <w:bottom w:val="nil"/>
          <w:right w:val="nil"/>
          <w:between w:val="nil"/>
        </w:pBdr>
        <w:contextualSpacing/>
        <w:rPr>
          <w:rFonts w:cs="Arial"/>
          <w:color w:val="000000"/>
          <w:szCs w:val="22"/>
        </w:rPr>
      </w:pPr>
    </w:p>
    <w:p w14:paraId="303C61CD" w14:textId="77777777" w:rsidR="0039202C" w:rsidRPr="00A71FCF" w:rsidRDefault="0039202C" w:rsidP="0039202C">
      <w:pPr>
        <w:pBdr>
          <w:top w:val="nil"/>
          <w:left w:val="nil"/>
          <w:bottom w:val="nil"/>
          <w:right w:val="nil"/>
          <w:between w:val="nil"/>
        </w:pBdr>
        <w:contextualSpacing/>
        <w:rPr>
          <w:rFonts w:cs="Arial"/>
          <w:color w:val="000000"/>
          <w:szCs w:val="22"/>
        </w:rPr>
      </w:pPr>
    </w:p>
    <w:p w14:paraId="1780C772" w14:textId="77777777" w:rsidR="0039202C" w:rsidRDefault="0039202C" w:rsidP="0039202C">
      <w:pPr>
        <w:pBdr>
          <w:top w:val="nil"/>
          <w:left w:val="nil"/>
          <w:bottom w:val="nil"/>
          <w:right w:val="nil"/>
          <w:between w:val="nil"/>
        </w:pBdr>
        <w:contextualSpacing/>
        <w:rPr>
          <w:rFonts w:cs="Arial"/>
          <w:color w:val="000000"/>
          <w:szCs w:val="22"/>
        </w:rPr>
      </w:pPr>
    </w:p>
    <w:p w14:paraId="64544CDD" w14:textId="77777777" w:rsidR="0039202C" w:rsidRDefault="0039202C">
      <w:pPr>
        <w:rPr>
          <w:rFonts w:cs="Arial"/>
          <w:szCs w:val="22"/>
        </w:rPr>
      </w:pPr>
      <w:r>
        <w:rPr>
          <w:rFonts w:cs="Arial"/>
          <w:szCs w:val="22"/>
        </w:rPr>
        <w:br w:type="page"/>
      </w:r>
    </w:p>
    <w:p w14:paraId="2CF87071" w14:textId="66FF174F" w:rsidR="009A5F94" w:rsidRDefault="009A5F94" w:rsidP="009A5F94">
      <w:r w:rsidRPr="00A71FCF">
        <w:lastRenderedPageBreak/>
        <w:t>glucose consumption and fermentation end-product pooling (</w:t>
      </w:r>
      <w:r>
        <w:rPr>
          <w:b/>
          <w:bCs/>
        </w:rPr>
        <w:t>Appendix</w:t>
      </w:r>
      <w:r w:rsidRPr="007569D2">
        <w:rPr>
          <w:b/>
          <w:bCs/>
        </w:rPr>
        <w:t xml:space="preserve"> </w:t>
      </w:r>
      <w:r>
        <w:rPr>
          <w:b/>
          <w:bCs/>
        </w:rPr>
        <w:t>Figure</w:t>
      </w:r>
      <w:r w:rsidRPr="007569D2">
        <w:rPr>
          <w:b/>
          <w:bCs/>
        </w:rPr>
        <w:t xml:space="preserve"> 3.</w:t>
      </w:r>
      <w:r>
        <w:rPr>
          <w:b/>
          <w:bCs/>
        </w:rPr>
        <w:t>7</w:t>
      </w:r>
      <w:r w:rsidRPr="00A71FCF">
        <w:t>). A noteworthy general observation from the metabolite profiles of the depleted 6xHis-</w:t>
      </w:r>
      <w:r w:rsidRPr="00A71FCF">
        <w:rPr>
          <w:i/>
          <w:iCs/>
        </w:rPr>
        <w:t>pflB</w:t>
      </w:r>
      <w:r w:rsidRPr="00A71FCF">
        <w:t>, 6xHis-</w:t>
      </w:r>
      <w:r w:rsidRPr="00A71FCF">
        <w:rPr>
          <w:i/>
          <w:iCs/>
        </w:rPr>
        <w:t>ldh</w:t>
      </w:r>
      <w:r w:rsidRPr="00A71FCF">
        <w:t>, 6xHis-2, 6xHis-3, and 6xHis-4 lysates is that they all continue to accumulate downstream products of the target pyruvate-consuming enzymes, albeit with varying trends (</w:t>
      </w:r>
      <w:r>
        <w:rPr>
          <w:b/>
          <w:bCs/>
        </w:rPr>
        <w:t>Appendix</w:t>
      </w:r>
      <w:r w:rsidRPr="007569D2">
        <w:rPr>
          <w:b/>
          <w:bCs/>
        </w:rPr>
        <w:t xml:space="preserve"> </w:t>
      </w:r>
      <w:r>
        <w:rPr>
          <w:b/>
          <w:bCs/>
        </w:rPr>
        <w:t>Figures</w:t>
      </w:r>
      <w:r w:rsidRPr="007569D2">
        <w:rPr>
          <w:b/>
          <w:bCs/>
        </w:rPr>
        <w:t xml:space="preserve"> </w:t>
      </w:r>
      <w:r>
        <w:rPr>
          <w:b/>
          <w:bCs/>
        </w:rPr>
        <w:t>3.7</w:t>
      </w:r>
      <w:r w:rsidRPr="007569D2">
        <w:rPr>
          <w:b/>
          <w:bCs/>
        </w:rPr>
        <w:t>B</w:t>
      </w:r>
      <w:r>
        <w:rPr>
          <w:b/>
          <w:bCs/>
        </w:rPr>
        <w:t xml:space="preserve"> to </w:t>
      </w:r>
      <w:r w:rsidRPr="007569D2">
        <w:rPr>
          <w:b/>
          <w:bCs/>
        </w:rPr>
        <w:t>F</w:t>
      </w:r>
      <w:r w:rsidRPr="00A71FCF">
        <w:t xml:space="preserve">). This would suggest that the depletion method did not completely remove the targeted enzymes from the lysate proteome, but evidently allows a degree of targeted protein depletion that results in significant metabolic changes.  </w:t>
      </w:r>
    </w:p>
    <w:p w14:paraId="30CA9691" w14:textId="77777777" w:rsidR="009A5F94" w:rsidRPr="009A5F94" w:rsidRDefault="009A5F94" w:rsidP="009A5F94">
      <w:pPr>
        <w:pStyle w:val="NormalParagraph"/>
        <w:numPr>
          <w:ilvl w:val="0"/>
          <w:numId w:val="0"/>
        </w:numPr>
        <w:ind w:left="360" w:hanging="360"/>
      </w:pPr>
    </w:p>
    <w:p w14:paraId="431DF055" w14:textId="5A654700" w:rsidR="00E033D4" w:rsidRDefault="005478FE" w:rsidP="00E033D4">
      <w:pPr>
        <w:pStyle w:val="ChapterSub-heading"/>
      </w:pPr>
      <w:bookmarkStart w:id="71" w:name="_Toc129701037"/>
      <w:r>
        <w:t>3</w:t>
      </w:r>
      <w:r w:rsidR="00E033D4">
        <w:t>.4.</w:t>
      </w:r>
      <w:r>
        <w:t>3</w:t>
      </w:r>
      <w:r w:rsidR="00E033D4">
        <w:t>. Analysis of glucose metabolism and pyruvate production in enzyme-depleted extracts</w:t>
      </w:r>
      <w:bookmarkEnd w:id="71"/>
    </w:p>
    <w:p w14:paraId="024C1612" w14:textId="1019A6BA" w:rsidR="0031140D" w:rsidRDefault="00E033D4" w:rsidP="00E033D4">
      <w:pPr>
        <w:ind w:firstLine="720"/>
        <w:rPr>
          <w:rFonts w:cs="Arial"/>
          <w:szCs w:val="22"/>
        </w:rPr>
      </w:pPr>
      <w:r w:rsidRPr="00A71FCF">
        <w:rPr>
          <w:rFonts w:cs="Arial"/>
          <w:szCs w:val="22"/>
        </w:rPr>
        <w:t>The effect of proteome reduction on the extract’s metabolic profile was then tested b</w:t>
      </w:r>
      <w:r>
        <w:rPr>
          <w:rFonts w:cs="Arial"/>
          <w:szCs w:val="22"/>
        </w:rPr>
        <w:t xml:space="preserve">y </w:t>
      </w:r>
      <w:r w:rsidRPr="00A71FCF">
        <w:rPr>
          <w:rFonts w:cs="Arial"/>
          <w:szCs w:val="22"/>
        </w:rPr>
        <w:t xml:space="preserve">measurement of glucose consumption, pyruvate accumulation, and the pooling of fermentation </w:t>
      </w:r>
      <w:r>
        <w:rPr>
          <w:rFonts w:cs="Arial"/>
          <w:szCs w:val="22"/>
        </w:rPr>
        <w:t xml:space="preserve"> </w:t>
      </w:r>
      <w:r w:rsidR="0031140D" w:rsidRPr="00A71FCF">
        <w:rPr>
          <w:rFonts w:cs="Arial"/>
          <w:szCs w:val="22"/>
        </w:rPr>
        <w:t xml:space="preserve">end-products (i.e., lactate, ethanol, </w:t>
      </w:r>
      <w:proofErr w:type="spellStart"/>
      <w:r w:rsidR="0031140D" w:rsidRPr="00A71FCF">
        <w:rPr>
          <w:rFonts w:cs="Arial"/>
          <w:szCs w:val="22"/>
        </w:rPr>
        <w:t>formate</w:t>
      </w:r>
      <w:proofErr w:type="spellEnd"/>
      <w:r w:rsidR="0031140D" w:rsidRPr="00A71FCF">
        <w:rPr>
          <w:rFonts w:cs="Arial"/>
          <w:szCs w:val="22"/>
        </w:rPr>
        <w:t>, and acetate) in a CFME reaction mix. As nonspecific binding is commonly associated with the use of 6xHis-tags, we evaluated whether the reduction method would result in significant alterations in lysate metabolism. Evidently, the wild-type derived lysate and the wild-type lysate taken through the depletion process have comparable glucose consumption and fermentation end-product pooling (</w:t>
      </w:r>
      <w:r w:rsidR="00C65F71">
        <w:rPr>
          <w:rFonts w:cs="Arial"/>
          <w:b/>
          <w:bCs/>
          <w:szCs w:val="22"/>
        </w:rPr>
        <w:t xml:space="preserve">Appendix </w:t>
      </w:r>
      <w:r w:rsidR="00405F98">
        <w:rPr>
          <w:rFonts w:cs="Arial"/>
          <w:b/>
          <w:bCs/>
          <w:szCs w:val="22"/>
        </w:rPr>
        <w:t>Figure</w:t>
      </w:r>
      <w:r w:rsidR="0031140D" w:rsidRPr="007569D2">
        <w:rPr>
          <w:rFonts w:cs="Arial"/>
          <w:b/>
          <w:bCs/>
          <w:szCs w:val="22"/>
        </w:rPr>
        <w:t xml:space="preserve"> </w:t>
      </w:r>
      <w:r w:rsidR="007569D2" w:rsidRPr="007569D2">
        <w:rPr>
          <w:rFonts w:cs="Arial"/>
          <w:b/>
          <w:bCs/>
          <w:szCs w:val="22"/>
        </w:rPr>
        <w:t>3.</w:t>
      </w:r>
      <w:r w:rsidR="00C65F71">
        <w:rPr>
          <w:rFonts w:cs="Arial"/>
          <w:b/>
          <w:bCs/>
          <w:szCs w:val="22"/>
        </w:rPr>
        <w:t>7</w:t>
      </w:r>
      <w:r w:rsidR="0031140D" w:rsidRPr="007569D2">
        <w:rPr>
          <w:rFonts w:cs="Arial"/>
          <w:b/>
          <w:bCs/>
          <w:szCs w:val="22"/>
        </w:rPr>
        <w:t>A</w:t>
      </w:r>
      <w:r w:rsidR="0031140D" w:rsidRPr="00A71FCF">
        <w:rPr>
          <w:rFonts w:cs="Arial"/>
          <w:szCs w:val="22"/>
        </w:rPr>
        <w:t>). Initial concentrations of acetate from the S30 buffer used to prepare the extracts could be observed (</w:t>
      </w:r>
      <w:r w:rsidR="00C65F71">
        <w:rPr>
          <w:rFonts w:cs="Arial"/>
          <w:b/>
          <w:bCs/>
          <w:szCs w:val="22"/>
        </w:rPr>
        <w:t>Appendix</w:t>
      </w:r>
      <w:r w:rsidR="0031140D" w:rsidRPr="007569D2">
        <w:rPr>
          <w:rFonts w:cs="Arial"/>
          <w:b/>
          <w:bCs/>
          <w:szCs w:val="22"/>
        </w:rPr>
        <w:t xml:space="preserve"> </w:t>
      </w:r>
      <w:r w:rsidR="00405F98">
        <w:rPr>
          <w:rFonts w:cs="Arial"/>
          <w:b/>
          <w:bCs/>
          <w:szCs w:val="22"/>
        </w:rPr>
        <w:t>Figure</w:t>
      </w:r>
      <w:r w:rsidR="0031140D" w:rsidRPr="007569D2">
        <w:rPr>
          <w:rFonts w:cs="Arial"/>
          <w:b/>
          <w:bCs/>
          <w:szCs w:val="22"/>
        </w:rPr>
        <w:t xml:space="preserve"> </w:t>
      </w:r>
      <w:r w:rsidR="007569D2" w:rsidRPr="007569D2">
        <w:rPr>
          <w:rFonts w:cs="Arial"/>
          <w:b/>
          <w:bCs/>
          <w:szCs w:val="22"/>
        </w:rPr>
        <w:t>3.</w:t>
      </w:r>
      <w:r w:rsidR="00C65F71">
        <w:rPr>
          <w:rFonts w:cs="Arial"/>
          <w:b/>
          <w:bCs/>
          <w:szCs w:val="22"/>
        </w:rPr>
        <w:t>7</w:t>
      </w:r>
      <w:r w:rsidR="0031140D" w:rsidRPr="00A71FCF">
        <w:rPr>
          <w:rFonts w:cs="Arial"/>
          <w:szCs w:val="22"/>
        </w:rPr>
        <w:t>). Further, there is no apparent pyruvate accumulation after incubation of the WT lysates with cobalt beads, indicating that the depletion process does not remove proteins that affect cell-free pyruvate production in an appreciable manner (</w:t>
      </w:r>
      <w:r w:rsidR="00C65F71">
        <w:rPr>
          <w:rFonts w:cs="Arial"/>
          <w:b/>
          <w:bCs/>
          <w:szCs w:val="22"/>
        </w:rPr>
        <w:t xml:space="preserve">Appendix </w:t>
      </w:r>
      <w:r w:rsidR="00405F98">
        <w:rPr>
          <w:rFonts w:cs="Arial"/>
          <w:b/>
          <w:bCs/>
          <w:szCs w:val="22"/>
        </w:rPr>
        <w:t>Figure</w:t>
      </w:r>
      <w:r w:rsidR="0031140D" w:rsidRPr="007569D2">
        <w:rPr>
          <w:rFonts w:cs="Arial"/>
          <w:b/>
          <w:bCs/>
          <w:szCs w:val="22"/>
        </w:rPr>
        <w:t xml:space="preserve"> </w:t>
      </w:r>
      <w:r w:rsidR="007569D2" w:rsidRPr="007569D2">
        <w:rPr>
          <w:rFonts w:cs="Arial"/>
          <w:b/>
          <w:bCs/>
          <w:szCs w:val="22"/>
        </w:rPr>
        <w:t>3.</w:t>
      </w:r>
      <w:r w:rsidR="00C65F71">
        <w:rPr>
          <w:rFonts w:cs="Arial"/>
          <w:b/>
          <w:bCs/>
          <w:szCs w:val="22"/>
        </w:rPr>
        <w:t>7</w:t>
      </w:r>
      <w:r w:rsidR="0031140D" w:rsidRPr="007569D2">
        <w:rPr>
          <w:rFonts w:cs="Arial"/>
          <w:b/>
          <w:bCs/>
          <w:szCs w:val="22"/>
        </w:rPr>
        <w:t>A</w:t>
      </w:r>
      <w:r w:rsidR="0031140D" w:rsidRPr="00A71FCF">
        <w:rPr>
          <w:rFonts w:cs="Arial"/>
          <w:szCs w:val="22"/>
        </w:rPr>
        <w:t>). Extracts derived from 6xHis-</w:t>
      </w:r>
      <w:r w:rsidR="0031140D" w:rsidRPr="00A71FCF">
        <w:rPr>
          <w:rFonts w:cs="Arial"/>
          <w:i/>
          <w:iCs/>
          <w:szCs w:val="22"/>
        </w:rPr>
        <w:t>pflB</w:t>
      </w:r>
      <w:r w:rsidR="0031140D" w:rsidRPr="00A71FCF">
        <w:rPr>
          <w:rFonts w:cs="Arial"/>
          <w:szCs w:val="22"/>
        </w:rPr>
        <w:t>, 6xHis-</w:t>
      </w:r>
      <w:r w:rsidR="0031140D" w:rsidRPr="00A71FCF">
        <w:rPr>
          <w:rFonts w:cs="Arial"/>
          <w:i/>
          <w:iCs/>
          <w:szCs w:val="22"/>
        </w:rPr>
        <w:t>ldh,</w:t>
      </w:r>
      <w:r w:rsidR="0031140D" w:rsidRPr="00A71FCF">
        <w:rPr>
          <w:rFonts w:cs="Arial"/>
          <w:szCs w:val="22"/>
        </w:rPr>
        <w:t xml:space="preserve"> 6xHis-2, 6xHis-3, and 6xHis-4 were thus reduced and assessed for glucose consumption and pyruvate build-up relative to their unreduced counterparts (</w:t>
      </w:r>
      <w:r w:rsidR="00405F98">
        <w:rPr>
          <w:rFonts w:cs="Arial"/>
          <w:b/>
          <w:bCs/>
          <w:szCs w:val="22"/>
        </w:rPr>
        <w:t>Figures</w:t>
      </w:r>
      <w:r w:rsidR="0031140D" w:rsidRPr="007569D2">
        <w:rPr>
          <w:rFonts w:cs="Arial"/>
          <w:b/>
          <w:bCs/>
          <w:szCs w:val="22"/>
        </w:rPr>
        <w:t xml:space="preserve"> </w:t>
      </w:r>
      <w:r w:rsidR="007569D2">
        <w:rPr>
          <w:rFonts w:cs="Arial"/>
          <w:b/>
          <w:bCs/>
          <w:szCs w:val="22"/>
        </w:rPr>
        <w:t>3.</w:t>
      </w:r>
      <w:r w:rsidR="0031140D" w:rsidRPr="007569D2">
        <w:rPr>
          <w:rFonts w:cs="Arial"/>
          <w:b/>
          <w:bCs/>
          <w:szCs w:val="22"/>
        </w:rPr>
        <w:t xml:space="preserve">4A </w:t>
      </w:r>
      <w:r w:rsidR="007569D2">
        <w:rPr>
          <w:rFonts w:cs="Arial"/>
          <w:b/>
          <w:bCs/>
          <w:szCs w:val="22"/>
        </w:rPr>
        <w:t xml:space="preserve">&amp; </w:t>
      </w:r>
      <w:r w:rsidR="0031140D" w:rsidRPr="007569D2">
        <w:rPr>
          <w:rFonts w:cs="Arial"/>
          <w:b/>
          <w:bCs/>
          <w:szCs w:val="22"/>
        </w:rPr>
        <w:t>B</w:t>
      </w:r>
      <w:r w:rsidR="0031140D" w:rsidRPr="00A71FCF">
        <w:rPr>
          <w:rFonts w:cs="Arial"/>
          <w:szCs w:val="22"/>
        </w:rPr>
        <w:t>). Significantly, none of the nondepleted extracts derived from these strains accumulated pyruvate, and metabolite profiles all trended similarly in terms of glucose consumption and fermentation end-product pooling (</w:t>
      </w:r>
      <w:r w:rsidR="00C65F71">
        <w:rPr>
          <w:rFonts w:cs="Arial"/>
          <w:b/>
          <w:bCs/>
          <w:szCs w:val="22"/>
        </w:rPr>
        <w:t>Appendix</w:t>
      </w:r>
      <w:r w:rsidR="0031140D" w:rsidRPr="007569D2">
        <w:rPr>
          <w:rFonts w:cs="Arial"/>
          <w:b/>
          <w:bCs/>
          <w:szCs w:val="22"/>
        </w:rPr>
        <w:t xml:space="preserve"> </w:t>
      </w:r>
      <w:r w:rsidR="00405F98">
        <w:rPr>
          <w:rFonts w:cs="Arial"/>
          <w:b/>
          <w:bCs/>
          <w:szCs w:val="22"/>
        </w:rPr>
        <w:t>Figure</w:t>
      </w:r>
      <w:r w:rsidR="0031140D" w:rsidRPr="007569D2">
        <w:rPr>
          <w:rFonts w:cs="Arial"/>
          <w:b/>
          <w:bCs/>
          <w:szCs w:val="22"/>
        </w:rPr>
        <w:t xml:space="preserve"> </w:t>
      </w:r>
      <w:r w:rsidR="007569D2" w:rsidRPr="007569D2">
        <w:rPr>
          <w:rFonts w:cs="Arial"/>
          <w:b/>
          <w:bCs/>
          <w:szCs w:val="22"/>
        </w:rPr>
        <w:t>3.</w:t>
      </w:r>
      <w:r w:rsidR="00C65F71">
        <w:rPr>
          <w:rFonts w:cs="Arial"/>
          <w:b/>
          <w:bCs/>
          <w:szCs w:val="22"/>
        </w:rPr>
        <w:t>7</w:t>
      </w:r>
      <w:r w:rsidR="0031140D" w:rsidRPr="00A71FCF">
        <w:rPr>
          <w:rFonts w:cs="Arial"/>
          <w:szCs w:val="22"/>
        </w:rPr>
        <w:t xml:space="preserve">). A noteworthy </w:t>
      </w:r>
      <w:r w:rsidR="0031140D" w:rsidRPr="00A71FCF">
        <w:rPr>
          <w:rFonts w:cs="Arial"/>
          <w:szCs w:val="22"/>
        </w:rPr>
        <w:lastRenderedPageBreak/>
        <w:t>general observation from the metabolite profiles of the depleted 6xHis-</w:t>
      </w:r>
      <w:r w:rsidR="0031140D" w:rsidRPr="00A71FCF">
        <w:rPr>
          <w:rFonts w:cs="Arial"/>
          <w:i/>
          <w:iCs/>
          <w:szCs w:val="22"/>
        </w:rPr>
        <w:t>pflB</w:t>
      </w:r>
      <w:r w:rsidR="0031140D" w:rsidRPr="00A71FCF">
        <w:rPr>
          <w:rFonts w:cs="Arial"/>
          <w:szCs w:val="22"/>
        </w:rPr>
        <w:t>, 6xHis-</w:t>
      </w:r>
      <w:r w:rsidR="0031140D" w:rsidRPr="00A71FCF">
        <w:rPr>
          <w:rFonts w:cs="Arial"/>
          <w:i/>
          <w:iCs/>
          <w:szCs w:val="22"/>
        </w:rPr>
        <w:t>ldh</w:t>
      </w:r>
      <w:r w:rsidR="0031140D" w:rsidRPr="00A71FCF">
        <w:rPr>
          <w:rFonts w:cs="Arial"/>
          <w:szCs w:val="22"/>
        </w:rPr>
        <w:t>, 6xHis-2, 6xHis-3, and 6xHis-4 lysates is that they all continue to accumulate downstream products of the target pyruvate-consuming enzymes, albeit with varying trends (</w:t>
      </w:r>
      <w:r w:rsidR="00C65F71">
        <w:rPr>
          <w:rFonts w:cs="Arial"/>
          <w:b/>
          <w:bCs/>
          <w:szCs w:val="22"/>
        </w:rPr>
        <w:t>Appendix</w:t>
      </w:r>
      <w:r w:rsidR="0031140D" w:rsidRPr="007569D2">
        <w:rPr>
          <w:rFonts w:cs="Arial"/>
          <w:b/>
          <w:bCs/>
          <w:szCs w:val="22"/>
        </w:rPr>
        <w:t xml:space="preserve"> </w:t>
      </w:r>
      <w:r w:rsidR="00405F98">
        <w:rPr>
          <w:rFonts w:cs="Arial"/>
          <w:b/>
          <w:bCs/>
          <w:szCs w:val="22"/>
        </w:rPr>
        <w:t>Figures</w:t>
      </w:r>
      <w:r w:rsidR="0031140D" w:rsidRPr="007569D2">
        <w:rPr>
          <w:rFonts w:cs="Arial"/>
          <w:b/>
          <w:bCs/>
          <w:szCs w:val="22"/>
        </w:rPr>
        <w:t xml:space="preserve"> </w:t>
      </w:r>
      <w:r w:rsidR="007569D2">
        <w:rPr>
          <w:rFonts w:cs="Arial"/>
          <w:b/>
          <w:bCs/>
          <w:szCs w:val="22"/>
        </w:rPr>
        <w:t>3.</w:t>
      </w:r>
      <w:r w:rsidR="00C65F71">
        <w:rPr>
          <w:rFonts w:cs="Arial"/>
          <w:b/>
          <w:bCs/>
          <w:szCs w:val="22"/>
        </w:rPr>
        <w:t>7</w:t>
      </w:r>
      <w:r w:rsidR="0031140D" w:rsidRPr="007569D2">
        <w:rPr>
          <w:rFonts w:cs="Arial"/>
          <w:b/>
          <w:bCs/>
          <w:szCs w:val="22"/>
        </w:rPr>
        <w:t>B</w:t>
      </w:r>
      <w:r w:rsidR="00C65F71">
        <w:rPr>
          <w:rFonts w:cs="Arial"/>
          <w:b/>
          <w:bCs/>
          <w:szCs w:val="22"/>
        </w:rPr>
        <w:t xml:space="preserve"> to </w:t>
      </w:r>
      <w:r w:rsidR="0031140D" w:rsidRPr="007569D2">
        <w:rPr>
          <w:rFonts w:cs="Arial"/>
          <w:b/>
          <w:bCs/>
          <w:szCs w:val="22"/>
        </w:rPr>
        <w:t>F</w:t>
      </w:r>
      <w:r w:rsidR="0031140D" w:rsidRPr="00A71FCF">
        <w:rPr>
          <w:rFonts w:cs="Arial"/>
          <w:szCs w:val="22"/>
        </w:rPr>
        <w:t xml:space="preserve">). This would suggest that the depletion method did not completely remove the targeted enzymes from the lysate proteome, but evidently allows a degree of targeted protein depletion that results in significant metabolic changes.  </w:t>
      </w:r>
      <w:bookmarkEnd w:id="65"/>
    </w:p>
    <w:p w14:paraId="3BF7625E" w14:textId="7D24791D" w:rsidR="0031140D" w:rsidRPr="00A71FCF" w:rsidRDefault="0031140D" w:rsidP="0039202C">
      <w:pPr>
        <w:ind w:firstLine="720"/>
        <w:contextualSpacing/>
        <w:rPr>
          <w:rFonts w:cs="Arial"/>
          <w:b/>
          <w:bCs/>
          <w:szCs w:val="22"/>
        </w:rPr>
      </w:pPr>
      <w:r w:rsidRPr="00A71FCF">
        <w:rPr>
          <w:rFonts w:cs="Arial"/>
          <w:szCs w:val="22"/>
        </w:rPr>
        <w:t xml:space="preserve">The targeted depletion of </w:t>
      </w:r>
      <w:proofErr w:type="spellStart"/>
      <w:r w:rsidRPr="00A71FCF">
        <w:rPr>
          <w:rFonts w:cs="Arial"/>
          <w:szCs w:val="22"/>
        </w:rPr>
        <w:t>PflB</w:t>
      </w:r>
      <w:proofErr w:type="spellEnd"/>
      <w:r w:rsidRPr="00A71FCF">
        <w:rPr>
          <w:rFonts w:cs="Arial"/>
          <w:szCs w:val="22"/>
        </w:rPr>
        <w:t xml:space="preserve"> from the 6xHis-</w:t>
      </w:r>
      <w:r w:rsidRPr="00A71FCF">
        <w:rPr>
          <w:rFonts w:cs="Arial"/>
          <w:i/>
          <w:iCs/>
          <w:szCs w:val="22"/>
        </w:rPr>
        <w:t>pflB</w:t>
      </w:r>
      <w:r w:rsidRPr="00A71FCF">
        <w:rPr>
          <w:rFonts w:cs="Arial"/>
          <w:szCs w:val="22"/>
        </w:rPr>
        <w:t xml:space="preserve"> extract results in a metabolic profile that is similar to its control counterpart in that neither accumulate pyruvate (</w:t>
      </w:r>
      <w:r w:rsidR="00405F98">
        <w:rPr>
          <w:rFonts w:cs="Arial"/>
          <w:b/>
          <w:bCs/>
          <w:szCs w:val="22"/>
        </w:rPr>
        <w:t>Figure</w:t>
      </w:r>
      <w:r w:rsidRPr="007569D2">
        <w:rPr>
          <w:rFonts w:cs="Arial"/>
          <w:b/>
          <w:bCs/>
          <w:szCs w:val="22"/>
        </w:rPr>
        <w:t xml:space="preserve"> </w:t>
      </w:r>
      <w:r w:rsidR="007569D2">
        <w:rPr>
          <w:rFonts w:cs="Arial"/>
          <w:b/>
          <w:bCs/>
          <w:szCs w:val="22"/>
        </w:rPr>
        <w:t>3.</w:t>
      </w:r>
      <w:r w:rsidRPr="007569D2">
        <w:rPr>
          <w:rFonts w:cs="Arial"/>
          <w:b/>
          <w:bCs/>
          <w:szCs w:val="22"/>
        </w:rPr>
        <w:t>4B</w:t>
      </w:r>
      <w:r w:rsidRPr="00A71FCF">
        <w:rPr>
          <w:rFonts w:cs="Arial"/>
          <w:szCs w:val="22"/>
        </w:rPr>
        <w:t xml:space="preserve">).  Changes in glucose consumption and lactate, ethanol, acetate, and </w:t>
      </w:r>
      <w:proofErr w:type="spellStart"/>
      <w:r w:rsidRPr="00A71FCF">
        <w:rPr>
          <w:rFonts w:cs="Arial"/>
          <w:szCs w:val="22"/>
        </w:rPr>
        <w:t>formate</w:t>
      </w:r>
      <w:proofErr w:type="spellEnd"/>
      <w:r w:rsidRPr="00A71FCF">
        <w:rPr>
          <w:rFonts w:cs="Arial"/>
          <w:szCs w:val="22"/>
        </w:rPr>
        <w:t xml:space="preserve"> production between the depleted 6xHis-</w:t>
      </w:r>
      <w:r w:rsidRPr="00A71FCF">
        <w:rPr>
          <w:rFonts w:cs="Arial"/>
          <w:i/>
          <w:iCs/>
          <w:szCs w:val="22"/>
        </w:rPr>
        <w:t xml:space="preserve">pflB </w:t>
      </w:r>
      <w:r w:rsidRPr="00A71FCF">
        <w:rPr>
          <w:rFonts w:cs="Arial"/>
          <w:szCs w:val="22"/>
        </w:rPr>
        <w:t>and WT lysates, relative to their nondepleted controls, are also insignificant (</w:t>
      </w:r>
      <w:r w:rsidR="00405F98">
        <w:rPr>
          <w:rFonts w:cs="Arial"/>
          <w:b/>
          <w:bCs/>
          <w:szCs w:val="22"/>
        </w:rPr>
        <w:t>Figures</w:t>
      </w:r>
      <w:r w:rsidRPr="007569D2">
        <w:rPr>
          <w:rFonts w:cs="Arial"/>
          <w:b/>
          <w:bCs/>
          <w:szCs w:val="22"/>
        </w:rPr>
        <w:t xml:space="preserve"> </w:t>
      </w:r>
      <w:r w:rsidR="007569D2" w:rsidRPr="007569D2">
        <w:rPr>
          <w:rFonts w:cs="Arial"/>
          <w:b/>
          <w:bCs/>
          <w:szCs w:val="22"/>
        </w:rPr>
        <w:t>3.</w:t>
      </w:r>
      <w:r w:rsidRPr="007569D2">
        <w:rPr>
          <w:rFonts w:cs="Arial"/>
          <w:b/>
          <w:bCs/>
          <w:szCs w:val="22"/>
        </w:rPr>
        <w:t>4A,</w:t>
      </w:r>
      <w:r w:rsidR="00C65F71">
        <w:rPr>
          <w:rFonts w:cs="Arial"/>
          <w:b/>
          <w:bCs/>
          <w:szCs w:val="22"/>
        </w:rPr>
        <w:t xml:space="preserve"> C to </w:t>
      </w:r>
      <w:r w:rsidRPr="007569D2">
        <w:rPr>
          <w:rFonts w:cs="Arial"/>
          <w:b/>
          <w:bCs/>
          <w:szCs w:val="22"/>
        </w:rPr>
        <w:t>F</w:t>
      </w:r>
      <w:r w:rsidRPr="00A71FCF">
        <w:rPr>
          <w:rFonts w:cs="Arial"/>
          <w:szCs w:val="22"/>
        </w:rPr>
        <w:t xml:space="preserve">). This metabolic phenotype could be expected considering that </w:t>
      </w:r>
      <w:proofErr w:type="spellStart"/>
      <w:r w:rsidRPr="00A71FCF">
        <w:rPr>
          <w:rFonts w:cs="Arial"/>
          <w:szCs w:val="22"/>
        </w:rPr>
        <w:t>Pdh</w:t>
      </w:r>
      <w:proofErr w:type="spellEnd"/>
      <w:r w:rsidRPr="00A71FCF">
        <w:rPr>
          <w:rFonts w:cs="Arial"/>
          <w:szCs w:val="22"/>
        </w:rPr>
        <w:t xml:space="preserve"> activity is active in crude extracts of </w:t>
      </w:r>
      <w:r w:rsidRPr="00A71FCF">
        <w:rPr>
          <w:rFonts w:cs="Arial"/>
          <w:i/>
          <w:iCs/>
          <w:szCs w:val="22"/>
        </w:rPr>
        <w:t>E. coli</w:t>
      </w:r>
      <w:r w:rsidRPr="00A71FCF">
        <w:rPr>
          <w:rFonts w:cs="Arial"/>
          <w:szCs w:val="22"/>
        </w:rPr>
        <w:fldChar w:fldCharType="begin" w:fldLock="1"/>
      </w:r>
      <w:r w:rsidR="00567FF4">
        <w:rPr>
          <w:rFonts w:cs="Arial"/>
          <w:szCs w:val="22"/>
        </w:rPr>
        <w:instrText>ADDIN CSL_CITATION {"citationItems":[{"id":"ITEM-1","itemData":{"DOI":"10.1111/j.1574-6968.1993.tb06586.x","ISSN":"03781097","PMID":"8288104","abstract":"The effect of NADH on the activity of the purified pyruvate dehydrogenase complexes (PDHc) of Enterococcus (Ec.) faecalis, Lactococcus lactis, Azotobacter vinelandii and Escherichia coli was determined in vitro. It was found that the PDHc of E. coli and L. lactis was active only at relatively low NADH/NAD ratios, whereas the PDHc of Ec. faecalis was inhibited only at high NADH/NAD ratios. The PDHc of Azotobacter vinelandii showed an intermediate sensitivity. The organisms were grown in chemostat culture under conditions that led to different intracellular NADH/NAD ratios and the PDHc activities in vivo could be calculated from the specific rates of product formation. Under anaerobic growth conditions, only Ec. faecelis expressed PDHc activity in vivo. The activities in vivo of the complexes of the different organisms were in good agreement with their properties determined in vitro. The physiological consequences of these results are discussed. © 1993.","author":[{"dropping-particle":"","family":"Snoep","given":"Jacky L.","non-dropping-particle":"","parse-names":false,"suffix":""},{"dropping-particle":"","family":"Graef","given":"Mark R.","non-dropping-particle":"de","parse-names":false,"suffix":""},{"dropping-particle":"","family":"Westphal","given":"Adrie H.","non-dropping-particle":"","parse-names":false,"suffix":""},{"dropping-particle":"","family":"Kok","given":"Arie","non-dropping-particle":"de","parse-names":false,"suffix":""},{"dropping-particle":"","family":"Joost Teixeira de Mattos","given":"M.","non-dropping-particle":"","parse-names":false,"suffix":""},{"dropping-particle":"","family":"Neijssel","given":"Oense M.","non-dropping-particle":"","parse-names":false,"suffix":""}],"container-title":"FEMS Microbiology Letters","id":"ITEM-1","issue":"3","issued":{"date-parts":[["1993","12","15"]]},"page":"279-283","publisher":"FEMS Microbiol Lett","title":"Differences in sensitivity to NADH of purified pyruvate dehydrogenase complexes of Enterococcus faecalis, Lactococcus lactis, Azotobacter vinelandii and Escherichia coli: Implications for their activity in vivo","type":"article-journal","volume":"114"},"uris":["http://www.mendeley.com/documents/?uuid=6bc3ee26-d9fe-3c42-b669-927e679e22a0"]}],"mendeley":{"formattedCitation":"&lt;sup&gt;112&lt;/sup&gt;","plainTextFormattedCitation":"112","previouslyFormattedCitation":"&lt;sup&gt;112&lt;/sup&gt;"},"properties":{"noteIndex":0},"schema":"https://github.com/citation-style-language/schema/raw/master/csl-citation.json"}</w:instrText>
      </w:r>
      <w:r w:rsidRPr="00A71FCF">
        <w:rPr>
          <w:rFonts w:cs="Arial"/>
          <w:szCs w:val="22"/>
        </w:rPr>
        <w:fldChar w:fldCharType="separate"/>
      </w:r>
      <w:r w:rsidR="00567FF4" w:rsidRPr="00567FF4">
        <w:rPr>
          <w:rFonts w:cs="Arial"/>
          <w:noProof/>
          <w:szCs w:val="22"/>
          <w:vertAlign w:val="superscript"/>
        </w:rPr>
        <w:t>112</w:t>
      </w:r>
      <w:r w:rsidRPr="00A71FCF">
        <w:rPr>
          <w:rFonts w:cs="Arial"/>
          <w:szCs w:val="22"/>
        </w:rPr>
        <w:fldChar w:fldCharType="end"/>
      </w:r>
      <w:r w:rsidRPr="00A71FCF">
        <w:rPr>
          <w:rFonts w:cs="Arial"/>
          <w:szCs w:val="22"/>
        </w:rPr>
        <w:t xml:space="preserve">. The </w:t>
      </w:r>
      <w:proofErr w:type="spellStart"/>
      <w:r w:rsidRPr="00A71FCF">
        <w:rPr>
          <w:rFonts w:cs="Arial"/>
          <w:szCs w:val="22"/>
        </w:rPr>
        <w:t>Pdh</w:t>
      </w:r>
      <w:proofErr w:type="spellEnd"/>
      <w:r w:rsidRPr="00A71FCF">
        <w:rPr>
          <w:rFonts w:cs="Arial"/>
          <w:szCs w:val="22"/>
        </w:rPr>
        <w:t xml:space="preserve"> complex has a higher affinity for pyruvate than </w:t>
      </w:r>
      <w:proofErr w:type="spellStart"/>
      <w:r w:rsidRPr="00A71FCF">
        <w:rPr>
          <w:rFonts w:cs="Arial"/>
          <w:szCs w:val="22"/>
        </w:rPr>
        <w:t>PflB</w:t>
      </w:r>
      <w:proofErr w:type="spellEnd"/>
      <w:r w:rsidRPr="00A71FCF">
        <w:rPr>
          <w:rFonts w:cs="Arial"/>
          <w:szCs w:val="22"/>
        </w:rPr>
        <w:t xml:space="preserve"> (</w:t>
      </w:r>
      <w:r w:rsidRPr="00A71FCF">
        <w:rPr>
          <w:rFonts w:cs="Arial"/>
          <w:i/>
          <w:iCs/>
          <w:szCs w:val="22"/>
        </w:rPr>
        <w:t>K</w:t>
      </w:r>
      <w:r w:rsidRPr="00A71FCF">
        <w:rPr>
          <w:rFonts w:cs="Arial"/>
          <w:i/>
          <w:iCs/>
          <w:szCs w:val="22"/>
          <w:vertAlign w:val="subscript"/>
        </w:rPr>
        <w:t>m</w:t>
      </w:r>
      <w:r w:rsidRPr="00A71FCF">
        <w:rPr>
          <w:rFonts w:cs="Arial"/>
          <w:szCs w:val="22"/>
        </w:rPr>
        <w:t xml:space="preserve"> = 0.4 versus 2.0 mM ,respectively) when its activity is not inhibited by NADH such as in the presence of an NADH sink like </w:t>
      </w:r>
      <w:proofErr w:type="spellStart"/>
      <w:r w:rsidRPr="00A71FCF">
        <w:rPr>
          <w:rFonts w:cs="Arial"/>
          <w:szCs w:val="22"/>
        </w:rPr>
        <w:t>LdhA</w:t>
      </w:r>
      <w:proofErr w:type="spellEnd"/>
      <w:r w:rsidRPr="00A71FCF">
        <w:rPr>
          <w:rFonts w:cs="Arial"/>
          <w:szCs w:val="22"/>
        </w:rPr>
        <w:t xml:space="preserve"> (</w:t>
      </w:r>
      <w:r w:rsidR="00405F98">
        <w:rPr>
          <w:rFonts w:cs="Arial"/>
          <w:b/>
          <w:bCs/>
          <w:szCs w:val="22"/>
        </w:rPr>
        <w:t>Figure</w:t>
      </w:r>
      <w:r w:rsidRPr="007569D2">
        <w:rPr>
          <w:rFonts w:cs="Arial"/>
          <w:b/>
          <w:bCs/>
          <w:szCs w:val="22"/>
        </w:rPr>
        <w:t xml:space="preserve"> </w:t>
      </w:r>
      <w:r w:rsidR="007569D2" w:rsidRPr="007569D2">
        <w:rPr>
          <w:rFonts w:cs="Arial"/>
          <w:b/>
          <w:bCs/>
          <w:szCs w:val="22"/>
        </w:rPr>
        <w:t>3.</w:t>
      </w:r>
      <w:r w:rsidRPr="007569D2">
        <w:rPr>
          <w:rFonts w:cs="Arial"/>
          <w:b/>
          <w:bCs/>
          <w:szCs w:val="22"/>
        </w:rPr>
        <w:t>2</w:t>
      </w:r>
      <w:r w:rsidRPr="00A71FCF">
        <w:rPr>
          <w:rFonts w:cs="Arial"/>
          <w:szCs w:val="22"/>
        </w:rPr>
        <w:t>)</w:t>
      </w:r>
      <w:r w:rsidRPr="00A71FCF">
        <w:rPr>
          <w:rFonts w:cs="Arial"/>
          <w:szCs w:val="22"/>
        </w:rPr>
        <w:fldChar w:fldCharType="begin" w:fldLock="1"/>
      </w:r>
      <w:r w:rsidR="00567FF4">
        <w:rPr>
          <w:rFonts w:cs="Arial"/>
          <w:szCs w:val="22"/>
        </w:rPr>
        <w:instrText>ADDIN CSL_CITATION {"citationItems":[{"id":"ITEM-1","itemData":{"DOI":"10.1128/AEM.02545-09","ISSN":"00992240","PMID":"20118372","abstract":"During anaerobic growth of Escherichia coli, pyruvate formate-lyase (PFL) and lactate dehydrogenase (LDH) channel pyruvate toward a mixture of fermentation products. We have introduced a third branch at the pyruvate node in a mutant of E. coli with a mutation in pyruvate dehydrogenase (PDH*) that renders the enzyme less sensitive to inhibition by NADH. The key starting enzymes of the three branches at the pyruvate node in such a mutant, PDH*, PFL, and LDH, have different metabolic potentials and kinetic properties. In such a mutant (strain QZ2), pyruvate flux through LDH was about 30%, with the remainder of the flux occurring through PFL, indicating that LDH is a preferred route of pyruvate conversion over PDH*. In a pfl mutant (strain YKl67) with both PDH* and LDH activities, flux through PDH* was about 33% of the total, confirming the ability of LDH to outcompete the PDH pathway for pyruvate in vivo. Only in the absence of LDH (strain QZ3) was pyruvate carbon equally distributed between the PDH* and PFL pathways. Apfl mutant with LDH and PDH* activities, as well as a pfl ldh double mutant with PDH* activity, had a surprisingly low cell yield per mole of ATP (Y ATP) (about 7.0 g of cells per mol of ATP) compared to 10.9 g of cells per mol of ATP for the wild type. The lower YATP suggests the operation of a futile energy cycle in the absence of PFL in this strain. An understanding of the controls at the pyruvate node during anaerobic growth is expected to provide unique insights into rational metabolic engineering of E. coli and related bacteria for the production of various biobased products at high rates and yields. Copyright © 2010, American Society for Microbiology. All Rights Reserved.","author":[{"dropping-particle":"","family":"Wang","given":"Qingzhao","non-dropping-particle":"","parse-names":false,"suffix":""},{"dropping-particle":"","family":"Ou","given":"Mark S.","non-dropping-particle":"","parse-names":false,"suffix":""},{"dropping-particle":"","family":"Kim","given":"Y.","non-dropping-particle":"","parse-names":false,"suffix":""},{"dropping-particle":"","family":"Ingram","given":"L. O.","non-dropping-particle":"","parse-names":false,"suffix":""},{"dropping-particle":"","family":"Shanmugam","given":"K. T.","non-dropping-particle":"","parse-names":false,"suffix":""}],"container-title":"Applied and Environmental Microbiology","id":"ITEM-1","issue":"7","issued":{"date-parts":[["2010","4","1"]]},"page":"2107-2114","publisher":"American Society for Microbiology","title":"Metabolie flux control at the pyruvate node in an anaerobic escherichia coli strain with an active pyruvate dehydrogenase","type":"article-journal","volume":"76"},"uris":["http://www.mendeley.com/documents/?uuid=6ffafc4d-2eb8-3b2f-8291-5d17baba9fe9"]}],"mendeley":{"formattedCitation":"&lt;sup&gt;109&lt;/sup&gt;","plainTextFormattedCitation":"109","previouslyFormattedCitation":"&lt;sup&gt;109&lt;/sup&gt;"},"properties":{"noteIndex":0},"schema":"https://github.com/citation-style-language/schema/raw/master/csl-citation.json"}</w:instrText>
      </w:r>
      <w:r w:rsidRPr="00A71FCF">
        <w:rPr>
          <w:rFonts w:cs="Arial"/>
          <w:szCs w:val="22"/>
        </w:rPr>
        <w:fldChar w:fldCharType="separate"/>
      </w:r>
      <w:r w:rsidR="00567FF4" w:rsidRPr="00567FF4">
        <w:rPr>
          <w:rFonts w:cs="Arial"/>
          <w:noProof/>
          <w:szCs w:val="22"/>
          <w:vertAlign w:val="superscript"/>
        </w:rPr>
        <w:t>109</w:t>
      </w:r>
      <w:r w:rsidRPr="00A71FCF">
        <w:rPr>
          <w:rFonts w:cs="Arial"/>
          <w:szCs w:val="22"/>
        </w:rPr>
        <w:fldChar w:fldCharType="end"/>
      </w:r>
      <w:r w:rsidRPr="00A71FCF">
        <w:rPr>
          <w:rFonts w:cs="Arial"/>
          <w:szCs w:val="22"/>
        </w:rPr>
        <w:t>.</w:t>
      </w:r>
      <w:r w:rsidRPr="00A71FCF">
        <w:rPr>
          <w:rFonts w:cs="Arial"/>
          <w:b/>
          <w:bCs/>
          <w:szCs w:val="22"/>
        </w:rPr>
        <w:t xml:space="preserve"> </w:t>
      </w:r>
      <w:r w:rsidRPr="00A71FCF">
        <w:rPr>
          <w:rFonts w:cs="Arial"/>
          <w:szCs w:val="22"/>
        </w:rPr>
        <w:t xml:space="preserve">Thus, regardless of whether </w:t>
      </w:r>
      <w:proofErr w:type="spellStart"/>
      <w:r w:rsidRPr="00A71FCF">
        <w:rPr>
          <w:rFonts w:cs="Arial"/>
          <w:szCs w:val="22"/>
        </w:rPr>
        <w:t>PflB</w:t>
      </w:r>
      <w:proofErr w:type="spellEnd"/>
      <w:r w:rsidRPr="00A71FCF">
        <w:rPr>
          <w:rFonts w:cs="Arial"/>
          <w:szCs w:val="22"/>
        </w:rPr>
        <w:t xml:space="preserve"> concentrations are decreased, </w:t>
      </w:r>
      <w:proofErr w:type="spellStart"/>
      <w:r w:rsidRPr="00A71FCF">
        <w:rPr>
          <w:rFonts w:cs="Arial"/>
          <w:szCs w:val="22"/>
        </w:rPr>
        <w:t>Pdh</w:t>
      </w:r>
      <w:proofErr w:type="spellEnd"/>
      <w:r w:rsidRPr="00A71FCF">
        <w:rPr>
          <w:rFonts w:cs="Arial"/>
          <w:szCs w:val="22"/>
        </w:rPr>
        <w:t xml:space="preserve"> could likely be an active route for flux towards ethanol and acetate in this lysate.</w:t>
      </w:r>
    </w:p>
    <w:p w14:paraId="18AF71BD" w14:textId="71B3F684" w:rsidR="0039202C" w:rsidRDefault="0031140D" w:rsidP="0039202C">
      <w:pPr>
        <w:ind w:firstLine="720"/>
        <w:contextualSpacing/>
        <w:rPr>
          <w:rFonts w:cs="Arial"/>
          <w:szCs w:val="22"/>
        </w:rPr>
      </w:pPr>
      <w:r w:rsidRPr="00A71FCF">
        <w:rPr>
          <w:rFonts w:cs="Arial"/>
          <w:szCs w:val="22"/>
        </w:rPr>
        <w:t xml:space="preserve">The lysate with targeted depletions of both </w:t>
      </w:r>
      <w:proofErr w:type="spellStart"/>
      <w:r w:rsidRPr="00A71FCF">
        <w:rPr>
          <w:rFonts w:cs="Arial"/>
          <w:szCs w:val="22"/>
        </w:rPr>
        <w:t>PflB</w:t>
      </w:r>
      <w:proofErr w:type="spellEnd"/>
      <w:r w:rsidRPr="00A71FCF">
        <w:rPr>
          <w:rFonts w:cs="Arial"/>
          <w:szCs w:val="22"/>
        </w:rPr>
        <w:t xml:space="preserve"> and </w:t>
      </w:r>
      <w:proofErr w:type="spellStart"/>
      <w:r w:rsidRPr="00A71FCF">
        <w:rPr>
          <w:rFonts w:cs="Arial"/>
          <w:szCs w:val="22"/>
        </w:rPr>
        <w:t>LdhA</w:t>
      </w:r>
      <w:proofErr w:type="spellEnd"/>
      <w:r w:rsidRPr="00A71FCF">
        <w:rPr>
          <w:rFonts w:cs="Arial"/>
          <w:szCs w:val="22"/>
        </w:rPr>
        <w:t xml:space="preserve"> (6xHis-2, depleted) pooled 32 mM pyruvate relative to its nondepleted control in 3 h (</w:t>
      </w:r>
      <w:r w:rsidR="00405F98">
        <w:rPr>
          <w:rFonts w:cs="Arial"/>
          <w:b/>
          <w:bCs/>
          <w:szCs w:val="22"/>
        </w:rPr>
        <w:t>Figure</w:t>
      </w:r>
      <w:r w:rsidRPr="007569D2">
        <w:rPr>
          <w:rFonts w:cs="Arial"/>
          <w:b/>
          <w:bCs/>
          <w:szCs w:val="22"/>
        </w:rPr>
        <w:t xml:space="preserve"> </w:t>
      </w:r>
      <w:r w:rsidR="007569D2" w:rsidRPr="007569D2">
        <w:rPr>
          <w:rFonts w:cs="Arial"/>
          <w:b/>
          <w:bCs/>
          <w:szCs w:val="22"/>
        </w:rPr>
        <w:t>3.</w:t>
      </w:r>
      <w:r w:rsidRPr="007569D2">
        <w:rPr>
          <w:rFonts w:cs="Arial"/>
          <w:b/>
          <w:bCs/>
          <w:szCs w:val="22"/>
        </w:rPr>
        <w:t>4B</w:t>
      </w:r>
      <w:r w:rsidRPr="00A71FCF">
        <w:rPr>
          <w:rFonts w:cs="Arial"/>
          <w:szCs w:val="22"/>
        </w:rPr>
        <w:t xml:space="preserve">). This lysate additionally consumed glucose steadily while maintaining a &gt; 30 mM pyruvate concentration until 12 h. The depletion of </w:t>
      </w:r>
      <w:proofErr w:type="spellStart"/>
      <w:r w:rsidRPr="00A71FCF">
        <w:rPr>
          <w:rFonts w:cs="Arial"/>
          <w:szCs w:val="22"/>
        </w:rPr>
        <w:t>LdhA</w:t>
      </w:r>
      <w:proofErr w:type="spellEnd"/>
      <w:r w:rsidRPr="00A71FCF">
        <w:rPr>
          <w:rFonts w:cs="Arial"/>
          <w:szCs w:val="22"/>
        </w:rPr>
        <w:t xml:space="preserve"> is supported by the observation of a lower lactate concentration in reactions run in these lysates compared to their nondepleted counterparts (</w:t>
      </w:r>
      <w:r w:rsidR="00405F98">
        <w:rPr>
          <w:rFonts w:cs="Arial"/>
          <w:b/>
          <w:bCs/>
          <w:szCs w:val="22"/>
        </w:rPr>
        <w:t>Figure</w:t>
      </w:r>
      <w:r w:rsidRPr="007569D2">
        <w:rPr>
          <w:rFonts w:cs="Arial"/>
          <w:b/>
          <w:bCs/>
          <w:szCs w:val="22"/>
        </w:rPr>
        <w:t xml:space="preserve"> </w:t>
      </w:r>
      <w:r w:rsidR="007569D2" w:rsidRPr="007569D2">
        <w:rPr>
          <w:rFonts w:cs="Arial"/>
          <w:b/>
          <w:bCs/>
          <w:szCs w:val="22"/>
        </w:rPr>
        <w:t>3.</w:t>
      </w:r>
      <w:r w:rsidRPr="007569D2">
        <w:rPr>
          <w:rFonts w:cs="Arial"/>
          <w:b/>
          <w:bCs/>
          <w:szCs w:val="22"/>
        </w:rPr>
        <w:t>4C</w:t>
      </w:r>
      <w:r w:rsidRPr="00A71FCF">
        <w:rPr>
          <w:rFonts w:cs="Arial"/>
          <w:szCs w:val="22"/>
        </w:rPr>
        <w:t>). The rapid build-up of ethanol (20 mM in 3 h relative to the control) in these lysates, and the likely increased activation of aldehyde-alcohol dehydrogenase (</w:t>
      </w:r>
      <w:proofErr w:type="spellStart"/>
      <w:r w:rsidRPr="00A71FCF">
        <w:rPr>
          <w:rFonts w:cs="Arial"/>
          <w:szCs w:val="22"/>
        </w:rPr>
        <w:t>AdhE</w:t>
      </w:r>
      <w:proofErr w:type="spellEnd"/>
      <w:r w:rsidRPr="00A71FCF">
        <w:rPr>
          <w:rFonts w:cs="Arial"/>
          <w:szCs w:val="22"/>
        </w:rPr>
        <w:t>) as an alternative sink for NAD</w:t>
      </w:r>
      <w:r w:rsidRPr="00A71FCF">
        <w:rPr>
          <w:rFonts w:cs="Arial"/>
          <w:szCs w:val="22"/>
          <w:vertAlign w:val="superscript"/>
        </w:rPr>
        <w:t>+</w:t>
      </w:r>
      <w:r w:rsidRPr="00A71FCF">
        <w:rPr>
          <w:rFonts w:cs="Arial"/>
          <w:szCs w:val="22"/>
        </w:rPr>
        <w:t xml:space="preserve"> regeneration, also supports successful </w:t>
      </w:r>
      <w:proofErr w:type="spellStart"/>
      <w:r w:rsidRPr="00A71FCF">
        <w:rPr>
          <w:rFonts w:cs="Arial"/>
          <w:szCs w:val="22"/>
        </w:rPr>
        <w:t>LdhA</w:t>
      </w:r>
      <w:proofErr w:type="spellEnd"/>
      <w:r w:rsidRPr="00A71FCF">
        <w:rPr>
          <w:rFonts w:cs="Arial"/>
          <w:szCs w:val="22"/>
        </w:rPr>
        <w:t xml:space="preserve"> depletion (</w:t>
      </w:r>
      <w:r w:rsidR="00405F98">
        <w:rPr>
          <w:rFonts w:cs="Arial"/>
          <w:b/>
          <w:bCs/>
          <w:szCs w:val="22"/>
        </w:rPr>
        <w:t>Figure</w:t>
      </w:r>
      <w:r w:rsidRPr="007569D2">
        <w:rPr>
          <w:rFonts w:cs="Arial"/>
          <w:b/>
          <w:bCs/>
          <w:szCs w:val="22"/>
        </w:rPr>
        <w:t xml:space="preserve"> </w:t>
      </w:r>
      <w:r w:rsidR="007569D2" w:rsidRPr="007569D2">
        <w:rPr>
          <w:rFonts w:cs="Arial"/>
          <w:b/>
          <w:bCs/>
          <w:szCs w:val="22"/>
        </w:rPr>
        <w:t>3.</w:t>
      </w:r>
      <w:r w:rsidRPr="007569D2">
        <w:rPr>
          <w:rFonts w:cs="Arial"/>
          <w:b/>
          <w:bCs/>
          <w:szCs w:val="22"/>
        </w:rPr>
        <w:t xml:space="preserve">2, </w:t>
      </w:r>
      <w:r w:rsidR="00405F98">
        <w:rPr>
          <w:rFonts w:cs="Arial"/>
          <w:b/>
          <w:bCs/>
          <w:szCs w:val="22"/>
        </w:rPr>
        <w:t>Figure</w:t>
      </w:r>
      <w:r w:rsidRPr="007569D2">
        <w:rPr>
          <w:rFonts w:cs="Arial"/>
          <w:b/>
          <w:bCs/>
          <w:szCs w:val="22"/>
        </w:rPr>
        <w:t xml:space="preserve"> </w:t>
      </w:r>
      <w:r w:rsidR="007569D2" w:rsidRPr="007569D2">
        <w:rPr>
          <w:rFonts w:cs="Arial"/>
          <w:b/>
          <w:bCs/>
          <w:szCs w:val="22"/>
        </w:rPr>
        <w:t>3.</w:t>
      </w:r>
      <w:r w:rsidRPr="007569D2">
        <w:rPr>
          <w:rFonts w:cs="Arial"/>
          <w:b/>
          <w:bCs/>
          <w:szCs w:val="22"/>
        </w:rPr>
        <w:t>4D</w:t>
      </w:r>
      <w:r w:rsidRPr="00A71FCF">
        <w:rPr>
          <w:rFonts w:cs="Arial"/>
          <w:szCs w:val="22"/>
        </w:rPr>
        <w:t>)</w:t>
      </w:r>
      <w:r w:rsidRPr="00A71FCF">
        <w:rPr>
          <w:rFonts w:cs="Arial"/>
          <w:b/>
          <w:bCs/>
          <w:szCs w:val="22"/>
        </w:rPr>
        <w:t>.</w:t>
      </w:r>
      <w:r w:rsidRPr="00A71FCF">
        <w:rPr>
          <w:rFonts w:cs="Arial"/>
          <w:szCs w:val="22"/>
        </w:rPr>
        <w:t xml:space="preserve"> Acetate production is also not observed after </w:t>
      </w:r>
      <w:proofErr w:type="spellStart"/>
      <w:r w:rsidRPr="00A71FCF">
        <w:rPr>
          <w:rFonts w:cs="Arial"/>
          <w:szCs w:val="22"/>
        </w:rPr>
        <w:t>LdhA</w:t>
      </w:r>
      <w:proofErr w:type="spellEnd"/>
      <w:r w:rsidRPr="00A71FCF">
        <w:rPr>
          <w:rFonts w:cs="Arial"/>
          <w:szCs w:val="22"/>
        </w:rPr>
        <w:t xml:space="preserve"> depletion, presumably pointing to the increased funneling of acetyl-CoA from the </w:t>
      </w:r>
      <w:proofErr w:type="spellStart"/>
      <w:r w:rsidRPr="00A71FCF">
        <w:rPr>
          <w:rFonts w:cs="Arial"/>
          <w:szCs w:val="22"/>
        </w:rPr>
        <w:t>Pdh</w:t>
      </w:r>
      <w:proofErr w:type="spellEnd"/>
      <w:r w:rsidRPr="00A71FCF">
        <w:rPr>
          <w:rFonts w:cs="Arial"/>
          <w:szCs w:val="22"/>
        </w:rPr>
        <w:t xml:space="preserve"> reaction towards ethanol production to meet redox balance </w:t>
      </w:r>
      <w:r w:rsidRPr="00A71FCF">
        <w:rPr>
          <w:rFonts w:cs="Arial"/>
          <w:szCs w:val="22"/>
        </w:rPr>
        <w:lastRenderedPageBreak/>
        <w:t>(</w:t>
      </w:r>
      <w:r w:rsidR="00405F98">
        <w:rPr>
          <w:rFonts w:cs="Arial"/>
          <w:b/>
          <w:bCs/>
          <w:szCs w:val="22"/>
        </w:rPr>
        <w:t>Figure</w:t>
      </w:r>
      <w:r w:rsidR="007569D2" w:rsidRPr="007569D2">
        <w:rPr>
          <w:rFonts w:cs="Arial"/>
          <w:b/>
          <w:bCs/>
          <w:szCs w:val="22"/>
        </w:rPr>
        <w:t xml:space="preserve"> 3.</w:t>
      </w:r>
      <w:r w:rsidRPr="007569D2">
        <w:rPr>
          <w:rFonts w:cs="Arial"/>
          <w:b/>
          <w:bCs/>
          <w:szCs w:val="22"/>
        </w:rPr>
        <w:t>4E</w:t>
      </w:r>
      <w:r w:rsidRPr="00A71FCF">
        <w:rPr>
          <w:rFonts w:cs="Arial"/>
          <w:szCs w:val="22"/>
        </w:rPr>
        <w:t>). Rather, acetate seems to be increasingly consumed as a secondary carbon source likely for generating more acetyl-CoA through the acetyl-CoA synthetase route (</w:t>
      </w:r>
      <w:r w:rsidR="00405F98">
        <w:rPr>
          <w:rFonts w:cs="Arial"/>
          <w:b/>
          <w:bCs/>
          <w:szCs w:val="22"/>
        </w:rPr>
        <w:t>Figure</w:t>
      </w:r>
      <w:r w:rsidR="007569D2" w:rsidRPr="007569D2">
        <w:rPr>
          <w:rFonts w:cs="Arial"/>
          <w:b/>
          <w:bCs/>
          <w:szCs w:val="22"/>
        </w:rPr>
        <w:t xml:space="preserve"> 3.</w:t>
      </w:r>
      <w:r w:rsidRPr="007569D2">
        <w:rPr>
          <w:rFonts w:cs="Arial"/>
          <w:b/>
          <w:bCs/>
          <w:szCs w:val="22"/>
        </w:rPr>
        <w:t>4E</w:t>
      </w:r>
      <w:r w:rsidRPr="00A71FCF">
        <w:rPr>
          <w:rFonts w:cs="Arial"/>
          <w:szCs w:val="22"/>
        </w:rPr>
        <w:t xml:space="preserve">) </w:t>
      </w:r>
      <w:r w:rsidRPr="00A71FCF">
        <w:rPr>
          <w:rFonts w:cs="Arial"/>
          <w:szCs w:val="22"/>
        </w:rPr>
        <w:fldChar w:fldCharType="begin" w:fldLock="1"/>
      </w:r>
      <w:r w:rsidR="00567FF4">
        <w:rPr>
          <w:rFonts w:cs="Arial"/>
          <w:szCs w:val="22"/>
        </w:rPr>
        <w:instrText>ADDIN CSL_CITATION {"citationItems":[{"id":"ITEM-1","itemData":{"DOI":"10.1128/JB.182.15.4173-4179.2000","ISSN":"00219193","PMID":"10894724","abstract":"Cells of Escherichia coli growing on sugars that result in catabolite repression or amino acids that feed into glycolysis undergo a metabolic switch associated with the production and utilization of acetate. As they divide exponentially, these cells excrete acetate via the phosphotransacetylase-acetate kinase pathway. As they begin the transition to stationary phase, they instead resorb acetate, activate it to acetyl coenzyme A (acetyl- CoA) by means of the enzyme acetyl-CoA synthetase (Acs) and utilize it to generate energy and biosynthetic components via the tricarboxylic acid cycle and the glyoxylate shunt, respectively. Here, we present evidence that this switch occurs primarily through the induction of acs and that the timing and magnitude of this induction depend, in part, on the direct action of the carbon regulator cyclic AMP receptor protein (CRP) and the oxygen regulator FNR. It also depends, probably indirectly, upon the glyoxylate shunt repressor IclR, its activator FadR, and many enzymes involved in acetate metabolism. On the basis of these results, we propose that cells induce acs, and thus their ability to assimilate acetate, in response to rising cyclic AMP levels, falling oxygen partial pressure, and the flux of carbon through acetate-associated pathways.","author":[{"dropping-particle":"","family":"Kumari","given":"Suman","non-dropping-particle":"","parse-names":false,"suffix":""},{"dropping-particle":"","family":"Beatty","given":"Christine M.","non-dropping-particle":"","parse-names":false,"suffix":""},{"dropping-particle":"","family":"Browning","given":"Douglas F.","non-dropping-particle":"","parse-names":false,"suffix":""},{"dropping-particle":"","family":"Busby","given":"Stephen J.W.","non-dropping-particle":"","parse-names":false,"suffix":""},{"dropping-particle":"","family":"Simel","given":"Erica J.","non-dropping-particle":"","parse-names":false,"suffix":""},{"dropping-particle":"","family":"Hovel-Miner","given":"Galadriel","non-dropping-particle":"","parse-names":false,"suffix":""}],"container-title":"Journal of Bacteriology","id":"ITEM-1","issue":"15","issued":{"date-parts":[["2000","8"]]},"page":"4173-4179","publisher":"American Society for Microbiology (ASM)","title":"Regulation of acetyl coenzyme A synthetase in escherichia coli","type":"article-journal","volume":"182"},"uris":["http://www.mendeley.com/documents/?uuid=d760d0c1-d52d-344a-982d-6615d162fb6f"]}],"mendeley":{"formattedCitation":"&lt;sup&gt;120&lt;/sup&gt;","plainTextFormattedCitation":"120","previouslyFormattedCitation":"&lt;sup&gt;120&lt;/sup&gt;"},"properties":{"noteIndex":0},"schema":"https://github.com/citation-style-language/schema/raw/master/csl-citation.json"}</w:instrText>
      </w:r>
      <w:r w:rsidRPr="00A71FCF">
        <w:rPr>
          <w:rFonts w:cs="Arial"/>
          <w:szCs w:val="22"/>
        </w:rPr>
        <w:fldChar w:fldCharType="separate"/>
      </w:r>
      <w:r w:rsidR="00567FF4" w:rsidRPr="00567FF4">
        <w:rPr>
          <w:rFonts w:cs="Arial"/>
          <w:noProof/>
          <w:szCs w:val="22"/>
          <w:vertAlign w:val="superscript"/>
        </w:rPr>
        <w:t>120</w:t>
      </w:r>
      <w:r w:rsidRPr="00A71FCF">
        <w:rPr>
          <w:rFonts w:cs="Arial"/>
          <w:szCs w:val="22"/>
        </w:rPr>
        <w:fldChar w:fldCharType="end"/>
      </w:r>
      <w:r w:rsidRPr="00A71FCF">
        <w:rPr>
          <w:rFonts w:cs="Arial"/>
          <w:szCs w:val="22"/>
        </w:rPr>
        <w:t xml:space="preserve">. On the other hand, the contribution of depleted </w:t>
      </w:r>
      <w:proofErr w:type="spellStart"/>
      <w:r w:rsidRPr="00A71FCF">
        <w:rPr>
          <w:rFonts w:cs="Arial"/>
          <w:szCs w:val="22"/>
        </w:rPr>
        <w:t>PflB</w:t>
      </w:r>
      <w:proofErr w:type="spellEnd"/>
      <w:r w:rsidRPr="00A71FCF">
        <w:rPr>
          <w:rFonts w:cs="Arial"/>
          <w:szCs w:val="22"/>
        </w:rPr>
        <w:t xml:space="preserve"> to the observed metabolic phenotype in reactions run in this 6xHis-2 lysate is not as immediately observable.  However, at time points before 12 hours, there is a notable decrease in lactate and an increased maintenance of high pyruvate concentrations (</w:t>
      </w:r>
      <w:r w:rsidR="00405F98">
        <w:rPr>
          <w:rFonts w:cs="Arial"/>
          <w:b/>
          <w:bCs/>
          <w:szCs w:val="22"/>
        </w:rPr>
        <w:t>Figures</w:t>
      </w:r>
      <w:r w:rsidRPr="007569D2">
        <w:rPr>
          <w:rFonts w:cs="Arial"/>
          <w:b/>
          <w:bCs/>
          <w:szCs w:val="22"/>
        </w:rPr>
        <w:t xml:space="preserve"> </w:t>
      </w:r>
      <w:r w:rsidR="00C65F71">
        <w:rPr>
          <w:rFonts w:cs="Arial"/>
          <w:b/>
          <w:bCs/>
          <w:szCs w:val="22"/>
        </w:rPr>
        <w:t>3.</w:t>
      </w:r>
      <w:r w:rsidRPr="007569D2">
        <w:rPr>
          <w:rFonts w:cs="Arial"/>
          <w:b/>
          <w:bCs/>
          <w:szCs w:val="22"/>
        </w:rPr>
        <w:t xml:space="preserve">4B </w:t>
      </w:r>
      <w:r w:rsidR="007569D2" w:rsidRPr="007569D2">
        <w:rPr>
          <w:rFonts w:cs="Arial"/>
          <w:b/>
          <w:bCs/>
          <w:szCs w:val="22"/>
        </w:rPr>
        <w:t>&amp;</w:t>
      </w:r>
      <w:r w:rsidRPr="007569D2">
        <w:rPr>
          <w:rFonts w:cs="Arial"/>
          <w:b/>
          <w:bCs/>
          <w:szCs w:val="22"/>
        </w:rPr>
        <w:t xml:space="preserve"> C</w:t>
      </w:r>
      <w:r w:rsidRPr="00A71FCF">
        <w:rPr>
          <w:rFonts w:cs="Arial"/>
          <w:szCs w:val="22"/>
        </w:rPr>
        <w:t>). In comparison, the depleted 6xHis-</w:t>
      </w:r>
      <w:r w:rsidRPr="00A71FCF">
        <w:rPr>
          <w:rFonts w:cs="Arial"/>
          <w:i/>
          <w:iCs/>
          <w:szCs w:val="22"/>
        </w:rPr>
        <w:t xml:space="preserve">ldhA </w:t>
      </w:r>
      <w:r w:rsidRPr="00A71FCF">
        <w:rPr>
          <w:rFonts w:cs="Arial"/>
          <w:szCs w:val="22"/>
        </w:rPr>
        <w:t>lysate was not as efficient at retaining high pyruvate concentrations as the depleted 6xHis-2 lysate (</w:t>
      </w:r>
      <w:r w:rsidR="00405F98">
        <w:rPr>
          <w:rFonts w:cs="Arial"/>
          <w:b/>
          <w:bCs/>
          <w:szCs w:val="22"/>
        </w:rPr>
        <w:t>Figure</w:t>
      </w:r>
      <w:r w:rsidRPr="007569D2">
        <w:rPr>
          <w:rFonts w:cs="Arial"/>
          <w:b/>
          <w:bCs/>
          <w:szCs w:val="22"/>
        </w:rPr>
        <w:t xml:space="preserve"> </w:t>
      </w:r>
      <w:r w:rsidR="00C65F71">
        <w:rPr>
          <w:rFonts w:cs="Arial"/>
          <w:b/>
          <w:bCs/>
          <w:szCs w:val="22"/>
        </w:rPr>
        <w:t>3.</w:t>
      </w:r>
      <w:r w:rsidRPr="007569D2">
        <w:rPr>
          <w:rFonts w:cs="Arial"/>
          <w:b/>
          <w:bCs/>
          <w:szCs w:val="22"/>
        </w:rPr>
        <w:t>4B</w:t>
      </w:r>
      <w:r w:rsidRPr="00A71FCF">
        <w:rPr>
          <w:rFonts w:cs="Arial"/>
          <w:szCs w:val="22"/>
        </w:rPr>
        <w:t xml:space="preserve">). The depletion of both </w:t>
      </w:r>
      <w:proofErr w:type="spellStart"/>
      <w:r w:rsidRPr="00A71FCF">
        <w:rPr>
          <w:rFonts w:cs="Arial"/>
          <w:szCs w:val="22"/>
        </w:rPr>
        <w:t>LdhA</w:t>
      </w:r>
      <w:proofErr w:type="spellEnd"/>
      <w:r w:rsidRPr="00A71FCF">
        <w:rPr>
          <w:rFonts w:cs="Arial"/>
          <w:szCs w:val="22"/>
        </w:rPr>
        <w:t xml:space="preserve"> and </w:t>
      </w:r>
      <w:proofErr w:type="spellStart"/>
      <w:r w:rsidRPr="00A71FCF">
        <w:rPr>
          <w:rFonts w:cs="Arial"/>
          <w:szCs w:val="22"/>
        </w:rPr>
        <w:t>PflB</w:t>
      </w:r>
      <w:proofErr w:type="spellEnd"/>
      <w:r w:rsidRPr="00A71FCF">
        <w:rPr>
          <w:rFonts w:cs="Arial"/>
          <w:szCs w:val="22"/>
        </w:rPr>
        <w:t xml:space="preserve"> from the 6xHis-2 extract may funnel pyruvate flux through </w:t>
      </w:r>
      <w:proofErr w:type="spellStart"/>
      <w:r w:rsidRPr="00A71FCF">
        <w:rPr>
          <w:rFonts w:cs="Arial"/>
          <w:szCs w:val="22"/>
        </w:rPr>
        <w:t>Pdh</w:t>
      </w:r>
      <w:proofErr w:type="spellEnd"/>
      <w:r w:rsidRPr="00A71FCF">
        <w:rPr>
          <w:rFonts w:cs="Arial"/>
          <w:szCs w:val="22"/>
        </w:rPr>
        <w:t xml:space="preserve">, a claim bolstered by previous work showing NADH-insensitive </w:t>
      </w:r>
      <w:proofErr w:type="spellStart"/>
      <w:r w:rsidRPr="00A71FCF">
        <w:rPr>
          <w:rFonts w:cs="Arial"/>
          <w:szCs w:val="22"/>
        </w:rPr>
        <w:t>Pdh</w:t>
      </w:r>
      <w:proofErr w:type="spellEnd"/>
      <w:r w:rsidRPr="00A71FCF">
        <w:rPr>
          <w:rFonts w:cs="Arial"/>
          <w:szCs w:val="22"/>
        </w:rPr>
        <w:t xml:space="preserve"> to limit glucose fermentation</w:t>
      </w:r>
      <w:r w:rsidRPr="00A71FCF">
        <w:rPr>
          <w:rFonts w:cs="Arial"/>
          <w:i/>
          <w:iCs/>
          <w:szCs w:val="22"/>
        </w:rPr>
        <w:t xml:space="preserve"> </w:t>
      </w:r>
      <w:r w:rsidRPr="00A71FCF">
        <w:rPr>
          <w:rFonts w:cs="Arial"/>
          <w:szCs w:val="22"/>
        </w:rPr>
        <w:t xml:space="preserve">in the absence of both </w:t>
      </w:r>
      <w:proofErr w:type="spellStart"/>
      <w:r w:rsidRPr="00A71FCF">
        <w:rPr>
          <w:rFonts w:cs="Arial"/>
          <w:szCs w:val="22"/>
        </w:rPr>
        <w:t>PflB</w:t>
      </w:r>
      <w:proofErr w:type="spellEnd"/>
      <w:r w:rsidRPr="00A71FCF">
        <w:rPr>
          <w:rFonts w:cs="Arial"/>
          <w:szCs w:val="22"/>
        </w:rPr>
        <w:t xml:space="preserve"> and LdhA</w:t>
      </w:r>
      <w:r w:rsidRPr="00A71FCF">
        <w:rPr>
          <w:rFonts w:cs="Arial"/>
          <w:szCs w:val="22"/>
        </w:rPr>
        <w:fldChar w:fldCharType="begin" w:fldLock="1"/>
      </w:r>
      <w:r w:rsidR="00567FF4">
        <w:rPr>
          <w:rFonts w:cs="Arial"/>
          <w:szCs w:val="22"/>
        </w:rPr>
        <w:instrText>ADDIN CSL_CITATION {"citationItems":[{"id":"ITEM-1","itemData":{"DOI":"10.1128/AEM.02545-09","ISSN":"00992240","PMID":"20118372","abstract":"During anaerobic growth of Escherichia coli, pyruvate formate-lyase (PFL) and lactate dehydrogenase (LDH) channel pyruvate toward a mixture of fermentation products. We have introduced a third branch at the pyruvate node in a mutant of E. coli with a mutation in pyruvate dehydrogenase (PDH*) that renders the enzyme less sensitive to inhibition by NADH. The key starting enzymes of the three branches at the pyruvate node in such a mutant, PDH*, PFL, and LDH, have different metabolic potentials and kinetic properties. In such a mutant (strain QZ2), pyruvate flux through LDH was about 30%, with the remainder of the flux occurring through PFL, indicating that LDH is a preferred route of pyruvate conversion over PDH*. In a pfl mutant (strain YKl67) with both PDH* and LDH activities, flux through PDH* was about 33% of the total, confirming the ability of LDH to outcompete the PDH pathway for pyruvate in vivo. Only in the absence of LDH (strain QZ3) was pyruvate carbon equally distributed between the PDH* and PFL pathways. Apfl mutant with LDH and PDH* activities, as well as a pfl ldh double mutant with PDH* activity, had a surprisingly low cell yield per mole of ATP (Y ATP) (about 7.0 g of cells per mol of ATP) compared to 10.9 g of cells per mol of ATP for the wild type. The lower YATP suggests the operation of a futile energy cycle in the absence of PFL in this strain. An understanding of the controls at the pyruvate node during anaerobic growth is expected to provide unique insights into rational metabolic engineering of E. coli and related bacteria for the production of various biobased products at high rates and yields. Copyright © 2010, American Society for Microbiology. All Rights Reserved.","author":[{"dropping-particle":"","family":"Wang","given":"Qingzhao","non-dropping-particle":"","parse-names":false,"suffix":""},{"dropping-particle":"","family":"Ou","given":"Mark S.","non-dropping-particle":"","parse-names":false,"suffix":""},{"dropping-particle":"","family":"Kim","given":"Y.","non-dropping-particle":"","parse-names":false,"suffix":""},{"dropping-particle":"","family":"Ingram","given":"L. O.","non-dropping-particle":"","parse-names":false,"suffix":""},{"dropping-particle":"","family":"Shanmugam","given":"K. T.","non-dropping-particle":"","parse-names":false,"suffix":""}],"container-title":"Applied and Environmental Microbiology","id":"ITEM-1","issue":"7","issued":{"date-parts":[["2010","4","1"]]},"page":"2107-2114","publisher":"American Society for Microbiology","title":"Metabolie flux control at the pyruvate node in an anaerobic escherichia coli strain with an active pyruvate dehydrogenase","type":"article-journal","volume":"76"},"uris":["http://www.mendeley.com/documents/?uuid=6ffafc4d-2eb8-3b2f-8291-5d17baba9fe9"]}],"mendeley":{"formattedCitation":"&lt;sup&gt;109&lt;/sup&gt;","plainTextFormattedCitation":"109","previouslyFormattedCitation":"&lt;sup&gt;109&lt;/sup&gt;"},"properties":{"noteIndex":0},"schema":"https://github.com/citation-style-language/schema/raw/master/csl-citation.json"}</w:instrText>
      </w:r>
      <w:r w:rsidRPr="00A71FCF">
        <w:rPr>
          <w:rFonts w:cs="Arial"/>
          <w:szCs w:val="22"/>
        </w:rPr>
        <w:fldChar w:fldCharType="separate"/>
      </w:r>
      <w:r w:rsidR="00567FF4" w:rsidRPr="00567FF4">
        <w:rPr>
          <w:rFonts w:cs="Arial"/>
          <w:noProof/>
          <w:szCs w:val="22"/>
          <w:vertAlign w:val="superscript"/>
        </w:rPr>
        <w:t>109</w:t>
      </w:r>
      <w:r w:rsidRPr="00A71FCF">
        <w:rPr>
          <w:rFonts w:cs="Arial"/>
          <w:szCs w:val="22"/>
        </w:rPr>
        <w:fldChar w:fldCharType="end"/>
      </w:r>
      <w:r w:rsidRPr="00A71FCF">
        <w:rPr>
          <w:rFonts w:cs="Arial"/>
          <w:szCs w:val="22"/>
        </w:rPr>
        <w:t>. Thus, the pyruvate pooled up to 12 h in the depleted 6xHis-2 lysate likely results from lowered glycolytic rates in these extracts. This interpretation is supported by the lowered consumption of glucose in the 6xHis-2 lysate compared to the 6xHis-ldhA lysate (</w:t>
      </w:r>
      <w:r w:rsidR="00405F98">
        <w:rPr>
          <w:rFonts w:cs="Arial"/>
          <w:b/>
          <w:bCs/>
          <w:szCs w:val="22"/>
        </w:rPr>
        <w:t>Figure</w:t>
      </w:r>
      <w:r w:rsidRPr="007569D2">
        <w:rPr>
          <w:rFonts w:cs="Arial"/>
          <w:b/>
          <w:bCs/>
          <w:szCs w:val="22"/>
        </w:rPr>
        <w:t xml:space="preserve"> </w:t>
      </w:r>
      <w:r w:rsidR="00C65F71">
        <w:rPr>
          <w:rFonts w:cs="Arial"/>
          <w:b/>
          <w:bCs/>
          <w:szCs w:val="22"/>
        </w:rPr>
        <w:t>3.</w:t>
      </w:r>
      <w:r w:rsidRPr="007569D2">
        <w:rPr>
          <w:rFonts w:cs="Arial"/>
          <w:b/>
          <w:bCs/>
          <w:szCs w:val="22"/>
        </w:rPr>
        <w:t>4A</w:t>
      </w:r>
      <w:r w:rsidRPr="00A71FCF">
        <w:rPr>
          <w:rFonts w:cs="Arial"/>
          <w:szCs w:val="22"/>
        </w:rPr>
        <w:t xml:space="preserve">). The concomitant increase in ethanol production and significantly lowered lactate synthesis at 3 h and 6 h in the depleted lysate relative to its control additionally suggests that pyruvate flux is directed through </w:t>
      </w:r>
      <w:proofErr w:type="spellStart"/>
      <w:r w:rsidRPr="00A71FCF">
        <w:rPr>
          <w:rFonts w:cs="Arial"/>
          <w:szCs w:val="22"/>
        </w:rPr>
        <w:t>Pdh-AdhE</w:t>
      </w:r>
      <w:proofErr w:type="spellEnd"/>
      <w:r w:rsidRPr="00A71FCF">
        <w:rPr>
          <w:rFonts w:cs="Arial"/>
          <w:szCs w:val="22"/>
        </w:rPr>
        <w:t xml:space="preserve"> maintaining redox balance by generating net 1 mol NAD</w:t>
      </w:r>
      <w:r w:rsidRPr="00A71FCF">
        <w:rPr>
          <w:rFonts w:cs="Arial"/>
          <w:szCs w:val="22"/>
          <w:vertAlign w:val="superscript"/>
        </w:rPr>
        <w:t>+</w:t>
      </w:r>
      <w:r w:rsidRPr="00A71FCF">
        <w:rPr>
          <w:rFonts w:cs="Arial"/>
          <w:szCs w:val="22"/>
        </w:rPr>
        <w:t xml:space="preserve"> per mol pyruvate (</w:t>
      </w:r>
      <w:r w:rsidR="00405F98">
        <w:rPr>
          <w:rFonts w:cs="Arial"/>
          <w:b/>
          <w:bCs/>
          <w:szCs w:val="22"/>
        </w:rPr>
        <w:t>Figures</w:t>
      </w:r>
      <w:r w:rsidRPr="007569D2">
        <w:rPr>
          <w:rFonts w:cs="Arial"/>
          <w:b/>
          <w:bCs/>
          <w:szCs w:val="22"/>
        </w:rPr>
        <w:t xml:space="preserve"> </w:t>
      </w:r>
      <w:r w:rsidR="00C65F71">
        <w:rPr>
          <w:rFonts w:cs="Arial"/>
          <w:b/>
          <w:bCs/>
          <w:szCs w:val="22"/>
        </w:rPr>
        <w:t>3.</w:t>
      </w:r>
      <w:r w:rsidRPr="007569D2">
        <w:rPr>
          <w:rFonts w:cs="Arial"/>
          <w:b/>
          <w:bCs/>
          <w:szCs w:val="22"/>
        </w:rPr>
        <w:t xml:space="preserve">4C </w:t>
      </w:r>
      <w:r w:rsidR="007569D2" w:rsidRPr="007569D2">
        <w:rPr>
          <w:rFonts w:cs="Arial"/>
          <w:b/>
          <w:bCs/>
          <w:szCs w:val="22"/>
        </w:rPr>
        <w:t>&amp;</w:t>
      </w:r>
      <w:r w:rsidRPr="007569D2">
        <w:rPr>
          <w:rFonts w:cs="Arial"/>
          <w:b/>
          <w:bCs/>
          <w:szCs w:val="22"/>
        </w:rPr>
        <w:t xml:space="preserve"> D</w:t>
      </w:r>
      <w:r w:rsidRPr="00A71FCF">
        <w:rPr>
          <w:rFonts w:cs="Arial"/>
          <w:szCs w:val="22"/>
        </w:rPr>
        <w:t>)</w:t>
      </w:r>
      <w:r w:rsidRPr="00A71FCF">
        <w:rPr>
          <w:rFonts w:cs="Arial"/>
          <w:szCs w:val="22"/>
        </w:rPr>
        <w:fldChar w:fldCharType="begin" w:fldLock="1"/>
      </w:r>
      <w:r w:rsidR="00567FF4">
        <w:rPr>
          <w:rFonts w:cs="Arial"/>
          <w:szCs w:val="22"/>
        </w:rPr>
        <w:instrText>ADDIN CSL_CITATION {"citationItems":[{"id":"ITEM-1","itemData":{"DOI":"10.1128/AEM.02545-09","ISSN":"00992240","PMID":"20118372","abstract":"During anaerobic growth of Escherichia coli, pyruvate formate-lyase (PFL) and lactate dehydrogenase (LDH) channel pyruvate toward a mixture of fermentation products. We have introduced a third branch at the pyruvate node in a mutant of E. coli with a mutation in pyruvate dehydrogenase (PDH*) that renders the enzyme less sensitive to inhibition by NADH. The key starting enzymes of the three branches at the pyruvate node in such a mutant, PDH*, PFL, and LDH, have different metabolic potentials and kinetic properties. In such a mutant (strain QZ2), pyruvate flux through LDH was about 30%, with the remainder of the flux occurring through PFL, indicating that LDH is a preferred route of pyruvate conversion over PDH*. In a pfl mutant (strain YKl67) with both PDH* and LDH activities, flux through PDH* was about 33% of the total, confirming the ability of LDH to outcompete the PDH pathway for pyruvate in vivo. Only in the absence of LDH (strain QZ3) was pyruvate carbon equally distributed between the PDH* and PFL pathways. Apfl mutant with LDH and PDH* activities, as well as a pfl ldh double mutant with PDH* activity, had a surprisingly low cell yield per mole of ATP (Y ATP) (about 7.0 g of cells per mol of ATP) compared to 10.9 g of cells per mol of ATP for the wild type. The lower YATP suggests the operation of a futile energy cycle in the absence of PFL in this strain. An understanding of the controls at the pyruvate node during anaerobic growth is expected to provide unique insights into rational metabolic engineering of E. coli and related bacteria for the production of various biobased products at high rates and yields. Copyright © 2010, American Society for Microbiology. All Rights Reserved.","author":[{"dropping-particle":"","family":"Wang","given":"Qingzhao","non-dropping-particle":"","parse-names":false,"suffix":""},{"dropping-particle":"","family":"Ou","given":"Mark S.","non-dropping-particle":"","parse-names":false,"suffix":""},{"dropping-particle":"","family":"Kim","given":"Y.","non-dropping-particle":"","parse-names":false,"suffix":""},{"dropping-particle":"","family":"Ingram","given":"L. O.","non-dropping-particle":"","parse-names":false,"suffix":""},{"dropping-particle":"","family":"Shanmugam","given":"K. T.","non-dropping-particle":"","parse-names":false,"suffix":""}],"container-title":"Applied and Environmental Microbiology","id":"ITEM-1","issue":"7","issued":{"date-parts":[["2010","4","1"]]},"page":"2107-2114","publisher":"American Society for Microbiology","title":"Metabolie flux control at the pyruvate node in an anaerobic escherichia coli strain with an active pyruvate dehydrogenase","type":"article-journal","volume":"76"},"uris":["http://www.mendeley.com/documents/?uuid=6ffafc4d-2eb8-3b2f-8291-5d17baba9fe9"]}],"mendeley":{"formattedCitation":"&lt;sup&gt;109&lt;/sup&gt;","plainTextFormattedCitation":"109","previouslyFormattedCitation":"&lt;sup&gt;109&lt;/sup&gt;"},"properties":{"noteIndex":0},"schema":"https://github.com/citation-style-language/schema/raw/master/csl-citation.json"}</w:instrText>
      </w:r>
      <w:r w:rsidRPr="00A71FCF">
        <w:rPr>
          <w:rFonts w:cs="Arial"/>
          <w:szCs w:val="22"/>
        </w:rPr>
        <w:fldChar w:fldCharType="separate"/>
      </w:r>
      <w:r w:rsidR="00567FF4" w:rsidRPr="00567FF4">
        <w:rPr>
          <w:rFonts w:cs="Arial"/>
          <w:noProof/>
          <w:szCs w:val="22"/>
          <w:vertAlign w:val="superscript"/>
        </w:rPr>
        <w:t>109</w:t>
      </w:r>
      <w:r w:rsidRPr="00A71FCF">
        <w:rPr>
          <w:rFonts w:cs="Arial"/>
          <w:szCs w:val="22"/>
        </w:rPr>
        <w:fldChar w:fldCharType="end"/>
      </w:r>
      <w:r w:rsidRPr="00A71FCF">
        <w:rPr>
          <w:rFonts w:cs="Arial"/>
          <w:szCs w:val="22"/>
        </w:rPr>
        <w:t xml:space="preserve">. Compared to reactions run when depleting </w:t>
      </w:r>
      <w:proofErr w:type="spellStart"/>
      <w:r w:rsidRPr="00A71FCF">
        <w:rPr>
          <w:rFonts w:cs="Arial"/>
          <w:szCs w:val="22"/>
        </w:rPr>
        <w:t>PflB</w:t>
      </w:r>
      <w:proofErr w:type="spellEnd"/>
      <w:r w:rsidRPr="00A71FCF">
        <w:rPr>
          <w:rFonts w:cs="Arial"/>
          <w:szCs w:val="22"/>
        </w:rPr>
        <w:t xml:space="preserve"> and </w:t>
      </w:r>
      <w:proofErr w:type="spellStart"/>
      <w:r w:rsidRPr="00A71FCF">
        <w:rPr>
          <w:rFonts w:cs="Arial"/>
          <w:szCs w:val="22"/>
        </w:rPr>
        <w:t>LdhA</w:t>
      </w:r>
      <w:proofErr w:type="spellEnd"/>
      <w:r w:rsidRPr="00A71FCF">
        <w:rPr>
          <w:rFonts w:cs="Arial"/>
          <w:szCs w:val="22"/>
        </w:rPr>
        <w:t xml:space="preserve"> individually, the co-depletion of </w:t>
      </w:r>
      <w:proofErr w:type="spellStart"/>
      <w:r w:rsidRPr="00A71FCF">
        <w:rPr>
          <w:rFonts w:cs="Arial"/>
          <w:szCs w:val="22"/>
        </w:rPr>
        <w:t>LdhA</w:t>
      </w:r>
      <w:proofErr w:type="spellEnd"/>
      <w:r w:rsidRPr="00A71FCF">
        <w:rPr>
          <w:rFonts w:cs="Arial"/>
          <w:szCs w:val="22"/>
        </w:rPr>
        <w:t xml:space="preserve"> and </w:t>
      </w:r>
      <w:proofErr w:type="spellStart"/>
      <w:r w:rsidRPr="00A71FCF">
        <w:rPr>
          <w:rFonts w:cs="Arial"/>
          <w:szCs w:val="22"/>
        </w:rPr>
        <w:t>PflB</w:t>
      </w:r>
      <w:proofErr w:type="spellEnd"/>
      <w:r w:rsidRPr="00A71FCF">
        <w:rPr>
          <w:rFonts w:cs="Arial"/>
          <w:szCs w:val="22"/>
        </w:rPr>
        <w:t xml:space="preserve"> has an additive effect on cell-free pyruvate pooling. This interpretation suggests that oxygen-sensitive </w:t>
      </w:r>
      <w:proofErr w:type="spellStart"/>
      <w:r w:rsidRPr="00A71FCF">
        <w:rPr>
          <w:rFonts w:cs="Arial"/>
          <w:szCs w:val="22"/>
        </w:rPr>
        <w:t>PflB</w:t>
      </w:r>
      <w:proofErr w:type="spellEnd"/>
      <w:r w:rsidRPr="00A71FCF">
        <w:rPr>
          <w:rFonts w:cs="Arial"/>
          <w:szCs w:val="22"/>
        </w:rPr>
        <w:t xml:space="preserve"> is indeed active in </w:t>
      </w:r>
      <w:r w:rsidRPr="00A71FCF">
        <w:rPr>
          <w:rFonts w:cs="Arial"/>
          <w:i/>
          <w:iCs/>
          <w:szCs w:val="22"/>
        </w:rPr>
        <w:t xml:space="preserve">E. coli </w:t>
      </w:r>
      <w:r w:rsidRPr="00A71FCF">
        <w:rPr>
          <w:rFonts w:cs="Arial"/>
          <w:szCs w:val="22"/>
        </w:rPr>
        <w:t xml:space="preserve">crude extracts, which is supported by the observable production of </w:t>
      </w:r>
      <w:proofErr w:type="spellStart"/>
      <w:r w:rsidRPr="00A71FCF">
        <w:rPr>
          <w:rFonts w:cs="Arial"/>
          <w:szCs w:val="22"/>
        </w:rPr>
        <w:t>formate</w:t>
      </w:r>
      <w:proofErr w:type="spellEnd"/>
      <w:r w:rsidRPr="00A71FCF">
        <w:rPr>
          <w:rFonts w:cs="Arial"/>
          <w:szCs w:val="22"/>
        </w:rPr>
        <w:t xml:space="preserve"> after </w:t>
      </w:r>
      <w:proofErr w:type="spellStart"/>
      <w:r w:rsidRPr="00A71FCF">
        <w:rPr>
          <w:rFonts w:cs="Arial"/>
          <w:szCs w:val="22"/>
        </w:rPr>
        <w:t>LdhA</w:t>
      </w:r>
      <w:proofErr w:type="spellEnd"/>
      <w:r w:rsidRPr="00A71FCF">
        <w:rPr>
          <w:rFonts w:cs="Arial"/>
          <w:szCs w:val="22"/>
        </w:rPr>
        <w:t xml:space="preserve"> reductions (</w:t>
      </w:r>
      <w:r w:rsidR="00405F98">
        <w:rPr>
          <w:rFonts w:cs="Arial"/>
          <w:b/>
          <w:bCs/>
          <w:szCs w:val="22"/>
        </w:rPr>
        <w:t>Figure</w:t>
      </w:r>
      <w:r w:rsidR="007569D2" w:rsidRPr="007569D2">
        <w:rPr>
          <w:rFonts w:cs="Arial"/>
          <w:b/>
          <w:bCs/>
          <w:szCs w:val="22"/>
        </w:rPr>
        <w:t xml:space="preserve"> </w:t>
      </w:r>
      <w:r w:rsidR="00C65F71">
        <w:rPr>
          <w:rFonts w:cs="Arial"/>
          <w:b/>
          <w:bCs/>
          <w:szCs w:val="22"/>
        </w:rPr>
        <w:t>3.</w:t>
      </w:r>
      <w:r w:rsidRPr="007569D2">
        <w:rPr>
          <w:rFonts w:cs="Arial"/>
          <w:b/>
          <w:bCs/>
          <w:szCs w:val="22"/>
        </w:rPr>
        <w:t>4F</w:t>
      </w:r>
      <w:r w:rsidRPr="00A71FCF">
        <w:rPr>
          <w:rFonts w:cs="Arial"/>
          <w:szCs w:val="22"/>
        </w:rPr>
        <w:t>). We reason that decreasing the concentrations of the NAD</w:t>
      </w:r>
      <w:r w:rsidRPr="00A71FCF">
        <w:rPr>
          <w:rFonts w:cs="Arial"/>
          <w:szCs w:val="22"/>
          <w:vertAlign w:val="superscript"/>
        </w:rPr>
        <w:t>+</w:t>
      </w:r>
      <w:r w:rsidRPr="00A71FCF">
        <w:rPr>
          <w:rFonts w:cs="Arial"/>
          <w:szCs w:val="22"/>
        </w:rPr>
        <w:t xml:space="preserve"> regenerating </w:t>
      </w:r>
      <w:proofErr w:type="spellStart"/>
      <w:r w:rsidRPr="00A71FCF">
        <w:rPr>
          <w:rFonts w:cs="Arial"/>
          <w:szCs w:val="22"/>
        </w:rPr>
        <w:t>LdhA</w:t>
      </w:r>
      <w:proofErr w:type="spellEnd"/>
      <w:r w:rsidRPr="00A71FCF">
        <w:rPr>
          <w:rFonts w:cs="Arial"/>
          <w:szCs w:val="22"/>
        </w:rPr>
        <w:t xml:space="preserve"> enzyme limits the </w:t>
      </w:r>
      <w:r w:rsidRPr="00A71FCF">
        <w:rPr>
          <w:rFonts w:cs="Arial"/>
          <w:i/>
          <w:iCs/>
          <w:szCs w:val="22"/>
        </w:rPr>
        <w:t xml:space="preserve">in vitro </w:t>
      </w:r>
      <w:r w:rsidRPr="00A71FCF">
        <w:rPr>
          <w:rFonts w:cs="Arial"/>
          <w:szCs w:val="22"/>
        </w:rPr>
        <w:t xml:space="preserve">activity of </w:t>
      </w:r>
      <w:proofErr w:type="spellStart"/>
      <w:r w:rsidRPr="00A71FCF">
        <w:rPr>
          <w:rFonts w:cs="Arial"/>
          <w:szCs w:val="22"/>
        </w:rPr>
        <w:t>formate</w:t>
      </w:r>
      <w:proofErr w:type="spellEnd"/>
      <w:r w:rsidRPr="00A71FCF">
        <w:rPr>
          <w:rFonts w:cs="Arial"/>
          <w:szCs w:val="22"/>
        </w:rPr>
        <w:t xml:space="preserve"> dehydrogenases that require NAD</w:t>
      </w:r>
      <w:r w:rsidRPr="00A71FCF">
        <w:rPr>
          <w:rFonts w:cs="Arial"/>
          <w:szCs w:val="22"/>
          <w:vertAlign w:val="superscript"/>
        </w:rPr>
        <w:t>+</w:t>
      </w:r>
      <w:r w:rsidRPr="00A71FCF">
        <w:rPr>
          <w:rFonts w:cs="Arial"/>
          <w:szCs w:val="22"/>
        </w:rPr>
        <w:t xml:space="preserve"> as a substrate to decompose </w:t>
      </w:r>
      <w:proofErr w:type="spellStart"/>
      <w:r w:rsidRPr="00A71FCF">
        <w:rPr>
          <w:rFonts w:cs="Arial"/>
          <w:szCs w:val="22"/>
        </w:rPr>
        <w:t>formate</w:t>
      </w:r>
      <w:proofErr w:type="spellEnd"/>
      <w:r w:rsidRPr="00A71FCF">
        <w:rPr>
          <w:rFonts w:cs="Arial"/>
          <w:szCs w:val="22"/>
        </w:rPr>
        <w:t xml:space="preserve"> to CO</w:t>
      </w:r>
      <w:r w:rsidRPr="00A71FCF">
        <w:rPr>
          <w:rFonts w:cs="Arial"/>
          <w:szCs w:val="22"/>
          <w:vertAlign w:val="subscript"/>
        </w:rPr>
        <w:t>2</w:t>
      </w:r>
      <w:r w:rsidRPr="00A71FCF">
        <w:rPr>
          <w:rFonts w:cs="Arial"/>
          <w:szCs w:val="22"/>
        </w:rPr>
        <w:t xml:space="preserve"> and H</w:t>
      </w:r>
      <w:r w:rsidRPr="00A71FCF">
        <w:rPr>
          <w:rFonts w:cs="Arial"/>
          <w:szCs w:val="22"/>
          <w:vertAlign w:val="subscript"/>
        </w:rPr>
        <w:t>2</w:t>
      </w:r>
      <w:r w:rsidRPr="00A71FCF">
        <w:rPr>
          <w:rFonts w:cs="Arial"/>
          <w:szCs w:val="22"/>
        </w:rPr>
        <w:t xml:space="preserve">O, thus resulting in </w:t>
      </w:r>
      <w:proofErr w:type="spellStart"/>
      <w:r w:rsidRPr="00A71FCF">
        <w:rPr>
          <w:rFonts w:cs="Arial"/>
          <w:szCs w:val="22"/>
        </w:rPr>
        <w:t>formate</w:t>
      </w:r>
      <w:proofErr w:type="spellEnd"/>
      <w:r w:rsidRPr="00A71FCF">
        <w:rPr>
          <w:rFonts w:cs="Arial"/>
          <w:szCs w:val="22"/>
        </w:rPr>
        <w:t xml:space="preserve"> build-up</w:t>
      </w:r>
      <w:r w:rsidRPr="00A71FCF">
        <w:rPr>
          <w:rFonts w:cs="Arial"/>
          <w:szCs w:val="22"/>
        </w:rPr>
        <w:fldChar w:fldCharType="begin" w:fldLock="1"/>
      </w:r>
      <w:r w:rsidR="00567FF4">
        <w:rPr>
          <w:rFonts w:cs="Arial"/>
          <w:szCs w:val="22"/>
        </w:rPr>
        <w:instrText>ADDIN CSL_CITATION {"citationItems":[{"id":"ITEM-1","itemData":{"DOI":"10.1007/s00775-006-0129-2","ISSN":"09498257","PMID":"16830149","abstract":"Re-evaluation of the crystallographic data of the molybdenum-containing E. coli formate dehydrogenase H (Boyington et al. Science 275:1305-1308, 1997), reported in two redox states, reveals important structural differences for the formate-reduced form, with large implications for the reaction mechanism proposed in that work. We have re-refined the reduced structure with revised protocols and found substantial rearrangement in some parts of it. The original model is essentially correct but an important loop close to the molybdenum active site was mistraced, and, therefore, catalytic relevant residues were located in wrong positions. In particular selenocysteine-140, a ligand of molybdenum in the original work, and essential for catalysis, is no longer bound to the metal after reduction of the enzyme with formate. These results are incompatible with the originally proposed reaction mechanism. On the basis of our new interpretation, we have revised and proposed a new reaction mechanism, which reconciles the new X-ray model with previous biochemical and extended X-ray absorption fine structure data. © SBIC 2006.","author":[{"dropping-particle":"","family":"Raaijmakers","given":"Hans C.A.","non-dropping-particle":"","parse-names":false,"suffix":""},{"dropping-particle":"","family":"Romão","given":"Maria João","non-dropping-particle":"","parse-names":false,"suffix":""}],"container-title":"Journal of Biological Inorganic Chemistry","id":"ITEM-1","issue":"7","issued":{"date-parts":[["2006","10"]]},"page":"849-854","publisher":"J Biol Inorg Chem","title":"Formate-reduced E. coli formate dehydrogenase H: The reinterpretation of the crystal structure suggests a new reaction mechanism","type":"article-journal","volume":"11"},"uris":["http://www.mendeley.com/documents/?uuid=416cab1e-9c45-3274-a583-da06ecccd4b1"]}],"mendeley":{"formattedCitation":"&lt;sup&gt;121&lt;/sup&gt;","plainTextFormattedCitation":"121","previouslyFormattedCitation":"&lt;sup&gt;121&lt;/sup&gt;"},"properties":{"noteIndex":0},"schema":"https://github.com/citation-style-language/schema/raw/master/csl-citation.json"}</w:instrText>
      </w:r>
      <w:r w:rsidRPr="00A71FCF">
        <w:rPr>
          <w:rFonts w:cs="Arial"/>
          <w:szCs w:val="22"/>
        </w:rPr>
        <w:fldChar w:fldCharType="separate"/>
      </w:r>
      <w:r w:rsidR="00567FF4" w:rsidRPr="00567FF4">
        <w:rPr>
          <w:rFonts w:cs="Arial"/>
          <w:noProof/>
          <w:szCs w:val="22"/>
          <w:vertAlign w:val="superscript"/>
        </w:rPr>
        <w:t>121</w:t>
      </w:r>
      <w:r w:rsidRPr="00A71FCF">
        <w:rPr>
          <w:rFonts w:cs="Arial"/>
          <w:szCs w:val="22"/>
        </w:rPr>
        <w:fldChar w:fldCharType="end"/>
      </w:r>
      <w:r w:rsidRPr="00A71FCF">
        <w:rPr>
          <w:rFonts w:cs="Arial"/>
          <w:szCs w:val="22"/>
        </w:rPr>
        <w:t xml:space="preserve">. </w:t>
      </w:r>
    </w:p>
    <w:p w14:paraId="68BFB797" w14:textId="412A4BBF" w:rsidR="009A5F94" w:rsidRDefault="0031140D" w:rsidP="009A5F94">
      <w:pPr>
        <w:pStyle w:val="Caption"/>
        <w:contextualSpacing/>
        <w:rPr>
          <w:rFonts w:ascii="Arial" w:eastAsiaTheme="minorHAnsi" w:hAnsi="Arial" w:cs="Arial"/>
          <w:i w:val="0"/>
          <w:iCs w:val="0"/>
          <w:color w:val="000000" w:themeColor="text1"/>
          <w:sz w:val="22"/>
          <w:szCs w:val="22"/>
          <w:lang w:val="en-PH"/>
        </w:rPr>
      </w:pPr>
      <w:r w:rsidRPr="00D635E6">
        <w:rPr>
          <w:rFonts w:ascii="Arial" w:eastAsiaTheme="minorHAnsi" w:hAnsi="Arial" w:cs="Arial"/>
          <w:i w:val="0"/>
          <w:iCs w:val="0"/>
          <w:color w:val="000000" w:themeColor="text1"/>
          <w:sz w:val="22"/>
          <w:szCs w:val="22"/>
          <w:lang w:val="en-PH"/>
        </w:rPr>
        <w:t xml:space="preserve">Compared to the depleted 6xHis-2 lysate, the pull-down of </w:t>
      </w:r>
      <w:proofErr w:type="spellStart"/>
      <w:r w:rsidRPr="00D635E6">
        <w:rPr>
          <w:rFonts w:ascii="Arial" w:eastAsiaTheme="minorHAnsi" w:hAnsi="Arial" w:cs="Arial"/>
          <w:i w:val="0"/>
          <w:iCs w:val="0"/>
          <w:color w:val="000000" w:themeColor="text1"/>
          <w:sz w:val="22"/>
          <w:szCs w:val="22"/>
          <w:lang w:val="en-PH"/>
        </w:rPr>
        <w:t>PpsA</w:t>
      </w:r>
      <w:proofErr w:type="spellEnd"/>
      <w:r w:rsidRPr="00D635E6">
        <w:rPr>
          <w:rFonts w:ascii="Arial" w:eastAsiaTheme="minorHAnsi" w:hAnsi="Arial" w:cs="Arial"/>
          <w:i w:val="0"/>
          <w:iCs w:val="0"/>
          <w:color w:val="000000" w:themeColor="text1"/>
          <w:sz w:val="22"/>
          <w:szCs w:val="22"/>
          <w:lang w:val="en-PH"/>
        </w:rPr>
        <w:t xml:space="preserve"> from the 6xHis-3 lysate led to a steady decrease of the pyruvate concentration after 3 h (</w:t>
      </w:r>
      <w:r w:rsidR="00405F98">
        <w:rPr>
          <w:rFonts w:ascii="Arial" w:eastAsiaTheme="minorHAnsi" w:hAnsi="Arial" w:cs="Arial"/>
          <w:b/>
          <w:bCs/>
          <w:i w:val="0"/>
          <w:iCs w:val="0"/>
          <w:color w:val="000000" w:themeColor="text1"/>
          <w:sz w:val="22"/>
          <w:szCs w:val="22"/>
          <w:lang w:val="en-PH"/>
        </w:rPr>
        <w:t>Figure</w:t>
      </w:r>
      <w:r w:rsidRPr="00ED1D2C">
        <w:rPr>
          <w:rFonts w:ascii="Arial" w:eastAsiaTheme="minorHAnsi" w:hAnsi="Arial" w:cs="Arial"/>
          <w:b/>
          <w:bCs/>
          <w:i w:val="0"/>
          <w:iCs w:val="0"/>
          <w:color w:val="000000" w:themeColor="text1"/>
          <w:sz w:val="22"/>
          <w:szCs w:val="22"/>
          <w:lang w:val="en-PH"/>
        </w:rPr>
        <w:t xml:space="preserve"> </w:t>
      </w:r>
      <w:r w:rsidR="00C65F71">
        <w:rPr>
          <w:rFonts w:ascii="Arial" w:eastAsiaTheme="minorHAnsi" w:hAnsi="Arial" w:cs="Arial"/>
          <w:b/>
          <w:bCs/>
          <w:i w:val="0"/>
          <w:iCs w:val="0"/>
          <w:color w:val="000000" w:themeColor="text1"/>
          <w:sz w:val="22"/>
          <w:szCs w:val="22"/>
          <w:lang w:val="en-PH"/>
        </w:rPr>
        <w:t>3.</w:t>
      </w:r>
      <w:r w:rsidRPr="00ED1D2C">
        <w:rPr>
          <w:rFonts w:ascii="Arial" w:eastAsiaTheme="minorHAnsi" w:hAnsi="Arial" w:cs="Arial"/>
          <w:b/>
          <w:bCs/>
          <w:i w:val="0"/>
          <w:iCs w:val="0"/>
          <w:color w:val="000000" w:themeColor="text1"/>
          <w:sz w:val="22"/>
          <w:szCs w:val="22"/>
          <w:lang w:val="en-PH"/>
        </w:rPr>
        <w:t>4B</w:t>
      </w:r>
      <w:r w:rsidRPr="00D635E6">
        <w:rPr>
          <w:rFonts w:ascii="Arial" w:eastAsiaTheme="minorHAnsi" w:hAnsi="Arial" w:cs="Arial"/>
          <w:i w:val="0"/>
          <w:iCs w:val="0"/>
          <w:color w:val="000000" w:themeColor="text1"/>
          <w:sz w:val="22"/>
          <w:szCs w:val="22"/>
          <w:lang w:val="en-PH"/>
        </w:rPr>
        <w:t xml:space="preserve">). This observation presumably points to the importance of </w:t>
      </w:r>
      <w:proofErr w:type="spellStart"/>
      <w:r w:rsidRPr="00D635E6">
        <w:rPr>
          <w:rFonts w:ascii="Arial" w:eastAsiaTheme="minorHAnsi" w:hAnsi="Arial" w:cs="Arial"/>
          <w:i w:val="0"/>
          <w:iCs w:val="0"/>
          <w:color w:val="000000" w:themeColor="text1"/>
          <w:sz w:val="22"/>
          <w:szCs w:val="22"/>
          <w:lang w:val="en-PH"/>
        </w:rPr>
        <w:t>PpsA</w:t>
      </w:r>
      <w:proofErr w:type="spellEnd"/>
      <w:r w:rsidRPr="00D635E6">
        <w:rPr>
          <w:rFonts w:ascii="Arial" w:eastAsiaTheme="minorHAnsi" w:hAnsi="Arial" w:cs="Arial"/>
          <w:i w:val="0"/>
          <w:iCs w:val="0"/>
          <w:color w:val="000000" w:themeColor="text1"/>
          <w:sz w:val="22"/>
          <w:szCs w:val="22"/>
          <w:lang w:val="en-PH"/>
        </w:rPr>
        <w:t xml:space="preserve"> as an ATP sink in in vitro metabolism. E. coli glycolytic flux is naturally responsive to the cell’s energy charge via the allosteric inhibition of </w:t>
      </w:r>
      <w:r w:rsidRPr="00D635E6">
        <w:rPr>
          <w:rFonts w:ascii="Arial" w:eastAsiaTheme="minorHAnsi" w:hAnsi="Arial" w:cs="Arial"/>
          <w:i w:val="0"/>
          <w:iCs w:val="0"/>
          <w:color w:val="000000" w:themeColor="text1"/>
          <w:sz w:val="22"/>
          <w:szCs w:val="22"/>
          <w:lang w:val="en-PH"/>
        </w:rPr>
        <w:lastRenderedPageBreak/>
        <w:t>phosphofructokinase and pyruvate kinase by ATP</w:t>
      </w:r>
      <w:r w:rsidRPr="00D635E6">
        <w:rPr>
          <w:rFonts w:ascii="Arial" w:eastAsiaTheme="minorHAnsi" w:hAnsi="Arial" w:cs="Arial"/>
          <w:i w:val="0"/>
          <w:iCs w:val="0"/>
          <w:color w:val="000000" w:themeColor="text1"/>
          <w:sz w:val="22"/>
          <w:szCs w:val="22"/>
          <w:lang w:val="en-PH"/>
        </w:rPr>
        <w:fldChar w:fldCharType="begin" w:fldLock="1"/>
      </w:r>
      <w:r w:rsidR="00567FF4">
        <w:rPr>
          <w:rFonts w:ascii="Arial" w:hAnsi="Arial" w:cs="Arial"/>
          <w:i w:val="0"/>
          <w:iCs w:val="0"/>
          <w:color w:val="000000" w:themeColor="text1"/>
          <w:sz w:val="22"/>
          <w:szCs w:val="22"/>
        </w:rPr>
        <w:instrText>ADDIN CSL_CITATION {"citationItems":[{"id":"ITEM-1","itemData":{"DOI":"10.1021/bi00647a006","ISSN":"15204995","PMID":"764863","abstract":"The binding of various regulatory ligands and substrates to the fructose bisphosphate activated pyruvate kinase from Escherichia coli has been studied at equilibrium. The allosteric activator, fructose bisphosphate, and the substrate phosphoenolpyruvate bind in a cooperative manner to the enzyme. There is one site for each of these ligands per monomer. In the presence of fructose bisphosphate the binding of phosphoenolpyruvate follows an absorption isotherm, i.e., all homotropic interactions of the substrate are lost. In reciprocal experiments, however, both phosphoenolpyruvate and KC1 are required in order to facilitate binding of the activator. The allosteric inhibitors of pyruvate kinase, ATP, succinyl-CoA, and GTP compete on the enzyme surface with the binding of the activator, fructose bisphosphate. Inhibitor pairs such as ATP and succinyl-CoA together bring about not cooperative but only additive inhibition of the binding of the activator. The nucleotide substrate GDP and the allosteric inhibitor GTP have in contrast to the activator two seemingly noninteracting sites on each monomer. In the saturating presence of fructose bisphosphate, however, binding of GDP and possibly also of GTP occurs at only one site on each monomer. Magnesium ions inhibit binding of GDP and GTP. KC1 which is an activator of the enzyme along with its analogues, such as ammonia, thallium, rubidium, etc., enhances the binding of phosphoenolpyruvate but not of the nucleotides or fructose bisphosphate. The data are analyzed on the basis of a twosite model, where the substrate and fructose bisphosphate bind to one conformation and the inhibitors to the other. © 1976, American Chemical Society. All rights reserved.","author":[{"dropping-particle":"","family":"Waygood","given":"E. Bruce","non-dropping-particle":"","parse-names":false,"suffix":""},{"dropping-particle":"","family":"Mort","given":"John S.","non-dropping-particle":"","parse-names":false,"suffix":""},{"dropping-particle":"","family":"Sanwal","given":"B. D.","non-dropping-particle":"","parse-names":false,"suffix":""}],"container-title":"Biochemistry","id":"ITEM-1","issue":"2","issued":{"date-parts":[["1976"]]},"page":"277-282","title":"The Control of Pyruvate Kinase of Escherichia coli. Binding of Substrate and Allosteric Effectors to the Enzyme Activated by Fructose 1,6-Bisphosphate","type":"article-journal","volume":"15"},"uris":["http://www.mendeley.com/documents/?uuid=42af8e54-5e44-3ae1-a7c4-227a86436702","http://www.mendeley.com/documents/?uuid=2c1c2c9c-e935-4713-89cc-c6619e4a1363"]},{"id":"ITEM-2","itemData":{"DOI":"10.1016/j.bpj.2013.05.028","ISSN":"00063495","PMID":"23823238","abstract":"The presence of a regulatory site for monovalent cations that affects the conformation of the MgATP-binding pocket leading to enzyme activation has been demonstrated for ribokinases. This site is selective toward the ionic radius of the monovalent cation, accepting those larger than Na+. Phosphofructokinase-2 (Pfk-2) from Escherichia coli is homologous to ribokinase, but unlike other ribokinase family members, presents an additional site for the nucleotide that negatively regulates its enzymatic activity. In this work, we show the effect of monovalent cations on the kinetic parameters of Pfk-2 together with its three-dimensional structure determined by x-ray diffraction in the presence of K+ or Cs+. Kinetic characterization of the enzyme shows that K+ and Na+ alter neither the k cat nor the KM values for fructose-6-P or MgATP. However, the presence of K+ (but not Na+) enhances the allosteric inhibition induced by MgATP. Moreover, binding experiments show that K + (but not Na+) increases the affinity of MgATP in a saturable fashion. In agreement with the biochemical data, the crystal structure of Pfk-2 obtained in the presence of MgATP shows a cation-binding site at the conserved position predicted for the ribokinase family of proteins. This site is adjacent to the MgATP allosteric binding site and is only observed in the presence of Cs+ or K+. These results indicate that binding of the monovalent metal ions indirectly influences the allosteric site of Pfk-2 by increasing its affinity for MgATP with no alteration in the conformation of residues present at the catalytic site. © 2013 Biophysical Society.","author":[{"dropping-particle":"","family":"Baez","given":"Mauricio","non-dropping-particle":"","parse-names":false,"suffix":""},{"dropping-particle":"","family":"Cabrera","given":"Ricardo","non-dropping-particle":"","parse-names":false,"suffix":""},{"dropping-particle":"","family":"Pereira","given":"Humberto M.","non-dropping-particle":"","parse-names":false,"suffix":""},{"dropping-particle":"","family":"Blanco","given":"Alejandro","non-dropping-particle":"","parse-names":false,"suffix":""},{"dropping-particle":"","family":"Villalobos","given":"Pablo","non-dropping-particle":"","parse-names":false,"suffix":""},{"dropping-particle":"","family":"Ramírez-Sarmiento","given":"César A.","non-dropping-particle":"","parse-names":false,"suffix":""},{"dropping-particle":"","family":"Caniuguir","given":"Andrés","non-dropping-particle":"","parse-names":false,"suffix":""},{"dropping-particle":"","family":"Guixé","given":"Victoria","non-dropping-particle":"","parse-names":false,"suffix":""},{"dropping-particle":"","family":"Garratt","given":"Richard C.","non-dropping-particle":"","parse-names":false,"suffix":""},{"dropping-particle":"","family":"Babul","given":"Jorge","non-dropping-particle":"","parse-names":false,"suffix":""}],"container-title":"Biophysical Journal","id":"ITEM-2","issue":"1","issued":{"date-parts":[["2013","7","2"]]},"page":"185-193","publisher":"Biophys J","title":"A Ribokinase family conserved monovalent cation binding site enhances the MgATP-induced inhibition in E. coli phosphofructokinase-2","type":"article-journal","volume":"105"},"uris":["http://www.mendeley.com/documents/?uuid=c23013d9-6b71-386b-a5ad-0b8bb08b7876","http://www.mendeley.com/documents/?uuid=9b978ac7-c044-46f0-875c-080acb77a000"]}],"mendeley":{"formattedCitation":"&lt;sup&gt;122,123&lt;/sup&gt;","plainTextFormattedCitation":"122,123","previouslyFormattedCitation":"&lt;sup&gt;122,123&lt;/sup&gt;"},"properties":{"noteIndex":0},"schema":"https://github.com/citation-style-language/schema/raw/master/csl-citation.json"}</w:instrText>
      </w:r>
      <w:r w:rsidRPr="00D635E6">
        <w:rPr>
          <w:rFonts w:ascii="Arial" w:eastAsiaTheme="minorHAnsi" w:hAnsi="Arial" w:cs="Arial"/>
          <w:i w:val="0"/>
          <w:iCs w:val="0"/>
          <w:color w:val="000000" w:themeColor="text1"/>
          <w:sz w:val="22"/>
          <w:szCs w:val="22"/>
          <w:lang w:val="en-PH"/>
        </w:rPr>
        <w:fldChar w:fldCharType="separate"/>
      </w:r>
      <w:r w:rsidR="00567FF4" w:rsidRPr="00567FF4">
        <w:rPr>
          <w:rFonts w:ascii="Arial" w:hAnsi="Arial" w:cs="Arial"/>
          <w:bCs/>
          <w:i w:val="0"/>
          <w:iCs w:val="0"/>
          <w:noProof/>
          <w:color w:val="000000" w:themeColor="text1"/>
          <w:sz w:val="22"/>
          <w:szCs w:val="22"/>
          <w:vertAlign w:val="superscript"/>
        </w:rPr>
        <w:t>122,123</w:t>
      </w:r>
      <w:r w:rsidRPr="00D635E6">
        <w:rPr>
          <w:rFonts w:ascii="Arial" w:eastAsiaTheme="minorHAnsi" w:hAnsi="Arial" w:cs="Arial"/>
          <w:i w:val="0"/>
          <w:iCs w:val="0"/>
          <w:color w:val="000000" w:themeColor="text1"/>
          <w:sz w:val="22"/>
          <w:szCs w:val="22"/>
          <w:lang w:val="en-PH"/>
        </w:rPr>
        <w:fldChar w:fldCharType="end"/>
      </w:r>
      <w:r w:rsidRPr="00D635E6">
        <w:rPr>
          <w:rFonts w:ascii="Arial" w:eastAsiaTheme="minorHAnsi" w:hAnsi="Arial" w:cs="Arial"/>
          <w:i w:val="0"/>
          <w:iCs w:val="0"/>
          <w:color w:val="000000" w:themeColor="text1"/>
          <w:sz w:val="22"/>
          <w:szCs w:val="22"/>
          <w:lang w:val="en-PH"/>
        </w:rPr>
        <w:t>. The build-up of ATP in the depleted 6xHis-3 lysate that results from glycolysis can lead to lower pyruvate production from glucose at later timepoints, a claim additionally supported by the decrease in relative glucose consumed at 24 h between the 6xHis-2 and 6xHis-3 lysates (</w:t>
      </w:r>
      <w:r w:rsidR="00405F98">
        <w:rPr>
          <w:rFonts w:ascii="Arial" w:eastAsiaTheme="minorHAnsi" w:hAnsi="Arial" w:cs="Arial"/>
          <w:b/>
          <w:bCs/>
          <w:i w:val="0"/>
          <w:iCs w:val="0"/>
          <w:color w:val="000000" w:themeColor="text1"/>
          <w:sz w:val="22"/>
          <w:szCs w:val="22"/>
          <w:lang w:val="en-PH"/>
        </w:rPr>
        <w:t>Figure</w:t>
      </w:r>
      <w:r w:rsidRPr="00ED1D2C">
        <w:rPr>
          <w:rFonts w:ascii="Arial" w:eastAsiaTheme="minorHAnsi" w:hAnsi="Arial" w:cs="Arial"/>
          <w:b/>
          <w:bCs/>
          <w:i w:val="0"/>
          <w:iCs w:val="0"/>
          <w:color w:val="000000" w:themeColor="text1"/>
          <w:sz w:val="22"/>
          <w:szCs w:val="22"/>
          <w:lang w:val="en-PH"/>
        </w:rPr>
        <w:t xml:space="preserve"> </w:t>
      </w:r>
      <w:r w:rsidR="00C65F71">
        <w:rPr>
          <w:rFonts w:ascii="Arial" w:eastAsiaTheme="minorHAnsi" w:hAnsi="Arial" w:cs="Arial"/>
          <w:b/>
          <w:bCs/>
          <w:i w:val="0"/>
          <w:iCs w:val="0"/>
          <w:color w:val="000000" w:themeColor="text1"/>
          <w:sz w:val="22"/>
          <w:szCs w:val="22"/>
          <w:lang w:val="en-PH"/>
        </w:rPr>
        <w:t>3.</w:t>
      </w:r>
      <w:r w:rsidRPr="00ED1D2C">
        <w:rPr>
          <w:rFonts w:ascii="Arial" w:eastAsiaTheme="minorHAnsi" w:hAnsi="Arial" w:cs="Arial"/>
          <w:b/>
          <w:bCs/>
          <w:i w:val="0"/>
          <w:iCs w:val="0"/>
          <w:color w:val="000000" w:themeColor="text1"/>
          <w:sz w:val="22"/>
          <w:szCs w:val="22"/>
          <w:lang w:val="en-PH"/>
        </w:rPr>
        <w:t>4A</w:t>
      </w:r>
      <w:r w:rsidRPr="00D635E6">
        <w:rPr>
          <w:rFonts w:ascii="Arial" w:eastAsiaTheme="minorHAnsi" w:hAnsi="Arial" w:cs="Arial"/>
          <w:i w:val="0"/>
          <w:iCs w:val="0"/>
          <w:color w:val="000000" w:themeColor="text1"/>
          <w:sz w:val="22"/>
          <w:szCs w:val="22"/>
          <w:lang w:val="en-PH"/>
        </w:rPr>
        <w:t>). We additionally observed lower productivities (15 mM in 3 h) and final titers (41 mM) of ethanol formation in the depleted 6xHis-3 extract compared to reactions run in the depleted 6xHis-2 lysate (productivity = 31 mM in 3 h; titer = 55 mM) (</w:t>
      </w:r>
      <w:r w:rsidR="00405F98">
        <w:rPr>
          <w:rFonts w:ascii="Arial" w:eastAsiaTheme="minorHAnsi" w:hAnsi="Arial" w:cs="Arial"/>
          <w:b/>
          <w:bCs/>
          <w:i w:val="0"/>
          <w:iCs w:val="0"/>
          <w:color w:val="000000" w:themeColor="text1"/>
          <w:sz w:val="22"/>
          <w:szCs w:val="22"/>
          <w:lang w:val="en-PH"/>
        </w:rPr>
        <w:t>Figure</w:t>
      </w:r>
      <w:r w:rsidRPr="00ED1D2C">
        <w:rPr>
          <w:rFonts w:ascii="Arial" w:eastAsiaTheme="minorHAnsi" w:hAnsi="Arial" w:cs="Arial"/>
          <w:b/>
          <w:bCs/>
          <w:i w:val="0"/>
          <w:iCs w:val="0"/>
          <w:color w:val="000000" w:themeColor="text1"/>
          <w:sz w:val="22"/>
          <w:szCs w:val="22"/>
          <w:lang w:val="en-PH"/>
        </w:rPr>
        <w:t xml:space="preserve"> </w:t>
      </w:r>
      <w:r w:rsidR="00C65F71">
        <w:rPr>
          <w:rFonts w:ascii="Arial" w:eastAsiaTheme="minorHAnsi" w:hAnsi="Arial" w:cs="Arial"/>
          <w:b/>
          <w:bCs/>
          <w:i w:val="0"/>
          <w:iCs w:val="0"/>
          <w:color w:val="000000" w:themeColor="text1"/>
          <w:sz w:val="22"/>
          <w:szCs w:val="22"/>
          <w:lang w:val="en-PH"/>
        </w:rPr>
        <w:t>3.</w:t>
      </w:r>
      <w:r w:rsidRPr="00ED1D2C">
        <w:rPr>
          <w:rFonts w:ascii="Arial" w:eastAsiaTheme="minorHAnsi" w:hAnsi="Arial" w:cs="Arial"/>
          <w:b/>
          <w:bCs/>
          <w:i w:val="0"/>
          <w:iCs w:val="0"/>
          <w:color w:val="000000" w:themeColor="text1"/>
          <w:sz w:val="22"/>
          <w:szCs w:val="22"/>
          <w:lang w:val="en-PH"/>
        </w:rPr>
        <w:t xml:space="preserve">4D, </w:t>
      </w:r>
      <w:r w:rsidR="00C65F71">
        <w:rPr>
          <w:rFonts w:ascii="Arial" w:eastAsiaTheme="minorHAnsi" w:hAnsi="Arial" w:cs="Arial"/>
          <w:b/>
          <w:bCs/>
          <w:i w:val="0"/>
          <w:iCs w:val="0"/>
          <w:color w:val="000000" w:themeColor="text1"/>
          <w:sz w:val="22"/>
          <w:szCs w:val="22"/>
          <w:lang w:val="en-PH"/>
        </w:rPr>
        <w:t xml:space="preserve">Appendix </w:t>
      </w:r>
      <w:r w:rsidR="00405F98">
        <w:rPr>
          <w:rFonts w:ascii="Arial" w:eastAsiaTheme="minorHAnsi" w:hAnsi="Arial" w:cs="Arial"/>
          <w:b/>
          <w:bCs/>
          <w:i w:val="0"/>
          <w:iCs w:val="0"/>
          <w:color w:val="000000" w:themeColor="text1"/>
          <w:sz w:val="22"/>
          <w:szCs w:val="22"/>
          <w:lang w:val="en-PH"/>
        </w:rPr>
        <w:t>Figure</w:t>
      </w:r>
      <w:r w:rsidRPr="00ED1D2C">
        <w:rPr>
          <w:rFonts w:ascii="Arial" w:eastAsiaTheme="minorHAnsi" w:hAnsi="Arial" w:cs="Arial"/>
          <w:b/>
          <w:bCs/>
          <w:i w:val="0"/>
          <w:iCs w:val="0"/>
          <w:color w:val="000000" w:themeColor="text1"/>
          <w:sz w:val="22"/>
          <w:szCs w:val="22"/>
          <w:lang w:val="en-PH"/>
        </w:rPr>
        <w:t xml:space="preserve"> </w:t>
      </w:r>
      <w:r w:rsidR="00C65F71">
        <w:rPr>
          <w:rFonts w:ascii="Arial" w:eastAsiaTheme="minorHAnsi" w:hAnsi="Arial" w:cs="Arial"/>
          <w:b/>
          <w:bCs/>
          <w:i w:val="0"/>
          <w:iCs w:val="0"/>
          <w:color w:val="000000" w:themeColor="text1"/>
          <w:sz w:val="22"/>
          <w:szCs w:val="22"/>
          <w:lang w:val="en-PH"/>
        </w:rPr>
        <w:t>3.7</w:t>
      </w:r>
      <w:r w:rsidRPr="00ED1D2C">
        <w:rPr>
          <w:rFonts w:ascii="Arial" w:eastAsiaTheme="minorHAnsi" w:hAnsi="Arial" w:cs="Arial"/>
          <w:b/>
          <w:bCs/>
          <w:i w:val="0"/>
          <w:iCs w:val="0"/>
          <w:color w:val="000000" w:themeColor="text1"/>
          <w:sz w:val="22"/>
          <w:szCs w:val="22"/>
          <w:lang w:val="en-PH"/>
        </w:rPr>
        <w:t xml:space="preserve">C </w:t>
      </w:r>
      <w:r w:rsidR="00ED1D2C" w:rsidRPr="00ED1D2C">
        <w:rPr>
          <w:rFonts w:ascii="Arial" w:eastAsiaTheme="minorHAnsi" w:hAnsi="Arial" w:cs="Arial"/>
          <w:b/>
          <w:bCs/>
          <w:i w:val="0"/>
          <w:iCs w:val="0"/>
          <w:color w:val="000000" w:themeColor="text1"/>
          <w:sz w:val="22"/>
          <w:szCs w:val="22"/>
          <w:lang w:val="en-PH"/>
        </w:rPr>
        <w:t xml:space="preserve">&amp; </w:t>
      </w:r>
      <w:r w:rsidRPr="00ED1D2C">
        <w:rPr>
          <w:rFonts w:ascii="Arial" w:eastAsiaTheme="minorHAnsi" w:hAnsi="Arial" w:cs="Arial"/>
          <w:b/>
          <w:bCs/>
          <w:i w:val="0"/>
          <w:iCs w:val="0"/>
          <w:color w:val="000000" w:themeColor="text1"/>
          <w:sz w:val="22"/>
          <w:szCs w:val="22"/>
          <w:lang w:val="en-PH"/>
        </w:rPr>
        <w:t>D</w:t>
      </w:r>
      <w:r w:rsidRPr="00D635E6">
        <w:rPr>
          <w:rFonts w:ascii="Arial" w:eastAsiaTheme="minorHAnsi" w:hAnsi="Arial" w:cs="Arial"/>
          <w:i w:val="0"/>
          <w:iCs w:val="0"/>
          <w:color w:val="000000" w:themeColor="text1"/>
          <w:sz w:val="22"/>
          <w:szCs w:val="22"/>
          <w:lang w:val="en-PH"/>
        </w:rPr>
        <w:t xml:space="preserve">). The low initial accumulation of ethanol despite high pyruvate pooling from </w:t>
      </w:r>
      <w:proofErr w:type="spellStart"/>
      <w:r w:rsidRPr="00D635E6">
        <w:rPr>
          <w:rFonts w:ascii="Arial" w:eastAsiaTheme="minorHAnsi" w:hAnsi="Arial" w:cs="Arial"/>
          <w:i w:val="0"/>
          <w:iCs w:val="0"/>
          <w:color w:val="000000" w:themeColor="text1"/>
          <w:sz w:val="22"/>
          <w:szCs w:val="22"/>
          <w:lang w:val="en-PH"/>
        </w:rPr>
        <w:t>LdhA</w:t>
      </w:r>
      <w:proofErr w:type="spellEnd"/>
      <w:r w:rsidRPr="00D635E6">
        <w:rPr>
          <w:rFonts w:ascii="Arial" w:eastAsiaTheme="minorHAnsi" w:hAnsi="Arial" w:cs="Arial"/>
          <w:i w:val="0"/>
          <w:iCs w:val="0"/>
          <w:color w:val="000000" w:themeColor="text1"/>
          <w:sz w:val="22"/>
          <w:szCs w:val="22"/>
          <w:lang w:val="en-PH"/>
        </w:rPr>
        <w:t xml:space="preserve"> depletion is possibly due to decreased </w:t>
      </w:r>
      <w:proofErr w:type="spellStart"/>
      <w:r w:rsidRPr="00D635E6">
        <w:rPr>
          <w:rFonts w:ascii="Arial" w:eastAsiaTheme="minorHAnsi" w:hAnsi="Arial" w:cs="Arial"/>
          <w:i w:val="0"/>
          <w:iCs w:val="0"/>
          <w:color w:val="000000" w:themeColor="text1"/>
          <w:sz w:val="22"/>
          <w:szCs w:val="22"/>
          <w:lang w:val="en-PH"/>
        </w:rPr>
        <w:t>Pdh</w:t>
      </w:r>
      <w:proofErr w:type="spellEnd"/>
      <w:r w:rsidRPr="00D635E6">
        <w:rPr>
          <w:rFonts w:ascii="Arial" w:eastAsiaTheme="minorHAnsi" w:hAnsi="Arial" w:cs="Arial"/>
          <w:i w:val="0"/>
          <w:iCs w:val="0"/>
          <w:color w:val="000000" w:themeColor="text1"/>
          <w:sz w:val="22"/>
          <w:szCs w:val="22"/>
          <w:lang w:val="en-PH"/>
        </w:rPr>
        <w:t xml:space="preserve"> activity under </w:t>
      </w:r>
      <w:r w:rsidR="009A5F94" w:rsidRPr="00D635E6">
        <w:rPr>
          <w:rFonts w:ascii="Arial" w:eastAsiaTheme="minorHAnsi" w:hAnsi="Arial" w:cs="Arial"/>
          <w:i w:val="0"/>
          <w:iCs w:val="0"/>
          <w:color w:val="000000" w:themeColor="text1"/>
          <w:sz w:val="22"/>
          <w:szCs w:val="22"/>
          <w:lang w:val="en-PH"/>
        </w:rPr>
        <w:t>high adenylate charge</w:t>
      </w:r>
      <w:r w:rsidR="009A5F94" w:rsidRPr="00D635E6">
        <w:rPr>
          <w:rFonts w:ascii="Arial" w:eastAsiaTheme="minorHAnsi" w:hAnsi="Arial" w:cs="Arial"/>
          <w:i w:val="0"/>
          <w:iCs w:val="0"/>
          <w:color w:val="000000" w:themeColor="text1"/>
          <w:sz w:val="22"/>
          <w:szCs w:val="22"/>
          <w:lang w:val="en-PH"/>
        </w:rPr>
        <w:fldChar w:fldCharType="begin" w:fldLock="1"/>
      </w:r>
      <w:r w:rsidR="00567FF4">
        <w:rPr>
          <w:rFonts w:ascii="Arial" w:hAnsi="Arial" w:cs="Arial"/>
          <w:i w:val="0"/>
          <w:iCs w:val="0"/>
          <w:color w:val="000000" w:themeColor="text1"/>
          <w:sz w:val="22"/>
          <w:szCs w:val="22"/>
        </w:rPr>
        <w:instrText>ADDIN CSL_CITATION {"citationItems":[{"id":"ITEM-1","itemData":{"abstract":"Activity of the pyruvate dehydrogenase complex (pyru-vate + DPN+-+ HSCoA-+ acetyl-SCoA + DPNH + CO2-I-H+) of Escherichiu coli is stimulated by glycolytic intermedi-ates. Fructose-diP is the most effective modifier, and activity is enhanced also by fructose-6-P, glyceraldehyde-3-P, phosphoenolpyruvate, dihydroxyacetone-P, and glucose-6-P. These effects are exerted on the pyruvate decarboxylase component of the complex. Fructose-diP overcomes the inhibition resulting from a high value of the adenylate energy charge. The activity of the complex is modulated also by the oxidation level of the DPN+-DPNH pool, increasing steeply with increase in the DPNf mole fraction in the physiological range around 0.8. The responses to the adenylate energy charge, the DPN+ mole fraction, and the acetyl coenzyme A concentration are in the right direction, and the interactions are of the right type, to suggest that modulation of pyruvate dehydrogenase activity contributes to the stabilization of these parameters in viva. The pyruvate dehydrogenase complex of Escherichia coli, which catalyzes the conversion of pyruvate to acetyl-SCoA, consists of three components: pyruvate decarboxylase (some-times called pyruvate dehydrogenase), lipoamide transacetylase, and dihydrolipoamide reductase (1). Similar complexing of these enzymes has been observed in several other organisms, and is probably general (for review see Reference 2). The activity of the complex from various organisms, including E. coli, is inhibited by acetyl-SCoA (3-7). This effect is exerted on the enzyme catalyzing the first reaction in the sequence, pyruvate decarboxylase (5). Activity of the complex is modulated also by the energy charge of the adenine nucleotide pool (8), and pyruvate decarboxylase is again the site of action of this control. A recent report (9, note added in press) that ATP inhibits the enzyme from pig heart suggests that mammalian pyruvate dehydrogenases are also under energy charge control.","author":[{"dropping-particle":"","family":"Shen","given":"Laura C","non-dropping-particle":"","parse-names":false,"suffix":""},{"dropping-particle":"","family":"Atkinson","given":"Daniel E","non-dropping-particle":"","parse-names":false,"suffix":""}],"container-title":"OF BIOLOGICAL CHEMISTRY","id":"ITEM-1","issue":"22","issued":{"date-parts":[["1970"]]},"page":"6974-6978","title":"Regulation of Pyruvate Dehydrogenase from Escherichia coli INTERACTIONS OF ADENYLATE ENERGY CHARGE AND OTHER REGULATORY PARAMETERS*","type":"article-journal","volume":"246"},"uris":["http://www.mendeley.com/documents/?uuid=892166f9-c05a-3fbc-a179-bb7268ce141e","http://www.mendeley.com/documents/?uuid=2283ed1d-afb8-48ac-8bbb-e1ca5e54d6f3"]}],"mendeley":{"formattedCitation":"&lt;sup&gt;124&lt;/sup&gt;","plainTextFormattedCitation":"124","previouslyFormattedCitation":"&lt;sup&gt;124&lt;/sup&gt;"},"properties":{"noteIndex":0},"schema":"https://github.com/citation-style-language/schema/raw/master/csl-citation.json"}</w:instrText>
      </w:r>
      <w:r w:rsidR="009A5F94" w:rsidRPr="00D635E6">
        <w:rPr>
          <w:rFonts w:ascii="Arial" w:eastAsiaTheme="minorHAnsi" w:hAnsi="Arial" w:cs="Arial"/>
          <w:i w:val="0"/>
          <w:iCs w:val="0"/>
          <w:color w:val="000000" w:themeColor="text1"/>
          <w:sz w:val="22"/>
          <w:szCs w:val="22"/>
          <w:lang w:val="en-PH"/>
        </w:rPr>
        <w:fldChar w:fldCharType="separate"/>
      </w:r>
      <w:r w:rsidR="00567FF4" w:rsidRPr="00567FF4">
        <w:rPr>
          <w:rFonts w:ascii="Arial" w:hAnsi="Arial" w:cs="Arial"/>
          <w:i w:val="0"/>
          <w:iCs w:val="0"/>
          <w:noProof/>
          <w:color w:val="000000" w:themeColor="text1"/>
          <w:sz w:val="22"/>
          <w:szCs w:val="22"/>
          <w:vertAlign w:val="superscript"/>
        </w:rPr>
        <w:t>124</w:t>
      </w:r>
      <w:r w:rsidR="009A5F94" w:rsidRPr="00D635E6">
        <w:rPr>
          <w:rFonts w:ascii="Arial" w:eastAsiaTheme="minorHAnsi" w:hAnsi="Arial" w:cs="Arial"/>
          <w:i w:val="0"/>
          <w:iCs w:val="0"/>
          <w:color w:val="000000" w:themeColor="text1"/>
          <w:sz w:val="22"/>
          <w:szCs w:val="22"/>
          <w:lang w:val="en-PH"/>
        </w:rPr>
        <w:fldChar w:fldCharType="end"/>
      </w:r>
      <w:r w:rsidR="009A5F94" w:rsidRPr="00D635E6">
        <w:rPr>
          <w:rFonts w:ascii="Arial" w:eastAsiaTheme="minorHAnsi" w:hAnsi="Arial" w:cs="Arial"/>
          <w:i w:val="0"/>
          <w:iCs w:val="0"/>
          <w:color w:val="000000" w:themeColor="text1"/>
          <w:sz w:val="22"/>
          <w:szCs w:val="22"/>
          <w:lang w:val="en-PH"/>
        </w:rPr>
        <w:t>.  The same condition can explain lowered ethanol production in the depleted 6xHis-3 extract compared to the depleted 6xHis-2 lysate (</w:t>
      </w:r>
      <w:r w:rsidR="009A5F94">
        <w:rPr>
          <w:rFonts w:ascii="Arial" w:eastAsiaTheme="minorHAnsi" w:hAnsi="Arial" w:cs="Arial"/>
          <w:b/>
          <w:bCs/>
          <w:i w:val="0"/>
          <w:iCs w:val="0"/>
          <w:color w:val="000000" w:themeColor="text1"/>
          <w:sz w:val="22"/>
          <w:szCs w:val="22"/>
          <w:lang w:val="en-PH"/>
        </w:rPr>
        <w:t>Figure</w:t>
      </w:r>
      <w:r w:rsidR="009A5F94" w:rsidRPr="00ED1D2C">
        <w:rPr>
          <w:rFonts w:ascii="Arial" w:eastAsiaTheme="minorHAnsi" w:hAnsi="Arial" w:cs="Arial"/>
          <w:b/>
          <w:bCs/>
          <w:i w:val="0"/>
          <w:iCs w:val="0"/>
          <w:color w:val="000000" w:themeColor="text1"/>
          <w:sz w:val="22"/>
          <w:szCs w:val="22"/>
          <w:lang w:val="en-PH"/>
        </w:rPr>
        <w:t xml:space="preserve"> </w:t>
      </w:r>
      <w:r w:rsidR="009A5F94">
        <w:rPr>
          <w:rFonts w:ascii="Arial" w:eastAsiaTheme="minorHAnsi" w:hAnsi="Arial" w:cs="Arial"/>
          <w:b/>
          <w:bCs/>
          <w:i w:val="0"/>
          <w:iCs w:val="0"/>
          <w:color w:val="000000" w:themeColor="text1"/>
          <w:sz w:val="22"/>
          <w:szCs w:val="22"/>
          <w:lang w:val="en-PH"/>
        </w:rPr>
        <w:t>3.</w:t>
      </w:r>
      <w:r w:rsidR="009A5F94" w:rsidRPr="00ED1D2C">
        <w:rPr>
          <w:rFonts w:ascii="Arial" w:eastAsiaTheme="minorHAnsi" w:hAnsi="Arial" w:cs="Arial"/>
          <w:b/>
          <w:bCs/>
          <w:i w:val="0"/>
          <w:iCs w:val="0"/>
          <w:color w:val="000000" w:themeColor="text1"/>
          <w:sz w:val="22"/>
          <w:szCs w:val="22"/>
          <w:lang w:val="en-PH"/>
        </w:rPr>
        <w:t>4D</w:t>
      </w:r>
      <w:r w:rsidR="009A5F94" w:rsidRPr="00D635E6">
        <w:rPr>
          <w:rFonts w:ascii="Arial" w:eastAsiaTheme="minorHAnsi" w:hAnsi="Arial" w:cs="Arial"/>
          <w:i w:val="0"/>
          <w:iCs w:val="0"/>
          <w:color w:val="000000" w:themeColor="text1"/>
          <w:sz w:val="22"/>
          <w:szCs w:val="22"/>
          <w:lang w:val="en-PH"/>
        </w:rPr>
        <w:t xml:space="preserve">). Alternatively, the less efficient ethanol pooling can be due to lowered synthesis rates of NADH from glycolysis after </w:t>
      </w:r>
      <w:proofErr w:type="spellStart"/>
      <w:r w:rsidR="009A5F94" w:rsidRPr="00D635E6">
        <w:rPr>
          <w:rFonts w:ascii="Arial" w:eastAsiaTheme="minorHAnsi" w:hAnsi="Arial" w:cs="Arial"/>
          <w:i w:val="0"/>
          <w:iCs w:val="0"/>
          <w:color w:val="000000" w:themeColor="text1"/>
          <w:sz w:val="22"/>
          <w:szCs w:val="22"/>
          <w:lang w:val="en-PH"/>
        </w:rPr>
        <w:t>PpsA</w:t>
      </w:r>
      <w:proofErr w:type="spellEnd"/>
      <w:r w:rsidR="009A5F94" w:rsidRPr="00D635E6">
        <w:rPr>
          <w:rFonts w:ascii="Arial" w:eastAsiaTheme="minorHAnsi" w:hAnsi="Arial" w:cs="Arial"/>
          <w:i w:val="0"/>
          <w:iCs w:val="0"/>
          <w:color w:val="000000" w:themeColor="text1"/>
          <w:sz w:val="22"/>
          <w:szCs w:val="22"/>
          <w:lang w:val="en-PH"/>
        </w:rPr>
        <w:t xml:space="preserve"> pull-down.</w:t>
      </w:r>
    </w:p>
    <w:p w14:paraId="4084F209" w14:textId="391FD6E1" w:rsidR="009A5F94" w:rsidRDefault="009A5F94" w:rsidP="009A5F94">
      <w:pPr>
        <w:pStyle w:val="Caption"/>
        <w:ind w:firstLine="720"/>
        <w:contextualSpacing/>
        <w:rPr>
          <w:rFonts w:ascii="Arial" w:hAnsi="Arial" w:cs="Arial"/>
          <w:i w:val="0"/>
          <w:iCs w:val="0"/>
          <w:color w:val="000000" w:themeColor="text1"/>
          <w:sz w:val="22"/>
          <w:szCs w:val="22"/>
        </w:rPr>
      </w:pPr>
      <w:r w:rsidRPr="00D635E6">
        <w:rPr>
          <w:rFonts w:ascii="Arial" w:eastAsiaTheme="minorHAnsi" w:hAnsi="Arial" w:cs="Arial"/>
          <w:i w:val="0"/>
          <w:iCs w:val="0"/>
          <w:color w:val="000000" w:themeColor="text1"/>
          <w:sz w:val="22"/>
          <w:szCs w:val="22"/>
          <w:lang w:val="en-PH"/>
        </w:rPr>
        <w:t xml:space="preserve">The targeted depletion of </w:t>
      </w:r>
      <w:proofErr w:type="spellStart"/>
      <w:r w:rsidRPr="00D635E6">
        <w:rPr>
          <w:rFonts w:ascii="Arial" w:eastAsiaTheme="minorHAnsi" w:hAnsi="Arial" w:cs="Arial"/>
          <w:i w:val="0"/>
          <w:iCs w:val="0"/>
          <w:color w:val="000000" w:themeColor="text1"/>
          <w:sz w:val="22"/>
          <w:szCs w:val="22"/>
          <w:lang w:val="en-PH"/>
        </w:rPr>
        <w:t>AceE</w:t>
      </w:r>
      <w:proofErr w:type="spellEnd"/>
      <w:r w:rsidRPr="00D635E6">
        <w:rPr>
          <w:rFonts w:ascii="Arial" w:eastAsiaTheme="minorHAnsi" w:hAnsi="Arial" w:cs="Arial"/>
          <w:i w:val="0"/>
          <w:iCs w:val="0"/>
          <w:color w:val="000000" w:themeColor="text1"/>
          <w:sz w:val="22"/>
          <w:szCs w:val="22"/>
          <w:lang w:val="en-PH"/>
        </w:rPr>
        <w:t xml:space="preserve">, a component of </w:t>
      </w:r>
      <w:proofErr w:type="spellStart"/>
      <w:r w:rsidRPr="00D635E6">
        <w:rPr>
          <w:rFonts w:ascii="Arial" w:eastAsiaTheme="minorHAnsi" w:hAnsi="Arial" w:cs="Arial"/>
          <w:i w:val="0"/>
          <w:iCs w:val="0"/>
          <w:color w:val="000000" w:themeColor="text1"/>
          <w:sz w:val="22"/>
          <w:szCs w:val="22"/>
          <w:lang w:val="en-PH"/>
        </w:rPr>
        <w:t>Pdh</w:t>
      </w:r>
      <w:proofErr w:type="spellEnd"/>
      <w:r w:rsidRPr="00D635E6">
        <w:rPr>
          <w:rFonts w:ascii="Arial" w:eastAsiaTheme="minorHAnsi" w:hAnsi="Arial" w:cs="Arial"/>
          <w:i w:val="0"/>
          <w:iCs w:val="0"/>
          <w:color w:val="000000" w:themeColor="text1"/>
          <w:sz w:val="22"/>
          <w:szCs w:val="22"/>
          <w:lang w:val="en-PH"/>
        </w:rPr>
        <w:t>, did not increase pyruvate pooling capabilities, but led to the highest consumption of glucose observed (</w:t>
      </w:r>
      <w:r>
        <w:rPr>
          <w:rFonts w:ascii="Arial" w:eastAsiaTheme="minorHAnsi" w:hAnsi="Arial" w:cs="Arial"/>
          <w:b/>
          <w:bCs/>
          <w:i w:val="0"/>
          <w:iCs w:val="0"/>
          <w:color w:val="000000" w:themeColor="text1"/>
          <w:sz w:val="22"/>
          <w:szCs w:val="22"/>
          <w:lang w:val="en-PH"/>
        </w:rPr>
        <w:t>Figure</w:t>
      </w:r>
      <w:r w:rsidRPr="00ED1D2C">
        <w:rPr>
          <w:rFonts w:ascii="Arial" w:eastAsiaTheme="minorHAnsi" w:hAnsi="Arial" w:cs="Arial"/>
          <w:b/>
          <w:bCs/>
          <w:i w:val="0"/>
          <w:iCs w:val="0"/>
          <w:color w:val="000000" w:themeColor="text1"/>
          <w:sz w:val="22"/>
          <w:szCs w:val="22"/>
          <w:lang w:val="en-PH"/>
        </w:rPr>
        <w:t xml:space="preserve"> </w:t>
      </w:r>
      <w:r>
        <w:rPr>
          <w:rFonts w:ascii="Arial" w:eastAsiaTheme="minorHAnsi" w:hAnsi="Arial" w:cs="Arial"/>
          <w:b/>
          <w:bCs/>
          <w:i w:val="0"/>
          <w:iCs w:val="0"/>
          <w:color w:val="000000" w:themeColor="text1"/>
          <w:sz w:val="22"/>
          <w:szCs w:val="22"/>
          <w:lang w:val="en-PH"/>
        </w:rPr>
        <w:t>3.</w:t>
      </w:r>
      <w:r w:rsidRPr="00ED1D2C">
        <w:rPr>
          <w:rFonts w:ascii="Arial" w:eastAsiaTheme="minorHAnsi" w:hAnsi="Arial" w:cs="Arial"/>
          <w:b/>
          <w:bCs/>
          <w:i w:val="0"/>
          <w:iCs w:val="0"/>
          <w:color w:val="000000" w:themeColor="text1"/>
          <w:sz w:val="22"/>
          <w:szCs w:val="22"/>
          <w:lang w:val="en-PH"/>
        </w:rPr>
        <w:t>4A</w:t>
      </w:r>
      <w:r w:rsidRPr="00D635E6">
        <w:rPr>
          <w:rFonts w:ascii="Arial" w:eastAsiaTheme="minorHAnsi" w:hAnsi="Arial" w:cs="Arial"/>
          <w:i w:val="0"/>
          <w:iCs w:val="0"/>
          <w:color w:val="000000" w:themeColor="text1"/>
          <w:sz w:val="22"/>
          <w:szCs w:val="22"/>
          <w:lang w:val="en-PH"/>
        </w:rPr>
        <w:t xml:space="preserve">, </w:t>
      </w:r>
      <w:r>
        <w:rPr>
          <w:rFonts w:ascii="Arial" w:eastAsiaTheme="minorHAnsi" w:hAnsi="Arial" w:cs="Arial"/>
          <w:b/>
          <w:bCs/>
          <w:i w:val="0"/>
          <w:iCs w:val="0"/>
          <w:color w:val="000000" w:themeColor="text1"/>
          <w:sz w:val="22"/>
          <w:szCs w:val="22"/>
          <w:lang w:val="en-PH"/>
        </w:rPr>
        <w:t>Appendix</w:t>
      </w:r>
      <w:r w:rsidRPr="00ED1D2C">
        <w:rPr>
          <w:rFonts w:ascii="Arial" w:eastAsiaTheme="minorHAnsi" w:hAnsi="Arial" w:cs="Arial"/>
          <w:b/>
          <w:bCs/>
          <w:i w:val="0"/>
          <w:iCs w:val="0"/>
          <w:color w:val="000000" w:themeColor="text1"/>
          <w:sz w:val="22"/>
          <w:szCs w:val="22"/>
          <w:lang w:val="en-PH"/>
        </w:rPr>
        <w:t xml:space="preserve"> </w:t>
      </w:r>
      <w:r>
        <w:rPr>
          <w:rFonts w:ascii="Arial" w:eastAsiaTheme="minorHAnsi" w:hAnsi="Arial" w:cs="Arial"/>
          <w:b/>
          <w:bCs/>
          <w:i w:val="0"/>
          <w:iCs w:val="0"/>
          <w:color w:val="000000" w:themeColor="text1"/>
          <w:sz w:val="22"/>
          <w:szCs w:val="22"/>
          <w:lang w:val="en-PH"/>
        </w:rPr>
        <w:t>Figure</w:t>
      </w:r>
      <w:r w:rsidRPr="00ED1D2C">
        <w:rPr>
          <w:rFonts w:ascii="Arial" w:eastAsiaTheme="minorHAnsi" w:hAnsi="Arial" w:cs="Arial"/>
          <w:b/>
          <w:bCs/>
          <w:i w:val="0"/>
          <w:iCs w:val="0"/>
          <w:color w:val="000000" w:themeColor="text1"/>
          <w:sz w:val="22"/>
          <w:szCs w:val="22"/>
          <w:lang w:val="en-PH"/>
        </w:rPr>
        <w:t xml:space="preserve"> </w:t>
      </w:r>
      <w:r>
        <w:rPr>
          <w:rFonts w:ascii="Arial" w:eastAsiaTheme="minorHAnsi" w:hAnsi="Arial" w:cs="Arial"/>
          <w:b/>
          <w:bCs/>
          <w:i w:val="0"/>
          <w:iCs w:val="0"/>
          <w:color w:val="000000" w:themeColor="text1"/>
          <w:sz w:val="22"/>
          <w:szCs w:val="22"/>
          <w:lang w:val="en-PH"/>
        </w:rPr>
        <w:t>3.7</w:t>
      </w:r>
      <w:r w:rsidRPr="00ED1D2C">
        <w:rPr>
          <w:rFonts w:ascii="Arial" w:eastAsiaTheme="minorHAnsi" w:hAnsi="Arial" w:cs="Arial"/>
          <w:b/>
          <w:bCs/>
          <w:i w:val="0"/>
          <w:iCs w:val="0"/>
          <w:color w:val="000000" w:themeColor="text1"/>
          <w:sz w:val="22"/>
          <w:szCs w:val="22"/>
          <w:lang w:val="en-PH"/>
        </w:rPr>
        <w:t>F</w:t>
      </w:r>
      <w:r w:rsidRPr="00D635E6">
        <w:rPr>
          <w:rFonts w:ascii="Arial" w:eastAsiaTheme="minorHAnsi" w:hAnsi="Arial" w:cs="Arial"/>
          <w:i w:val="0"/>
          <w:iCs w:val="0"/>
          <w:color w:val="000000" w:themeColor="text1"/>
          <w:sz w:val="22"/>
          <w:szCs w:val="22"/>
          <w:lang w:val="en-PH"/>
        </w:rPr>
        <w:t xml:space="preserve">). We reason that perturbing the redox balance in the lysate through the pull-down of </w:t>
      </w:r>
      <w:proofErr w:type="spellStart"/>
      <w:r w:rsidRPr="00D635E6">
        <w:rPr>
          <w:rFonts w:ascii="Arial" w:eastAsiaTheme="minorHAnsi" w:hAnsi="Arial" w:cs="Arial"/>
          <w:i w:val="0"/>
          <w:iCs w:val="0"/>
          <w:color w:val="000000" w:themeColor="text1"/>
          <w:sz w:val="22"/>
          <w:szCs w:val="22"/>
          <w:lang w:val="en-PH"/>
        </w:rPr>
        <w:t>AceE</w:t>
      </w:r>
      <w:proofErr w:type="spellEnd"/>
      <w:r w:rsidRPr="00D635E6">
        <w:rPr>
          <w:rFonts w:ascii="Arial" w:eastAsiaTheme="minorHAnsi" w:hAnsi="Arial" w:cs="Arial"/>
          <w:i w:val="0"/>
          <w:iCs w:val="0"/>
          <w:color w:val="000000" w:themeColor="text1"/>
          <w:sz w:val="22"/>
          <w:szCs w:val="22"/>
          <w:lang w:val="en-PH"/>
        </w:rPr>
        <w:t xml:space="preserve"> and thus the depletion of NAD</w:t>
      </w:r>
      <w:r w:rsidRPr="00D635E6">
        <w:rPr>
          <w:rFonts w:ascii="Arial" w:eastAsiaTheme="minorHAnsi" w:hAnsi="Arial" w:cs="Arial"/>
          <w:i w:val="0"/>
          <w:iCs w:val="0"/>
          <w:color w:val="000000" w:themeColor="text1"/>
          <w:sz w:val="22"/>
          <w:szCs w:val="22"/>
          <w:vertAlign w:val="superscript"/>
          <w:lang w:val="en-PH"/>
        </w:rPr>
        <w:t>+</w:t>
      </w:r>
      <w:r w:rsidRPr="00D635E6">
        <w:rPr>
          <w:rFonts w:ascii="Arial" w:eastAsiaTheme="minorHAnsi" w:hAnsi="Arial" w:cs="Arial"/>
          <w:i w:val="0"/>
          <w:iCs w:val="0"/>
          <w:color w:val="000000" w:themeColor="text1"/>
          <w:sz w:val="22"/>
          <w:szCs w:val="22"/>
          <w:lang w:val="en-PH"/>
        </w:rPr>
        <w:t xml:space="preserve">-dependent </w:t>
      </w:r>
      <w:proofErr w:type="spellStart"/>
      <w:r w:rsidRPr="00D635E6">
        <w:rPr>
          <w:rFonts w:ascii="Arial" w:eastAsiaTheme="minorHAnsi" w:hAnsi="Arial" w:cs="Arial"/>
          <w:i w:val="0"/>
          <w:iCs w:val="0"/>
          <w:color w:val="000000" w:themeColor="text1"/>
          <w:sz w:val="22"/>
          <w:szCs w:val="22"/>
          <w:lang w:val="en-PH"/>
        </w:rPr>
        <w:t>Pdh</w:t>
      </w:r>
      <w:proofErr w:type="spellEnd"/>
      <w:r w:rsidRPr="00D635E6">
        <w:rPr>
          <w:rFonts w:ascii="Arial" w:eastAsiaTheme="minorHAnsi" w:hAnsi="Arial" w:cs="Arial"/>
          <w:i w:val="0"/>
          <w:iCs w:val="0"/>
          <w:color w:val="000000" w:themeColor="text1"/>
          <w:sz w:val="22"/>
          <w:szCs w:val="22"/>
          <w:lang w:val="en-PH"/>
        </w:rPr>
        <w:t xml:space="preserve"> activity increased the availability of NAD</w:t>
      </w:r>
      <w:r w:rsidRPr="00D635E6">
        <w:rPr>
          <w:rFonts w:ascii="Arial" w:eastAsiaTheme="minorHAnsi" w:hAnsi="Arial" w:cs="Arial"/>
          <w:i w:val="0"/>
          <w:iCs w:val="0"/>
          <w:color w:val="000000" w:themeColor="text1"/>
          <w:sz w:val="22"/>
          <w:szCs w:val="22"/>
          <w:vertAlign w:val="superscript"/>
          <w:lang w:val="en-PH"/>
        </w:rPr>
        <w:t>+</w:t>
      </w:r>
      <w:r w:rsidRPr="00D635E6">
        <w:rPr>
          <w:rFonts w:ascii="Arial" w:eastAsiaTheme="minorHAnsi" w:hAnsi="Arial" w:cs="Arial"/>
          <w:i w:val="0"/>
          <w:iCs w:val="0"/>
          <w:color w:val="000000" w:themeColor="text1"/>
          <w:sz w:val="22"/>
          <w:szCs w:val="22"/>
          <w:lang w:val="en-PH"/>
        </w:rPr>
        <w:t xml:space="preserve"> for increased glycolytic flux (</w:t>
      </w:r>
      <w:r>
        <w:rPr>
          <w:rFonts w:ascii="Arial" w:eastAsiaTheme="minorHAnsi" w:hAnsi="Arial" w:cs="Arial"/>
          <w:b/>
          <w:bCs/>
          <w:i w:val="0"/>
          <w:iCs w:val="0"/>
          <w:color w:val="000000" w:themeColor="text1"/>
          <w:sz w:val="22"/>
          <w:szCs w:val="22"/>
          <w:lang w:val="en-PH"/>
        </w:rPr>
        <w:t>Figure</w:t>
      </w:r>
      <w:r w:rsidRPr="00ED1D2C">
        <w:rPr>
          <w:rFonts w:ascii="Arial" w:eastAsiaTheme="minorHAnsi" w:hAnsi="Arial" w:cs="Arial"/>
          <w:b/>
          <w:bCs/>
          <w:i w:val="0"/>
          <w:iCs w:val="0"/>
          <w:color w:val="000000" w:themeColor="text1"/>
          <w:sz w:val="22"/>
          <w:szCs w:val="22"/>
          <w:lang w:val="en-PH"/>
        </w:rPr>
        <w:t xml:space="preserve"> </w:t>
      </w:r>
      <w:r>
        <w:rPr>
          <w:rFonts w:ascii="Arial" w:eastAsiaTheme="minorHAnsi" w:hAnsi="Arial" w:cs="Arial"/>
          <w:b/>
          <w:bCs/>
          <w:i w:val="0"/>
          <w:iCs w:val="0"/>
          <w:color w:val="000000" w:themeColor="text1"/>
          <w:sz w:val="22"/>
          <w:szCs w:val="22"/>
          <w:lang w:val="en-PH"/>
        </w:rPr>
        <w:t>3.</w:t>
      </w:r>
      <w:r w:rsidRPr="00ED1D2C">
        <w:rPr>
          <w:rFonts w:ascii="Arial" w:eastAsiaTheme="minorHAnsi" w:hAnsi="Arial" w:cs="Arial"/>
          <w:b/>
          <w:bCs/>
          <w:i w:val="0"/>
          <w:iCs w:val="0"/>
          <w:color w:val="000000" w:themeColor="text1"/>
          <w:sz w:val="22"/>
          <w:szCs w:val="22"/>
          <w:lang w:val="en-PH"/>
        </w:rPr>
        <w:t>2</w:t>
      </w:r>
      <w:r w:rsidRPr="00D635E6">
        <w:rPr>
          <w:rFonts w:ascii="Arial" w:eastAsiaTheme="minorHAnsi" w:hAnsi="Arial" w:cs="Arial"/>
          <w:i w:val="0"/>
          <w:iCs w:val="0"/>
          <w:color w:val="000000" w:themeColor="text1"/>
          <w:sz w:val="22"/>
          <w:szCs w:val="22"/>
          <w:lang w:val="en-PH"/>
        </w:rPr>
        <w:t>)</w:t>
      </w:r>
      <w:r w:rsidRPr="00D635E6">
        <w:rPr>
          <w:rFonts w:ascii="Arial" w:eastAsiaTheme="minorHAnsi" w:hAnsi="Arial" w:cs="Arial"/>
          <w:i w:val="0"/>
          <w:iCs w:val="0"/>
          <w:color w:val="000000" w:themeColor="text1"/>
          <w:sz w:val="22"/>
          <w:szCs w:val="22"/>
          <w:lang w:val="en-PH"/>
        </w:rPr>
        <w:fldChar w:fldCharType="begin" w:fldLock="1"/>
      </w:r>
      <w:r w:rsidR="00567FF4">
        <w:rPr>
          <w:rFonts w:ascii="Arial" w:hAnsi="Arial" w:cs="Arial"/>
          <w:i w:val="0"/>
          <w:iCs w:val="0"/>
          <w:color w:val="000000" w:themeColor="text1"/>
          <w:sz w:val="22"/>
          <w:szCs w:val="22"/>
        </w:rPr>
        <w:instrText>ADDIN CSL_CITATION {"citationItems":[{"id":"ITEM-1","itemData":{"DOI":"10.1128/AEM.01610-08","ISSN":"00992240","PMID":"18806005","abstract":"We report pyruvate formation in Escherichia coli strain ALS929 containing mutations in the aceEF, pfl, poxB, pps, and ldhA genes which encode, respectively, the pyruvate dehydrogenase complex, pyruvate formate lyase, pyruvate oxidase, phosphoenolpyruvate synthase, and lactate dehydrogenase. The glycolytic rate and pyruvate productivity were compared using glucose-, acetate-, nitrogen-, or phosphorus-limited chemostats at a growth rate of 0.15 h-1. Of these four nutrient limitation conditions, growth under acetate limitation resulted in the highest glycolytic flux (1.60 g/g · h), pyruvate formation rate (1.11 g/g · h), and pyruvate yield (0.70 g/g). Additional mutations in atpFH and arcA (strain ALS1059) further elevated the steady-state glycolytic flux to 2.38 g/g · h in an acetate-limited chemostat, with heterologous NADH oxidase expression causing only modest additional improvement. A fed-batch process with strain ALS1059 using defined medium with 5 mM betaine as osmoprotectant and an exponential feeding rate of 0.15 h-1 achieved 90 g/liter pyruvate, with an overall productivity of 2.1 g/liter · h and yield of 0.68 g/g. Copyright © 2008, American Society for Microbiology. All Rights Reserved.","author":[{"dropping-particle":"","family":"Zhu","given":"Yihui","non-dropping-particle":"","parse-names":false,"suffix":""},{"dropping-particle":"","family":"Eiteman","given":"Mark A.","non-dropping-particle":"","parse-names":false,"suffix":""},{"dropping-particle":"","family":"Altman","given":"Ronni","non-dropping-particle":"","parse-names":false,"suffix":""},{"dropping-particle":"","family":"Altman","given":"Elliot","non-dropping-particle":"","parse-names":false,"suffix":""}],"container-title":"Applied and Environmental Microbiology","id":"ITEM-1","issue":"21","issued":{"date-parts":[["2008"]]},"page":"6649-6655","title":"High glycolytic flux improves pyruvate production by a metabolically engineered Escherichia coli strain","type":"article-journal","volume":"74"},"uris":["http://www.mendeley.com/documents/?uuid=8c942aad-6d20-4235-9739-2676409aa23f","http://www.mendeley.com/documents/?uuid=96c823ce-2fef-4996-b06f-e53ced343443"]}],"mendeley":{"formattedCitation":"&lt;sup&gt;125&lt;/sup&gt;","plainTextFormattedCitation":"125","previouslyFormattedCitation":"&lt;sup&gt;125&lt;/sup&gt;"},"properties":{"noteIndex":0},"schema":"https://github.com/citation-style-language/schema/raw/master/csl-citation.json"}</w:instrText>
      </w:r>
      <w:r w:rsidRPr="00D635E6">
        <w:rPr>
          <w:rFonts w:ascii="Arial" w:eastAsiaTheme="minorHAnsi" w:hAnsi="Arial" w:cs="Arial"/>
          <w:i w:val="0"/>
          <w:iCs w:val="0"/>
          <w:color w:val="000000" w:themeColor="text1"/>
          <w:sz w:val="22"/>
          <w:szCs w:val="22"/>
          <w:lang w:val="en-PH"/>
        </w:rPr>
        <w:fldChar w:fldCharType="separate"/>
      </w:r>
      <w:r w:rsidR="00567FF4" w:rsidRPr="00567FF4">
        <w:rPr>
          <w:rFonts w:ascii="Arial" w:hAnsi="Arial" w:cs="Arial"/>
          <w:i w:val="0"/>
          <w:iCs w:val="0"/>
          <w:noProof/>
          <w:color w:val="000000" w:themeColor="text1"/>
          <w:sz w:val="22"/>
          <w:szCs w:val="22"/>
          <w:vertAlign w:val="superscript"/>
        </w:rPr>
        <w:t>125</w:t>
      </w:r>
      <w:r w:rsidRPr="00D635E6">
        <w:rPr>
          <w:rFonts w:ascii="Arial" w:eastAsiaTheme="minorHAnsi" w:hAnsi="Arial" w:cs="Arial"/>
          <w:i w:val="0"/>
          <w:iCs w:val="0"/>
          <w:color w:val="000000" w:themeColor="text1"/>
          <w:sz w:val="22"/>
          <w:szCs w:val="22"/>
          <w:lang w:val="en-PH"/>
        </w:rPr>
        <w:fldChar w:fldCharType="end"/>
      </w:r>
      <w:r w:rsidRPr="00D635E6">
        <w:rPr>
          <w:rFonts w:ascii="Arial" w:eastAsiaTheme="minorHAnsi" w:hAnsi="Arial" w:cs="Arial"/>
          <w:i w:val="0"/>
          <w:iCs w:val="0"/>
          <w:color w:val="000000" w:themeColor="text1"/>
          <w:sz w:val="22"/>
          <w:szCs w:val="22"/>
          <w:lang w:val="en-PH"/>
        </w:rPr>
        <w:t xml:space="preserve">. Moreover, the depletion of </w:t>
      </w:r>
      <w:proofErr w:type="spellStart"/>
      <w:r w:rsidRPr="00D635E6">
        <w:rPr>
          <w:rFonts w:ascii="Arial" w:eastAsiaTheme="minorHAnsi" w:hAnsi="Arial" w:cs="Arial"/>
          <w:i w:val="0"/>
          <w:iCs w:val="0"/>
          <w:color w:val="000000" w:themeColor="text1"/>
          <w:sz w:val="22"/>
          <w:szCs w:val="22"/>
          <w:lang w:val="en-PH"/>
        </w:rPr>
        <w:t>Pdh</w:t>
      </w:r>
      <w:proofErr w:type="spellEnd"/>
      <w:r w:rsidRPr="00D635E6">
        <w:rPr>
          <w:rFonts w:ascii="Arial" w:eastAsiaTheme="minorHAnsi" w:hAnsi="Arial" w:cs="Arial"/>
          <w:i w:val="0"/>
          <w:iCs w:val="0"/>
          <w:color w:val="000000" w:themeColor="text1"/>
          <w:sz w:val="22"/>
          <w:szCs w:val="22"/>
          <w:lang w:val="en-PH"/>
        </w:rPr>
        <w:t xml:space="preserve"> activity seems to shift the maintenance of redox balance back to </w:t>
      </w:r>
      <w:proofErr w:type="spellStart"/>
      <w:r w:rsidRPr="00D635E6">
        <w:rPr>
          <w:rFonts w:ascii="Arial" w:eastAsiaTheme="minorHAnsi" w:hAnsi="Arial" w:cs="Arial"/>
          <w:i w:val="0"/>
          <w:iCs w:val="0"/>
          <w:color w:val="000000" w:themeColor="text1"/>
          <w:sz w:val="22"/>
          <w:szCs w:val="22"/>
          <w:lang w:val="en-PH"/>
        </w:rPr>
        <w:t>LdhA</w:t>
      </w:r>
      <w:proofErr w:type="spellEnd"/>
      <w:r w:rsidRPr="00D635E6">
        <w:rPr>
          <w:rFonts w:ascii="Arial" w:eastAsiaTheme="minorHAnsi" w:hAnsi="Arial" w:cs="Arial"/>
          <w:i w:val="0"/>
          <w:iCs w:val="0"/>
          <w:color w:val="000000" w:themeColor="text1"/>
          <w:sz w:val="22"/>
          <w:szCs w:val="22"/>
          <w:lang w:val="en-PH"/>
        </w:rPr>
        <w:t xml:space="preserve"> at later timepoints, as suggested by the steady increase in lactate levels with the decrease in glucose stores (</w:t>
      </w:r>
      <w:r>
        <w:rPr>
          <w:rFonts w:ascii="Arial" w:eastAsiaTheme="minorHAnsi" w:hAnsi="Arial" w:cs="Arial"/>
          <w:b/>
          <w:bCs/>
          <w:i w:val="0"/>
          <w:iCs w:val="0"/>
          <w:color w:val="000000" w:themeColor="text1"/>
          <w:sz w:val="22"/>
          <w:szCs w:val="22"/>
          <w:lang w:val="en-PH"/>
        </w:rPr>
        <w:t>Figure</w:t>
      </w:r>
      <w:r w:rsidRPr="00ED1D2C">
        <w:rPr>
          <w:rFonts w:ascii="Arial" w:eastAsiaTheme="minorHAnsi" w:hAnsi="Arial" w:cs="Arial"/>
          <w:b/>
          <w:bCs/>
          <w:i w:val="0"/>
          <w:iCs w:val="0"/>
          <w:color w:val="000000" w:themeColor="text1"/>
          <w:sz w:val="22"/>
          <w:szCs w:val="22"/>
          <w:lang w:val="en-PH"/>
        </w:rPr>
        <w:t xml:space="preserve"> </w:t>
      </w:r>
      <w:r>
        <w:rPr>
          <w:rFonts w:ascii="Arial" w:eastAsiaTheme="minorHAnsi" w:hAnsi="Arial" w:cs="Arial"/>
          <w:b/>
          <w:bCs/>
          <w:i w:val="0"/>
          <w:iCs w:val="0"/>
          <w:color w:val="000000" w:themeColor="text1"/>
          <w:sz w:val="22"/>
          <w:szCs w:val="22"/>
          <w:lang w:val="en-PH"/>
        </w:rPr>
        <w:t>3.</w:t>
      </w:r>
      <w:r w:rsidRPr="00ED1D2C">
        <w:rPr>
          <w:rFonts w:ascii="Arial" w:eastAsiaTheme="minorHAnsi" w:hAnsi="Arial" w:cs="Arial"/>
          <w:b/>
          <w:bCs/>
          <w:i w:val="0"/>
          <w:iCs w:val="0"/>
          <w:color w:val="000000" w:themeColor="text1"/>
          <w:sz w:val="22"/>
          <w:szCs w:val="22"/>
          <w:lang w:val="en-PH"/>
        </w:rPr>
        <w:t>4A &amp; C</w:t>
      </w:r>
      <w:r w:rsidRPr="00D635E6">
        <w:rPr>
          <w:rFonts w:ascii="Arial" w:eastAsiaTheme="minorHAnsi" w:hAnsi="Arial" w:cs="Arial"/>
          <w:i w:val="0"/>
          <w:iCs w:val="0"/>
          <w:color w:val="000000" w:themeColor="text1"/>
          <w:sz w:val="22"/>
          <w:szCs w:val="22"/>
          <w:lang w:val="en-PH"/>
        </w:rPr>
        <w:t>). NAD</w:t>
      </w:r>
      <w:r w:rsidRPr="00D635E6">
        <w:rPr>
          <w:rFonts w:ascii="Arial" w:eastAsiaTheme="minorHAnsi" w:hAnsi="Arial" w:cs="Arial"/>
          <w:i w:val="0"/>
          <w:iCs w:val="0"/>
          <w:color w:val="000000" w:themeColor="text1"/>
          <w:sz w:val="22"/>
          <w:szCs w:val="22"/>
          <w:vertAlign w:val="superscript"/>
          <w:lang w:val="en-PH"/>
        </w:rPr>
        <w:t>+</w:t>
      </w:r>
      <w:r w:rsidRPr="00D635E6">
        <w:rPr>
          <w:rFonts w:ascii="Arial" w:eastAsiaTheme="minorHAnsi" w:hAnsi="Arial" w:cs="Arial"/>
          <w:i w:val="0"/>
          <w:iCs w:val="0"/>
          <w:color w:val="000000" w:themeColor="text1"/>
          <w:sz w:val="22"/>
          <w:szCs w:val="22"/>
          <w:lang w:val="en-PH"/>
        </w:rPr>
        <w:t xml:space="preserve"> is thus continually regenerated by remaining </w:t>
      </w:r>
      <w:proofErr w:type="spellStart"/>
      <w:r w:rsidRPr="00D635E6">
        <w:rPr>
          <w:rFonts w:ascii="Arial" w:eastAsiaTheme="minorHAnsi" w:hAnsi="Arial" w:cs="Arial"/>
          <w:i w:val="0"/>
          <w:iCs w:val="0"/>
          <w:color w:val="000000" w:themeColor="text1"/>
          <w:sz w:val="22"/>
          <w:szCs w:val="22"/>
          <w:lang w:val="en-PH"/>
        </w:rPr>
        <w:t>LdhA</w:t>
      </w:r>
      <w:proofErr w:type="spellEnd"/>
      <w:r w:rsidRPr="00D635E6">
        <w:rPr>
          <w:rFonts w:ascii="Arial" w:eastAsiaTheme="minorHAnsi" w:hAnsi="Arial" w:cs="Arial"/>
          <w:i w:val="0"/>
          <w:iCs w:val="0"/>
          <w:color w:val="000000" w:themeColor="text1"/>
          <w:sz w:val="22"/>
          <w:szCs w:val="22"/>
          <w:lang w:val="en-PH"/>
        </w:rPr>
        <w:t xml:space="preserve"> and ethanol production for the NADH generating step in glycolysis, but this could possibly result in the build-up of glycolytic intermediates since the total consumption of 100 mM glucose is not fully accounted for by the concentrations of pooled fermentation end-products. In general, the rapid consumption of the NAD</w:t>
      </w:r>
      <w:r w:rsidRPr="00D635E6">
        <w:rPr>
          <w:rFonts w:ascii="Arial" w:eastAsiaTheme="minorHAnsi" w:hAnsi="Arial" w:cs="Arial"/>
          <w:i w:val="0"/>
          <w:iCs w:val="0"/>
          <w:color w:val="000000" w:themeColor="text1"/>
          <w:sz w:val="22"/>
          <w:szCs w:val="22"/>
          <w:vertAlign w:val="superscript"/>
          <w:lang w:val="en-PH"/>
        </w:rPr>
        <w:t>+</w:t>
      </w:r>
      <w:r w:rsidRPr="00D635E6">
        <w:rPr>
          <w:rFonts w:ascii="Arial" w:eastAsiaTheme="minorHAnsi" w:hAnsi="Arial" w:cs="Arial"/>
          <w:i w:val="0"/>
          <w:iCs w:val="0"/>
          <w:color w:val="000000" w:themeColor="text1"/>
          <w:sz w:val="22"/>
          <w:szCs w:val="22"/>
          <w:lang w:val="en-PH"/>
        </w:rPr>
        <w:t xml:space="preserve"> supply could be limiting due to the potential lack of cofactor recycling initiated by the decrease of </w:t>
      </w:r>
      <w:proofErr w:type="spellStart"/>
      <w:r w:rsidRPr="00D635E6">
        <w:rPr>
          <w:rFonts w:ascii="Arial" w:eastAsiaTheme="minorHAnsi" w:hAnsi="Arial" w:cs="Arial"/>
          <w:i w:val="0"/>
          <w:iCs w:val="0"/>
          <w:color w:val="000000" w:themeColor="text1"/>
          <w:sz w:val="22"/>
          <w:szCs w:val="22"/>
          <w:lang w:val="en-PH"/>
        </w:rPr>
        <w:t>LdhA</w:t>
      </w:r>
      <w:proofErr w:type="spellEnd"/>
      <w:r w:rsidRPr="00D635E6">
        <w:rPr>
          <w:rFonts w:ascii="Arial" w:eastAsiaTheme="minorHAnsi" w:hAnsi="Arial" w:cs="Arial"/>
          <w:i w:val="0"/>
          <w:iCs w:val="0"/>
          <w:color w:val="000000" w:themeColor="text1"/>
          <w:sz w:val="22"/>
          <w:szCs w:val="22"/>
          <w:lang w:val="en-PH"/>
        </w:rPr>
        <w:t xml:space="preserve"> levels. Pyruvate consumption experiments performed with the WT and 6xHis-4 lysates show that a significant portion of the pyruvate consuming pathways remain robust after reduction evidencing that the </w:t>
      </w:r>
    </w:p>
    <w:p w14:paraId="7D5CD3AB" w14:textId="1365B95D" w:rsidR="0039202C" w:rsidRPr="009A5F94" w:rsidRDefault="0039202C" w:rsidP="009A5F94">
      <w:pPr>
        <w:pStyle w:val="Caption"/>
        <w:contextualSpacing/>
        <w:jc w:val="center"/>
        <w:rPr>
          <w:rFonts w:ascii="Arial" w:hAnsi="Arial" w:cs="Arial"/>
          <w:i w:val="0"/>
          <w:iCs w:val="0"/>
          <w:color w:val="000000" w:themeColor="text1"/>
          <w:sz w:val="22"/>
          <w:szCs w:val="22"/>
        </w:rPr>
      </w:pPr>
      <w:r w:rsidRPr="00A71FCF">
        <w:rPr>
          <w:rFonts w:ascii="Arial" w:hAnsi="Arial" w:cs="Arial"/>
          <w:noProof/>
          <w:sz w:val="22"/>
          <w:szCs w:val="22"/>
        </w:rPr>
        <w:lastRenderedPageBreak/>
        <w:drawing>
          <wp:inline distT="0" distB="0" distL="0" distR="0" wp14:anchorId="14D240C4" wp14:editId="610B4A96">
            <wp:extent cx="5547360" cy="5830957"/>
            <wp:effectExtent l="0" t="0" r="2540" b="0"/>
            <wp:docPr id="7" name="Picture 7" descr="Graphical user interface, chart, application,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chart, application, Excel&#10;&#10;Description automatically generated"/>
                    <pic:cNvPicPr/>
                  </pic:nvPicPr>
                  <pic:blipFill>
                    <a:blip r:embed="rId23" cstate="screen">
                      <a:extLst>
                        <a:ext uri="{28A0092B-C50C-407E-A947-70E740481C1C}">
                          <a14:useLocalDpi xmlns:a14="http://schemas.microsoft.com/office/drawing/2010/main"/>
                        </a:ext>
                      </a:extLst>
                    </a:blip>
                    <a:stretch>
                      <a:fillRect/>
                    </a:stretch>
                  </pic:blipFill>
                  <pic:spPr>
                    <a:xfrm>
                      <a:off x="0" y="0"/>
                      <a:ext cx="5639372" cy="5927672"/>
                    </a:xfrm>
                    <a:prstGeom prst="rect">
                      <a:avLst/>
                    </a:prstGeom>
                  </pic:spPr>
                </pic:pic>
              </a:graphicData>
            </a:graphic>
          </wp:inline>
        </w:drawing>
      </w:r>
    </w:p>
    <w:p w14:paraId="462CA158" w14:textId="1483952F" w:rsidR="0039202C" w:rsidRDefault="0039202C" w:rsidP="0039202C">
      <w:pPr>
        <w:pStyle w:val="Caption"/>
        <w:contextualSpacing/>
        <w:rPr>
          <w:rFonts w:ascii="Arial" w:hAnsi="Arial" w:cs="Arial"/>
          <w:i w:val="0"/>
          <w:noProof/>
          <w:color w:val="auto"/>
          <w:sz w:val="22"/>
          <w:szCs w:val="22"/>
        </w:rPr>
      </w:pPr>
      <w:bookmarkStart w:id="72" w:name="_Toc129701147"/>
      <w:bookmarkStart w:id="73" w:name="_Toc129671158"/>
      <w:r w:rsidRPr="00EA1382">
        <w:rPr>
          <w:rStyle w:val="FigurecaptionChar"/>
          <w:i w:val="0"/>
          <w:iCs w:val="0"/>
        </w:rPr>
        <w:t xml:space="preserve">Figure </w:t>
      </w:r>
      <w:r w:rsidR="00EA1382" w:rsidRPr="00EA1382">
        <w:rPr>
          <w:rStyle w:val="FigurecaptionChar"/>
          <w:i w:val="0"/>
          <w:iCs w:val="0"/>
        </w:rPr>
        <w:t>3.4</w:t>
      </w:r>
      <w:r w:rsidRPr="00EA1382">
        <w:rPr>
          <w:rStyle w:val="FigurecaptionChar"/>
          <w:i w:val="0"/>
          <w:iCs w:val="0"/>
        </w:rPr>
        <w:t>. Relative changes between nondepleted and depleted versions of the lysates</w:t>
      </w:r>
      <w:r w:rsidR="00EA1382" w:rsidRPr="00EA1382">
        <w:rPr>
          <w:rStyle w:val="FigurecaptionChar"/>
          <w:i w:val="0"/>
          <w:iCs w:val="0"/>
        </w:rPr>
        <w:t>.</w:t>
      </w:r>
      <w:bookmarkEnd w:id="72"/>
      <w:r w:rsidR="00EA1382" w:rsidRPr="00EA1382">
        <w:rPr>
          <w:rStyle w:val="FigurecaptionChar"/>
          <w:i w:val="0"/>
          <w:iCs w:val="0"/>
        </w:rPr>
        <w:t xml:space="preserve"> </w:t>
      </w:r>
      <w:r w:rsidRPr="00A71FCF">
        <w:rPr>
          <w:rFonts w:ascii="Arial" w:hAnsi="Arial" w:cs="Arial"/>
          <w:b/>
          <w:bCs/>
          <w:i w:val="0"/>
          <w:noProof/>
          <w:color w:val="auto"/>
          <w:sz w:val="22"/>
          <w:szCs w:val="22"/>
        </w:rPr>
        <w:t>A</w:t>
      </w:r>
      <w:r>
        <w:rPr>
          <w:rFonts w:ascii="Arial" w:hAnsi="Arial" w:cs="Arial"/>
          <w:b/>
          <w:bCs/>
          <w:i w:val="0"/>
          <w:noProof/>
          <w:color w:val="auto"/>
          <w:sz w:val="22"/>
          <w:szCs w:val="22"/>
        </w:rPr>
        <w:t>)</w:t>
      </w:r>
      <w:r w:rsidRPr="00A71FCF">
        <w:rPr>
          <w:rFonts w:ascii="Arial" w:hAnsi="Arial" w:cs="Arial"/>
          <w:b/>
          <w:bCs/>
          <w:i w:val="0"/>
          <w:noProof/>
          <w:color w:val="auto"/>
          <w:sz w:val="22"/>
          <w:szCs w:val="22"/>
        </w:rPr>
        <w:t xml:space="preserve"> </w:t>
      </w:r>
      <w:r w:rsidRPr="00A71FCF">
        <w:rPr>
          <w:rFonts w:ascii="Arial" w:hAnsi="Arial" w:cs="Arial"/>
          <w:i w:val="0"/>
          <w:noProof/>
          <w:color w:val="auto"/>
          <w:sz w:val="22"/>
          <w:szCs w:val="22"/>
        </w:rPr>
        <w:t xml:space="preserve">glucose consumption (nondepleted minus depleted), and </w:t>
      </w:r>
      <w:r w:rsidRPr="00A71FCF">
        <w:rPr>
          <w:rFonts w:ascii="Arial" w:hAnsi="Arial" w:cs="Arial"/>
          <w:b/>
          <w:bCs/>
          <w:i w:val="0"/>
          <w:noProof/>
          <w:color w:val="auto"/>
          <w:sz w:val="22"/>
          <w:szCs w:val="22"/>
        </w:rPr>
        <w:t>B</w:t>
      </w:r>
      <w:r>
        <w:rPr>
          <w:rFonts w:ascii="Arial" w:hAnsi="Arial" w:cs="Arial"/>
          <w:b/>
          <w:bCs/>
          <w:i w:val="0"/>
          <w:noProof/>
          <w:color w:val="auto"/>
          <w:sz w:val="22"/>
          <w:szCs w:val="22"/>
        </w:rPr>
        <w:t>)</w:t>
      </w:r>
      <w:r w:rsidRPr="00A71FCF">
        <w:rPr>
          <w:rFonts w:ascii="Arial" w:hAnsi="Arial" w:cs="Arial"/>
          <w:b/>
          <w:bCs/>
          <w:i w:val="0"/>
          <w:noProof/>
          <w:color w:val="auto"/>
          <w:sz w:val="22"/>
          <w:szCs w:val="22"/>
        </w:rPr>
        <w:t xml:space="preserve"> </w:t>
      </w:r>
      <w:r w:rsidRPr="00A71FCF">
        <w:rPr>
          <w:rFonts w:ascii="Arial" w:hAnsi="Arial" w:cs="Arial"/>
          <w:i w:val="0"/>
          <w:noProof/>
          <w:color w:val="auto"/>
          <w:sz w:val="22"/>
          <w:szCs w:val="22"/>
        </w:rPr>
        <w:t xml:space="preserve">pyruvate, </w:t>
      </w:r>
      <w:r w:rsidRPr="00A71FCF">
        <w:rPr>
          <w:rFonts w:ascii="Arial" w:hAnsi="Arial" w:cs="Arial"/>
          <w:b/>
          <w:bCs/>
          <w:i w:val="0"/>
          <w:noProof/>
          <w:color w:val="auto"/>
          <w:sz w:val="22"/>
          <w:szCs w:val="22"/>
        </w:rPr>
        <w:t>C</w:t>
      </w:r>
      <w:r>
        <w:rPr>
          <w:rFonts w:ascii="Arial" w:hAnsi="Arial" w:cs="Arial"/>
          <w:b/>
          <w:bCs/>
          <w:i w:val="0"/>
          <w:noProof/>
          <w:color w:val="auto"/>
          <w:sz w:val="22"/>
          <w:szCs w:val="22"/>
        </w:rPr>
        <w:t xml:space="preserve">) </w:t>
      </w:r>
      <w:r w:rsidRPr="00A71FCF">
        <w:rPr>
          <w:rFonts w:ascii="Arial" w:hAnsi="Arial" w:cs="Arial"/>
          <w:i w:val="0"/>
          <w:noProof/>
          <w:color w:val="auto"/>
          <w:sz w:val="22"/>
          <w:szCs w:val="22"/>
        </w:rPr>
        <w:t xml:space="preserve">lactate, </w:t>
      </w:r>
      <w:r w:rsidRPr="00A71FCF">
        <w:rPr>
          <w:rFonts w:ascii="Arial" w:hAnsi="Arial" w:cs="Arial"/>
          <w:b/>
          <w:bCs/>
          <w:i w:val="0"/>
          <w:noProof/>
          <w:color w:val="auto"/>
          <w:sz w:val="22"/>
          <w:szCs w:val="22"/>
        </w:rPr>
        <w:t>D</w:t>
      </w:r>
      <w:r>
        <w:rPr>
          <w:rFonts w:ascii="Arial" w:hAnsi="Arial" w:cs="Arial"/>
          <w:b/>
          <w:bCs/>
          <w:i w:val="0"/>
          <w:noProof/>
          <w:color w:val="auto"/>
          <w:sz w:val="22"/>
          <w:szCs w:val="22"/>
        </w:rPr>
        <w:t>)</w:t>
      </w:r>
      <w:r w:rsidRPr="00A71FCF">
        <w:rPr>
          <w:rFonts w:ascii="Arial" w:hAnsi="Arial" w:cs="Arial"/>
          <w:i w:val="0"/>
          <w:noProof/>
          <w:color w:val="auto"/>
          <w:sz w:val="22"/>
          <w:szCs w:val="22"/>
        </w:rPr>
        <w:t xml:space="preserve"> ethanol, </w:t>
      </w:r>
      <w:r w:rsidRPr="00A71FCF">
        <w:rPr>
          <w:rFonts w:ascii="Arial" w:hAnsi="Arial" w:cs="Arial"/>
          <w:b/>
          <w:bCs/>
          <w:i w:val="0"/>
          <w:noProof/>
          <w:color w:val="auto"/>
          <w:sz w:val="22"/>
          <w:szCs w:val="22"/>
        </w:rPr>
        <w:t>E</w:t>
      </w:r>
      <w:r>
        <w:rPr>
          <w:rFonts w:ascii="Arial" w:hAnsi="Arial" w:cs="Arial"/>
          <w:b/>
          <w:bCs/>
          <w:i w:val="0"/>
          <w:noProof/>
          <w:color w:val="auto"/>
          <w:sz w:val="22"/>
          <w:szCs w:val="22"/>
        </w:rPr>
        <w:t>)</w:t>
      </w:r>
      <w:r w:rsidRPr="00A71FCF">
        <w:rPr>
          <w:rFonts w:ascii="Arial" w:hAnsi="Arial" w:cs="Arial"/>
          <w:i w:val="0"/>
          <w:noProof/>
          <w:color w:val="auto"/>
          <w:sz w:val="22"/>
          <w:szCs w:val="22"/>
        </w:rPr>
        <w:t xml:space="preserve"> acetate, and </w:t>
      </w:r>
      <w:r w:rsidRPr="00A71FCF">
        <w:rPr>
          <w:rFonts w:ascii="Arial" w:hAnsi="Arial" w:cs="Arial"/>
          <w:b/>
          <w:bCs/>
          <w:i w:val="0"/>
          <w:noProof/>
          <w:color w:val="auto"/>
          <w:sz w:val="22"/>
          <w:szCs w:val="22"/>
        </w:rPr>
        <w:t>F</w:t>
      </w:r>
      <w:r>
        <w:rPr>
          <w:rFonts w:ascii="Arial" w:hAnsi="Arial" w:cs="Arial"/>
          <w:b/>
          <w:bCs/>
          <w:i w:val="0"/>
          <w:noProof/>
          <w:color w:val="auto"/>
          <w:sz w:val="22"/>
          <w:szCs w:val="22"/>
        </w:rPr>
        <w:t>)</w:t>
      </w:r>
      <w:r w:rsidRPr="00A71FCF">
        <w:rPr>
          <w:rFonts w:ascii="Arial" w:hAnsi="Arial" w:cs="Arial"/>
          <w:i w:val="0"/>
          <w:noProof/>
          <w:color w:val="auto"/>
          <w:sz w:val="22"/>
          <w:szCs w:val="22"/>
        </w:rPr>
        <w:t xml:space="preserve"> formate production (depleted minus nondepleted) over time. Depleted extracts have had specific 6xHis-tagged proteins removed by incubating with them cobalt beads. Extracts containing tagged proteins, but without an incubation step, are refered to as nondepleted. Data for the time course reactions were acquired using n=3 biological replicates. Standard errors calculated for replicates were negligible and are visualized in </w:t>
      </w:r>
      <w:r>
        <w:rPr>
          <w:rFonts w:ascii="Arial" w:hAnsi="Arial" w:cs="Arial"/>
          <w:b/>
          <w:bCs/>
          <w:i w:val="0"/>
          <w:noProof/>
          <w:color w:val="auto"/>
          <w:sz w:val="22"/>
          <w:szCs w:val="22"/>
        </w:rPr>
        <w:t>Appendix</w:t>
      </w:r>
      <w:r w:rsidRPr="00ED1D2C">
        <w:rPr>
          <w:rFonts w:ascii="Arial" w:hAnsi="Arial" w:cs="Arial"/>
          <w:b/>
          <w:bCs/>
          <w:i w:val="0"/>
          <w:noProof/>
          <w:color w:val="auto"/>
          <w:sz w:val="22"/>
          <w:szCs w:val="22"/>
        </w:rPr>
        <w:t xml:space="preserve"> </w:t>
      </w:r>
      <w:r>
        <w:rPr>
          <w:rFonts w:ascii="Arial" w:hAnsi="Arial" w:cs="Arial"/>
          <w:b/>
          <w:bCs/>
          <w:i w:val="0"/>
          <w:noProof/>
          <w:color w:val="auto"/>
          <w:sz w:val="22"/>
          <w:szCs w:val="22"/>
        </w:rPr>
        <w:t>Figure</w:t>
      </w:r>
      <w:r w:rsidRPr="00ED1D2C">
        <w:rPr>
          <w:rFonts w:ascii="Arial" w:hAnsi="Arial" w:cs="Arial"/>
          <w:b/>
          <w:bCs/>
          <w:i w:val="0"/>
          <w:noProof/>
          <w:color w:val="auto"/>
          <w:sz w:val="22"/>
          <w:szCs w:val="22"/>
        </w:rPr>
        <w:t xml:space="preserve"> </w:t>
      </w:r>
      <w:r>
        <w:rPr>
          <w:rFonts w:ascii="Arial" w:hAnsi="Arial" w:cs="Arial"/>
          <w:b/>
          <w:bCs/>
          <w:i w:val="0"/>
          <w:noProof/>
          <w:color w:val="auto"/>
          <w:sz w:val="22"/>
          <w:szCs w:val="22"/>
        </w:rPr>
        <w:t>3.7</w:t>
      </w:r>
      <w:r>
        <w:rPr>
          <w:rFonts w:ascii="Arial" w:hAnsi="Arial" w:cs="Arial"/>
          <w:i w:val="0"/>
          <w:noProof/>
          <w:color w:val="auto"/>
          <w:sz w:val="22"/>
          <w:szCs w:val="22"/>
        </w:rPr>
        <w:t>.</w:t>
      </w:r>
      <w:bookmarkEnd w:id="73"/>
    </w:p>
    <w:p w14:paraId="69671ADD" w14:textId="19CD3956" w:rsidR="009A5F94" w:rsidRDefault="009A5F94" w:rsidP="009A5F94">
      <w:pPr>
        <w:rPr>
          <w:rFonts w:cs="Arial"/>
          <w:color w:val="000000" w:themeColor="text1"/>
          <w:szCs w:val="22"/>
        </w:rPr>
      </w:pPr>
      <w:r w:rsidRPr="00D635E6">
        <w:rPr>
          <w:rFonts w:cs="Arial"/>
          <w:color w:val="000000" w:themeColor="text1"/>
          <w:szCs w:val="22"/>
        </w:rPr>
        <w:lastRenderedPageBreak/>
        <w:t>constraint may be due to bottlenecks in upstream glycolysis and further shows that a balance between glucose and pyruvate consumption leads to the engineered pyruvate pooling phenotype (</w:t>
      </w:r>
      <w:r>
        <w:rPr>
          <w:rFonts w:cs="Arial"/>
          <w:b/>
          <w:bCs/>
          <w:color w:val="000000" w:themeColor="text1"/>
          <w:szCs w:val="22"/>
        </w:rPr>
        <w:t>Figure</w:t>
      </w:r>
      <w:r w:rsidRPr="00ED1D2C">
        <w:rPr>
          <w:rFonts w:cs="Arial"/>
          <w:b/>
          <w:bCs/>
          <w:color w:val="000000" w:themeColor="text1"/>
          <w:szCs w:val="22"/>
        </w:rPr>
        <w:t xml:space="preserve"> </w:t>
      </w:r>
      <w:r>
        <w:rPr>
          <w:rFonts w:cs="Arial"/>
          <w:b/>
          <w:bCs/>
          <w:color w:val="000000" w:themeColor="text1"/>
          <w:szCs w:val="22"/>
        </w:rPr>
        <w:t>3.</w:t>
      </w:r>
      <w:r w:rsidRPr="00ED1D2C">
        <w:rPr>
          <w:rFonts w:cs="Arial"/>
          <w:b/>
          <w:bCs/>
          <w:color w:val="000000" w:themeColor="text1"/>
          <w:szCs w:val="22"/>
        </w:rPr>
        <w:t xml:space="preserve">4B, </w:t>
      </w:r>
      <w:r>
        <w:rPr>
          <w:rFonts w:cs="Arial"/>
          <w:b/>
          <w:bCs/>
          <w:color w:val="000000" w:themeColor="text1"/>
          <w:szCs w:val="22"/>
        </w:rPr>
        <w:t>Appendix Figure</w:t>
      </w:r>
      <w:r w:rsidRPr="00ED1D2C">
        <w:rPr>
          <w:rFonts w:cs="Arial"/>
          <w:b/>
          <w:bCs/>
          <w:color w:val="000000" w:themeColor="text1"/>
          <w:szCs w:val="22"/>
        </w:rPr>
        <w:t xml:space="preserve"> 3</w:t>
      </w:r>
      <w:r>
        <w:rPr>
          <w:rFonts w:cs="Arial"/>
          <w:b/>
          <w:bCs/>
          <w:color w:val="000000" w:themeColor="text1"/>
          <w:szCs w:val="22"/>
        </w:rPr>
        <w:t>.8</w:t>
      </w:r>
      <w:r w:rsidRPr="00D635E6">
        <w:rPr>
          <w:rFonts w:cs="Arial"/>
          <w:color w:val="000000" w:themeColor="text1"/>
          <w:szCs w:val="22"/>
        </w:rPr>
        <w:t>).</w:t>
      </w:r>
    </w:p>
    <w:p w14:paraId="711D46D8" w14:textId="77777777" w:rsidR="009A5F94" w:rsidRPr="009A5F94" w:rsidRDefault="009A5F94" w:rsidP="009A5F94">
      <w:pPr>
        <w:rPr>
          <w:lang w:val="en-US"/>
        </w:rPr>
      </w:pPr>
    </w:p>
    <w:p w14:paraId="6EA7926D" w14:textId="2422563C" w:rsidR="00E033D4" w:rsidRPr="00E033D4" w:rsidRDefault="005478FE" w:rsidP="00E033D4">
      <w:pPr>
        <w:pStyle w:val="ChapterSub-heading"/>
        <w:rPr>
          <w:lang w:val="en-US"/>
        </w:rPr>
      </w:pPr>
      <w:bookmarkStart w:id="74" w:name="_Toc129701038"/>
      <w:r>
        <w:rPr>
          <w:lang w:val="en-US"/>
        </w:rPr>
        <w:t>3</w:t>
      </w:r>
      <w:r w:rsidR="00E033D4">
        <w:rPr>
          <w:lang w:val="en-US"/>
        </w:rPr>
        <w:t>.4.</w:t>
      </w:r>
      <w:r>
        <w:rPr>
          <w:lang w:val="en-US"/>
        </w:rPr>
        <w:t>4</w:t>
      </w:r>
      <w:r w:rsidR="00E033D4">
        <w:rPr>
          <w:lang w:val="en-US"/>
        </w:rPr>
        <w:t>. Evaluation of modified lysate proteomes after selective enzyme depletion</w:t>
      </w:r>
      <w:bookmarkEnd w:id="74"/>
    </w:p>
    <w:p w14:paraId="5D22F586" w14:textId="45EA6902" w:rsidR="009A5F94" w:rsidRPr="009A5F94" w:rsidRDefault="0031140D" w:rsidP="009A5F94">
      <w:pPr>
        <w:pStyle w:val="Caption"/>
        <w:ind w:firstLine="720"/>
        <w:contextualSpacing/>
        <w:rPr>
          <w:rFonts w:ascii="Arial" w:hAnsi="Arial" w:cs="Arial"/>
          <w:i w:val="0"/>
          <w:iCs w:val="0"/>
          <w:color w:val="000000" w:themeColor="text1"/>
          <w:sz w:val="22"/>
          <w:szCs w:val="22"/>
        </w:rPr>
      </w:pPr>
      <w:r w:rsidRPr="00D635E6">
        <w:rPr>
          <w:rFonts w:ascii="Arial" w:hAnsi="Arial" w:cs="Arial"/>
          <w:i w:val="0"/>
          <w:iCs w:val="0"/>
          <w:color w:val="000000" w:themeColor="text1"/>
          <w:sz w:val="22"/>
          <w:szCs w:val="22"/>
        </w:rPr>
        <w:t xml:space="preserve">From the mass spectrometry-based proteomics profiling, it is evident that 6xHis-tagged </w:t>
      </w:r>
      <w:proofErr w:type="spellStart"/>
      <w:r w:rsidRPr="00D635E6">
        <w:rPr>
          <w:rFonts w:ascii="Arial" w:hAnsi="Arial" w:cs="Arial"/>
          <w:i w:val="0"/>
          <w:iCs w:val="0"/>
          <w:color w:val="000000" w:themeColor="text1"/>
          <w:sz w:val="22"/>
          <w:szCs w:val="22"/>
        </w:rPr>
        <w:t>LdhA</w:t>
      </w:r>
      <w:proofErr w:type="spellEnd"/>
      <w:r w:rsidRPr="00D635E6">
        <w:rPr>
          <w:rFonts w:ascii="Arial" w:hAnsi="Arial" w:cs="Arial"/>
          <w:i w:val="0"/>
          <w:iCs w:val="0"/>
          <w:color w:val="000000" w:themeColor="text1"/>
          <w:sz w:val="22"/>
          <w:szCs w:val="22"/>
        </w:rPr>
        <w:t xml:space="preserve"> and </w:t>
      </w:r>
      <w:proofErr w:type="spellStart"/>
      <w:r w:rsidRPr="00D635E6">
        <w:rPr>
          <w:rFonts w:ascii="Arial" w:hAnsi="Arial" w:cs="Arial"/>
          <w:i w:val="0"/>
          <w:iCs w:val="0"/>
          <w:color w:val="000000" w:themeColor="text1"/>
          <w:sz w:val="22"/>
          <w:szCs w:val="22"/>
        </w:rPr>
        <w:t>PpsA</w:t>
      </w:r>
      <w:proofErr w:type="spellEnd"/>
      <w:r w:rsidRPr="00D635E6">
        <w:rPr>
          <w:rFonts w:ascii="Arial" w:hAnsi="Arial" w:cs="Arial"/>
          <w:i w:val="0"/>
          <w:iCs w:val="0"/>
          <w:color w:val="000000" w:themeColor="text1"/>
          <w:sz w:val="22"/>
          <w:szCs w:val="22"/>
        </w:rPr>
        <w:t xml:space="preserve"> could be removed from lysates, while significant removal of 6xHis-tagged </w:t>
      </w:r>
      <w:proofErr w:type="spellStart"/>
      <w:r w:rsidRPr="00D635E6">
        <w:rPr>
          <w:rFonts w:ascii="Arial" w:hAnsi="Arial" w:cs="Arial"/>
          <w:i w:val="0"/>
          <w:iCs w:val="0"/>
          <w:color w:val="000000" w:themeColor="text1"/>
          <w:sz w:val="22"/>
          <w:szCs w:val="22"/>
        </w:rPr>
        <w:t>PflB</w:t>
      </w:r>
      <w:proofErr w:type="spellEnd"/>
      <w:r w:rsidRPr="00D635E6">
        <w:rPr>
          <w:rFonts w:ascii="Arial" w:hAnsi="Arial" w:cs="Arial"/>
          <w:i w:val="0"/>
          <w:iCs w:val="0"/>
          <w:color w:val="000000" w:themeColor="text1"/>
          <w:sz w:val="22"/>
          <w:szCs w:val="22"/>
        </w:rPr>
        <w:t xml:space="preserve"> was not successfully detected</w:t>
      </w:r>
      <w:r w:rsidRPr="00D635E6" w:rsidDel="00A62250">
        <w:rPr>
          <w:rFonts w:ascii="Arial" w:hAnsi="Arial" w:cs="Arial"/>
          <w:i w:val="0"/>
          <w:iCs w:val="0"/>
          <w:color w:val="000000" w:themeColor="text1"/>
          <w:sz w:val="22"/>
          <w:szCs w:val="22"/>
        </w:rPr>
        <w:t xml:space="preserve"> </w:t>
      </w:r>
      <w:r w:rsidRPr="00D635E6">
        <w:rPr>
          <w:rFonts w:ascii="Arial" w:hAnsi="Arial" w:cs="Arial"/>
          <w:i w:val="0"/>
          <w:iCs w:val="0"/>
          <w:color w:val="000000" w:themeColor="text1"/>
          <w:sz w:val="22"/>
          <w:szCs w:val="22"/>
        </w:rPr>
        <w:t>(</w:t>
      </w:r>
      <w:r w:rsidR="00405F98">
        <w:rPr>
          <w:rFonts w:ascii="Arial" w:hAnsi="Arial" w:cs="Arial"/>
          <w:b/>
          <w:bCs/>
          <w:i w:val="0"/>
          <w:iCs w:val="0"/>
          <w:color w:val="000000" w:themeColor="text1"/>
          <w:sz w:val="22"/>
          <w:szCs w:val="22"/>
        </w:rPr>
        <w:t>Figures</w:t>
      </w:r>
      <w:r w:rsidRPr="00ED1D2C">
        <w:rPr>
          <w:rFonts w:ascii="Arial" w:hAnsi="Arial" w:cs="Arial"/>
          <w:b/>
          <w:bCs/>
          <w:i w:val="0"/>
          <w:iCs w:val="0"/>
          <w:color w:val="000000" w:themeColor="text1"/>
          <w:sz w:val="22"/>
          <w:szCs w:val="22"/>
        </w:rPr>
        <w:t xml:space="preserve"> </w:t>
      </w:r>
      <w:r w:rsidR="00C65F71">
        <w:rPr>
          <w:rFonts w:ascii="Arial" w:hAnsi="Arial" w:cs="Arial"/>
          <w:b/>
          <w:bCs/>
          <w:i w:val="0"/>
          <w:iCs w:val="0"/>
          <w:color w:val="000000" w:themeColor="text1"/>
          <w:sz w:val="22"/>
          <w:szCs w:val="22"/>
        </w:rPr>
        <w:t>3.</w:t>
      </w:r>
      <w:r w:rsidRPr="00ED1D2C">
        <w:rPr>
          <w:rFonts w:ascii="Arial" w:hAnsi="Arial" w:cs="Arial"/>
          <w:b/>
          <w:bCs/>
          <w:i w:val="0"/>
          <w:iCs w:val="0"/>
          <w:color w:val="000000" w:themeColor="text1"/>
          <w:sz w:val="22"/>
          <w:szCs w:val="22"/>
        </w:rPr>
        <w:t>5B</w:t>
      </w:r>
      <w:r w:rsidR="00C65F71">
        <w:rPr>
          <w:rFonts w:ascii="Arial" w:hAnsi="Arial" w:cs="Arial"/>
          <w:b/>
          <w:bCs/>
          <w:i w:val="0"/>
          <w:iCs w:val="0"/>
          <w:color w:val="000000" w:themeColor="text1"/>
          <w:sz w:val="22"/>
          <w:szCs w:val="22"/>
        </w:rPr>
        <w:t xml:space="preserve"> to </w:t>
      </w:r>
      <w:r w:rsidRPr="00ED1D2C">
        <w:rPr>
          <w:rFonts w:ascii="Arial" w:hAnsi="Arial" w:cs="Arial"/>
          <w:b/>
          <w:bCs/>
          <w:i w:val="0"/>
          <w:iCs w:val="0"/>
          <w:color w:val="000000" w:themeColor="text1"/>
          <w:sz w:val="22"/>
          <w:szCs w:val="22"/>
        </w:rPr>
        <w:t>E</w:t>
      </w:r>
      <w:r w:rsidRPr="00D635E6">
        <w:rPr>
          <w:rFonts w:ascii="Arial" w:hAnsi="Arial" w:cs="Arial"/>
          <w:i w:val="0"/>
          <w:iCs w:val="0"/>
          <w:color w:val="000000" w:themeColor="text1"/>
          <w:sz w:val="22"/>
          <w:szCs w:val="22"/>
        </w:rPr>
        <w:t xml:space="preserve">). Although the decrease in </w:t>
      </w:r>
      <w:proofErr w:type="spellStart"/>
      <w:r w:rsidRPr="00D635E6">
        <w:rPr>
          <w:rFonts w:ascii="Arial" w:hAnsi="Arial" w:cs="Arial"/>
          <w:i w:val="0"/>
          <w:iCs w:val="0"/>
          <w:color w:val="000000" w:themeColor="text1"/>
          <w:sz w:val="22"/>
          <w:szCs w:val="22"/>
        </w:rPr>
        <w:t>PflB</w:t>
      </w:r>
      <w:proofErr w:type="spellEnd"/>
      <w:r w:rsidRPr="00D635E6">
        <w:rPr>
          <w:rFonts w:ascii="Arial" w:hAnsi="Arial" w:cs="Arial"/>
          <w:i w:val="0"/>
          <w:iCs w:val="0"/>
          <w:color w:val="000000" w:themeColor="text1"/>
          <w:sz w:val="22"/>
          <w:szCs w:val="22"/>
        </w:rPr>
        <w:t xml:space="preserve"> levels between </w:t>
      </w:r>
      <w:r w:rsidR="009A5F94" w:rsidRPr="00D635E6">
        <w:rPr>
          <w:rFonts w:ascii="Arial" w:hAnsi="Arial" w:cs="Arial"/>
          <w:i w:val="0"/>
          <w:iCs w:val="0"/>
          <w:color w:val="000000" w:themeColor="text1"/>
          <w:sz w:val="22"/>
          <w:szCs w:val="22"/>
        </w:rPr>
        <w:t>the nondepleted and depleted 6xHis-4 lysates met the significance threshold (</w:t>
      </w:r>
      <w:proofErr w:type="spellStart"/>
      <w:r w:rsidR="009A5F94" w:rsidRPr="00D635E6">
        <w:rPr>
          <w:rFonts w:ascii="Arial" w:hAnsi="Arial" w:cs="Arial"/>
          <w:i w:val="0"/>
          <w:iCs w:val="0"/>
          <w:color w:val="000000" w:themeColor="text1"/>
          <w:sz w:val="22"/>
          <w:szCs w:val="22"/>
        </w:rPr>
        <w:t>pval</w:t>
      </w:r>
      <w:proofErr w:type="spellEnd"/>
      <w:r w:rsidR="009A5F94" w:rsidRPr="00D635E6">
        <w:rPr>
          <w:rFonts w:ascii="Arial" w:hAnsi="Arial" w:cs="Arial"/>
          <w:i w:val="0"/>
          <w:iCs w:val="0"/>
          <w:color w:val="000000" w:themeColor="text1"/>
          <w:sz w:val="22"/>
          <w:szCs w:val="22"/>
        </w:rPr>
        <w:t xml:space="preserve"> &lt; 0.05), the change was only a 1.81-fold reduction compared to the significant decreases in </w:t>
      </w:r>
      <w:proofErr w:type="spellStart"/>
      <w:r w:rsidR="009A5F94" w:rsidRPr="00D635E6">
        <w:rPr>
          <w:rFonts w:ascii="Arial" w:hAnsi="Arial" w:cs="Arial"/>
          <w:i w:val="0"/>
          <w:iCs w:val="0"/>
          <w:color w:val="000000" w:themeColor="text1"/>
          <w:sz w:val="22"/>
          <w:szCs w:val="22"/>
        </w:rPr>
        <w:t>LdhA</w:t>
      </w:r>
      <w:proofErr w:type="spellEnd"/>
      <w:r w:rsidR="009A5F94" w:rsidRPr="00D635E6">
        <w:rPr>
          <w:rFonts w:ascii="Arial" w:hAnsi="Arial" w:cs="Arial"/>
          <w:i w:val="0"/>
          <w:iCs w:val="0"/>
          <w:color w:val="000000" w:themeColor="text1"/>
          <w:sz w:val="22"/>
          <w:szCs w:val="22"/>
        </w:rPr>
        <w:t xml:space="preserve"> and </w:t>
      </w:r>
      <w:proofErr w:type="spellStart"/>
      <w:r w:rsidR="009A5F94" w:rsidRPr="00D635E6">
        <w:rPr>
          <w:rFonts w:ascii="Arial" w:hAnsi="Arial" w:cs="Arial"/>
          <w:i w:val="0"/>
          <w:iCs w:val="0"/>
          <w:color w:val="000000" w:themeColor="text1"/>
          <w:sz w:val="22"/>
          <w:szCs w:val="22"/>
        </w:rPr>
        <w:t>PpsA</w:t>
      </w:r>
      <w:proofErr w:type="spellEnd"/>
      <w:r w:rsidR="009A5F94" w:rsidRPr="00D635E6">
        <w:rPr>
          <w:rFonts w:ascii="Arial" w:hAnsi="Arial" w:cs="Arial"/>
          <w:i w:val="0"/>
          <w:iCs w:val="0"/>
          <w:color w:val="000000" w:themeColor="text1"/>
          <w:sz w:val="22"/>
          <w:szCs w:val="22"/>
        </w:rPr>
        <w:t xml:space="preserve"> following lysate depletion (</w:t>
      </w:r>
      <w:r w:rsidR="009A5F94">
        <w:rPr>
          <w:rFonts w:ascii="Arial" w:hAnsi="Arial" w:cs="Arial"/>
          <w:b/>
          <w:bCs/>
          <w:i w:val="0"/>
          <w:iCs w:val="0"/>
          <w:color w:val="000000" w:themeColor="text1"/>
          <w:sz w:val="22"/>
          <w:szCs w:val="22"/>
        </w:rPr>
        <w:t>Figure</w:t>
      </w:r>
      <w:r w:rsidR="009A5F94" w:rsidRPr="00ED1D2C">
        <w:rPr>
          <w:rFonts w:ascii="Arial" w:hAnsi="Arial" w:cs="Arial"/>
          <w:b/>
          <w:bCs/>
          <w:i w:val="0"/>
          <w:iCs w:val="0"/>
          <w:color w:val="000000" w:themeColor="text1"/>
          <w:sz w:val="22"/>
          <w:szCs w:val="22"/>
        </w:rPr>
        <w:t xml:space="preserve"> </w:t>
      </w:r>
      <w:r w:rsidR="009A5F94">
        <w:rPr>
          <w:rFonts w:ascii="Arial" w:hAnsi="Arial" w:cs="Arial"/>
          <w:b/>
          <w:bCs/>
          <w:i w:val="0"/>
          <w:iCs w:val="0"/>
          <w:color w:val="000000" w:themeColor="text1"/>
          <w:sz w:val="22"/>
          <w:szCs w:val="22"/>
        </w:rPr>
        <w:t>3.</w:t>
      </w:r>
      <w:r w:rsidR="009A5F94" w:rsidRPr="00ED1D2C">
        <w:rPr>
          <w:rFonts w:ascii="Arial" w:hAnsi="Arial" w:cs="Arial"/>
          <w:b/>
          <w:bCs/>
          <w:i w:val="0"/>
          <w:iCs w:val="0"/>
          <w:color w:val="000000" w:themeColor="text1"/>
          <w:sz w:val="22"/>
          <w:szCs w:val="22"/>
        </w:rPr>
        <w:t>5E</w:t>
      </w:r>
      <w:r w:rsidR="009A5F94" w:rsidRPr="00D635E6">
        <w:rPr>
          <w:rFonts w:ascii="Arial" w:hAnsi="Arial" w:cs="Arial"/>
          <w:i w:val="0"/>
          <w:iCs w:val="0"/>
          <w:color w:val="000000" w:themeColor="text1"/>
          <w:sz w:val="22"/>
          <w:szCs w:val="22"/>
        </w:rPr>
        <w:t xml:space="preserve">).  </w:t>
      </w:r>
      <w:proofErr w:type="spellStart"/>
      <w:r w:rsidR="009A5F94" w:rsidRPr="00D635E6">
        <w:rPr>
          <w:rFonts w:ascii="Arial" w:hAnsi="Arial" w:cs="Arial"/>
          <w:i w:val="0"/>
          <w:iCs w:val="0"/>
          <w:color w:val="000000" w:themeColor="text1"/>
          <w:sz w:val="22"/>
          <w:szCs w:val="22"/>
        </w:rPr>
        <w:t>AceE</w:t>
      </w:r>
      <w:proofErr w:type="spellEnd"/>
      <w:r w:rsidR="009A5F94" w:rsidRPr="00D635E6">
        <w:rPr>
          <w:rFonts w:ascii="Arial" w:hAnsi="Arial" w:cs="Arial"/>
          <w:i w:val="0"/>
          <w:iCs w:val="0"/>
          <w:color w:val="000000" w:themeColor="text1"/>
          <w:sz w:val="22"/>
          <w:szCs w:val="22"/>
        </w:rPr>
        <w:t xml:space="preserve"> was not observed to be pulled down after the purification of 6xHis-tagged proteins from the 6xHis-4 lysate. These findings are inconsistent with metabolic output data as the depletion of 6xHis-4 lysate causes a more significant glucose consumption phenotype than extracts with fewer tags (</w:t>
      </w:r>
      <w:r w:rsidR="009A5F94">
        <w:rPr>
          <w:rFonts w:ascii="Arial" w:hAnsi="Arial" w:cs="Arial"/>
          <w:b/>
          <w:bCs/>
          <w:i w:val="0"/>
          <w:iCs w:val="0"/>
          <w:color w:val="000000" w:themeColor="text1"/>
          <w:sz w:val="22"/>
          <w:szCs w:val="22"/>
        </w:rPr>
        <w:t>Figure</w:t>
      </w:r>
      <w:r w:rsidR="009A5F94" w:rsidRPr="00ED1D2C">
        <w:rPr>
          <w:rFonts w:ascii="Arial" w:hAnsi="Arial" w:cs="Arial"/>
          <w:b/>
          <w:bCs/>
          <w:i w:val="0"/>
          <w:iCs w:val="0"/>
          <w:color w:val="000000" w:themeColor="text1"/>
          <w:sz w:val="22"/>
          <w:szCs w:val="22"/>
        </w:rPr>
        <w:t xml:space="preserve"> </w:t>
      </w:r>
      <w:r w:rsidR="009A5F94">
        <w:rPr>
          <w:rFonts w:ascii="Arial" w:hAnsi="Arial" w:cs="Arial"/>
          <w:b/>
          <w:bCs/>
          <w:i w:val="0"/>
          <w:iCs w:val="0"/>
          <w:color w:val="000000" w:themeColor="text1"/>
          <w:sz w:val="22"/>
          <w:szCs w:val="22"/>
        </w:rPr>
        <w:t>3.</w:t>
      </w:r>
      <w:r w:rsidR="009A5F94" w:rsidRPr="00ED1D2C">
        <w:rPr>
          <w:rFonts w:ascii="Arial" w:hAnsi="Arial" w:cs="Arial"/>
          <w:b/>
          <w:bCs/>
          <w:i w:val="0"/>
          <w:iCs w:val="0"/>
          <w:color w:val="000000" w:themeColor="text1"/>
          <w:sz w:val="22"/>
          <w:szCs w:val="22"/>
        </w:rPr>
        <w:t>4A</w:t>
      </w:r>
      <w:r w:rsidR="009A5F94" w:rsidRPr="00D635E6">
        <w:rPr>
          <w:rFonts w:ascii="Arial" w:hAnsi="Arial" w:cs="Arial"/>
          <w:i w:val="0"/>
          <w:iCs w:val="0"/>
          <w:color w:val="000000" w:themeColor="text1"/>
          <w:sz w:val="22"/>
          <w:szCs w:val="22"/>
        </w:rPr>
        <w:t>). However, anti-6xHis western</w:t>
      </w:r>
      <w:r w:rsidR="009A5F94">
        <w:rPr>
          <w:rFonts w:ascii="Arial" w:hAnsi="Arial" w:cs="Arial"/>
          <w:i w:val="0"/>
          <w:iCs w:val="0"/>
          <w:color w:val="000000" w:themeColor="text1"/>
          <w:sz w:val="22"/>
          <w:szCs w:val="22"/>
        </w:rPr>
        <w:t xml:space="preserve"> </w:t>
      </w:r>
      <w:r w:rsidR="009A5F94" w:rsidRPr="00D635E6">
        <w:rPr>
          <w:rFonts w:ascii="Arial" w:hAnsi="Arial" w:cs="Arial"/>
          <w:i w:val="0"/>
          <w:iCs w:val="0"/>
          <w:color w:val="000000" w:themeColor="text1"/>
          <w:sz w:val="22"/>
          <w:szCs w:val="22"/>
        </w:rPr>
        <w:t>blots of eluants from the cobalt beads used to deplete the engineered extracts show an enrichment for each of the targeted proteins in their respective strains while no enrichment was seen in the elution from the WT (</w:t>
      </w:r>
      <w:r w:rsidR="009A5F94">
        <w:rPr>
          <w:rFonts w:ascii="Arial" w:hAnsi="Arial" w:cs="Arial"/>
          <w:b/>
          <w:bCs/>
          <w:i w:val="0"/>
          <w:iCs w:val="0"/>
          <w:color w:val="000000" w:themeColor="text1"/>
          <w:sz w:val="22"/>
          <w:szCs w:val="22"/>
        </w:rPr>
        <w:t>Appendix</w:t>
      </w:r>
      <w:r w:rsidR="009A5F94" w:rsidRPr="00ED1D2C">
        <w:rPr>
          <w:rFonts w:ascii="Arial" w:hAnsi="Arial" w:cs="Arial"/>
          <w:b/>
          <w:bCs/>
          <w:i w:val="0"/>
          <w:iCs w:val="0"/>
          <w:color w:val="000000" w:themeColor="text1"/>
          <w:sz w:val="22"/>
          <w:szCs w:val="22"/>
        </w:rPr>
        <w:t xml:space="preserve"> </w:t>
      </w:r>
      <w:r w:rsidR="009A5F94">
        <w:rPr>
          <w:rFonts w:ascii="Arial" w:hAnsi="Arial" w:cs="Arial"/>
          <w:b/>
          <w:bCs/>
          <w:i w:val="0"/>
          <w:iCs w:val="0"/>
          <w:color w:val="000000" w:themeColor="text1"/>
          <w:sz w:val="22"/>
          <w:szCs w:val="22"/>
        </w:rPr>
        <w:t>Figure</w:t>
      </w:r>
      <w:r w:rsidR="009A5F94" w:rsidRPr="00ED1D2C">
        <w:rPr>
          <w:rFonts w:ascii="Arial" w:hAnsi="Arial" w:cs="Arial"/>
          <w:b/>
          <w:bCs/>
          <w:i w:val="0"/>
          <w:iCs w:val="0"/>
          <w:color w:val="000000" w:themeColor="text1"/>
          <w:sz w:val="22"/>
          <w:szCs w:val="22"/>
        </w:rPr>
        <w:t xml:space="preserve"> </w:t>
      </w:r>
      <w:r w:rsidR="009A5F94">
        <w:rPr>
          <w:rFonts w:ascii="Arial" w:hAnsi="Arial" w:cs="Arial"/>
          <w:b/>
          <w:bCs/>
          <w:i w:val="0"/>
          <w:iCs w:val="0"/>
          <w:color w:val="000000" w:themeColor="text1"/>
          <w:sz w:val="22"/>
          <w:szCs w:val="22"/>
        </w:rPr>
        <w:t>3.9</w:t>
      </w:r>
      <w:r w:rsidR="009A5F94" w:rsidRPr="00D635E6">
        <w:rPr>
          <w:rFonts w:ascii="Arial" w:hAnsi="Arial" w:cs="Arial"/>
          <w:i w:val="0"/>
          <w:iCs w:val="0"/>
          <w:color w:val="000000" w:themeColor="text1"/>
          <w:sz w:val="22"/>
          <w:szCs w:val="22"/>
        </w:rPr>
        <w:t xml:space="preserve">).  The corroborating evidence of the targeted metabolite analyses combined with antibody tagging leads us to conclude that some </w:t>
      </w:r>
      <w:proofErr w:type="gramStart"/>
      <w:r w:rsidR="009A5F94" w:rsidRPr="00D635E6">
        <w:rPr>
          <w:rFonts w:ascii="Arial" w:hAnsi="Arial" w:cs="Arial"/>
          <w:i w:val="0"/>
          <w:iCs w:val="0"/>
          <w:color w:val="000000" w:themeColor="text1"/>
          <w:sz w:val="22"/>
          <w:szCs w:val="22"/>
        </w:rPr>
        <w:t>level</w:t>
      </w:r>
      <w:proofErr w:type="gramEnd"/>
      <w:r w:rsidR="009A5F94" w:rsidRPr="00D635E6">
        <w:rPr>
          <w:rFonts w:ascii="Arial" w:hAnsi="Arial" w:cs="Arial"/>
          <w:i w:val="0"/>
          <w:iCs w:val="0"/>
          <w:color w:val="000000" w:themeColor="text1"/>
          <w:sz w:val="22"/>
          <w:szCs w:val="22"/>
        </w:rPr>
        <w:t xml:space="preserve"> of the targeted proteins are being sufficiently removed and affect the reactivity of the extracts. The minor </w:t>
      </w:r>
      <w:r w:rsidR="009A5F94" w:rsidRPr="00D635E6">
        <w:rPr>
          <w:rFonts w:ascii="Arial" w:hAnsi="Arial" w:cs="Arial"/>
          <w:i w:val="0"/>
          <w:iCs w:val="0"/>
          <w:color w:val="000000" w:themeColor="text1"/>
          <w:sz w:val="22"/>
          <w:szCs w:val="22"/>
          <w:shd w:val="clear" w:color="auto" w:fill="FFFFFF"/>
        </w:rPr>
        <w:t xml:space="preserve">inconsistency in the results from mass spectrometry and western blot can be explained away as differences between the analytical technique rather than biological. </w:t>
      </w:r>
      <w:r w:rsidR="009A5F94" w:rsidRPr="00D635E6">
        <w:rPr>
          <w:rFonts w:ascii="Arial" w:hAnsi="Arial" w:cs="Arial"/>
          <w:i w:val="0"/>
          <w:iCs w:val="0"/>
          <w:color w:val="000000" w:themeColor="text1"/>
          <w:sz w:val="22"/>
          <w:szCs w:val="22"/>
        </w:rPr>
        <w:t xml:space="preserve">Mass spectrometry is known to identify and quantify proteins with higher reliability, reproducibility, specificity, and sensitivity in complex samples in compared to western blot </w:t>
      </w:r>
      <w:r w:rsidR="009A5F94" w:rsidRPr="00D635E6">
        <w:rPr>
          <w:rFonts w:ascii="Arial" w:hAnsi="Arial" w:cs="Arial"/>
          <w:i w:val="0"/>
          <w:iCs w:val="0"/>
          <w:color w:val="000000" w:themeColor="text1"/>
          <w:sz w:val="22"/>
          <w:szCs w:val="22"/>
        </w:rPr>
        <w:fldChar w:fldCharType="begin" w:fldLock="1"/>
      </w:r>
      <w:r w:rsidR="00567FF4">
        <w:rPr>
          <w:rFonts w:ascii="Arial" w:hAnsi="Arial" w:cs="Arial"/>
          <w:i w:val="0"/>
          <w:iCs w:val="0"/>
          <w:color w:val="000000" w:themeColor="text1"/>
          <w:sz w:val="22"/>
          <w:szCs w:val="22"/>
        </w:rPr>
        <w:instrText>ADDIN CSL_CITATION {"citationItems":[{"id":"ITEM-1","itemData":{"DOI":"10.1074/mcp.E113.031658","ISSN":"15359476","PMID":"23756428","author":[{"dropping-particle":"","family":"Aebersold","given":"Ruedi","non-dropping-particle":"","parse-names":false,"suffix":""},{"dropping-particle":"","family":"Burlingame","given":"Alma L.","non-dropping-particle":"","parse-names":false,"suffix":""},{"dropping-particle":"","family":"Bradshaw","given":"Ralph A.","non-dropping-particle":"","parse-names":false,"suffix":""}],"container-title":"Molecular and Cellular Proteomics","id":"ITEM-1","issue":"9","issued":{"date-parts":[["2013","9"]]},"page":"2381-2382","publisher":"Mol Cell Proteomics","title":"Western blots versus selected reaction monitoring assays: Time to turn the tables?","type":"article","volume":"12"},"uris":["http://www.mendeley.com/documents/?uuid=37ffebeb-309b-33d4-a864-cd82df03b758"]},{"id":"ITEM-2","itemData":{"DOI":"10.1038/srep35391","ISSN":"20452322","PMID":"27762282","abstract":"Sirtuin proteins have a variety of intracellular targets, thereby regulating multiple biological pathways including neurodegeneration. However, relatively little is currently known about the role or expression of the 7 mammalian sirtuins in the central nervous system. Western blotting, PCR and ELISA are the main techniques currently used to measure sirtuin levels. To achieve sufficient sensitivity and selectivity in a multiplex-format, a targeted mass spectrometric assay was developed and validated for the quantification of all seven mammalian sirtuins (SIRT1-7). Quantification of all peptides was by multiple reaction monitoring (MRM) using three mass transitions per protein-specific peptide, two specific peptides for each sirtuin and a stable isotope labelled internal standard. The assay was applied to a variety of samples including cultured brain cells, mammalian brain tissue, CSF and plasma. All sirtuin peptides were detected in the human brain, with SIRT2 being the most abundant. Sirtuins were also detected in human CSF and plasma, and Guinea pig and mouse tissues. In conclusion, we have successfully applied MRM mass spectrometry for the detection and quantification of sirtuin proteins in the central nervous system, paving the way for more quantitative and functional studies.","author":[{"dropping-particle":"","family":"Jayasena","given":"T.","non-dropping-particle":"","parse-names":false,"suffix":""},{"dropping-particle":"","family":"Poljak","given":"A.","non-dropping-particle":"","parse-names":false,"suffix":""},{"dropping-particle":"","family":"Braidy","given":"N.","non-dropping-particle":"","parse-names":false,"suffix":""},{"dropping-particle":"","family":"Zhong","given":"L.","non-dropping-particle":"","parse-names":false,"suffix":""},{"dropping-particle":"","family":"Rowlands","given":"B.","non-dropping-particle":"","parse-names":false,"suffix":""},{"dropping-particle":"","family":"Muenchhoff","given":"J.","non-dropping-particle":"","parse-names":false,"suffix":""},{"dropping-particle":"","family":"Grant","given":"R.","non-dropping-particle":"","parse-names":false,"suffix":""},{"dropping-particle":"","family":"Smythe","given":"G.","non-dropping-particle":"","parse-names":false,"suffix":""},{"dropping-particle":"","family":"Teo","given":"C.","non-dropping-particle":"","parse-names":false,"suffix":""},{"dropping-particle":"","family":"Raftery","given":"M.","non-dropping-particle":"","parse-names":false,"suffix":""},{"dropping-particle":"","family":"Sachdev","given":"P.","non-dropping-particle":"","parse-names":false,"suffix":""}],"container-title":"Scientific Reports","id":"ITEM-2","issued":{"date-parts":[["2016","10","20"]]},"publisher":"Nature Publishing Group","title":"Application of Targeted Mass Spectrometry for the Quantification of Sirtuins in the Central Nervous System","type":"article-journal","volume":"6"},"uris":["http://www.mendeley.com/documents/?uuid=7dae97fd-11d1-341b-bbf6-05d3d28be37a"]}],"mendeley":{"formattedCitation":"&lt;sup&gt;126,127&lt;/sup&gt;","plainTextFormattedCitation":"126,127","previouslyFormattedCitation":"&lt;sup&gt;126,127&lt;/sup&gt;"},"properties":{"noteIndex":0},"schema":"https://github.com/citation-style-language/schema/raw/master/csl-citation.json"}</w:instrText>
      </w:r>
      <w:r w:rsidR="009A5F94" w:rsidRPr="00D635E6">
        <w:rPr>
          <w:rFonts w:ascii="Arial" w:hAnsi="Arial" w:cs="Arial"/>
          <w:i w:val="0"/>
          <w:iCs w:val="0"/>
          <w:color w:val="000000" w:themeColor="text1"/>
          <w:sz w:val="22"/>
          <w:szCs w:val="22"/>
        </w:rPr>
        <w:fldChar w:fldCharType="separate"/>
      </w:r>
      <w:r w:rsidR="00567FF4" w:rsidRPr="00567FF4">
        <w:rPr>
          <w:rFonts w:ascii="Arial" w:hAnsi="Arial" w:cs="Arial"/>
          <w:i w:val="0"/>
          <w:iCs w:val="0"/>
          <w:noProof/>
          <w:color w:val="000000" w:themeColor="text1"/>
          <w:sz w:val="22"/>
          <w:szCs w:val="22"/>
          <w:vertAlign w:val="superscript"/>
        </w:rPr>
        <w:t>126,127</w:t>
      </w:r>
      <w:r w:rsidR="009A5F94" w:rsidRPr="00D635E6">
        <w:rPr>
          <w:rFonts w:ascii="Arial" w:hAnsi="Arial" w:cs="Arial"/>
          <w:i w:val="0"/>
          <w:iCs w:val="0"/>
          <w:color w:val="000000" w:themeColor="text1"/>
          <w:sz w:val="22"/>
          <w:szCs w:val="22"/>
        </w:rPr>
        <w:fldChar w:fldCharType="end"/>
      </w:r>
      <w:r w:rsidR="009A5F94" w:rsidRPr="00D635E6">
        <w:rPr>
          <w:rFonts w:ascii="Arial" w:hAnsi="Arial" w:cs="Arial"/>
          <w:i w:val="0"/>
          <w:iCs w:val="0"/>
          <w:color w:val="000000" w:themeColor="text1"/>
          <w:sz w:val="22"/>
          <w:szCs w:val="22"/>
        </w:rPr>
        <w:t>.</w:t>
      </w:r>
      <w:r w:rsidR="009A5F94" w:rsidRPr="00D635E6">
        <w:rPr>
          <w:rFonts w:ascii="Arial" w:hAnsi="Arial" w:cs="Arial"/>
          <w:i w:val="0"/>
          <w:iCs w:val="0"/>
          <w:color w:val="000000" w:themeColor="text1"/>
          <w:sz w:val="22"/>
          <w:szCs w:val="22"/>
          <w:shd w:val="clear" w:color="auto" w:fill="FFFFFF"/>
        </w:rPr>
        <w:t xml:space="preserve"> </w:t>
      </w:r>
      <w:r w:rsidR="009A5F94" w:rsidRPr="00D635E6">
        <w:rPr>
          <w:rFonts w:ascii="Arial" w:hAnsi="Arial" w:cs="Arial"/>
          <w:i w:val="0"/>
          <w:iCs w:val="0"/>
          <w:color w:val="000000" w:themeColor="text1"/>
          <w:sz w:val="22"/>
          <w:szCs w:val="22"/>
        </w:rPr>
        <w:t xml:space="preserve">In this case, the comparative proteomic analyses may be complicated by background variability and thus comparability among the nondepleted lysates, depleted lysates, and the eluants </w:t>
      </w:r>
      <w:r w:rsidR="009A5F94" w:rsidRPr="00D635E6">
        <w:rPr>
          <w:rFonts w:ascii="Arial" w:hAnsi="Arial" w:cs="Arial"/>
          <w:i w:val="0"/>
          <w:iCs w:val="0"/>
          <w:color w:val="000000" w:themeColor="text1"/>
          <w:sz w:val="22"/>
          <w:szCs w:val="22"/>
        </w:rPr>
        <w:fldChar w:fldCharType="begin" w:fldLock="1"/>
      </w:r>
      <w:r w:rsidR="00567FF4">
        <w:rPr>
          <w:rFonts w:ascii="Arial" w:hAnsi="Arial" w:cs="Arial"/>
          <w:i w:val="0"/>
          <w:iCs w:val="0"/>
          <w:color w:val="000000" w:themeColor="text1"/>
          <w:sz w:val="22"/>
          <w:szCs w:val="22"/>
        </w:rPr>
        <w:instrText>ADDIN CSL_CITATION {"citationItems":[{"id":"ITEM-1","itemData":{"DOI":"10.1186/s12859-015-0561-9","ISSN":"1471-2105","abstract":"Background: Comparative proteomics in bacteria are often hampered by the differential nature of dataset quality and/or inherent biological deviations. Although common practice compensates by reproducing and normalizing datasets from a single sample, the degree of certainty is limited in comparison of multiple dataset. To surmount these limitations, we introduce a two-step assessment criterion using: (1) the relative number of total spectra (RTS) to determine if two LC-MS/MS datasets are comparable and (2) nine glycolytic enzymes as internal standards for a more accurate calculation of relative amount of proteins. Lactococcus lactis HR279 and JHK24 strains expressing high or low levels (respectively) of green fluorescent protein (GFP) were used for the model system. GFP abundance was determined by spectral counting and direct fluorescence measurements. Statistical analysis determined relative GFP quantity obtained from our approach matched values obtained from fluorescence measurements. Results: L. lactis HR279 and JHK24 demonstrates two datasets with an RTS value less than 1.4 accurately reflects relative differences in GFP levels between high and low expression strains. Without prior consideration of RTS and the use of internal standards, the relative increase in GFP calculated by spectral counting method was 3.92 ± 1.14 fold, which is not correlated with the value determined by the direct fluorescence measurement (2.86 ± 0.42 fold) with the p = 0.024. In contrast, 2.88 ± 0.92 fold was obtained by our approach showing a statistically insignificant difference (p = 0.95). Conclusions: Our two-step assessment demonstrates a useful approach to: (1) validate the comparability of two mass spectrometric datasets and (2) accurately calculate the relative amount of proteins between proteomic datasets.","author":[{"dropping-particle":"","family":"Kim","given":"Sa Rang","non-dropping-particle":"","parse-names":false,"suffix":""},{"dropping-particle":"","family":"Nguyen","given":"Tuong Vi","non-dropping-particle":"","parse-names":false,"suffix":""},{"dropping-particle":"","family":"Seo","given":"Na Ri","non-dropping-particle":"","parse-names":false,"suffix":""},{"dropping-particle":"","family":"Jung","given":"Seunghup","non-dropping-particle":"","parse-names":false,"suffix":""},{"dropping-particle":"","family":"An","given":"Hyun Joo","non-dropping-particle":"","parse-names":false,"suffix":""},{"dropping-particle":"","family":"Mills","given":"David A","non-dropping-particle":"","parse-names":false,"suffix":""},{"dropping-particle":"","family":"Kim","given":"Jae Han","non-dropping-particle":"","parse-names":false,"suffix":""}],"container-title":"BMC Bioinformatics","id":"ITEM-1","issue":"1","issued":{"date-parts":[["2015","12","17"]]},"page":"121","publisher":"BioMed Central Ltd.","title":"Comparative proteomics: assessment of biological variability and dataset comparability","type":"article-journal","volume":"16"},"uris":["http://www.mendeley.com/documents/?uuid=9087e840-f829-3897-9583-63ed24c7b88d"]}],"mendeley":{"formattedCitation":"&lt;sup&gt;128&lt;/sup&gt;","plainTextFormattedCitation":"128","previouslyFormattedCitation":"&lt;sup&gt;128&lt;/sup&gt;"},"properties":{"noteIndex":0},"schema":"https://github.com/citation-style-language/schema/raw/master/csl-citation.json"}</w:instrText>
      </w:r>
      <w:r w:rsidR="009A5F94" w:rsidRPr="00D635E6">
        <w:rPr>
          <w:rFonts w:ascii="Arial" w:hAnsi="Arial" w:cs="Arial"/>
          <w:i w:val="0"/>
          <w:iCs w:val="0"/>
          <w:color w:val="000000" w:themeColor="text1"/>
          <w:sz w:val="22"/>
          <w:szCs w:val="22"/>
        </w:rPr>
        <w:fldChar w:fldCharType="separate"/>
      </w:r>
      <w:r w:rsidR="00567FF4" w:rsidRPr="00567FF4">
        <w:rPr>
          <w:rFonts w:ascii="Arial" w:hAnsi="Arial" w:cs="Arial"/>
          <w:i w:val="0"/>
          <w:iCs w:val="0"/>
          <w:noProof/>
          <w:color w:val="000000" w:themeColor="text1"/>
          <w:sz w:val="22"/>
          <w:szCs w:val="22"/>
          <w:vertAlign w:val="superscript"/>
        </w:rPr>
        <w:t>128</w:t>
      </w:r>
      <w:r w:rsidR="009A5F94" w:rsidRPr="00D635E6">
        <w:rPr>
          <w:rFonts w:ascii="Arial" w:hAnsi="Arial" w:cs="Arial"/>
          <w:i w:val="0"/>
          <w:iCs w:val="0"/>
          <w:color w:val="000000" w:themeColor="text1"/>
          <w:sz w:val="22"/>
          <w:szCs w:val="22"/>
        </w:rPr>
        <w:fldChar w:fldCharType="end"/>
      </w:r>
      <w:r w:rsidR="009A5F94" w:rsidRPr="00D635E6">
        <w:rPr>
          <w:rFonts w:ascii="Arial" w:hAnsi="Arial" w:cs="Arial"/>
          <w:i w:val="0"/>
          <w:iCs w:val="0"/>
          <w:color w:val="000000" w:themeColor="text1"/>
          <w:sz w:val="22"/>
          <w:szCs w:val="22"/>
        </w:rPr>
        <w:t>. Although the western blot showed the enrichment result as expected, this result needs to be interpreted with caution.</w:t>
      </w:r>
    </w:p>
    <w:p w14:paraId="371FFC95" w14:textId="0B33CBED" w:rsidR="0039202C" w:rsidRPr="00A71FCF" w:rsidRDefault="0039202C" w:rsidP="0039202C">
      <w:pPr>
        <w:contextualSpacing/>
        <w:rPr>
          <w:rFonts w:cs="Arial"/>
          <w:szCs w:val="22"/>
        </w:rPr>
      </w:pPr>
      <w:r w:rsidRPr="00A71FCF">
        <w:rPr>
          <w:rFonts w:cs="Arial"/>
          <w:noProof/>
          <w:szCs w:val="22"/>
        </w:rPr>
        <w:lastRenderedPageBreak/>
        <w:drawing>
          <wp:inline distT="0" distB="0" distL="0" distR="0" wp14:anchorId="18DBB040" wp14:editId="3F055028">
            <wp:extent cx="5909945" cy="2651305"/>
            <wp:effectExtent l="0" t="0" r="0" b="0"/>
            <wp:docPr id="21" name="Picture 2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10;&#10;Description automatically generated"/>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5936462" cy="2663201"/>
                    </a:xfrm>
                    <a:prstGeom prst="rect">
                      <a:avLst/>
                    </a:prstGeom>
                    <a:noFill/>
                  </pic:spPr>
                </pic:pic>
              </a:graphicData>
            </a:graphic>
          </wp:inline>
        </w:drawing>
      </w:r>
    </w:p>
    <w:p w14:paraId="6129BA44" w14:textId="637CDDF9" w:rsidR="0039202C" w:rsidRDefault="0039202C" w:rsidP="0039202C">
      <w:pPr>
        <w:keepNext/>
        <w:contextualSpacing/>
        <w:rPr>
          <w:rFonts w:cs="Arial"/>
          <w:szCs w:val="22"/>
        </w:rPr>
      </w:pPr>
      <w:bookmarkStart w:id="75" w:name="_Toc129701148"/>
      <w:bookmarkStart w:id="76" w:name="_Toc129671159"/>
      <w:r w:rsidRPr="00EA1382">
        <w:rPr>
          <w:rStyle w:val="FigurecaptionChar"/>
        </w:rPr>
        <w:t>Figure 3</w:t>
      </w:r>
      <w:r w:rsidR="00EA1382" w:rsidRPr="00EA1382">
        <w:rPr>
          <w:rStyle w:val="FigurecaptionChar"/>
        </w:rPr>
        <w:t>.5.</w:t>
      </w:r>
      <w:r w:rsidRPr="00EA1382">
        <w:rPr>
          <w:rStyle w:val="FigurecaptionChar"/>
        </w:rPr>
        <w:t xml:space="preserve"> Proteomic analysis of  control cell-free extracts without depletion (blue), and a depleted cell-free extract (orange), and the </w:t>
      </w:r>
      <w:proofErr w:type="spellStart"/>
      <w:r w:rsidRPr="00EA1382">
        <w:rPr>
          <w:rStyle w:val="FigurecaptionChar"/>
        </w:rPr>
        <w:t>elutions</w:t>
      </w:r>
      <w:proofErr w:type="spellEnd"/>
      <w:r w:rsidRPr="00EA1382">
        <w:rPr>
          <w:rStyle w:val="FigurecaptionChar"/>
        </w:rPr>
        <w:t xml:space="preserve"> from the depleted extracts (gray).</w:t>
      </w:r>
      <w:bookmarkEnd w:id="75"/>
      <w:r w:rsidRPr="00A71FCF">
        <w:rPr>
          <w:rFonts w:cs="Arial"/>
          <w:szCs w:val="22"/>
        </w:rPr>
        <w:t xml:space="preserve"> Significant fold-changes in protein concentration when comparing the depleted to the nondepleted extract are denoted by p-value and fold change reduction in concentration of the protein above a bracket. Panels the WT, 6xHis-pflB, 6xHis-2, 6xHis-3, and 6xHis-4 strains. </w:t>
      </w:r>
      <w:r w:rsidR="002B71C7">
        <w:rPr>
          <w:rFonts w:cs="Arial"/>
          <w:szCs w:val="22"/>
        </w:rPr>
        <w:t>Ea</w:t>
      </w:r>
      <w:r w:rsidRPr="00A71FCF">
        <w:rPr>
          <w:rFonts w:cs="Arial"/>
          <w:szCs w:val="22"/>
        </w:rPr>
        <w:t>ch experiment is derived from n=3 biological replicates.</w:t>
      </w:r>
      <w:bookmarkEnd w:id="76"/>
      <w:r w:rsidRPr="00A71FCF">
        <w:rPr>
          <w:rFonts w:cs="Arial"/>
          <w:szCs w:val="22"/>
        </w:rPr>
        <w:t xml:space="preserve"> </w:t>
      </w:r>
    </w:p>
    <w:p w14:paraId="0BCF9F53" w14:textId="77777777" w:rsidR="0039202C" w:rsidRDefault="0039202C">
      <w:pPr>
        <w:rPr>
          <w:rFonts w:eastAsia="Calibri" w:cs="Arial"/>
          <w:color w:val="000000" w:themeColor="text1"/>
          <w:szCs w:val="22"/>
          <w:lang w:val="en-US"/>
        </w:rPr>
      </w:pPr>
      <w:r>
        <w:rPr>
          <w:rFonts w:cs="Arial"/>
          <w:i/>
          <w:iCs/>
          <w:color w:val="000000" w:themeColor="text1"/>
          <w:szCs w:val="22"/>
        </w:rPr>
        <w:br w:type="page"/>
      </w:r>
    </w:p>
    <w:p w14:paraId="1D4AA0EF" w14:textId="2FD10A71" w:rsidR="00D635E6" w:rsidRPr="00D635E6" w:rsidRDefault="0031140D" w:rsidP="0039202C">
      <w:pPr>
        <w:pStyle w:val="Caption"/>
        <w:contextualSpacing/>
        <w:rPr>
          <w:rFonts w:ascii="Arial" w:hAnsi="Arial" w:cs="Arial"/>
          <w:i w:val="0"/>
          <w:iCs w:val="0"/>
          <w:color w:val="000000" w:themeColor="text1"/>
          <w:sz w:val="22"/>
          <w:szCs w:val="22"/>
        </w:rPr>
      </w:pPr>
      <w:r w:rsidRPr="00D635E6">
        <w:rPr>
          <w:rFonts w:ascii="Arial" w:hAnsi="Arial" w:cs="Arial"/>
          <w:i w:val="0"/>
          <w:iCs w:val="0"/>
          <w:color w:val="000000" w:themeColor="text1"/>
          <w:sz w:val="22"/>
          <w:szCs w:val="22"/>
        </w:rPr>
        <w:lastRenderedPageBreak/>
        <w:t xml:space="preserve">First, the western blot was carried out only in eluant protein fraction whereas the comparative mass spectrometry analysis was carried out in three different protein fractions (i.e., cell extracts with/without targeted depletion and </w:t>
      </w:r>
      <w:proofErr w:type="spellStart"/>
      <w:r w:rsidRPr="00D635E6">
        <w:rPr>
          <w:rFonts w:ascii="Arial" w:hAnsi="Arial" w:cs="Arial"/>
          <w:i w:val="0"/>
          <w:iCs w:val="0"/>
          <w:color w:val="000000" w:themeColor="text1"/>
          <w:sz w:val="22"/>
          <w:szCs w:val="22"/>
        </w:rPr>
        <w:t>elutions</w:t>
      </w:r>
      <w:proofErr w:type="spellEnd"/>
      <w:r w:rsidRPr="00D635E6">
        <w:rPr>
          <w:rFonts w:ascii="Arial" w:hAnsi="Arial" w:cs="Arial"/>
          <w:i w:val="0"/>
          <w:iCs w:val="0"/>
          <w:color w:val="000000" w:themeColor="text1"/>
          <w:sz w:val="22"/>
          <w:szCs w:val="22"/>
        </w:rPr>
        <w:t>). Thus, the western blot only provides partial information. Second, while bands corresponding to the approximate molecular weights of our targets consistently appeared in eluant fractions where expected, the western blot showed some false positive bands as well (</w:t>
      </w:r>
      <w:r w:rsidR="00C65F71">
        <w:rPr>
          <w:rFonts w:ascii="Arial" w:hAnsi="Arial" w:cs="Arial"/>
          <w:b/>
          <w:bCs/>
          <w:i w:val="0"/>
          <w:iCs w:val="0"/>
          <w:color w:val="000000" w:themeColor="text1"/>
          <w:sz w:val="22"/>
          <w:szCs w:val="22"/>
        </w:rPr>
        <w:t>Appendix</w:t>
      </w:r>
      <w:r w:rsidRPr="00ED1D2C">
        <w:rPr>
          <w:rFonts w:ascii="Arial" w:hAnsi="Arial" w:cs="Arial"/>
          <w:b/>
          <w:bCs/>
          <w:i w:val="0"/>
          <w:iCs w:val="0"/>
          <w:color w:val="000000" w:themeColor="text1"/>
          <w:sz w:val="22"/>
          <w:szCs w:val="22"/>
        </w:rPr>
        <w:t xml:space="preserve"> </w:t>
      </w:r>
      <w:r w:rsidR="00405F98">
        <w:rPr>
          <w:rFonts w:ascii="Arial" w:hAnsi="Arial" w:cs="Arial"/>
          <w:b/>
          <w:bCs/>
          <w:i w:val="0"/>
          <w:iCs w:val="0"/>
          <w:color w:val="000000" w:themeColor="text1"/>
          <w:sz w:val="22"/>
          <w:szCs w:val="22"/>
        </w:rPr>
        <w:t>Figure</w:t>
      </w:r>
      <w:r w:rsidRPr="00ED1D2C">
        <w:rPr>
          <w:rFonts w:ascii="Arial" w:hAnsi="Arial" w:cs="Arial"/>
          <w:b/>
          <w:bCs/>
          <w:i w:val="0"/>
          <w:iCs w:val="0"/>
          <w:color w:val="000000" w:themeColor="text1"/>
          <w:sz w:val="22"/>
          <w:szCs w:val="22"/>
        </w:rPr>
        <w:t xml:space="preserve"> </w:t>
      </w:r>
      <w:r w:rsidR="00C65F71">
        <w:rPr>
          <w:rFonts w:ascii="Arial" w:hAnsi="Arial" w:cs="Arial"/>
          <w:b/>
          <w:bCs/>
          <w:i w:val="0"/>
          <w:iCs w:val="0"/>
          <w:color w:val="000000" w:themeColor="text1"/>
          <w:sz w:val="22"/>
          <w:szCs w:val="22"/>
        </w:rPr>
        <w:t>3.9</w:t>
      </w:r>
      <w:r w:rsidRPr="00D635E6">
        <w:rPr>
          <w:rFonts w:ascii="Arial" w:hAnsi="Arial" w:cs="Arial"/>
          <w:i w:val="0"/>
          <w:iCs w:val="0"/>
          <w:color w:val="000000" w:themeColor="text1"/>
          <w:sz w:val="22"/>
          <w:szCs w:val="22"/>
        </w:rPr>
        <w:t>). Therefore, the results from western blot were utilized as an orthogonal check on the validity of MS results rather than the sole analytical technique for this study. While western blot analysis validated the depletion of proteins not identified through comparative mass spectrometry analysis, future efforts can benefit from a more targeted proteomics approach using labeled peptides to determine absolute quantitative measurements of the method’s depletion efficiency for targeted proteins.</w:t>
      </w:r>
    </w:p>
    <w:p w14:paraId="532D5738" w14:textId="1CE82116" w:rsidR="00D635E6" w:rsidRPr="0039202C" w:rsidRDefault="0031140D" w:rsidP="0039202C">
      <w:pPr>
        <w:pStyle w:val="Caption"/>
        <w:ind w:firstLine="720"/>
        <w:contextualSpacing/>
        <w:rPr>
          <w:rFonts w:ascii="Arial" w:hAnsi="Arial" w:cs="Arial"/>
          <w:i w:val="0"/>
          <w:iCs w:val="0"/>
          <w:color w:val="000000" w:themeColor="text1"/>
          <w:sz w:val="22"/>
          <w:szCs w:val="22"/>
        </w:rPr>
      </w:pPr>
      <w:r w:rsidRPr="00D635E6">
        <w:rPr>
          <w:rFonts w:ascii="Arial" w:hAnsi="Arial" w:cs="Arial"/>
          <w:i w:val="0"/>
          <w:iCs w:val="0"/>
          <w:color w:val="000000" w:themeColor="text1"/>
          <w:sz w:val="22"/>
          <w:szCs w:val="22"/>
        </w:rPr>
        <w:t>Nonetheless, our comparative mass spectrometry analysis provided additional information about our method. The results show that the incorporation of 6xHis-tags into the genomes had minimal effects on the expression of pyruvate-consuming enzymes in all strains’ proteomes (</w:t>
      </w:r>
      <w:r w:rsidR="00405F98">
        <w:rPr>
          <w:rFonts w:ascii="Arial" w:hAnsi="Arial" w:cs="Arial"/>
          <w:b/>
          <w:bCs/>
          <w:i w:val="0"/>
          <w:iCs w:val="0"/>
          <w:color w:val="000000" w:themeColor="text1"/>
          <w:sz w:val="22"/>
          <w:szCs w:val="22"/>
        </w:rPr>
        <w:t>Figure</w:t>
      </w:r>
      <w:r w:rsidRPr="00ED1D2C">
        <w:rPr>
          <w:rFonts w:ascii="Arial" w:hAnsi="Arial" w:cs="Arial"/>
          <w:b/>
          <w:bCs/>
          <w:i w:val="0"/>
          <w:iCs w:val="0"/>
          <w:color w:val="000000" w:themeColor="text1"/>
          <w:sz w:val="22"/>
          <w:szCs w:val="22"/>
        </w:rPr>
        <w:t xml:space="preserve"> </w:t>
      </w:r>
      <w:r w:rsidR="00C65F71">
        <w:rPr>
          <w:rFonts w:ascii="Arial" w:hAnsi="Arial" w:cs="Arial"/>
          <w:b/>
          <w:bCs/>
          <w:i w:val="0"/>
          <w:iCs w:val="0"/>
          <w:color w:val="000000" w:themeColor="text1"/>
          <w:sz w:val="22"/>
          <w:szCs w:val="22"/>
        </w:rPr>
        <w:t>3.</w:t>
      </w:r>
      <w:r w:rsidRPr="00ED1D2C">
        <w:rPr>
          <w:rFonts w:ascii="Arial" w:hAnsi="Arial" w:cs="Arial"/>
          <w:b/>
          <w:bCs/>
          <w:i w:val="0"/>
          <w:iCs w:val="0"/>
          <w:color w:val="000000" w:themeColor="text1"/>
          <w:sz w:val="22"/>
          <w:szCs w:val="22"/>
        </w:rPr>
        <w:t>5, blue boxes</w:t>
      </w:r>
      <w:r w:rsidRPr="00D635E6">
        <w:rPr>
          <w:rFonts w:ascii="Arial" w:hAnsi="Arial" w:cs="Arial"/>
          <w:i w:val="0"/>
          <w:iCs w:val="0"/>
          <w:color w:val="000000" w:themeColor="text1"/>
          <w:sz w:val="22"/>
          <w:szCs w:val="22"/>
        </w:rPr>
        <w:t>), allowing the pull-down of one target protein without altering the concentrations of other pyruvate-consuming enzymes. This observation is corroborated by the comparable trends among the metabolite profiles of all nondepleted lysates (</w:t>
      </w:r>
      <w:r w:rsidR="00C65F71">
        <w:rPr>
          <w:rFonts w:ascii="Arial" w:hAnsi="Arial" w:cs="Arial"/>
          <w:b/>
          <w:bCs/>
          <w:i w:val="0"/>
          <w:iCs w:val="0"/>
          <w:color w:val="000000" w:themeColor="text1"/>
          <w:sz w:val="22"/>
          <w:szCs w:val="22"/>
        </w:rPr>
        <w:t>Appendix</w:t>
      </w:r>
      <w:r w:rsidRPr="00ED1D2C">
        <w:rPr>
          <w:rFonts w:ascii="Arial" w:hAnsi="Arial" w:cs="Arial"/>
          <w:b/>
          <w:bCs/>
          <w:i w:val="0"/>
          <w:iCs w:val="0"/>
          <w:color w:val="000000" w:themeColor="text1"/>
          <w:sz w:val="22"/>
          <w:szCs w:val="22"/>
        </w:rPr>
        <w:t xml:space="preserve"> </w:t>
      </w:r>
      <w:r w:rsidR="00405F98">
        <w:rPr>
          <w:rFonts w:ascii="Arial" w:hAnsi="Arial" w:cs="Arial"/>
          <w:b/>
          <w:bCs/>
          <w:i w:val="0"/>
          <w:iCs w:val="0"/>
          <w:color w:val="000000" w:themeColor="text1"/>
          <w:sz w:val="22"/>
          <w:szCs w:val="22"/>
        </w:rPr>
        <w:t>Figure</w:t>
      </w:r>
      <w:r w:rsidRPr="00ED1D2C">
        <w:rPr>
          <w:rFonts w:ascii="Arial" w:hAnsi="Arial" w:cs="Arial"/>
          <w:b/>
          <w:bCs/>
          <w:i w:val="0"/>
          <w:iCs w:val="0"/>
          <w:color w:val="000000" w:themeColor="text1"/>
          <w:sz w:val="22"/>
          <w:szCs w:val="22"/>
        </w:rPr>
        <w:t xml:space="preserve"> </w:t>
      </w:r>
      <w:r w:rsidR="00C65F71">
        <w:rPr>
          <w:rFonts w:ascii="Arial" w:hAnsi="Arial" w:cs="Arial"/>
          <w:b/>
          <w:bCs/>
          <w:i w:val="0"/>
          <w:iCs w:val="0"/>
          <w:color w:val="000000" w:themeColor="text1"/>
          <w:sz w:val="22"/>
          <w:szCs w:val="22"/>
        </w:rPr>
        <w:t>3.7</w:t>
      </w:r>
      <w:r w:rsidRPr="00D635E6">
        <w:rPr>
          <w:rFonts w:ascii="Arial" w:hAnsi="Arial" w:cs="Arial"/>
          <w:i w:val="0"/>
          <w:iCs w:val="0"/>
          <w:color w:val="000000" w:themeColor="text1"/>
          <w:sz w:val="22"/>
          <w:szCs w:val="22"/>
        </w:rPr>
        <w:t>). This advances our method for precisely generating unconventional metabolic phenotypes that cannot be achieved via gene deletions, since knock-outs of metabolic genes would incite global proteomic and thus metabolic changes in cells</w:t>
      </w:r>
      <w:r w:rsidRPr="00D635E6">
        <w:rPr>
          <w:rFonts w:ascii="Arial" w:hAnsi="Arial" w:cs="Arial"/>
          <w:i w:val="0"/>
          <w:iCs w:val="0"/>
          <w:color w:val="000000" w:themeColor="text1"/>
          <w:sz w:val="22"/>
          <w:szCs w:val="22"/>
        </w:rPr>
        <w:fldChar w:fldCharType="begin" w:fldLock="1"/>
      </w:r>
      <w:r w:rsidR="00567FF4">
        <w:rPr>
          <w:rFonts w:ascii="Arial" w:hAnsi="Arial" w:cs="Arial"/>
          <w:i w:val="0"/>
          <w:iCs w:val="0"/>
          <w:color w:val="000000" w:themeColor="text1"/>
          <w:sz w:val="22"/>
          <w:szCs w:val="22"/>
        </w:rPr>
        <w:instrText>ADDIN CSL_CITATION {"citationItems":[{"id":"ITEM-1","itemData":{"DOI":"10.1016/j.bej.2005.05.010","ISSN":"1369703X","abstract":"To investigate how the central metabolism of Escherichia coli changes with the deletion of ldhA (lactate dehydrogenase gene), an integrated study was made by combining the information of cultivation characteristics, gene expressions, enzyme activities, intracellular metabolite concentrations, and metabolic flux distribution. The deletion of ldhA gene reduced the specific growth rate and the specific glucose consumption rate. The production rates of acetate, ethanol, and formate were all higher for the ldhA mutant as compared with those of the parent strain. The anaplerotic enzyme phosphoenol pyruvate carboxylase (Ppc), which is also known to be contributed to catabolic succinate formation under anaerobic condition, was downregulated in the ldhA mutant compared to the parent strain. On the other hand, phosphoenol pyruvate carboxykinase (Pck) that catalyzes the opposite reaction to Ppc was upregulated significantly in the mutant. This was mainly due to the shortage of phosphoenol pyruvate (PEP) in the ldhA mutant as was evidenced by the measurement of intracellular PEP concentration. Interestingly, two other catabolic enzymes, NAD+- and NADP+-specific malic enzymes, were both shown to be present in the parent E. coli but regulated differently in ldhA mutant. The activity of NADP+-specific malic enzyme encoded by maeB remained unchanged, whereas NAD+-specific malic enzyme encoded by sfcA was found to be upregulated significantly in the ldhA mutant compared to those in the parent strain implying that the inactivation of ldhA gene leads to the production of malate from pyruvate. Moreover, it was found that ldhA gene deletion induced a stress response as was evidenced by the significant upregulation of the genes dnaJ, grpE, groS, and fkpA involved in the heat shock response. © 2005 Elsevier B.V. All rights reserved.","author":[{"dropping-particle":"","family":"Kabir","given":"Md Mohiuddin","non-dropping-particle":"","parse-names":false,"suffix":""},{"dropping-particle":"","family":"Pei","given":"Yee Ho","non-dropping-particle":"","parse-names":false,"suffix":""},{"dropping-particle":"","family":"Shimizu","given":"Kazuyuki","non-dropping-particle":"","parse-names":false,"suffix":""}],"container-title":"Biochemical Engineering Journal","id":"ITEM-1","issue":"1","issued":{"date-parts":[["2005"]]},"page":"1-11","title":"Effect of ldhA gene deletion on the metabolism of Escherichia coli based on gene expression, enzyme activities, intracellular metabolite concentrations, and metabolic flux distribution","type":"article-journal","volume":"26"},"uris":["http://www.mendeley.com/documents/?uuid=23ce00fc-6165-45d9-9218-0e8c61e60f63"]}],"mendeley":{"formattedCitation":"&lt;sup&gt;129&lt;/sup&gt;","plainTextFormattedCitation":"129","previouslyFormattedCitation":"&lt;sup&gt;129&lt;/sup&gt;"},"properties":{"noteIndex":0},"schema":"https://github.com/citation-style-language/schema/raw/master/csl-citation.json"}</w:instrText>
      </w:r>
      <w:r w:rsidRPr="00D635E6">
        <w:rPr>
          <w:rFonts w:ascii="Arial" w:hAnsi="Arial" w:cs="Arial"/>
          <w:i w:val="0"/>
          <w:iCs w:val="0"/>
          <w:color w:val="000000" w:themeColor="text1"/>
          <w:sz w:val="22"/>
          <w:szCs w:val="22"/>
        </w:rPr>
        <w:fldChar w:fldCharType="separate"/>
      </w:r>
      <w:r w:rsidR="00567FF4" w:rsidRPr="00567FF4">
        <w:rPr>
          <w:rFonts w:ascii="Arial" w:hAnsi="Arial" w:cs="Arial"/>
          <w:i w:val="0"/>
          <w:iCs w:val="0"/>
          <w:noProof/>
          <w:color w:val="000000" w:themeColor="text1"/>
          <w:sz w:val="22"/>
          <w:szCs w:val="22"/>
          <w:vertAlign w:val="superscript"/>
        </w:rPr>
        <w:t>129</w:t>
      </w:r>
      <w:r w:rsidRPr="00D635E6">
        <w:rPr>
          <w:rFonts w:ascii="Arial" w:hAnsi="Arial" w:cs="Arial"/>
          <w:i w:val="0"/>
          <w:iCs w:val="0"/>
          <w:color w:val="000000" w:themeColor="text1"/>
          <w:sz w:val="22"/>
          <w:szCs w:val="22"/>
        </w:rPr>
        <w:fldChar w:fldCharType="end"/>
      </w:r>
      <w:r w:rsidRPr="00D635E6">
        <w:rPr>
          <w:rFonts w:ascii="Arial" w:hAnsi="Arial" w:cs="Arial"/>
          <w:i w:val="0"/>
          <w:iCs w:val="0"/>
          <w:color w:val="000000" w:themeColor="text1"/>
          <w:sz w:val="22"/>
          <w:szCs w:val="22"/>
        </w:rPr>
        <w:t>. We further analyzed relative proteomic changes in the nondepleted and depleted extracts to determine whether the method resulted in the removal of off-target proteins. Importantly, the process of depleting the proteome did not seem to significantly impact proteins in central metabolism outside of those targeted by the tagging process. When comparing the depleted and nondepleted WT lysates, in the 58 proteins with a</w:t>
      </w:r>
      <w:r w:rsidR="0039202C">
        <w:rPr>
          <w:rFonts w:ascii="Arial" w:hAnsi="Arial" w:cs="Arial"/>
          <w:i w:val="0"/>
          <w:iCs w:val="0"/>
          <w:color w:val="000000" w:themeColor="text1"/>
          <w:sz w:val="22"/>
          <w:szCs w:val="22"/>
        </w:rPr>
        <w:t xml:space="preserve"> </w:t>
      </w:r>
      <w:r w:rsidRPr="00D635E6">
        <w:rPr>
          <w:rFonts w:ascii="Arial" w:hAnsi="Arial" w:cs="Arial"/>
          <w:i w:val="0"/>
          <w:iCs w:val="0"/>
          <w:color w:val="000000" w:themeColor="text1"/>
          <w:sz w:val="22"/>
          <w:szCs w:val="22"/>
        </w:rPr>
        <w:t>greater than 4-fold reduction, none were connected to central metabolism outside of roles in membrane transport</w:t>
      </w:r>
      <w:r w:rsidR="001429A9">
        <w:rPr>
          <w:rFonts w:ascii="Arial" w:hAnsi="Arial" w:cs="Arial"/>
          <w:i w:val="0"/>
          <w:iCs w:val="0"/>
          <w:color w:val="000000" w:themeColor="text1"/>
          <w:sz w:val="22"/>
          <w:szCs w:val="22"/>
        </w:rPr>
        <w:t xml:space="preserve">. </w:t>
      </w:r>
      <w:r w:rsidRPr="00D635E6">
        <w:rPr>
          <w:rFonts w:ascii="Arial" w:hAnsi="Arial" w:cs="Arial"/>
          <w:i w:val="0"/>
          <w:iCs w:val="0"/>
          <w:color w:val="000000" w:themeColor="text1"/>
          <w:sz w:val="22"/>
          <w:szCs w:val="22"/>
        </w:rPr>
        <w:t xml:space="preserve">Future efforts will seek to minimize off-target effects </w:t>
      </w:r>
      <w:proofErr w:type="gramStart"/>
      <w:r w:rsidRPr="00D635E6">
        <w:rPr>
          <w:rFonts w:ascii="Arial" w:hAnsi="Arial" w:cs="Arial"/>
          <w:i w:val="0"/>
          <w:iCs w:val="0"/>
          <w:color w:val="000000" w:themeColor="text1"/>
          <w:sz w:val="22"/>
          <w:szCs w:val="22"/>
        </w:rPr>
        <w:t>in order to</w:t>
      </w:r>
      <w:proofErr w:type="gramEnd"/>
      <w:r w:rsidRPr="00D635E6">
        <w:rPr>
          <w:rFonts w:ascii="Arial" w:hAnsi="Arial" w:cs="Arial"/>
          <w:i w:val="0"/>
          <w:iCs w:val="0"/>
          <w:color w:val="000000" w:themeColor="text1"/>
          <w:sz w:val="22"/>
          <w:szCs w:val="22"/>
        </w:rPr>
        <w:t xml:space="preserve"> improve the </w:t>
      </w:r>
      <w:r w:rsidRPr="00D635E6">
        <w:rPr>
          <w:rFonts w:ascii="Arial" w:hAnsi="Arial" w:cs="Arial"/>
          <w:i w:val="0"/>
          <w:iCs w:val="0"/>
          <w:color w:val="000000" w:themeColor="text1"/>
          <w:sz w:val="22"/>
          <w:szCs w:val="22"/>
        </w:rPr>
        <w:lastRenderedPageBreak/>
        <w:t xml:space="preserve">general applicability of lysate proteome engineering. Though outside the initial scope of this study as the main prospect was to show the use of enzyme depletion as a tool for CFME, targeted proteomics could be an effective tool to connect concentrations of depleted proteins with their resultant metabolic profile. </w:t>
      </w:r>
    </w:p>
    <w:p w14:paraId="119D580B" w14:textId="631D042A" w:rsidR="00792E83" w:rsidRDefault="0031140D" w:rsidP="0039202C">
      <w:pPr>
        <w:pStyle w:val="Caption"/>
        <w:ind w:firstLine="720"/>
        <w:contextualSpacing/>
        <w:rPr>
          <w:rFonts w:ascii="Arial" w:hAnsi="Arial" w:cs="Arial"/>
          <w:i w:val="0"/>
          <w:iCs w:val="0"/>
          <w:color w:val="000000" w:themeColor="text1"/>
          <w:sz w:val="22"/>
          <w:szCs w:val="22"/>
        </w:rPr>
      </w:pPr>
      <w:r w:rsidRPr="00D635E6">
        <w:rPr>
          <w:rFonts w:ascii="Arial" w:hAnsi="Arial" w:cs="Arial"/>
          <w:i w:val="0"/>
          <w:iCs w:val="0"/>
          <w:color w:val="000000" w:themeColor="text1"/>
          <w:sz w:val="22"/>
          <w:szCs w:val="22"/>
        </w:rPr>
        <w:t xml:space="preserve">Targeted depletion of a lysate proteome enables a rapid means to manipulate central metabolism without the possible drawback of cultivating “sick” organisms as often results from traditional, in vivo metabolic engineering efforts. The </w:t>
      </w:r>
      <w:proofErr w:type="spellStart"/>
      <w:r w:rsidRPr="00D635E6">
        <w:rPr>
          <w:rFonts w:ascii="Arial" w:hAnsi="Arial" w:cs="Arial"/>
          <w:i w:val="0"/>
          <w:iCs w:val="0"/>
          <w:color w:val="000000" w:themeColor="text1"/>
          <w:sz w:val="22"/>
          <w:szCs w:val="22"/>
        </w:rPr>
        <w:t>pORTMAGE</w:t>
      </w:r>
      <w:proofErr w:type="spellEnd"/>
      <w:r w:rsidRPr="00D635E6">
        <w:rPr>
          <w:rFonts w:ascii="Arial" w:hAnsi="Arial" w:cs="Arial"/>
          <w:i w:val="0"/>
          <w:iCs w:val="0"/>
          <w:color w:val="000000" w:themeColor="text1"/>
          <w:sz w:val="22"/>
          <w:szCs w:val="22"/>
        </w:rPr>
        <w:t xml:space="preserve"> system offers the potential for extension of this engineering strategy to other, non-model cell-free chassis. Though not all proteins targeted for depletion could be shown to be depleted in substantial quantities through proteomics, our analysis of the metabolic products and western blot analysis shows clear differences between the extracts following each tagging and only following depletion. In contrast with gene knockout strategies that result in global proteomic changes during source strain cultivation, this method allows the selective removal of protein/s from a lysate proteomic background that is similar to the wild </w:t>
      </w:r>
      <w:proofErr w:type="gramStart"/>
      <w:r w:rsidRPr="00D635E6">
        <w:rPr>
          <w:rFonts w:ascii="Arial" w:hAnsi="Arial" w:cs="Arial"/>
          <w:i w:val="0"/>
          <w:iCs w:val="0"/>
          <w:color w:val="000000" w:themeColor="text1"/>
          <w:sz w:val="22"/>
          <w:szCs w:val="22"/>
        </w:rPr>
        <w:t>type</w:t>
      </w:r>
      <w:proofErr w:type="gramEnd"/>
      <w:r w:rsidRPr="00D635E6">
        <w:rPr>
          <w:rFonts w:ascii="Arial" w:hAnsi="Arial" w:cs="Arial"/>
          <w:i w:val="0"/>
          <w:iCs w:val="0"/>
          <w:color w:val="000000" w:themeColor="text1"/>
          <w:sz w:val="22"/>
          <w:szCs w:val="22"/>
        </w:rPr>
        <w:t xml:space="preserve"> derived extracts, allowing targeted manipulation of lysate proteomes. Thus, although lysates derived from the deletion of a target gene or the post-lysis depletion of its corresponding protein are expected to have different metabolic phenotypes, our CFME approach could be broadly applied to yield metabolic states that are not traditionally possible in living organisms. Future improvements to lysate proteome engineering could make use of multiplex genome engineering methods that are amenable to the insertion of larger tags as MAGE based methods are naturally limited to low-base pair insertions</w:t>
      </w:r>
      <w:r w:rsidRPr="00D635E6">
        <w:rPr>
          <w:rFonts w:ascii="Arial" w:hAnsi="Arial" w:cs="Arial"/>
          <w:i w:val="0"/>
          <w:iCs w:val="0"/>
          <w:color w:val="000000" w:themeColor="text1"/>
          <w:sz w:val="22"/>
          <w:szCs w:val="22"/>
        </w:rPr>
        <w:fldChar w:fldCharType="begin" w:fldLock="1"/>
      </w:r>
      <w:r w:rsidR="00567FF4">
        <w:rPr>
          <w:rFonts w:ascii="Arial" w:hAnsi="Arial" w:cs="Arial"/>
          <w:i w:val="0"/>
          <w:iCs w:val="0"/>
          <w:color w:val="000000" w:themeColor="text1"/>
          <w:sz w:val="22"/>
          <w:szCs w:val="22"/>
        </w:rPr>
        <w:instrText xml:space="preserve">ADDIN CSL_CITATION {"citationItems":[{"id":"ITEM-1","itemData":{"DOI":"10.1021/acssynbio.7b00116","PMID":"28571309","abstract":"Vibrio natriegens has recently emerged as an alternative to Escherichia coli for molecular biology and biotechnology, but low-efficiency genetic tools hamper its development. Here, we uncover how to induce natural competence in V. natriegens and describe methods for multiplex genome editing by natural transformation (MuGENT). MuGENT promotes integration of multiple genome edits at high-efficiency on unprecedented time scales. Also, this method allows for generating highly complex mutant populations, which can be exploited for metabolic engineering efforts. As a proof-of-concept, we attempted to enhance production of the value added chemical poly-β-hydroxybutyrate (PHB) in V. natriegens by targeting the expression of nine genes involved in PHB biosynthesis via MuGENT. Within 1 week, we isolated edited strains that produced </w:instrText>
      </w:r>
      <w:r w:rsidR="00567FF4">
        <w:rPr>
          <w:rFonts w:ascii="Cambria Math" w:hAnsi="Cambria Math" w:cs="Cambria Math"/>
          <w:i w:val="0"/>
          <w:iCs w:val="0"/>
          <w:color w:val="000000" w:themeColor="text1"/>
          <w:sz w:val="22"/>
          <w:szCs w:val="22"/>
        </w:rPr>
        <w:instrText>∼</w:instrText>
      </w:r>
      <w:r w:rsidR="00567FF4">
        <w:rPr>
          <w:rFonts w:ascii="Arial" w:hAnsi="Arial" w:cs="Arial"/>
          <w:i w:val="0"/>
          <w:iCs w:val="0"/>
          <w:color w:val="000000" w:themeColor="text1"/>
          <w:sz w:val="22"/>
          <w:szCs w:val="22"/>
        </w:rPr>
        <w:instrText xml:space="preserve">100 times more PHB than the parent isolate and </w:instrText>
      </w:r>
      <w:r w:rsidR="00567FF4">
        <w:rPr>
          <w:rFonts w:ascii="Cambria Math" w:hAnsi="Cambria Math" w:cs="Cambria Math"/>
          <w:i w:val="0"/>
          <w:iCs w:val="0"/>
          <w:color w:val="000000" w:themeColor="text1"/>
          <w:sz w:val="22"/>
          <w:szCs w:val="22"/>
        </w:rPr>
        <w:instrText>∼</w:instrText>
      </w:r>
      <w:r w:rsidR="00567FF4">
        <w:rPr>
          <w:rFonts w:ascii="Arial" w:hAnsi="Arial" w:cs="Arial"/>
          <w:i w:val="0"/>
          <w:iCs w:val="0"/>
          <w:color w:val="000000" w:themeColor="text1"/>
          <w:sz w:val="22"/>
          <w:szCs w:val="22"/>
        </w:rPr>
        <w:instrText>3.3 times more than a rationally designed strain. Thus, the methods described here should extend the utility of this species for diverse academic and industrial applications.","author":[{"dropping-particle":"","family":"Dalia","given":"Triana N.","non-dropping-particle":"","parse-names":false,"suffix":""},{"dropping-particle":"","family":"Hayes","given":"Chelsea A.","non-dropping-particle":"","parse-names":false,"suffix":""},{"dropping-particle":"","family":"Stolyar","given":"Sergey","non-dropping-particle":"","parse-names":false,"suffix":""},{"dropping-particle":"","family":"Marx","given":"Christopher J.","non-dropping-particle":"","parse-names":false,"suffix":""},{"dropping-particle":"","family":"McKinlay","given":"James B.","non-dropping-particle":"","parse-names":false,"suffix":""},{"dropping-particle":"","family":"Dalia","given":"Ankur B.","non-dropping-particle":"","parse-names":false,"suffix":""}],"container-title":"ACS Synthetic Biology","id":"ITEM-1","issue":"9","issued":{"date-parts":[["2017","9","15"]]},"page":"1650-1655","title":"Multiplex Genome Editing by Natural Transformation (MuGENT) for Synthetic Biology in Vibrio natriegens","type":"article-journal","volume":"6"},"uris":["http://www.mendeley.com/documents/?uuid=c774663a-2be0-3638-8c9a-cccc0a307d2b"]},{"id":"ITEM-2","itemData":{"DOI":"10.1038/srep19452","ISBN":"2045-2322","ISSN":"2045-2322","PMID":"26797514","abstract":"A bottleneck in metabolic engineering and systems biology approaches is the lack of efficient genome engineering technologies. Here, we combine CRISPR/Cas9 and λ Red recombineering based MAGE technology (CRMAGE) to create a highly efficient and fast method for genome engineering of Escherichia coli. Using CRMAGE, the recombineering efficiency was between 96.5% and 99.7% for gene recoding of three genomic targets, compared to between 0.68% and 5.4% using traditional recombineering. For modulation of protein synthesis (small insertion/RBS substitution) the efficiency was increased from 6% to 70%. CRMAGE can be multiplexed and enables introduction of at least two mutations in a single round of recombineering with similar efficiencies. PAM-independent loci were targeted using degenerate codons, thereby making it possible to modify any site in the genome. CRMAGE is based on two plasmids that are assembled by a USER-cloning approach enabling quick and cost efficient gRNA replacement. CRMAGE furthermore utilizes CRISPR/Cas9 for efficient plasmid curing, thereby enabling multiple engineering rounds per day. To facilitate the design process, a web-based tool was developed to predict both the λ Red oligos and the gRNAs. The CRMAGE platform enables highly efficient and fast genome editing and may open up promising prospective for automation of genome-scale engineering.","author":[{"dropping-particle":"","family":"Ronda","given":"Carlotta","non-dropping-particle":"","parse-names":false,"suffix":""},{"dropping-particle":"","family":"Pedersen","given":"Lasse Ebdrup","non-dropping-particle":"","parse-names":false,"suffix":""},{"dropping-particle":"","family":"Sommer","given":"Morten O A","non-dropping-particle":"","parse-names":false,"suffix":""},{"dropping-particle":"","family":"Nielsen","given":"Alex Toftgaard","non-dropping-particle":"","parse-names":false,"suffix":""}],"container-title":"Scientific reports","id":"ITEM-2","issue":"January","issued":{"date-parts":[["2016"]]},"page":"19452","publisher":"Nature Publishing Group","title":"CRMAGE: CRISPR Optimized MAGE Recombineering.","type":"article-journal","volume":"6"},"uris":["http://www.mendeley.com/documents/?uuid=5238f79f-261b-4512-8522-3f00ba04c6f5"]},{"id":"ITEM-3","itemData":{"DOI":"10.1534/genetics.110.120782","abstract":"The phage lambda-derived Red recombination system is a powerful tool for making targeted genetic changes in Escherichia coli, providing a simple and versatile method for generating insertion, deletion, and point mutations on chromosomal, plasmid, or BAC targets. However, despite the common use of this system, the detailed mechanism by which lambda Red mediates double-stranded DNA recombination remains uncertain. Current mechanisms posit a recombination intermediate in which both 59 ends of double-stranded DNA are recessed by l exonuclease, leaving behind 39 overhangs. Here, we propose an alternative in which lambda exonuclease entirely degrades one strand, while leaving the other strand intact as single-stranded DNA. This single-stranded intermediate then recombines via beta recombinase-catalyzed annealing at the replication fork. We support this by showing that single-stranded gene insertion cassettes are recombinogenic and that these cassettes preferentially target the lagging strand during DNA replication. Furthermore, a double-stranded DNA cassette containing multiple internal mismatches shows strand-specific mutations cosegregating roughly 80% of the time. These observations are more consistent with our model than with previously proposed models. Finally, by using phosphorothioate linkages to protect the lagging-targeting strand of a double-stranded DNA cassette, we illustrate how our new mechanistic knowledge can be used to enhance lambda Red recombination frequency. The mechanistic insights revealed by this work may facilitate further improvements to the versatility of lambda Red recombination.","author":[{"dropping-particle":"","family":"Mosberg","given":"J A","non-dropping-particle":"","parse-names":false,"suffix":""},{"dropping-particle":"","family":"Lajoie","given":"M J","non-dropping-particle":"","parse-names":false,"suffix":""},{"dropping-particle":"","family":"Church","given":"G M","non-dropping-particle":"","parse-names":false,"suffix":""}],"id":"ITEM-3","issued":{"date-parts":[["0"]]},"title":"Lambda Red Recombineering in Escherichia coli Occurs Through a Fully Single-Stranded Intermediate","type":"article-journal"},"uris":["http://www.mendeley.com/documents/?uuid=277c7328-f4e0-3c92-8754-ec5fab3643b2"]}],"mendeley":{"formattedCitation":"&lt;sup&gt;116,130,131&lt;/sup&gt;","plainTextFormattedCitation":"116,130,131","previouslyFormattedCitation":"&lt;sup&gt;116,130,131&lt;/sup&gt;"},"properties":{"noteIndex":0},"schema":"https://github.com/citation-style-language/schema/raw/master/csl-citation.json"}</w:instrText>
      </w:r>
      <w:r w:rsidRPr="00D635E6">
        <w:rPr>
          <w:rFonts w:ascii="Arial" w:hAnsi="Arial" w:cs="Arial"/>
          <w:i w:val="0"/>
          <w:iCs w:val="0"/>
          <w:color w:val="000000" w:themeColor="text1"/>
          <w:sz w:val="22"/>
          <w:szCs w:val="22"/>
        </w:rPr>
        <w:fldChar w:fldCharType="separate"/>
      </w:r>
      <w:r w:rsidR="00567FF4" w:rsidRPr="00567FF4">
        <w:rPr>
          <w:rFonts w:ascii="Arial" w:hAnsi="Arial" w:cs="Arial"/>
          <w:bCs/>
          <w:i w:val="0"/>
          <w:iCs w:val="0"/>
          <w:noProof/>
          <w:color w:val="000000" w:themeColor="text1"/>
          <w:sz w:val="22"/>
          <w:szCs w:val="22"/>
          <w:vertAlign w:val="superscript"/>
        </w:rPr>
        <w:t>116,130,131</w:t>
      </w:r>
      <w:r w:rsidRPr="00D635E6">
        <w:rPr>
          <w:rFonts w:ascii="Arial" w:hAnsi="Arial" w:cs="Arial"/>
          <w:i w:val="0"/>
          <w:iCs w:val="0"/>
          <w:color w:val="000000" w:themeColor="text1"/>
          <w:sz w:val="22"/>
          <w:szCs w:val="22"/>
        </w:rPr>
        <w:fldChar w:fldCharType="end"/>
      </w:r>
      <w:r w:rsidRPr="00D635E6">
        <w:rPr>
          <w:rFonts w:ascii="Arial" w:hAnsi="Arial" w:cs="Arial"/>
          <w:i w:val="0"/>
          <w:iCs w:val="0"/>
          <w:color w:val="000000" w:themeColor="text1"/>
          <w:sz w:val="22"/>
          <w:szCs w:val="22"/>
        </w:rPr>
        <w:t xml:space="preserve">. To further advance the depletion of specific proteins in the lysate’s proteome, orthogonal protein degradation systems could be employed wherein proteins are </w:t>
      </w:r>
      <w:proofErr w:type="spellStart"/>
      <w:r w:rsidRPr="00D635E6">
        <w:rPr>
          <w:rFonts w:ascii="Arial" w:hAnsi="Arial" w:cs="Arial"/>
          <w:i w:val="0"/>
          <w:iCs w:val="0"/>
          <w:color w:val="000000" w:themeColor="text1"/>
          <w:sz w:val="22"/>
          <w:szCs w:val="22"/>
        </w:rPr>
        <w:t>genomically</w:t>
      </w:r>
      <w:proofErr w:type="spellEnd"/>
      <w:r w:rsidRPr="00D635E6">
        <w:rPr>
          <w:rFonts w:ascii="Arial" w:hAnsi="Arial" w:cs="Arial"/>
          <w:i w:val="0"/>
          <w:iCs w:val="0"/>
          <w:color w:val="000000" w:themeColor="text1"/>
          <w:sz w:val="22"/>
          <w:szCs w:val="22"/>
        </w:rPr>
        <w:t xml:space="preserve"> tagged and degraded in a cell-free extract using an exogenous protease. The mf-</w:t>
      </w:r>
      <w:proofErr w:type="spellStart"/>
      <w:r w:rsidRPr="00D635E6">
        <w:rPr>
          <w:rFonts w:ascii="Arial" w:hAnsi="Arial" w:cs="Arial"/>
          <w:i w:val="0"/>
          <w:iCs w:val="0"/>
          <w:color w:val="000000" w:themeColor="text1"/>
          <w:sz w:val="22"/>
          <w:szCs w:val="22"/>
        </w:rPr>
        <w:t>lon</w:t>
      </w:r>
      <w:proofErr w:type="spellEnd"/>
      <w:r w:rsidRPr="00D635E6">
        <w:rPr>
          <w:rFonts w:ascii="Arial" w:hAnsi="Arial" w:cs="Arial"/>
          <w:i w:val="0"/>
          <w:iCs w:val="0"/>
          <w:color w:val="000000" w:themeColor="text1"/>
          <w:sz w:val="22"/>
          <w:szCs w:val="22"/>
        </w:rPr>
        <w:t xml:space="preserve"> protease system serves this function through a 27 amino acid long peptide and could allow for titration experiments leading to complete degradation of the proteins of interest</w:t>
      </w:r>
      <w:r w:rsidRPr="00D635E6">
        <w:rPr>
          <w:rFonts w:ascii="Arial" w:hAnsi="Arial" w:cs="Arial"/>
          <w:i w:val="0"/>
          <w:iCs w:val="0"/>
          <w:color w:val="000000" w:themeColor="text1"/>
          <w:sz w:val="22"/>
          <w:szCs w:val="22"/>
        </w:rPr>
        <w:fldChar w:fldCharType="begin" w:fldLock="1"/>
      </w:r>
      <w:r w:rsidR="00567FF4">
        <w:rPr>
          <w:rFonts w:ascii="Arial" w:hAnsi="Arial" w:cs="Arial"/>
          <w:i w:val="0"/>
          <w:iCs w:val="0"/>
          <w:color w:val="000000" w:themeColor="text1"/>
          <w:sz w:val="22"/>
          <w:szCs w:val="22"/>
        </w:rPr>
        <w:instrText>ADDIN CSL_CITATION {"citationItems":[{"id":"ITEM-1","itemData":{"DOI":"10.1073/pnas.0808802105","ISSN":"0027-8424","author":[{"dropping-particle":"","family":"Gur","given":"E.","non-dropping-particle":"","parse-names":false,"suffix":""},{"dropping-particle":"","family":"Sauer","given":"R. T.","non-dropping-particle":"","parse-names":false,"suffix":""}],"container-title":"Proceedings of the National Academy of Sciences","id":"ITEM-1","issue":"42","issued":{"date-parts":[["2008","10"]]},"page":"16113-16118","title":"Evolution of the ssrA degradation tag in Mycoplasma: Specificity switch to a different protease","type":"article-journal","volume":"105"},"uris":["http://www.mendeley.com/documents/?uuid=19c7a63c-982b-4c3e-b3c6-5a3b9df92f82","http://www.mendeley.com/documents/?uuid=138d4c8d-fdd8-4707-90ff-0b6f6db0d1a9"]},{"id":"ITEM-2","itemData":{"DOI":"10.1038/nbt.3053","ISSN":"15461696","abstract":"Tunable control of protein degradation in bacteria would provide a powerful research tool. Here we use components of the Mesoplasma florum transfer-messenger RNA system to create a synthetic degradation system that provides both independent control of steady-state protein level and inducible degradation of targeted proteins in Escherichia coli. We demonstrate application of this system in synthetic circuit development and control of core bacterial processes and antibacterial targets, and we transfer the system to Lactococcus lactis to establish its broad functionality in bacteria. We create a 238-member library of tagged essential proteins in E. coli that can serve as both a research tool to study essential gene function and an applied system for antibiotic discovery. Our synthetic protein degradation system is modular, does not require disruption of host systems and can be transferred to diverse bacteria with minimal modification.","author":[{"dropping-particle":"","family":"Cameron","given":"D. Ewen","non-dropping-particle":"","parse-names":false,"suffix":""},{"dropping-particle":"","family":"Collins","given":"James J.","non-dropping-particle":"","parse-names":false,"suffix":""}],"container-title":"Nature Biotechnology","id":"ITEM-2","issue":"12","issued":{"date-parts":[["2014","12","1"]]},"page":"1276-1281","publisher":"Nature Publishing Group","title":"Tunable protein degradation in bacteria","type":"article-journal","volume":"32"},"uris":["http://www.mendeley.com/documents/?uuid=bbb11851-e109-3e2e-993e-284c2a591975"]}],"mendeley":{"formattedCitation":"&lt;sup&gt;132,133&lt;/sup&gt;","plainTextFormattedCitation":"132,133","previouslyFormattedCitation":"&lt;sup&gt;132,133&lt;/sup&gt;"},"properties":{"noteIndex":0},"schema":"https://github.com/citation-style-language/schema/raw/master/csl-citation.json"}</w:instrText>
      </w:r>
      <w:r w:rsidRPr="00D635E6">
        <w:rPr>
          <w:rFonts w:ascii="Arial" w:hAnsi="Arial" w:cs="Arial"/>
          <w:i w:val="0"/>
          <w:iCs w:val="0"/>
          <w:color w:val="000000" w:themeColor="text1"/>
          <w:sz w:val="22"/>
          <w:szCs w:val="22"/>
        </w:rPr>
        <w:fldChar w:fldCharType="separate"/>
      </w:r>
      <w:r w:rsidR="00567FF4" w:rsidRPr="00567FF4">
        <w:rPr>
          <w:rFonts w:ascii="Arial" w:hAnsi="Arial" w:cs="Arial"/>
          <w:bCs/>
          <w:i w:val="0"/>
          <w:iCs w:val="0"/>
          <w:noProof/>
          <w:color w:val="000000" w:themeColor="text1"/>
          <w:sz w:val="22"/>
          <w:szCs w:val="22"/>
          <w:vertAlign w:val="superscript"/>
        </w:rPr>
        <w:t>132,133</w:t>
      </w:r>
      <w:r w:rsidRPr="00D635E6">
        <w:rPr>
          <w:rFonts w:ascii="Arial" w:hAnsi="Arial" w:cs="Arial"/>
          <w:i w:val="0"/>
          <w:iCs w:val="0"/>
          <w:color w:val="000000" w:themeColor="text1"/>
          <w:sz w:val="22"/>
          <w:szCs w:val="22"/>
        </w:rPr>
        <w:fldChar w:fldCharType="end"/>
      </w:r>
      <w:r w:rsidRPr="00D635E6">
        <w:rPr>
          <w:rFonts w:ascii="Arial" w:hAnsi="Arial" w:cs="Arial"/>
          <w:i w:val="0"/>
          <w:iCs w:val="0"/>
          <w:color w:val="000000" w:themeColor="text1"/>
          <w:sz w:val="22"/>
          <w:szCs w:val="22"/>
        </w:rPr>
        <w:t xml:space="preserve">. A key factor to note stems from MAGE’s limited throughput when making large additions to the genome. Whereas single base changes can be </w:t>
      </w:r>
      <w:r w:rsidRPr="00D635E6">
        <w:rPr>
          <w:rFonts w:ascii="Arial" w:hAnsi="Arial" w:cs="Arial"/>
          <w:i w:val="0"/>
          <w:iCs w:val="0"/>
          <w:color w:val="000000" w:themeColor="text1"/>
          <w:sz w:val="22"/>
          <w:szCs w:val="22"/>
        </w:rPr>
        <w:lastRenderedPageBreak/>
        <w:t xml:space="preserve">added with ease, longer tags such as 6xHis tags, are near the edge of feasibility for MAGE tagging. </w:t>
      </w:r>
    </w:p>
    <w:p w14:paraId="6B35B844" w14:textId="11BCCBE1" w:rsidR="00F61EC8" w:rsidRPr="00F24102" w:rsidRDefault="005478FE" w:rsidP="00F42789">
      <w:pPr>
        <w:pStyle w:val="ChapterSub-heading"/>
        <w:rPr>
          <w:lang w:val="en-US"/>
        </w:rPr>
      </w:pPr>
      <w:bookmarkStart w:id="77" w:name="_Toc129701039"/>
      <w:r>
        <w:rPr>
          <w:lang w:val="en-US"/>
        </w:rPr>
        <w:t>3</w:t>
      </w:r>
      <w:r w:rsidR="00F61EC8">
        <w:rPr>
          <w:lang w:val="en-US"/>
        </w:rPr>
        <w:t>.4.</w:t>
      </w:r>
      <w:r>
        <w:rPr>
          <w:lang w:val="en-US"/>
        </w:rPr>
        <w:t>5</w:t>
      </w:r>
      <w:r w:rsidR="00F61EC8">
        <w:rPr>
          <w:lang w:val="en-US"/>
        </w:rPr>
        <w:t xml:space="preserve">. Evaluating the feasibility of </w:t>
      </w:r>
      <w:r w:rsidR="00F24102">
        <w:rPr>
          <w:lang w:val="en-US"/>
        </w:rPr>
        <w:t xml:space="preserve">integrating </w:t>
      </w:r>
      <w:proofErr w:type="spellStart"/>
      <w:r w:rsidR="00DB28B4">
        <w:rPr>
          <w:lang w:val="en-US"/>
        </w:rPr>
        <w:t>StrepII</w:t>
      </w:r>
      <w:proofErr w:type="spellEnd"/>
      <w:r w:rsidR="00DB28B4">
        <w:rPr>
          <w:lang w:val="en-US"/>
        </w:rPr>
        <w:t>®-tags</w:t>
      </w:r>
      <w:r w:rsidR="00F24102">
        <w:rPr>
          <w:lang w:val="en-US"/>
        </w:rPr>
        <w:t xml:space="preserve"> into the genome of </w:t>
      </w:r>
      <w:r w:rsidR="00DB28B4">
        <w:rPr>
          <w:lang w:val="en-US"/>
        </w:rPr>
        <w:t>the</w:t>
      </w:r>
      <w:r w:rsidR="00F24102">
        <w:rPr>
          <w:lang w:val="en-US"/>
        </w:rPr>
        <w:t xml:space="preserve"> model microbe </w:t>
      </w:r>
      <w:r w:rsidR="00F24102">
        <w:rPr>
          <w:i/>
          <w:iCs/>
          <w:lang w:val="en-US"/>
        </w:rPr>
        <w:t xml:space="preserve">Vibrio </w:t>
      </w:r>
      <w:proofErr w:type="spellStart"/>
      <w:r w:rsidR="00F24102">
        <w:rPr>
          <w:i/>
          <w:iCs/>
          <w:lang w:val="en-US"/>
        </w:rPr>
        <w:t>natriegens</w:t>
      </w:r>
      <w:bookmarkEnd w:id="77"/>
      <w:proofErr w:type="spellEnd"/>
    </w:p>
    <w:p w14:paraId="5D050C6B" w14:textId="00C54373" w:rsidR="009A5F94" w:rsidRDefault="00F24102" w:rsidP="008115A1">
      <w:pPr>
        <w:pStyle w:val="Caption"/>
        <w:ind w:firstLine="720"/>
        <w:contextualSpacing/>
        <w:rPr>
          <w:rFonts w:ascii="Arial" w:hAnsi="Arial" w:cs="Arial"/>
          <w:i w:val="0"/>
          <w:iCs w:val="0"/>
          <w:color w:val="000000" w:themeColor="text1"/>
          <w:sz w:val="22"/>
          <w:szCs w:val="22"/>
        </w:rPr>
      </w:pPr>
      <w:r>
        <w:rPr>
          <w:rFonts w:ascii="Arial" w:hAnsi="Arial" w:cs="Arial"/>
          <w:i w:val="0"/>
          <w:iCs w:val="0"/>
          <w:color w:val="000000" w:themeColor="text1"/>
          <w:sz w:val="22"/>
          <w:szCs w:val="22"/>
        </w:rPr>
        <w:t>An emerging model microo</w:t>
      </w:r>
      <w:r w:rsidRPr="00D635E6">
        <w:rPr>
          <w:rFonts w:ascii="Arial" w:hAnsi="Arial" w:cs="Arial"/>
          <w:i w:val="0"/>
          <w:iCs w:val="0"/>
          <w:color w:val="000000" w:themeColor="text1"/>
          <w:sz w:val="22"/>
          <w:szCs w:val="22"/>
        </w:rPr>
        <w:t>rganism</w:t>
      </w:r>
      <w:r>
        <w:rPr>
          <w:rFonts w:ascii="Arial" w:hAnsi="Arial" w:cs="Arial"/>
          <w:i w:val="0"/>
          <w:iCs w:val="0"/>
          <w:color w:val="000000" w:themeColor="text1"/>
          <w:sz w:val="22"/>
          <w:szCs w:val="22"/>
        </w:rPr>
        <w:t xml:space="preserve">, </w:t>
      </w:r>
      <w:r w:rsidR="0031140D" w:rsidRPr="00F1304C">
        <w:rPr>
          <w:rFonts w:ascii="Arial" w:hAnsi="Arial" w:cs="Arial"/>
          <w:color w:val="000000" w:themeColor="text1"/>
          <w:sz w:val="22"/>
          <w:szCs w:val="22"/>
        </w:rPr>
        <w:t>V</w:t>
      </w:r>
      <w:r>
        <w:rPr>
          <w:rFonts w:ascii="Arial" w:hAnsi="Arial" w:cs="Arial"/>
          <w:color w:val="000000" w:themeColor="text1"/>
          <w:sz w:val="22"/>
          <w:szCs w:val="22"/>
        </w:rPr>
        <w:t>.</w:t>
      </w:r>
      <w:r w:rsidR="0031140D" w:rsidRPr="00F1304C">
        <w:rPr>
          <w:rFonts w:ascii="Arial" w:hAnsi="Arial" w:cs="Arial"/>
          <w:color w:val="000000" w:themeColor="text1"/>
          <w:sz w:val="22"/>
          <w:szCs w:val="22"/>
        </w:rPr>
        <w:t xml:space="preserve"> </w:t>
      </w:r>
      <w:proofErr w:type="spellStart"/>
      <w:r w:rsidR="0031140D" w:rsidRPr="00F1304C">
        <w:rPr>
          <w:rFonts w:ascii="Arial" w:hAnsi="Arial" w:cs="Arial"/>
          <w:color w:val="000000" w:themeColor="text1"/>
          <w:sz w:val="22"/>
          <w:szCs w:val="22"/>
        </w:rPr>
        <w:t>natriegens</w:t>
      </w:r>
      <w:proofErr w:type="spellEnd"/>
      <w:r>
        <w:rPr>
          <w:rFonts w:ascii="Arial" w:hAnsi="Arial" w:cs="Arial"/>
          <w:color w:val="000000" w:themeColor="text1"/>
          <w:sz w:val="22"/>
          <w:szCs w:val="22"/>
        </w:rPr>
        <w:t>,</w:t>
      </w:r>
      <w:r w:rsidR="0031140D" w:rsidRPr="00D635E6">
        <w:rPr>
          <w:rFonts w:ascii="Arial" w:hAnsi="Arial" w:cs="Arial"/>
          <w:i w:val="0"/>
          <w:iCs w:val="0"/>
          <w:color w:val="000000" w:themeColor="text1"/>
          <w:sz w:val="22"/>
          <w:szCs w:val="22"/>
        </w:rPr>
        <w:t xml:space="preserve"> can take advantage of a MAGE like process termed </w:t>
      </w:r>
      <w:r w:rsidR="0031140D" w:rsidRPr="00F1304C">
        <w:rPr>
          <w:rFonts w:ascii="Arial" w:hAnsi="Arial" w:cs="Arial"/>
          <w:i w:val="0"/>
          <w:iCs w:val="0"/>
          <w:color w:val="000000" w:themeColor="text1"/>
          <w:sz w:val="22"/>
          <w:szCs w:val="22"/>
        </w:rPr>
        <w:t>MUGENT that allows for significantly longer incorporations</w:t>
      </w:r>
      <w:r w:rsidR="0031140D" w:rsidRPr="00F1304C">
        <w:rPr>
          <w:rFonts w:ascii="Arial" w:hAnsi="Arial" w:cs="Arial"/>
          <w:i w:val="0"/>
          <w:iCs w:val="0"/>
          <w:color w:val="000000" w:themeColor="text1"/>
          <w:sz w:val="22"/>
          <w:szCs w:val="22"/>
        </w:rPr>
        <w:fldChar w:fldCharType="begin" w:fldLock="1"/>
      </w:r>
      <w:r w:rsidR="00567FF4" w:rsidRPr="00F1304C">
        <w:rPr>
          <w:rFonts w:ascii="Arial" w:hAnsi="Arial" w:cs="Arial"/>
          <w:i w:val="0"/>
          <w:iCs w:val="0"/>
          <w:color w:val="000000" w:themeColor="text1"/>
          <w:sz w:val="22"/>
          <w:szCs w:val="22"/>
        </w:rPr>
        <w:instrText>ADDIN CSL_CITATION {"citationItems":[{"id":"ITEM-1","itemData":{"DOI":"10.3791/59495","ISBN":"0000000000","ISSN":"1940-087X","author":[{"dropping-particle":"","family":"Wiegand","given":"Daniel J.","non-dropping-particle":"","parse-names":false,"suffix":""},{"dropping-particle":"","family":"Lee","given":"Henry H.","non-dropping-particle":"","parse-names":false,"suffix":""},{"dropping-particle":"","family":"Ostrov","given":"Nili","non-dropping-particle":"","parse-names":false,"suffix":""},{"dropping-particle":"","family":"Church","given":"George M.","non-dropping-particle":"","parse-names":false,"suffix":""}],"container-title":"Journal of Visualized Experiments","id":"ITEM-1","issue":"145","issued":{"date-parts":[["2019","3"]]},"page":"139-148","title":"Cell-free Protein Expression Using the Rapidly Growing Bacterium &lt;em&gt;Vibrio natriegens&lt;/em&gt;","type":"article-journal","volume":"176"},"uris":["http://www.mendeley.com/documents/?uuid=a2f6fe8b-5708-415a-a0c3-a032f7af9ec1","http://www.mendeley.com/documents/?uuid=eea43f69-054c-46df-8419-6884af574ac8"]}],"mendeley":{"formattedCitation":"&lt;sup&gt;92&lt;/sup&gt;","plainTextFormattedCitation":"92","previouslyFormattedCitation":"&lt;sup&gt;92&lt;/sup&gt;"},"properties":{"noteIndex":0},"schema":"https://github.com/citation-style-language/schema/raw/master/csl-citation.json"}</w:instrText>
      </w:r>
      <w:r w:rsidR="0031140D" w:rsidRPr="00F1304C">
        <w:rPr>
          <w:rFonts w:ascii="Arial" w:hAnsi="Arial" w:cs="Arial"/>
          <w:i w:val="0"/>
          <w:iCs w:val="0"/>
          <w:color w:val="000000" w:themeColor="text1"/>
          <w:sz w:val="22"/>
          <w:szCs w:val="22"/>
        </w:rPr>
        <w:fldChar w:fldCharType="separate"/>
      </w:r>
      <w:r w:rsidR="00567FF4" w:rsidRPr="00F1304C">
        <w:rPr>
          <w:rFonts w:ascii="Arial" w:hAnsi="Arial" w:cs="Arial"/>
          <w:i w:val="0"/>
          <w:iCs w:val="0"/>
          <w:noProof/>
          <w:color w:val="000000" w:themeColor="text1"/>
          <w:sz w:val="22"/>
          <w:szCs w:val="22"/>
          <w:vertAlign w:val="superscript"/>
        </w:rPr>
        <w:t>92</w:t>
      </w:r>
      <w:r w:rsidR="0031140D" w:rsidRPr="00F1304C">
        <w:rPr>
          <w:rFonts w:ascii="Arial" w:hAnsi="Arial" w:cs="Arial"/>
          <w:i w:val="0"/>
          <w:iCs w:val="0"/>
          <w:color w:val="000000" w:themeColor="text1"/>
          <w:sz w:val="22"/>
          <w:szCs w:val="22"/>
        </w:rPr>
        <w:fldChar w:fldCharType="end"/>
      </w:r>
      <w:r w:rsidR="0031140D" w:rsidRPr="00F1304C">
        <w:rPr>
          <w:rFonts w:ascii="Arial" w:hAnsi="Arial" w:cs="Arial"/>
          <w:i w:val="0"/>
          <w:iCs w:val="0"/>
          <w:color w:val="000000" w:themeColor="text1"/>
          <w:sz w:val="22"/>
          <w:szCs w:val="22"/>
        </w:rPr>
        <w:t xml:space="preserve">. </w:t>
      </w:r>
      <w:r w:rsidR="00792E83" w:rsidRPr="00F1304C">
        <w:rPr>
          <w:rFonts w:ascii="Arial" w:hAnsi="Arial" w:cs="Arial"/>
          <w:i w:val="0"/>
          <w:iCs w:val="0"/>
          <w:color w:val="000000" w:themeColor="text1"/>
          <w:sz w:val="22"/>
          <w:szCs w:val="22"/>
        </w:rPr>
        <w:t xml:space="preserve">This system has higher editing frequencies, </w:t>
      </w:r>
      <w:r w:rsidR="001010BA" w:rsidRPr="00F1304C">
        <w:rPr>
          <w:rFonts w:ascii="Arial" w:hAnsi="Arial" w:cs="Arial"/>
          <w:i w:val="0"/>
          <w:iCs w:val="0"/>
          <w:color w:val="000000" w:themeColor="text1"/>
          <w:sz w:val="22"/>
          <w:szCs w:val="22"/>
        </w:rPr>
        <w:t xml:space="preserve">reportedly </w:t>
      </w:r>
      <w:r w:rsidR="00792E83" w:rsidRPr="00F1304C">
        <w:rPr>
          <w:rFonts w:ascii="Arial" w:hAnsi="Arial" w:cs="Arial"/>
          <w:i w:val="0"/>
          <w:iCs w:val="0"/>
          <w:color w:val="000000" w:themeColor="text1"/>
          <w:sz w:val="22"/>
          <w:szCs w:val="22"/>
        </w:rPr>
        <w:t xml:space="preserve">allowing the multiplex </w:t>
      </w:r>
      <w:r w:rsidR="001010BA" w:rsidRPr="00F1304C">
        <w:rPr>
          <w:rFonts w:ascii="Arial" w:hAnsi="Arial" w:cs="Arial"/>
          <w:i w:val="0"/>
          <w:iCs w:val="0"/>
          <w:color w:val="000000" w:themeColor="text1"/>
          <w:sz w:val="22"/>
          <w:szCs w:val="22"/>
        </w:rPr>
        <w:t>integration</w:t>
      </w:r>
      <w:r w:rsidR="00792E83" w:rsidRPr="00F1304C">
        <w:rPr>
          <w:rFonts w:ascii="Arial" w:hAnsi="Arial" w:cs="Arial"/>
          <w:i w:val="0"/>
          <w:iCs w:val="0"/>
          <w:color w:val="000000" w:themeColor="text1"/>
          <w:sz w:val="22"/>
          <w:szCs w:val="22"/>
        </w:rPr>
        <w:t xml:space="preserve"> of 3-4 ~3</w:t>
      </w:r>
      <w:r w:rsidR="001010BA" w:rsidRPr="00F1304C">
        <w:rPr>
          <w:rFonts w:ascii="Arial" w:hAnsi="Arial" w:cs="Arial"/>
          <w:i w:val="0"/>
          <w:iCs w:val="0"/>
          <w:color w:val="000000" w:themeColor="text1"/>
          <w:sz w:val="22"/>
          <w:szCs w:val="22"/>
        </w:rPr>
        <w:t xml:space="preserve"> </w:t>
      </w:r>
      <w:r w:rsidR="00792E83" w:rsidRPr="00F1304C">
        <w:rPr>
          <w:rFonts w:ascii="Arial" w:hAnsi="Arial" w:cs="Arial"/>
          <w:i w:val="0"/>
          <w:iCs w:val="0"/>
          <w:color w:val="000000" w:themeColor="text1"/>
          <w:sz w:val="22"/>
          <w:szCs w:val="22"/>
        </w:rPr>
        <w:t>kb sequences within a week</w:t>
      </w:r>
      <w:r w:rsidR="00A91591">
        <w:rPr>
          <w:rFonts w:ascii="Arial" w:hAnsi="Arial" w:cs="Arial"/>
          <w:i w:val="0"/>
          <w:iCs w:val="0"/>
          <w:color w:val="000000" w:themeColor="text1"/>
          <w:sz w:val="22"/>
          <w:szCs w:val="22"/>
        </w:rPr>
        <w:fldChar w:fldCharType="begin" w:fldLock="1"/>
      </w:r>
      <w:r w:rsidR="00A91591">
        <w:rPr>
          <w:rFonts w:ascii="Arial" w:hAnsi="Arial" w:cs="Arial"/>
          <w:i w:val="0"/>
          <w:iCs w:val="0"/>
          <w:color w:val="000000" w:themeColor="text1"/>
          <w:sz w:val="22"/>
          <w:szCs w:val="22"/>
        </w:rPr>
        <w:instrText xml:space="preserve">ADDIN CSL_CITATION {"citationItems":[{"id":"ITEM-1","itemData":{"DOI":"10.1021/acssynbio.7b00116","PMID":"28571309","abstract":"Vibrio natriegens has recently emerged as an alternative to Escherichia coli for molecular biology and biotechnology, but low-efficiency genetic tools hamper its development. Here, we uncover how to induce natural competence in V. natriegens and describe methods for multiplex genome editing by natural transformation (MuGENT). MuGENT promotes integration of multiple genome edits at high-efficiency on unprecedented time scales. Also, this method allows for generating highly complex mutant populations, which can be exploited for metabolic engineering efforts. As a proof-of-concept, we attempted to enhance production of the value added chemical poly-β-hydroxybutyrate (PHB) in V. natriegens by targeting the expression of nine genes involved in PHB biosynthesis via MuGENT. Within 1 week, we isolated edited strains that produced </w:instrText>
      </w:r>
      <w:r w:rsidR="00A91591">
        <w:rPr>
          <w:rFonts w:ascii="Cambria Math" w:hAnsi="Cambria Math" w:cs="Cambria Math"/>
          <w:i w:val="0"/>
          <w:iCs w:val="0"/>
          <w:color w:val="000000" w:themeColor="text1"/>
          <w:sz w:val="22"/>
          <w:szCs w:val="22"/>
        </w:rPr>
        <w:instrText>∼</w:instrText>
      </w:r>
      <w:r w:rsidR="00A91591">
        <w:rPr>
          <w:rFonts w:ascii="Arial" w:hAnsi="Arial" w:cs="Arial"/>
          <w:i w:val="0"/>
          <w:iCs w:val="0"/>
          <w:color w:val="000000" w:themeColor="text1"/>
          <w:sz w:val="22"/>
          <w:szCs w:val="22"/>
        </w:rPr>
        <w:instrText xml:space="preserve">100 times more PHB than the parent isolate and </w:instrText>
      </w:r>
      <w:r w:rsidR="00A91591">
        <w:rPr>
          <w:rFonts w:ascii="Cambria Math" w:hAnsi="Cambria Math" w:cs="Cambria Math"/>
          <w:i w:val="0"/>
          <w:iCs w:val="0"/>
          <w:color w:val="000000" w:themeColor="text1"/>
          <w:sz w:val="22"/>
          <w:szCs w:val="22"/>
        </w:rPr>
        <w:instrText>∼</w:instrText>
      </w:r>
      <w:r w:rsidR="00A91591">
        <w:rPr>
          <w:rFonts w:ascii="Arial" w:hAnsi="Arial" w:cs="Arial"/>
          <w:i w:val="0"/>
          <w:iCs w:val="0"/>
          <w:color w:val="000000" w:themeColor="text1"/>
          <w:sz w:val="22"/>
          <w:szCs w:val="22"/>
        </w:rPr>
        <w:instrText>3.3 times more than a rationally designed strain. Thus, the methods described here should extend the utility of this species for diverse academic and industrial applications.","author":[{"dropping-particle":"","family":"Dalia","given":"Triana N.","non-dropping-particle":"","parse-names":false,"suffix":""},{"dropping-particle":"","family":"Hayes","given":"Chelsea A.","non-dropping-particle":"","parse-names":false,"suffix":""},{"dropping-particle":"","family":"Stolyar","given":"Sergey","non-dropping-particle":"","parse-names":false,"suffix":""},{"dropping-particle":"","family":"Marx","given":"Christopher J.","non-dropping-particle":"","parse-names":false,"suffix":""},{"dropping-particle":"","family":"McKinlay","given":"James B.","non-dropping-particle":"","parse-names":false,"suffix":""},{"dropping-particle":"","family":"Dalia","given":"Ankur B.","non-dropping-particle":"","parse-names":false,"suffix":""}],"container-title":"ACS Synthetic Biology","id":"ITEM-1","issue":"9","issued":{"date-parts":[["2017","9","15"]]},"page":"1650-1655","title":"Multiplex Genome Editing by Natural Transformation (MuGENT) for Synthetic Biology in Vibrio natriegens","type":"article-journal","volume":"6"},"uris":["http://www.mendeley.com/documents/?uuid=c774663a-2be0-3638-8c9a-cccc0a307d2b"]}],"mendeley":{"formattedCitation":"&lt;sup&gt;130&lt;/sup&gt;","plainTextFormattedCitation":"130","previouslyFormattedCitation":"&lt;sup&gt;130&lt;/sup&gt;"},"properties":{"noteIndex":0},"schema":"https://github.com/citation-style-language/schema/raw/master/csl-citation.json"}</w:instrText>
      </w:r>
      <w:r w:rsidR="00A91591">
        <w:rPr>
          <w:rFonts w:ascii="Arial" w:hAnsi="Arial" w:cs="Arial"/>
          <w:i w:val="0"/>
          <w:iCs w:val="0"/>
          <w:color w:val="000000" w:themeColor="text1"/>
          <w:sz w:val="22"/>
          <w:szCs w:val="22"/>
        </w:rPr>
        <w:fldChar w:fldCharType="separate"/>
      </w:r>
      <w:r w:rsidR="00A91591" w:rsidRPr="00A91591">
        <w:rPr>
          <w:rFonts w:ascii="Arial" w:hAnsi="Arial" w:cs="Arial"/>
          <w:i w:val="0"/>
          <w:iCs w:val="0"/>
          <w:noProof/>
          <w:color w:val="000000" w:themeColor="text1"/>
          <w:sz w:val="22"/>
          <w:szCs w:val="22"/>
          <w:vertAlign w:val="superscript"/>
        </w:rPr>
        <w:t>130</w:t>
      </w:r>
      <w:r w:rsidR="00A91591">
        <w:rPr>
          <w:rFonts w:ascii="Arial" w:hAnsi="Arial" w:cs="Arial"/>
          <w:i w:val="0"/>
          <w:iCs w:val="0"/>
          <w:color w:val="000000" w:themeColor="text1"/>
          <w:sz w:val="22"/>
          <w:szCs w:val="22"/>
        </w:rPr>
        <w:fldChar w:fldCharType="end"/>
      </w:r>
      <w:r w:rsidR="00792E83" w:rsidRPr="00F1304C">
        <w:rPr>
          <w:rFonts w:ascii="Arial" w:hAnsi="Arial" w:cs="Arial"/>
          <w:i w:val="0"/>
          <w:iCs w:val="0"/>
          <w:color w:val="000000" w:themeColor="text1"/>
          <w:sz w:val="22"/>
          <w:szCs w:val="22"/>
        </w:rPr>
        <w:t>.</w:t>
      </w:r>
      <w:r w:rsidR="00F1304C">
        <w:rPr>
          <w:rFonts w:ascii="Arial" w:hAnsi="Arial" w:cs="Arial"/>
          <w:i w:val="0"/>
          <w:iCs w:val="0"/>
          <w:color w:val="000000" w:themeColor="text1"/>
          <w:sz w:val="22"/>
          <w:szCs w:val="22"/>
        </w:rPr>
        <w:t xml:space="preserve"> </w:t>
      </w:r>
      <w:r w:rsidR="00F1304C">
        <w:rPr>
          <w:rFonts w:ascii="Arial" w:hAnsi="Arial" w:cs="Arial"/>
          <w:color w:val="000000" w:themeColor="text1"/>
          <w:sz w:val="22"/>
          <w:szCs w:val="22"/>
        </w:rPr>
        <w:t xml:space="preserve">V. </w:t>
      </w:r>
      <w:proofErr w:type="spellStart"/>
      <w:r w:rsidR="00F1304C">
        <w:rPr>
          <w:rFonts w:ascii="Arial" w:hAnsi="Arial" w:cs="Arial"/>
          <w:color w:val="000000" w:themeColor="text1"/>
          <w:sz w:val="22"/>
          <w:szCs w:val="22"/>
        </w:rPr>
        <w:t>natriegens</w:t>
      </w:r>
      <w:proofErr w:type="spellEnd"/>
      <w:r w:rsidR="00F1304C">
        <w:rPr>
          <w:rFonts w:ascii="Arial" w:hAnsi="Arial" w:cs="Arial"/>
          <w:color w:val="000000" w:themeColor="text1"/>
          <w:sz w:val="22"/>
          <w:szCs w:val="22"/>
        </w:rPr>
        <w:t xml:space="preserve"> </w:t>
      </w:r>
      <w:r w:rsidR="00F1304C">
        <w:rPr>
          <w:rFonts w:ascii="Arial" w:hAnsi="Arial" w:cs="Arial"/>
          <w:i w:val="0"/>
          <w:iCs w:val="0"/>
          <w:color w:val="000000" w:themeColor="text1"/>
          <w:sz w:val="22"/>
          <w:szCs w:val="22"/>
        </w:rPr>
        <w:t xml:space="preserve">is also an appealing host for </w:t>
      </w:r>
      <w:r w:rsidR="009916DB">
        <w:rPr>
          <w:rFonts w:ascii="Arial" w:hAnsi="Arial" w:cs="Arial"/>
          <w:i w:val="0"/>
          <w:iCs w:val="0"/>
          <w:color w:val="000000" w:themeColor="text1"/>
          <w:sz w:val="22"/>
          <w:szCs w:val="22"/>
        </w:rPr>
        <w:t>CFME given its short doubling times</w:t>
      </w:r>
      <w:r w:rsidR="00A91591">
        <w:rPr>
          <w:rFonts w:ascii="Arial" w:hAnsi="Arial" w:cs="Arial"/>
          <w:i w:val="0"/>
          <w:iCs w:val="0"/>
          <w:color w:val="000000" w:themeColor="text1"/>
          <w:sz w:val="22"/>
          <w:szCs w:val="22"/>
        </w:rPr>
        <w:fldChar w:fldCharType="begin" w:fldLock="1"/>
      </w:r>
      <w:r w:rsidR="00A91591">
        <w:rPr>
          <w:rFonts w:ascii="Arial" w:hAnsi="Arial" w:cs="Arial"/>
          <w:i w:val="0"/>
          <w:iCs w:val="0"/>
          <w:color w:val="000000" w:themeColor="text1"/>
          <w:sz w:val="22"/>
          <w:szCs w:val="22"/>
        </w:rPr>
        <w:instrText>ADDIN CSL_CITATION {"citationItems":[{"id":"ITEM-1","itemData":{"DOI":"10.1038/nmeth.3970","author":[{"dropping-particle":"","family":"Weinstock","given":"Matthew T","non-dropping-particle":"","parse-names":false,"suffix":""},{"dropping-particle":"","family":"Hesek","given":"Eric D","non-dropping-particle":"","parse-names":false,"suffix":""},{"dropping-particle":"","family":"Wilson","given":"Christopher M","non-dropping-particle":"","parse-names":false,"suffix":""},{"dropping-particle":"","family":"Gibson","given":"Daniel G","non-dropping-particle":"","parse-names":false,"suffix":""}],"id":"ITEM-1","issue":"10","issued":{"date-parts":[["2016"]]},"title":"Vibrio natriegens as a fast-growing host for molecular biology","type":"article-journal","volume":"13"},"uris":["http://www.mendeley.com/documents/?uuid=a14aa4d4-a45e-4819-b754-07383c05774d"]}],"mendeley":{"formattedCitation":"&lt;sup&gt;134&lt;/sup&gt;","plainTextFormattedCitation":"134","previouslyFormattedCitation":"&lt;sup&gt;134&lt;/sup&gt;"},"properties":{"noteIndex":0},"schema":"https://github.com/citation-style-language/schema/raw/master/csl-citation.json"}</w:instrText>
      </w:r>
      <w:r w:rsidR="00A91591">
        <w:rPr>
          <w:rFonts w:ascii="Arial" w:hAnsi="Arial" w:cs="Arial"/>
          <w:i w:val="0"/>
          <w:iCs w:val="0"/>
          <w:color w:val="000000" w:themeColor="text1"/>
          <w:sz w:val="22"/>
          <w:szCs w:val="22"/>
        </w:rPr>
        <w:fldChar w:fldCharType="separate"/>
      </w:r>
      <w:r w:rsidR="00A91591" w:rsidRPr="00A91591">
        <w:rPr>
          <w:rFonts w:ascii="Arial" w:hAnsi="Arial" w:cs="Arial"/>
          <w:i w:val="0"/>
          <w:iCs w:val="0"/>
          <w:noProof/>
          <w:color w:val="000000" w:themeColor="text1"/>
          <w:sz w:val="22"/>
          <w:szCs w:val="22"/>
          <w:vertAlign w:val="superscript"/>
        </w:rPr>
        <w:t>134</w:t>
      </w:r>
      <w:r w:rsidR="00A91591">
        <w:rPr>
          <w:rFonts w:ascii="Arial" w:hAnsi="Arial" w:cs="Arial"/>
          <w:i w:val="0"/>
          <w:iCs w:val="0"/>
          <w:color w:val="000000" w:themeColor="text1"/>
          <w:sz w:val="22"/>
          <w:szCs w:val="22"/>
        </w:rPr>
        <w:fldChar w:fldCharType="end"/>
      </w:r>
      <w:r w:rsidR="009916DB">
        <w:rPr>
          <w:rFonts w:ascii="Arial" w:hAnsi="Arial" w:cs="Arial"/>
          <w:i w:val="0"/>
          <w:iCs w:val="0"/>
          <w:color w:val="000000" w:themeColor="text1"/>
          <w:sz w:val="22"/>
          <w:szCs w:val="22"/>
        </w:rPr>
        <w:t xml:space="preserve">, which will shorten lysate preparation, and its faster central metabolism than </w:t>
      </w:r>
      <w:r w:rsidR="009916DB">
        <w:rPr>
          <w:rFonts w:ascii="Arial" w:hAnsi="Arial" w:cs="Arial"/>
          <w:color w:val="000000" w:themeColor="text1"/>
          <w:sz w:val="22"/>
          <w:szCs w:val="22"/>
        </w:rPr>
        <w:t>E. coli</w:t>
      </w:r>
      <w:r w:rsidR="00A91591">
        <w:rPr>
          <w:rFonts w:ascii="Arial" w:hAnsi="Arial" w:cs="Arial"/>
          <w:color w:val="000000" w:themeColor="text1"/>
          <w:sz w:val="22"/>
          <w:szCs w:val="22"/>
        </w:rPr>
        <w:fldChar w:fldCharType="begin" w:fldLock="1"/>
      </w:r>
      <w:r w:rsidR="00A91591">
        <w:rPr>
          <w:rFonts w:ascii="Arial" w:hAnsi="Arial" w:cs="Arial"/>
          <w:color w:val="000000" w:themeColor="text1"/>
          <w:sz w:val="22"/>
          <w:szCs w:val="22"/>
        </w:rPr>
        <w:instrText>ADDIN CSL_CITATION {"citationItems":[{"id":"ITEM-1","itemData":{"author":[{"dropping-particle":"","family":"Hoffart","given":"Eugenia","non-dropping-particle":"","parse-names":false,"suffix":""},{"dropping-particle":"","family":"Grenz","given":"Sebastian","non-dropping-particle":"","parse-names":false,"suffix":""},{"dropping-particle":"","family":"Lange","given":"Julian","non-dropping-particle":"","parse-names":false,"suffix":""},{"dropping-particle":"","family":"Nitschel","given":"Robert","non-dropping-particle":"","parse-names":false,"suffix":""},{"dropping-particle":"","family":"Müller","given":"Felix","non-dropping-particle":"","parse-names":false,"suffix":""},{"dropping-particle":"","family":"Schwentner","given":"Andreas","non-dropping-particle":"","parse-names":false,"suffix":""},{"dropping-particle":"","family":"Feith","given":"André","non-dropping-particle":"","parse-names":false,"suffix":""},{"dropping-particle":"","family":"Lenfers-lücker","given":"Mira","non-dropping-particle":"","parse-names":false,"suffix":""},{"dropping-particle":"","family":"Takors","given":"Ralf","non-dropping-particle":"","parse-names":false,"suffix":""}],"container-title":"Applied and environmental microbiology","id":"ITEM-1","issue":"22","issued":{"date-parts":[["2017"]]},"page":"1-10","title":"High Substrate Uptake Rates Empower Vibrio natriegens as Production Host for Industrial Biotechnology","type":"article-journal","volume":"83"},"uris":["http://www.mendeley.com/documents/?uuid=7d68dfd2-0883-4fef-95ad-448eb19a044b"]},{"id":"ITEM-2","itemData":{"DOI":"10.1016/j.ymben.2017.10.008","ISSN":"1096-7184","PMID":"29042298","abstract":"Vibrio natriegens is a fast-growing, non-pathogenic bacterium that is being considered as the next-generation workhorse for the biotechnology industry. However, little is known about the metabolism of this organism which is limiting our ability to apply rational metabolic engineering strategies. To address this critical gap in current knowledge, here we have performed a comprehensive analysis of V. natriegens metabolism. We constructed a detailed model of V. natriegens core metabolism, measured the biomass composition, and performed high-resolution 13C metabolic flux analysis (13C-MFA) to estimate intracellular fluxes using parallel labeling experiments with the optimal tracers [1,2-13C]glucose and [1,6-13C]glucose. During exponential growth in glucose minimal medium, V. natriegens had a growth rate of 1.70 1/h (doubling time of 24min) and a glucose uptake rate of 3.90g/g/h, which is more than two 2-fold faster than E. coli, although slower than the fast-growing thermophile Geobacillus LC300. 13C-MFA revealed that the core metabolism of V. natriegens is similar to that of E. coli, with the main difference being a 33% lower normalized flux through the oxidative pentose phosphate pathway. Quantitative analysis of co-factor balances provided additional insights into the energy and redox metabolism of V. natriegens. Taken together, the results presented in this study provide valuable new information about the physiology of V. natriegens and establish a solid foundation for future metabolic engineering efforts with this promising microorganism.","author":[{"dropping-particle":"","family":"Long","given":"Christopher P","non-dropping-particle":"","parse-names":false,"suffix":""},{"dropping-particle":"","family":"Gonzalez","given":"Jacqueline E","non-dropping-particle":"","parse-names":false,"suffix":""},{"dropping-particle":"","family":"Cipolla","given":"Robert M","non-dropping-particle":"","parse-names":false,"suffix":""},{"dropping-particle":"","family":"Antoniewicz","given":"Maciek R","non-dropping-particle":"","parse-names":false,"suffix":""}],"container-title":"Metabolic engineering","id":"ITEM-2","issued":{"date-parts":[["2017"]]},"page":"191-197","publisher":"NIH Public Access","title":"Metabolism of the fast-growing bacterium Vibrio natriegens elucidated by 13C metabolic flux analysis.","type":"article-journal","volume":"44"},"uris":["http://www.mendeley.com/documents/?uuid=1f636905-1cd9-3c0d-859f-b0f6fcf1e958"]}],"mendeley":{"formattedCitation":"&lt;sup&gt;135,136&lt;/sup&gt;","plainTextFormattedCitation":"135,136","previouslyFormattedCitation":"&lt;sup&gt;135,136&lt;/sup&gt;"},"properties":{"noteIndex":0},"schema":"https://github.com/citation-style-language/schema/raw/master/csl-citation.json"}</w:instrText>
      </w:r>
      <w:r w:rsidR="00A91591">
        <w:rPr>
          <w:rFonts w:ascii="Arial" w:hAnsi="Arial" w:cs="Arial"/>
          <w:color w:val="000000" w:themeColor="text1"/>
          <w:sz w:val="22"/>
          <w:szCs w:val="22"/>
        </w:rPr>
        <w:fldChar w:fldCharType="separate"/>
      </w:r>
      <w:r w:rsidR="00A91591" w:rsidRPr="00A91591">
        <w:rPr>
          <w:rFonts w:ascii="Arial" w:hAnsi="Arial" w:cs="Arial"/>
          <w:i w:val="0"/>
          <w:noProof/>
          <w:color w:val="000000" w:themeColor="text1"/>
          <w:sz w:val="22"/>
          <w:szCs w:val="22"/>
          <w:vertAlign w:val="superscript"/>
        </w:rPr>
        <w:t>135,136</w:t>
      </w:r>
      <w:r w:rsidR="00A91591">
        <w:rPr>
          <w:rFonts w:ascii="Arial" w:hAnsi="Arial" w:cs="Arial"/>
          <w:color w:val="000000" w:themeColor="text1"/>
          <w:sz w:val="22"/>
          <w:szCs w:val="22"/>
        </w:rPr>
        <w:fldChar w:fldCharType="end"/>
      </w:r>
      <w:r w:rsidR="009916DB">
        <w:rPr>
          <w:rFonts w:ascii="Arial" w:hAnsi="Arial" w:cs="Arial"/>
          <w:i w:val="0"/>
          <w:iCs w:val="0"/>
          <w:color w:val="000000" w:themeColor="text1"/>
          <w:sz w:val="22"/>
          <w:szCs w:val="22"/>
        </w:rPr>
        <w:t>, which may enable more rapid cell-free bioconversion.</w:t>
      </w:r>
      <w:r w:rsidR="001010BA" w:rsidRPr="00F1304C">
        <w:rPr>
          <w:rFonts w:ascii="Arial" w:hAnsi="Arial" w:cs="Arial"/>
          <w:i w:val="0"/>
          <w:iCs w:val="0"/>
          <w:color w:val="000000" w:themeColor="text1"/>
          <w:sz w:val="22"/>
          <w:szCs w:val="22"/>
        </w:rPr>
        <w:t xml:space="preserve"> We </w:t>
      </w:r>
      <w:r w:rsidR="00792E83" w:rsidRPr="00F1304C">
        <w:rPr>
          <w:rFonts w:ascii="Arial" w:hAnsi="Arial" w:cs="Arial"/>
          <w:i w:val="0"/>
          <w:iCs w:val="0"/>
          <w:color w:val="000000" w:themeColor="text1"/>
          <w:sz w:val="22"/>
          <w:szCs w:val="22"/>
        </w:rPr>
        <w:t xml:space="preserve">evaluated the </w:t>
      </w:r>
      <w:r w:rsidR="00F1304C">
        <w:rPr>
          <w:rFonts w:ascii="Arial" w:hAnsi="Arial" w:cs="Arial"/>
          <w:i w:val="0"/>
          <w:iCs w:val="0"/>
          <w:color w:val="000000" w:themeColor="text1"/>
          <w:sz w:val="22"/>
          <w:szCs w:val="22"/>
        </w:rPr>
        <w:t>feasibility of incorporating</w:t>
      </w:r>
      <w:r w:rsidR="00792E83" w:rsidRPr="00F1304C">
        <w:rPr>
          <w:rFonts w:ascii="Arial" w:hAnsi="Arial" w:cs="Arial"/>
          <w:i w:val="0"/>
          <w:iCs w:val="0"/>
          <w:color w:val="000000" w:themeColor="text1"/>
          <w:sz w:val="22"/>
          <w:szCs w:val="22"/>
        </w:rPr>
        <w:t xml:space="preserve"> multiple</w:t>
      </w:r>
      <w:r w:rsidR="001010BA" w:rsidRPr="00F1304C">
        <w:rPr>
          <w:rFonts w:ascii="Arial" w:hAnsi="Arial" w:cs="Arial"/>
          <w:i w:val="0"/>
          <w:iCs w:val="0"/>
          <w:color w:val="000000" w:themeColor="text1"/>
          <w:sz w:val="22"/>
          <w:szCs w:val="22"/>
        </w:rPr>
        <w:t xml:space="preserve"> </w:t>
      </w:r>
      <w:proofErr w:type="spellStart"/>
      <w:r w:rsidR="001010BA" w:rsidRPr="00F1304C">
        <w:rPr>
          <w:rFonts w:ascii="Arial" w:hAnsi="Arial" w:cs="Arial"/>
          <w:i w:val="0"/>
          <w:iCs w:val="0"/>
          <w:color w:val="000000" w:themeColor="text1"/>
          <w:sz w:val="22"/>
          <w:szCs w:val="22"/>
        </w:rPr>
        <w:t>StrepII</w:t>
      </w:r>
      <w:proofErr w:type="spellEnd"/>
      <w:r w:rsidR="00F1304C" w:rsidRPr="00F1304C">
        <w:rPr>
          <w:rFonts w:ascii="Arial" w:hAnsi="Arial" w:cs="Arial"/>
          <w:i w:val="0"/>
          <w:iCs w:val="0"/>
          <w:color w:val="000000" w:themeColor="text1"/>
          <w:sz w:val="22"/>
          <w:szCs w:val="22"/>
        </w:rPr>
        <w:t>®</w:t>
      </w:r>
      <w:r w:rsidR="001010BA" w:rsidRPr="00F1304C">
        <w:rPr>
          <w:rFonts w:ascii="Arial" w:hAnsi="Arial" w:cs="Arial"/>
          <w:i w:val="0"/>
          <w:iCs w:val="0"/>
          <w:color w:val="000000" w:themeColor="text1"/>
          <w:sz w:val="22"/>
          <w:szCs w:val="22"/>
        </w:rPr>
        <w:t>-</w:t>
      </w:r>
      <w:r w:rsidR="00792E83" w:rsidRPr="00F1304C">
        <w:rPr>
          <w:rFonts w:ascii="Arial" w:hAnsi="Arial" w:cs="Arial"/>
          <w:i w:val="0"/>
          <w:iCs w:val="0"/>
          <w:color w:val="000000" w:themeColor="text1"/>
          <w:sz w:val="22"/>
          <w:szCs w:val="22"/>
        </w:rPr>
        <w:t>tags</w:t>
      </w:r>
      <w:r w:rsidR="009916DB">
        <w:rPr>
          <w:rFonts w:ascii="Arial" w:hAnsi="Arial" w:cs="Arial"/>
          <w:i w:val="0"/>
          <w:iCs w:val="0"/>
          <w:color w:val="000000" w:themeColor="text1"/>
          <w:sz w:val="22"/>
          <w:szCs w:val="22"/>
        </w:rPr>
        <w:t>, which are 9 amino acids long,</w:t>
      </w:r>
      <w:r w:rsidR="00792E83" w:rsidRPr="00F1304C">
        <w:rPr>
          <w:rFonts w:ascii="Arial" w:hAnsi="Arial" w:cs="Arial"/>
          <w:i w:val="0"/>
          <w:iCs w:val="0"/>
          <w:color w:val="000000" w:themeColor="text1"/>
          <w:sz w:val="22"/>
          <w:szCs w:val="22"/>
        </w:rPr>
        <w:t xml:space="preserve"> into </w:t>
      </w:r>
      <w:r w:rsidR="00F1304C">
        <w:rPr>
          <w:rFonts w:ascii="Arial" w:hAnsi="Arial" w:cs="Arial"/>
          <w:i w:val="0"/>
          <w:iCs w:val="0"/>
          <w:color w:val="000000" w:themeColor="text1"/>
          <w:sz w:val="22"/>
          <w:szCs w:val="22"/>
        </w:rPr>
        <w:t xml:space="preserve">this microbe’s </w:t>
      </w:r>
      <w:r w:rsidR="00792E83" w:rsidRPr="00F1304C">
        <w:rPr>
          <w:rFonts w:ascii="Arial" w:hAnsi="Arial" w:cs="Arial"/>
          <w:i w:val="0"/>
          <w:iCs w:val="0"/>
          <w:color w:val="000000" w:themeColor="text1"/>
          <w:sz w:val="22"/>
          <w:szCs w:val="22"/>
        </w:rPr>
        <w:t>genome</w:t>
      </w:r>
      <w:r w:rsidR="001010BA" w:rsidRPr="00F1304C">
        <w:rPr>
          <w:rFonts w:ascii="Arial" w:hAnsi="Arial" w:cs="Arial"/>
          <w:i w:val="0"/>
          <w:iCs w:val="0"/>
          <w:color w:val="000000" w:themeColor="text1"/>
          <w:sz w:val="22"/>
          <w:szCs w:val="22"/>
        </w:rPr>
        <w:t xml:space="preserve">. </w:t>
      </w:r>
      <w:proofErr w:type="spellStart"/>
      <w:r w:rsidR="001010BA" w:rsidRPr="00F1304C">
        <w:rPr>
          <w:rFonts w:ascii="Arial" w:hAnsi="Arial" w:cs="Arial"/>
          <w:i w:val="0"/>
          <w:iCs w:val="0"/>
          <w:color w:val="000000" w:themeColor="text1"/>
          <w:sz w:val="22"/>
          <w:szCs w:val="22"/>
        </w:rPr>
        <w:t>StrepII</w:t>
      </w:r>
      <w:proofErr w:type="spellEnd"/>
      <w:r w:rsidR="00F1304C" w:rsidRPr="00F1304C">
        <w:rPr>
          <w:rFonts w:ascii="Arial" w:hAnsi="Arial" w:cs="Arial"/>
          <w:i w:val="0"/>
          <w:iCs w:val="0"/>
          <w:color w:val="000000" w:themeColor="text1"/>
          <w:sz w:val="22"/>
          <w:szCs w:val="22"/>
        </w:rPr>
        <w:t>®</w:t>
      </w:r>
      <w:r w:rsidR="001010BA" w:rsidRPr="00F1304C">
        <w:rPr>
          <w:rFonts w:ascii="Arial" w:hAnsi="Arial" w:cs="Arial"/>
          <w:i w:val="0"/>
          <w:iCs w:val="0"/>
          <w:color w:val="000000" w:themeColor="text1"/>
          <w:sz w:val="22"/>
          <w:szCs w:val="22"/>
        </w:rPr>
        <w:t>-tags have several advantages over 6xHis-tags</w:t>
      </w:r>
      <w:r w:rsidR="00F1304C" w:rsidRPr="00F1304C">
        <w:rPr>
          <w:rFonts w:ascii="Arial" w:hAnsi="Arial" w:cs="Arial"/>
          <w:i w:val="0"/>
          <w:iCs w:val="0"/>
          <w:color w:val="000000" w:themeColor="text1"/>
          <w:sz w:val="22"/>
          <w:szCs w:val="22"/>
        </w:rPr>
        <w:t xml:space="preserve"> for endogenous protein display. These</w:t>
      </w:r>
      <w:r w:rsidR="001010BA" w:rsidRPr="00F1304C">
        <w:rPr>
          <w:rFonts w:ascii="Arial" w:hAnsi="Arial" w:cs="Arial"/>
          <w:i w:val="0"/>
          <w:iCs w:val="0"/>
          <w:color w:val="000000" w:themeColor="text1"/>
          <w:sz w:val="22"/>
          <w:szCs w:val="22"/>
        </w:rPr>
        <w:t xml:space="preserve"> includ</w:t>
      </w:r>
      <w:r w:rsidR="00F1304C" w:rsidRPr="00F1304C">
        <w:rPr>
          <w:rFonts w:ascii="Arial" w:hAnsi="Arial" w:cs="Arial"/>
          <w:i w:val="0"/>
          <w:iCs w:val="0"/>
          <w:color w:val="000000" w:themeColor="text1"/>
          <w:sz w:val="22"/>
          <w:szCs w:val="22"/>
        </w:rPr>
        <w:t xml:space="preserve">e their </w:t>
      </w:r>
      <w:r w:rsidR="001010BA" w:rsidRPr="00F1304C">
        <w:rPr>
          <w:rFonts w:ascii="Arial" w:hAnsi="Arial" w:cs="Arial"/>
          <w:i w:val="0"/>
          <w:iCs w:val="0"/>
          <w:color w:val="000000" w:themeColor="text1"/>
          <w:sz w:val="22"/>
          <w:szCs w:val="22"/>
        </w:rPr>
        <w:t>high affinity for streptavidin</w:t>
      </w:r>
      <w:r w:rsidR="00F1304C" w:rsidRPr="00F1304C">
        <w:rPr>
          <w:rFonts w:ascii="Arial" w:hAnsi="Arial" w:cs="Arial"/>
          <w:i w:val="0"/>
          <w:iCs w:val="0"/>
          <w:color w:val="000000" w:themeColor="text1"/>
          <w:sz w:val="22"/>
          <w:szCs w:val="22"/>
        </w:rPr>
        <w:t>-</w:t>
      </w:r>
      <w:r w:rsidR="001010BA" w:rsidRPr="00F1304C">
        <w:rPr>
          <w:rFonts w:ascii="Arial" w:hAnsi="Arial" w:cs="Arial"/>
          <w:i w:val="0"/>
          <w:iCs w:val="0"/>
          <w:color w:val="000000" w:themeColor="text1"/>
          <w:sz w:val="22"/>
          <w:szCs w:val="22"/>
        </w:rPr>
        <w:t xml:space="preserve">based resins, affording high </w:t>
      </w:r>
      <w:r w:rsidR="00F1304C" w:rsidRPr="00F1304C">
        <w:rPr>
          <w:rFonts w:ascii="Arial" w:hAnsi="Arial" w:cs="Arial"/>
          <w:i w:val="0"/>
          <w:iCs w:val="0"/>
          <w:color w:val="000000" w:themeColor="text1"/>
          <w:sz w:val="22"/>
          <w:szCs w:val="22"/>
        </w:rPr>
        <w:t>specificity, and low impact on the physicochemical properties of proteins</w:t>
      </w:r>
      <w:r w:rsidR="00A91591">
        <w:rPr>
          <w:rFonts w:ascii="Arial" w:hAnsi="Arial" w:cs="Arial"/>
          <w:i w:val="0"/>
          <w:iCs w:val="0"/>
          <w:color w:val="000000" w:themeColor="text1"/>
          <w:sz w:val="22"/>
          <w:szCs w:val="22"/>
        </w:rPr>
        <w:fldChar w:fldCharType="begin" w:fldLock="1"/>
      </w:r>
      <w:r w:rsidR="004F3109">
        <w:rPr>
          <w:rFonts w:ascii="Arial" w:hAnsi="Arial" w:cs="Arial"/>
          <w:i w:val="0"/>
          <w:iCs w:val="0"/>
          <w:color w:val="000000" w:themeColor="text1"/>
          <w:sz w:val="22"/>
          <w:szCs w:val="22"/>
        </w:rPr>
        <w:instrText>ADDIN CSL_CITATION {"citationItems":[{"id":"ITEM-1","itemData":{"DOI":"10.1007/s12033-014-9778-5","ISSN":"15590305","abstract":"Peptide sequences fused to a gene of interest facilitate the isolation of proteins or protein complexes from cell extracts. In the case of fluorescent protein tags, the tagged protein can be visually localized in living cells. To tag endogenous genes, PCR-based homologous recombination is a powerful approach used in the yeast Saccharomyces cerevisiae. This approach uses short, homologous DNA sequences that flank the tagging cassette to direct recombination. Here, we constructed a set of plasmids, whose sequences were optimized for codon usage in yeast, for Strep-tag II and Twin-Strep tagging in S. cerevisiae. Some plasmids also contain sequences encoding for a fluorescent protein followed by the purification tag. We demonstrate using the yeast pyruvate dehydrogenase (PDH) complex that these plasmids can be used to purify large protein complexes efficiently. We furthermore demonstrate that purification from the endogenous pool using the Strep-tag system results in functionally active complexes. Finally, using the fluorescent tags, we show that a kinase and a phosphatase involved in regulating the activity of the PDH complex localize in the cells’ mitochondria. In conclusion, our cassettes can be used as tools for biochemical, functional, and structural analyses of endogenous multi-protein assemblies in yeast.","author":[{"dropping-particle":"","family":"Rai","given":"Jay","non-dropping-particle":"","parse-names":false,"suffix":""},{"dropping-particle":"","family":"Pemmasani","given":"J. Kalyani","non-dropping-particle":"","parse-names":false,"suffix":""},{"dropping-particle":"","family":"Voronovsky","given":"Andriy","non-dropping-particle":"","parse-names":false,"suffix":""},{"dropping-particle":"","family":"Jensen","given":"Ida S.","non-dropping-particle":"","parse-names":false,"suffix":""},{"dropping-particle":"","family":"Manavalan","given":"Arulmani","non-dropping-particle":"","parse-names":false,"suffix":""},{"dropping-particle":"","family":"Nyengaard","given":"Jens R.","non-dropping-particle":"","parse-names":false,"suffix":""},{"dropping-particle":"","family":"Golas","given":"Monika M.","non-dropping-particle":"","parse-names":false,"suffix":""},{"dropping-particle":"","family":"Sander","given":"Bjoern","non-dropping-particle":"","parse-names":false,"suffix":""}],"container-title":"Molecular Biotechnology","id":"ITEM-1","issue":"11","issued":{"date-parts":[["2014"]]},"page":"992-1003","title":"Strep-tag II and Twin-Strep Based Cassettes for Protein Tagging by Homologous Recombination and Characterization of Endogenous Macromolecular Assemblies in Saccharomyces cerevisiae","type":"article-journal","volume":"56"},"uris":["http://www.mendeley.com/documents/?uuid=dd9e5782-dd34-4c7c-9236-86773333526c"]},{"id":"ITEM-2","itemData":{"DOI":"10.1002/pmic.200400991","ISSN":"16159853","abstract":"Identification of protein complexes is the key to understanding cellular functions. In this study, we present a novel method for the identification of multiprotein complexes from mammalian cells. By using the Strep-tag affinity chromatography method, enabling fast and simple one-step purification, coupled with competitive elution under physiological conditions, we successfully purified a PP2A holoenzyme protein complex from a cultured mammalian cancer cell line. We identified, by mass spectrometry, both known and novel interacting proteins for PP2A, and demonstrate that the purified PP2A complex is functional. The benefits and potential applications of the Strep-tag method for protein complex purification are discussed. © 2005 WILEY-VCH Verlag GmbH &amp; Co. KGaA.","author":[{"dropping-particle":"","family":"Junttila","given":"Melissa R.","non-dropping-particle":"","parse-names":false,"suffix":""},{"dropping-particle":"","family":"Saarinen","given":"Susanna","non-dropping-particle":"","parse-names":false,"suffix":""},{"dropping-particle":"","family":"Schmidt","given":"Thomas","non-dropping-particle":"","parse-names":false,"suffix":""},{"dropping-particle":"","family":"Kast","given":"Juergen","non-dropping-particle":"","parse-names":false,"suffix":""},{"dropping-particle":"","family":"Westermarck","given":"Jukka","non-dropping-particle":"","parse-names":false,"suffix":""}],"container-title":"Proteomics","id":"ITEM-2","issue":"5","issued":{"date-parts":[["2005","4"]]},"page":"1199-1203","title":"Single-step Strep-tag® purification for the isolation and identification of protein complexes from mammalian cells","type":"article-journal","volume":"5"},"uris":["http://www.mendeley.com/documents/?uuid=bc3e5f78-2b78-3858-9e1a-299bd0e8176e"]},{"id":"ITEM-3","itemData":{"DOI":"10.1016/j.pep.2005.01.019","ISSN":"10465928","PMID":"15802226","abstract":"Affinity tags are highly efficient tools for purifying proteins from crude extracts. To facilitate the selection of affinity tags for purification projects, we have compared the efficiency of eight elutable affinity tags to purify proteins from Escherichia coli, yeast, Drosophila, and HeLa extracts. Our results show that the HIS, CBP, CYD (covalent yet dissociable NorpD peptide), Strep II, FLAG, HPC (heavy chain of protein C) peptide tags, and the GST and MBP protein fusion tag systems differ substantially in purity, yield, and cost. We find that the HIS tag provides good yields of tagged protein from inexpensive, high capacity resins but with only moderate purity from E. coli extracts and relatively poor purification from yeast, Drosophila, and HeLa extracts. The CBP tag produced moderate purity protein from E. coli, yeast, and Drosophila extracts, but better purity from HeLa extracts. Epitope-based tags such as FLAG and HPC produced the highest purity protein for all extracts but require expensive, low capacity resin. Our results suggest that the Strep II tag may provide an acceptable compromise of excellent purification with good yields at a moderate cost. © 2005 Elsevier Inc. All rights reserved.","author":[{"dropping-particle":"","family":"Lichty","given":"Jordan J.","non-dropping-particle":"","parse-names":false,"suffix":""},{"dropping-particle":"","family":"Malecki","given":"Joshua L.","non-dropping-particle":"","parse-names":false,"suffix":""},{"dropping-particle":"","family":"Agnew","given":"Heather D.","non-dropping-particle":"","parse-names":false,"suffix":""},{"dropping-particle":"","family":"Michelson-Horowitz","given":"Daniel J.","non-dropping-particle":"","parse-names":false,"suffix":""},{"dropping-particle":"","family":"Tan","given":"Song","non-dropping-particle":"","parse-names":false,"suffix":""}],"container-title":"Protein Expression and Purification","id":"ITEM-3","issue":"1","issued":{"date-parts":[["2005","5","1"]]},"page":"98-105","publisher":"Academic Press Inc.","title":"Comparison of affinity tags for protein purification","type":"article-journal","volume":"41"},"uris":["http://www.mendeley.com/documents/?uuid=9f935021-caae-37e1-b5ae-9ffc8d6a131c"]}],"mendeley":{"formattedCitation":"&lt;sup&gt;137–139&lt;/sup&gt;","plainTextFormattedCitation":"137–139","previouslyFormattedCitation":"&lt;sup&gt;137–139&lt;/sup&gt;"},"properties":{"noteIndex":0},"schema":"https://github.com/citation-style-language/schema/raw/master/csl-citation.json"}</w:instrText>
      </w:r>
      <w:r w:rsidR="00A91591">
        <w:rPr>
          <w:rFonts w:ascii="Arial" w:hAnsi="Arial" w:cs="Arial"/>
          <w:i w:val="0"/>
          <w:iCs w:val="0"/>
          <w:color w:val="000000" w:themeColor="text1"/>
          <w:sz w:val="22"/>
          <w:szCs w:val="22"/>
        </w:rPr>
        <w:fldChar w:fldCharType="separate"/>
      </w:r>
      <w:r w:rsidR="00A91591" w:rsidRPr="00A91591">
        <w:rPr>
          <w:rFonts w:ascii="Arial" w:hAnsi="Arial" w:cs="Arial"/>
          <w:i w:val="0"/>
          <w:iCs w:val="0"/>
          <w:noProof/>
          <w:color w:val="000000" w:themeColor="text1"/>
          <w:sz w:val="22"/>
          <w:szCs w:val="22"/>
          <w:vertAlign w:val="superscript"/>
        </w:rPr>
        <w:t>137–139</w:t>
      </w:r>
      <w:r w:rsidR="00A91591">
        <w:rPr>
          <w:rFonts w:ascii="Arial" w:hAnsi="Arial" w:cs="Arial"/>
          <w:i w:val="0"/>
          <w:iCs w:val="0"/>
          <w:color w:val="000000" w:themeColor="text1"/>
          <w:sz w:val="22"/>
          <w:szCs w:val="22"/>
        </w:rPr>
        <w:fldChar w:fldCharType="end"/>
      </w:r>
      <w:r w:rsidR="00F1304C" w:rsidRPr="00F1304C">
        <w:rPr>
          <w:rFonts w:ascii="Arial" w:hAnsi="Arial" w:cs="Arial"/>
          <w:i w:val="0"/>
          <w:iCs w:val="0"/>
          <w:color w:val="000000" w:themeColor="text1"/>
          <w:sz w:val="22"/>
          <w:szCs w:val="22"/>
        </w:rPr>
        <w:t>.</w:t>
      </w:r>
      <w:r w:rsidR="00F1304C" w:rsidRPr="00F1304C">
        <w:rPr>
          <w:rFonts w:ascii="Times New Roman" w:hAnsi="Times New Roman" w:cs="Times New Roman"/>
          <w:color w:val="000000" w:themeColor="text1"/>
        </w:rPr>
        <w:t xml:space="preserve"> </w:t>
      </w:r>
      <w:r w:rsidR="00A91591">
        <w:rPr>
          <w:rFonts w:ascii="Arial" w:hAnsi="Arial" w:cs="Arial"/>
          <w:i w:val="0"/>
          <w:iCs w:val="0"/>
          <w:color w:val="000000" w:themeColor="text1"/>
          <w:sz w:val="22"/>
          <w:szCs w:val="22"/>
        </w:rPr>
        <w:t>To evaluate whether</w:t>
      </w:r>
      <w:r w:rsidR="00F42789">
        <w:rPr>
          <w:rFonts w:ascii="Arial" w:hAnsi="Arial" w:cs="Arial"/>
          <w:i w:val="0"/>
          <w:iCs w:val="0"/>
          <w:color w:val="000000" w:themeColor="text1"/>
          <w:sz w:val="22"/>
          <w:szCs w:val="22"/>
        </w:rPr>
        <w:t xml:space="preserve"> functional</w:t>
      </w:r>
      <w:r w:rsidR="00A91591">
        <w:rPr>
          <w:rFonts w:ascii="Arial" w:hAnsi="Arial" w:cs="Arial"/>
          <w:i w:val="0"/>
          <w:iCs w:val="0"/>
          <w:color w:val="000000" w:themeColor="text1"/>
          <w:sz w:val="22"/>
          <w:szCs w:val="22"/>
        </w:rPr>
        <w:t xml:space="preserve"> </w:t>
      </w:r>
      <w:proofErr w:type="spellStart"/>
      <w:r w:rsidR="00A91591">
        <w:rPr>
          <w:rFonts w:ascii="Arial" w:hAnsi="Arial" w:cs="Arial"/>
          <w:i w:val="0"/>
          <w:iCs w:val="0"/>
          <w:color w:val="000000" w:themeColor="text1"/>
          <w:sz w:val="22"/>
          <w:szCs w:val="22"/>
        </w:rPr>
        <w:t>StrepII</w:t>
      </w:r>
      <w:proofErr w:type="spellEnd"/>
      <w:r w:rsidR="00A91591">
        <w:rPr>
          <w:rFonts w:ascii="Arial" w:hAnsi="Arial" w:cs="Arial"/>
          <w:i w:val="0"/>
          <w:iCs w:val="0"/>
          <w:color w:val="000000" w:themeColor="text1"/>
          <w:sz w:val="22"/>
          <w:szCs w:val="22"/>
        </w:rPr>
        <w:t xml:space="preserve">®-tagged endogenous enzymes </w:t>
      </w:r>
      <w:r w:rsidR="00F42789">
        <w:rPr>
          <w:rFonts w:ascii="Arial" w:hAnsi="Arial" w:cs="Arial"/>
          <w:i w:val="0"/>
          <w:iCs w:val="0"/>
          <w:color w:val="000000" w:themeColor="text1"/>
          <w:sz w:val="22"/>
          <w:szCs w:val="22"/>
        </w:rPr>
        <w:t>can be</w:t>
      </w:r>
      <w:r w:rsidR="00A91591">
        <w:rPr>
          <w:rFonts w:ascii="Arial" w:hAnsi="Arial" w:cs="Arial"/>
          <w:i w:val="0"/>
          <w:iCs w:val="0"/>
          <w:color w:val="000000" w:themeColor="text1"/>
          <w:sz w:val="22"/>
          <w:szCs w:val="22"/>
        </w:rPr>
        <w:t xml:space="preserve"> </w:t>
      </w:r>
      <w:r w:rsidR="00F42789">
        <w:rPr>
          <w:rFonts w:ascii="Arial" w:hAnsi="Arial" w:cs="Arial"/>
          <w:i w:val="0"/>
          <w:iCs w:val="0"/>
          <w:color w:val="000000" w:themeColor="text1"/>
          <w:sz w:val="22"/>
          <w:szCs w:val="22"/>
        </w:rPr>
        <w:t xml:space="preserve">expressed in genome engineered </w:t>
      </w:r>
      <w:r w:rsidR="00F42789">
        <w:rPr>
          <w:rFonts w:ascii="Arial" w:hAnsi="Arial" w:cs="Arial"/>
          <w:color w:val="000000" w:themeColor="text1"/>
          <w:sz w:val="22"/>
          <w:szCs w:val="22"/>
        </w:rPr>
        <w:t xml:space="preserve">V. </w:t>
      </w:r>
      <w:proofErr w:type="spellStart"/>
      <w:r w:rsidR="00F42789">
        <w:rPr>
          <w:rFonts w:ascii="Arial" w:hAnsi="Arial" w:cs="Arial"/>
          <w:color w:val="000000" w:themeColor="text1"/>
          <w:sz w:val="22"/>
          <w:szCs w:val="22"/>
        </w:rPr>
        <w:t>natriegens</w:t>
      </w:r>
      <w:proofErr w:type="spellEnd"/>
      <w:r w:rsidR="00A91591">
        <w:rPr>
          <w:rFonts w:ascii="Arial" w:hAnsi="Arial" w:cs="Arial"/>
          <w:i w:val="0"/>
          <w:iCs w:val="0"/>
          <w:color w:val="000000" w:themeColor="text1"/>
          <w:sz w:val="22"/>
          <w:szCs w:val="22"/>
        </w:rPr>
        <w:t xml:space="preserve">, a strain </w:t>
      </w:r>
      <w:r w:rsidR="00F1304C" w:rsidRPr="00F1304C">
        <w:rPr>
          <w:rFonts w:ascii="Arial" w:hAnsi="Arial" w:cs="Arial"/>
          <w:i w:val="0"/>
          <w:iCs w:val="0"/>
          <w:color w:val="000000" w:themeColor="text1"/>
          <w:sz w:val="22"/>
          <w:szCs w:val="22"/>
        </w:rPr>
        <w:t xml:space="preserve">with 11 </w:t>
      </w:r>
      <w:proofErr w:type="spellStart"/>
      <w:r w:rsidR="00F1304C" w:rsidRPr="00F1304C">
        <w:rPr>
          <w:rFonts w:ascii="Arial" w:hAnsi="Arial" w:cs="Arial"/>
          <w:i w:val="0"/>
          <w:iCs w:val="0"/>
          <w:color w:val="000000" w:themeColor="text1"/>
          <w:sz w:val="22"/>
          <w:szCs w:val="22"/>
        </w:rPr>
        <w:t>StrepII</w:t>
      </w:r>
      <w:proofErr w:type="spellEnd"/>
      <w:r w:rsidR="00F1304C" w:rsidRPr="00F1304C">
        <w:rPr>
          <w:rFonts w:ascii="Arial" w:hAnsi="Arial" w:cs="Arial"/>
          <w:i w:val="0"/>
          <w:iCs w:val="0"/>
          <w:color w:val="000000" w:themeColor="text1"/>
          <w:sz w:val="22"/>
          <w:szCs w:val="22"/>
        </w:rPr>
        <w:t>®-tagged genomic loci of genes encoding</w:t>
      </w:r>
      <w:r w:rsidR="00A91591">
        <w:rPr>
          <w:rFonts w:ascii="Arial" w:hAnsi="Arial" w:cs="Arial"/>
          <w:i w:val="0"/>
          <w:iCs w:val="0"/>
          <w:color w:val="000000" w:themeColor="text1"/>
          <w:sz w:val="22"/>
          <w:szCs w:val="22"/>
        </w:rPr>
        <w:t xml:space="preserve"> a complete </w:t>
      </w:r>
      <w:r w:rsidR="00F1304C" w:rsidRPr="00F1304C">
        <w:rPr>
          <w:rFonts w:ascii="Arial" w:hAnsi="Arial" w:cs="Arial"/>
          <w:i w:val="0"/>
          <w:iCs w:val="0"/>
          <w:color w:val="000000" w:themeColor="text1"/>
          <w:sz w:val="22"/>
          <w:szCs w:val="22"/>
        </w:rPr>
        <w:t xml:space="preserve">glycolytic </w:t>
      </w:r>
      <w:r w:rsidR="00A91591">
        <w:rPr>
          <w:rFonts w:ascii="Arial" w:hAnsi="Arial" w:cs="Arial"/>
          <w:i w:val="0"/>
          <w:iCs w:val="0"/>
          <w:color w:val="000000" w:themeColor="text1"/>
          <w:sz w:val="22"/>
          <w:szCs w:val="22"/>
        </w:rPr>
        <w:t>pathway</w:t>
      </w:r>
      <w:r w:rsidR="009916DB">
        <w:rPr>
          <w:rFonts w:ascii="Arial" w:hAnsi="Arial" w:cs="Arial"/>
          <w:i w:val="0"/>
          <w:iCs w:val="0"/>
          <w:color w:val="000000" w:themeColor="text1"/>
          <w:sz w:val="22"/>
          <w:szCs w:val="22"/>
        </w:rPr>
        <w:t xml:space="preserve"> </w:t>
      </w:r>
      <w:r w:rsidR="00A91591">
        <w:rPr>
          <w:rFonts w:ascii="Arial" w:hAnsi="Arial" w:cs="Arial"/>
          <w:i w:val="0"/>
          <w:iCs w:val="0"/>
          <w:color w:val="000000" w:themeColor="text1"/>
          <w:sz w:val="22"/>
          <w:szCs w:val="22"/>
        </w:rPr>
        <w:t>w</w:t>
      </w:r>
      <w:r w:rsidR="00BA1CA1">
        <w:rPr>
          <w:rFonts w:ascii="Arial" w:hAnsi="Arial" w:cs="Arial"/>
          <w:i w:val="0"/>
          <w:iCs w:val="0"/>
          <w:color w:val="000000" w:themeColor="text1"/>
          <w:sz w:val="22"/>
          <w:szCs w:val="22"/>
        </w:rPr>
        <w:t>as generated</w:t>
      </w:r>
      <w:r w:rsidR="00F42789">
        <w:rPr>
          <w:rFonts w:ascii="Arial" w:hAnsi="Arial" w:cs="Arial"/>
          <w:i w:val="0"/>
          <w:iCs w:val="0"/>
          <w:color w:val="000000" w:themeColor="text1"/>
          <w:sz w:val="22"/>
          <w:szCs w:val="22"/>
        </w:rPr>
        <w:t xml:space="preserve"> and called ST11</w:t>
      </w:r>
      <w:r w:rsidR="00BA1CA1">
        <w:rPr>
          <w:rFonts w:ascii="Arial" w:hAnsi="Arial" w:cs="Arial"/>
          <w:i w:val="0"/>
          <w:iCs w:val="0"/>
          <w:color w:val="000000" w:themeColor="text1"/>
          <w:sz w:val="22"/>
          <w:szCs w:val="22"/>
        </w:rPr>
        <w:t xml:space="preserve"> </w:t>
      </w:r>
      <w:r w:rsidR="009916DB">
        <w:rPr>
          <w:rFonts w:ascii="Arial" w:hAnsi="Arial" w:cs="Arial"/>
          <w:i w:val="0"/>
          <w:iCs w:val="0"/>
          <w:color w:val="000000" w:themeColor="text1"/>
          <w:sz w:val="22"/>
          <w:szCs w:val="22"/>
        </w:rPr>
        <w:t>(</w:t>
      </w:r>
      <w:r w:rsidR="00DB28B4">
        <w:rPr>
          <w:rFonts w:ascii="Arial" w:hAnsi="Arial" w:cs="Arial"/>
          <w:b/>
          <w:bCs/>
          <w:i w:val="0"/>
          <w:iCs w:val="0"/>
          <w:color w:val="000000" w:themeColor="text1"/>
          <w:sz w:val="22"/>
          <w:szCs w:val="22"/>
        </w:rPr>
        <w:t xml:space="preserve">Appendix Note, </w:t>
      </w:r>
      <w:r w:rsidR="009916DB">
        <w:rPr>
          <w:rFonts w:ascii="Arial" w:hAnsi="Arial" w:cs="Arial"/>
          <w:b/>
          <w:bCs/>
          <w:i w:val="0"/>
          <w:iCs w:val="0"/>
          <w:color w:val="000000" w:themeColor="text1"/>
          <w:sz w:val="22"/>
          <w:szCs w:val="22"/>
        </w:rPr>
        <w:t xml:space="preserve">Appendix Figure </w:t>
      </w:r>
      <w:r w:rsidR="00DB28B4">
        <w:rPr>
          <w:rFonts w:ascii="Arial" w:hAnsi="Arial" w:cs="Arial"/>
          <w:b/>
          <w:bCs/>
          <w:i w:val="0"/>
          <w:iCs w:val="0"/>
          <w:color w:val="000000" w:themeColor="text1"/>
          <w:sz w:val="22"/>
          <w:szCs w:val="22"/>
        </w:rPr>
        <w:t>3.10</w:t>
      </w:r>
      <w:r w:rsidR="009916DB">
        <w:rPr>
          <w:rFonts w:ascii="Arial" w:hAnsi="Arial" w:cs="Arial"/>
          <w:i w:val="0"/>
          <w:iCs w:val="0"/>
          <w:color w:val="000000" w:themeColor="text1"/>
          <w:sz w:val="22"/>
          <w:szCs w:val="22"/>
        </w:rPr>
        <w:t>).</w:t>
      </w:r>
      <w:r w:rsidR="00F42789">
        <w:rPr>
          <w:rFonts w:ascii="Arial" w:hAnsi="Arial" w:cs="Arial"/>
          <w:i w:val="0"/>
          <w:iCs w:val="0"/>
          <w:color w:val="000000" w:themeColor="text1"/>
          <w:sz w:val="22"/>
          <w:szCs w:val="22"/>
        </w:rPr>
        <w:t xml:space="preserve"> ST11 does</w:t>
      </w:r>
      <w:r w:rsidR="009916DB">
        <w:rPr>
          <w:rFonts w:ascii="Arial" w:hAnsi="Arial" w:cs="Arial"/>
          <w:i w:val="0"/>
          <w:iCs w:val="0"/>
          <w:color w:val="000000" w:themeColor="text1"/>
          <w:sz w:val="22"/>
          <w:szCs w:val="22"/>
        </w:rPr>
        <w:t xml:space="preserve"> not have</w:t>
      </w:r>
      <w:r w:rsidR="00F42789">
        <w:rPr>
          <w:rFonts w:ascii="Arial" w:hAnsi="Arial" w:cs="Arial"/>
          <w:i w:val="0"/>
          <w:iCs w:val="0"/>
          <w:color w:val="000000" w:themeColor="text1"/>
          <w:sz w:val="22"/>
          <w:szCs w:val="22"/>
        </w:rPr>
        <w:t xml:space="preserve"> significantly</w:t>
      </w:r>
      <w:r w:rsidR="009916DB">
        <w:rPr>
          <w:rFonts w:ascii="Arial" w:hAnsi="Arial" w:cs="Arial"/>
          <w:i w:val="0"/>
          <w:iCs w:val="0"/>
          <w:color w:val="000000" w:themeColor="text1"/>
          <w:sz w:val="22"/>
          <w:szCs w:val="22"/>
        </w:rPr>
        <w:t xml:space="preserve"> impaired growth</w:t>
      </w:r>
      <w:r w:rsidR="00A91591">
        <w:rPr>
          <w:rFonts w:ascii="Arial" w:hAnsi="Arial" w:cs="Arial"/>
          <w:i w:val="0"/>
          <w:iCs w:val="0"/>
          <w:color w:val="000000" w:themeColor="text1"/>
          <w:sz w:val="22"/>
          <w:szCs w:val="22"/>
        </w:rPr>
        <w:t xml:space="preserve"> </w:t>
      </w:r>
      <w:r w:rsidR="00F42789">
        <w:rPr>
          <w:rFonts w:ascii="Arial" w:hAnsi="Arial" w:cs="Arial"/>
          <w:i w:val="0"/>
          <w:iCs w:val="0"/>
          <w:color w:val="000000" w:themeColor="text1"/>
          <w:sz w:val="22"/>
          <w:szCs w:val="22"/>
        </w:rPr>
        <w:t>compared to its wild-type (WT) counterpart</w:t>
      </w:r>
      <w:r w:rsidR="00F42789">
        <w:rPr>
          <w:rFonts w:ascii="Arial" w:hAnsi="Arial" w:cs="Arial"/>
          <w:color w:val="000000" w:themeColor="text1"/>
          <w:sz w:val="22"/>
          <w:szCs w:val="22"/>
        </w:rPr>
        <w:t xml:space="preserve"> </w:t>
      </w:r>
      <w:r w:rsidR="00A91591">
        <w:rPr>
          <w:rFonts w:ascii="Arial" w:hAnsi="Arial" w:cs="Arial"/>
          <w:i w:val="0"/>
          <w:iCs w:val="0"/>
          <w:color w:val="000000" w:themeColor="text1"/>
          <w:sz w:val="22"/>
          <w:szCs w:val="22"/>
        </w:rPr>
        <w:t>(</w:t>
      </w:r>
      <w:r w:rsidR="00A91591">
        <w:rPr>
          <w:rFonts w:ascii="Arial" w:hAnsi="Arial" w:cs="Arial"/>
          <w:b/>
          <w:bCs/>
          <w:i w:val="0"/>
          <w:iCs w:val="0"/>
          <w:color w:val="000000" w:themeColor="text1"/>
          <w:sz w:val="22"/>
          <w:szCs w:val="22"/>
        </w:rPr>
        <w:t xml:space="preserve">Appendix Figure </w:t>
      </w:r>
      <w:r w:rsidR="00DB28B4">
        <w:rPr>
          <w:rFonts w:ascii="Arial" w:hAnsi="Arial" w:cs="Arial"/>
          <w:b/>
          <w:bCs/>
          <w:i w:val="0"/>
          <w:iCs w:val="0"/>
          <w:color w:val="000000" w:themeColor="text1"/>
          <w:sz w:val="22"/>
          <w:szCs w:val="22"/>
        </w:rPr>
        <w:t>3.11A</w:t>
      </w:r>
      <w:r w:rsidR="00A91591">
        <w:rPr>
          <w:rFonts w:ascii="Arial" w:hAnsi="Arial" w:cs="Arial"/>
          <w:i w:val="0"/>
          <w:iCs w:val="0"/>
          <w:color w:val="000000" w:themeColor="text1"/>
          <w:sz w:val="22"/>
          <w:szCs w:val="22"/>
        </w:rPr>
        <w:t>)</w:t>
      </w:r>
      <w:r w:rsidR="009916DB">
        <w:rPr>
          <w:rFonts w:ascii="Arial" w:hAnsi="Arial" w:cs="Arial"/>
          <w:i w:val="0"/>
          <w:iCs w:val="0"/>
          <w:color w:val="000000" w:themeColor="text1"/>
          <w:sz w:val="22"/>
          <w:szCs w:val="22"/>
        </w:rPr>
        <w:t xml:space="preserve">. </w:t>
      </w:r>
      <w:r w:rsidR="00A91591">
        <w:rPr>
          <w:rFonts w:ascii="Arial" w:hAnsi="Arial" w:cs="Arial"/>
          <w:i w:val="0"/>
          <w:iCs w:val="0"/>
          <w:color w:val="000000" w:themeColor="text1"/>
          <w:sz w:val="22"/>
          <w:szCs w:val="22"/>
        </w:rPr>
        <w:t>P</w:t>
      </w:r>
      <w:r w:rsidR="00F1304C" w:rsidRPr="00F1304C">
        <w:rPr>
          <w:rFonts w:ascii="Arial" w:hAnsi="Arial" w:cs="Arial"/>
          <w:i w:val="0"/>
          <w:iCs w:val="0"/>
          <w:color w:val="000000" w:themeColor="text1"/>
          <w:sz w:val="22"/>
          <w:szCs w:val="22"/>
        </w:rPr>
        <w:t xml:space="preserve">reliminary metabolomics data reveal that the affinity-based </w:t>
      </w:r>
      <w:proofErr w:type="spellStart"/>
      <w:r w:rsidR="00F1304C" w:rsidRPr="00F1304C">
        <w:rPr>
          <w:rFonts w:ascii="Arial" w:hAnsi="Arial" w:cs="Arial"/>
          <w:i w:val="0"/>
          <w:iCs w:val="0"/>
          <w:color w:val="000000" w:themeColor="text1"/>
          <w:sz w:val="22"/>
          <w:szCs w:val="22"/>
        </w:rPr>
        <w:t>StrepII</w:t>
      </w:r>
      <w:proofErr w:type="spellEnd"/>
      <w:r w:rsidR="00F1304C" w:rsidRPr="00F1304C">
        <w:rPr>
          <w:rFonts w:ascii="Arial" w:hAnsi="Arial" w:cs="Arial"/>
          <w:i w:val="0"/>
          <w:iCs w:val="0"/>
          <w:color w:val="000000" w:themeColor="text1"/>
          <w:sz w:val="22"/>
          <w:szCs w:val="22"/>
        </w:rPr>
        <w:t xml:space="preserve">®-tag purification of derived lysates results in a </w:t>
      </w:r>
      <w:r w:rsidR="00A91591">
        <w:rPr>
          <w:rFonts w:ascii="Arial" w:hAnsi="Arial" w:cs="Arial"/>
          <w:i w:val="0"/>
          <w:iCs w:val="0"/>
          <w:color w:val="000000" w:themeColor="text1"/>
          <w:sz w:val="22"/>
          <w:szCs w:val="22"/>
        </w:rPr>
        <w:t xml:space="preserve">reconstituted enzyme </w:t>
      </w:r>
      <w:r w:rsidR="00F1304C" w:rsidRPr="00F1304C">
        <w:rPr>
          <w:rFonts w:ascii="Arial" w:hAnsi="Arial" w:cs="Arial"/>
          <w:i w:val="0"/>
          <w:iCs w:val="0"/>
          <w:color w:val="000000" w:themeColor="text1"/>
          <w:sz w:val="22"/>
          <w:szCs w:val="22"/>
        </w:rPr>
        <w:t>system capable of generating pyruvate and glycolytic intermediates from glucose after a 15-hour reaction period</w:t>
      </w:r>
      <w:r w:rsidR="00A91591">
        <w:rPr>
          <w:rFonts w:ascii="Arial" w:hAnsi="Arial" w:cs="Arial"/>
          <w:i w:val="0"/>
          <w:iCs w:val="0"/>
          <w:color w:val="000000" w:themeColor="text1"/>
          <w:sz w:val="22"/>
          <w:szCs w:val="22"/>
        </w:rPr>
        <w:t xml:space="preserve"> (</w:t>
      </w:r>
      <w:r w:rsidR="00A91591">
        <w:rPr>
          <w:rFonts w:ascii="Arial" w:hAnsi="Arial" w:cs="Arial"/>
          <w:b/>
          <w:bCs/>
          <w:i w:val="0"/>
          <w:iCs w:val="0"/>
          <w:color w:val="000000" w:themeColor="text1"/>
          <w:sz w:val="22"/>
          <w:szCs w:val="22"/>
        </w:rPr>
        <w:t xml:space="preserve">Appendix Figure </w:t>
      </w:r>
      <w:r w:rsidR="00DB28B4">
        <w:rPr>
          <w:rFonts w:ascii="Arial" w:hAnsi="Arial" w:cs="Arial"/>
          <w:b/>
          <w:bCs/>
          <w:i w:val="0"/>
          <w:iCs w:val="0"/>
          <w:color w:val="000000" w:themeColor="text1"/>
          <w:sz w:val="22"/>
          <w:szCs w:val="22"/>
        </w:rPr>
        <w:t>3.11B</w:t>
      </w:r>
      <w:r w:rsidR="00A91591">
        <w:rPr>
          <w:rFonts w:ascii="Arial" w:hAnsi="Arial" w:cs="Arial"/>
          <w:i w:val="0"/>
          <w:iCs w:val="0"/>
          <w:color w:val="000000" w:themeColor="text1"/>
          <w:sz w:val="22"/>
          <w:szCs w:val="22"/>
        </w:rPr>
        <w:t>)</w:t>
      </w:r>
      <w:r w:rsidR="00F1304C" w:rsidRPr="00F1304C">
        <w:rPr>
          <w:rFonts w:ascii="Arial" w:hAnsi="Arial" w:cs="Arial"/>
          <w:i w:val="0"/>
          <w:iCs w:val="0"/>
          <w:color w:val="000000" w:themeColor="text1"/>
          <w:sz w:val="22"/>
          <w:szCs w:val="22"/>
        </w:rPr>
        <w:t xml:space="preserve">. Preliminary HPLC data show that low but detectable amounts of pyruvate are produced in these systems </w:t>
      </w:r>
      <w:r w:rsidR="00C74E28">
        <w:rPr>
          <w:rFonts w:ascii="Arial" w:hAnsi="Arial" w:cs="Arial"/>
          <w:i w:val="0"/>
          <w:iCs w:val="0"/>
          <w:color w:val="000000" w:themeColor="text1"/>
          <w:sz w:val="22"/>
          <w:szCs w:val="22"/>
        </w:rPr>
        <w:t>15</w:t>
      </w:r>
      <w:r w:rsidR="00F1304C" w:rsidRPr="00F1304C">
        <w:rPr>
          <w:rFonts w:ascii="Arial" w:hAnsi="Arial" w:cs="Arial"/>
          <w:i w:val="0"/>
          <w:iCs w:val="0"/>
          <w:color w:val="000000" w:themeColor="text1"/>
          <w:sz w:val="22"/>
          <w:szCs w:val="22"/>
        </w:rPr>
        <w:t xml:space="preserve"> h after </w:t>
      </w:r>
      <w:r w:rsidR="00C74E28">
        <w:rPr>
          <w:rFonts w:ascii="Arial" w:hAnsi="Arial" w:cs="Arial"/>
          <w:i w:val="0"/>
          <w:iCs w:val="0"/>
          <w:color w:val="000000" w:themeColor="text1"/>
          <w:sz w:val="22"/>
          <w:szCs w:val="22"/>
        </w:rPr>
        <w:t xml:space="preserve">10 mM </w:t>
      </w:r>
      <w:r w:rsidR="00F1304C" w:rsidRPr="00F1304C">
        <w:rPr>
          <w:rFonts w:ascii="Arial" w:hAnsi="Arial" w:cs="Arial"/>
          <w:i w:val="0"/>
          <w:iCs w:val="0"/>
          <w:color w:val="000000" w:themeColor="text1"/>
          <w:sz w:val="22"/>
          <w:szCs w:val="22"/>
        </w:rPr>
        <w:t>glucose supplementation under unoptimized reaction conditions</w:t>
      </w:r>
      <w:r w:rsidR="00A91591">
        <w:rPr>
          <w:rFonts w:ascii="Arial" w:hAnsi="Arial" w:cs="Arial"/>
          <w:i w:val="0"/>
          <w:iCs w:val="0"/>
          <w:color w:val="000000" w:themeColor="text1"/>
          <w:sz w:val="22"/>
          <w:szCs w:val="22"/>
        </w:rPr>
        <w:t xml:space="preserve"> (</w:t>
      </w:r>
      <w:r w:rsidR="00A91591">
        <w:rPr>
          <w:rFonts w:ascii="Arial" w:hAnsi="Arial" w:cs="Arial"/>
          <w:b/>
          <w:bCs/>
          <w:i w:val="0"/>
          <w:iCs w:val="0"/>
          <w:color w:val="000000" w:themeColor="text1"/>
          <w:sz w:val="22"/>
          <w:szCs w:val="22"/>
        </w:rPr>
        <w:t>Appendix Figure</w:t>
      </w:r>
      <w:r w:rsidR="00DB28B4">
        <w:rPr>
          <w:rFonts w:ascii="Arial" w:hAnsi="Arial" w:cs="Arial"/>
          <w:b/>
          <w:bCs/>
          <w:i w:val="0"/>
          <w:iCs w:val="0"/>
          <w:color w:val="000000" w:themeColor="text1"/>
          <w:sz w:val="22"/>
          <w:szCs w:val="22"/>
        </w:rPr>
        <w:t xml:space="preserve"> 3.11C</w:t>
      </w:r>
      <w:r w:rsidR="00A91591">
        <w:rPr>
          <w:rFonts w:ascii="Arial" w:hAnsi="Arial" w:cs="Arial"/>
          <w:i w:val="0"/>
          <w:iCs w:val="0"/>
          <w:color w:val="000000" w:themeColor="text1"/>
          <w:sz w:val="22"/>
          <w:szCs w:val="22"/>
        </w:rPr>
        <w:t>)</w:t>
      </w:r>
      <w:r w:rsidR="00F1304C" w:rsidRPr="00F1304C">
        <w:rPr>
          <w:rFonts w:ascii="Arial" w:hAnsi="Arial" w:cs="Arial"/>
          <w:i w:val="0"/>
          <w:iCs w:val="0"/>
          <w:color w:val="000000" w:themeColor="text1"/>
          <w:sz w:val="22"/>
          <w:szCs w:val="22"/>
        </w:rPr>
        <w:t xml:space="preserve">. </w:t>
      </w:r>
      <w:r w:rsidR="009916DB">
        <w:rPr>
          <w:rFonts w:ascii="Arial" w:hAnsi="Arial" w:cs="Arial"/>
          <w:i w:val="0"/>
          <w:iCs w:val="0"/>
          <w:color w:val="000000" w:themeColor="text1"/>
          <w:sz w:val="22"/>
          <w:szCs w:val="22"/>
        </w:rPr>
        <w:t xml:space="preserve">The low yield can be attributed to multiple issues such as </w:t>
      </w:r>
      <w:r w:rsidR="00F1304C" w:rsidRPr="00F1304C">
        <w:rPr>
          <w:rFonts w:ascii="Arial" w:hAnsi="Arial" w:cs="Arial"/>
          <w:i w:val="0"/>
          <w:iCs w:val="0"/>
          <w:color w:val="000000" w:themeColor="text1"/>
          <w:sz w:val="22"/>
          <w:szCs w:val="22"/>
        </w:rPr>
        <w:t>the defined system lack</w:t>
      </w:r>
      <w:r w:rsidR="009916DB">
        <w:rPr>
          <w:rFonts w:ascii="Arial" w:hAnsi="Arial" w:cs="Arial"/>
          <w:i w:val="0"/>
          <w:iCs w:val="0"/>
          <w:color w:val="000000" w:themeColor="text1"/>
          <w:sz w:val="22"/>
          <w:szCs w:val="22"/>
        </w:rPr>
        <w:t>ing</w:t>
      </w:r>
      <w:r w:rsidR="00F1304C" w:rsidRPr="00F1304C">
        <w:rPr>
          <w:rFonts w:ascii="Arial" w:hAnsi="Arial" w:cs="Arial"/>
          <w:i w:val="0"/>
          <w:iCs w:val="0"/>
          <w:color w:val="000000" w:themeColor="text1"/>
          <w:sz w:val="22"/>
          <w:szCs w:val="22"/>
        </w:rPr>
        <w:t xml:space="preserve"> cofactor regenerating modules,</w:t>
      </w:r>
      <w:r w:rsidR="009916DB">
        <w:rPr>
          <w:rFonts w:ascii="Arial" w:hAnsi="Arial" w:cs="Arial"/>
          <w:i w:val="0"/>
          <w:iCs w:val="0"/>
          <w:color w:val="000000" w:themeColor="text1"/>
          <w:sz w:val="22"/>
          <w:szCs w:val="22"/>
        </w:rPr>
        <w:t xml:space="preserve"> the pathway being cofactor imbalanced, or significant bottlenecks </w:t>
      </w:r>
      <w:r w:rsidR="009916DB">
        <w:rPr>
          <w:rFonts w:ascii="Arial" w:hAnsi="Arial" w:cs="Arial"/>
          <w:i w:val="0"/>
          <w:iCs w:val="0"/>
          <w:color w:val="000000" w:themeColor="text1"/>
          <w:sz w:val="22"/>
          <w:szCs w:val="22"/>
        </w:rPr>
        <w:lastRenderedPageBreak/>
        <w:t xml:space="preserve">in the purified pathway due to a non-stoichiometric pull-down of these enzymes. Nonetheless, these data together suggest that </w:t>
      </w:r>
      <w:r w:rsidR="008115A1">
        <w:rPr>
          <w:rFonts w:ascii="Arial" w:hAnsi="Arial" w:cs="Arial"/>
          <w:i w:val="0"/>
          <w:iCs w:val="0"/>
          <w:color w:val="000000" w:themeColor="text1"/>
          <w:sz w:val="22"/>
          <w:szCs w:val="22"/>
        </w:rPr>
        <w:t>the post-lysis strategy can be modified to leverage</w:t>
      </w:r>
      <w:r w:rsidR="009916DB">
        <w:rPr>
          <w:rFonts w:ascii="Arial" w:hAnsi="Arial" w:cs="Arial"/>
          <w:i w:val="0"/>
          <w:iCs w:val="0"/>
          <w:color w:val="000000" w:themeColor="text1"/>
          <w:sz w:val="22"/>
          <w:szCs w:val="22"/>
        </w:rPr>
        <w:t xml:space="preserve"> </w:t>
      </w:r>
      <w:r w:rsidR="008115A1">
        <w:rPr>
          <w:rFonts w:ascii="Arial" w:hAnsi="Arial" w:cs="Arial"/>
          <w:i w:val="0"/>
          <w:iCs w:val="0"/>
          <w:color w:val="000000" w:themeColor="text1"/>
          <w:sz w:val="22"/>
          <w:szCs w:val="22"/>
        </w:rPr>
        <w:t xml:space="preserve">a microbe that is more amenable to multiplex genome engineering and </w:t>
      </w:r>
      <w:proofErr w:type="spellStart"/>
      <w:r w:rsidR="008115A1">
        <w:rPr>
          <w:rFonts w:ascii="Arial" w:hAnsi="Arial" w:cs="Arial"/>
          <w:i w:val="0"/>
          <w:iCs w:val="0"/>
          <w:color w:val="000000" w:themeColor="text1"/>
          <w:sz w:val="22"/>
          <w:szCs w:val="22"/>
        </w:rPr>
        <w:t>StrepII</w:t>
      </w:r>
      <w:proofErr w:type="spellEnd"/>
      <w:r w:rsidR="008115A1">
        <w:rPr>
          <w:rFonts w:ascii="Arial" w:hAnsi="Arial" w:cs="Arial"/>
          <w:i w:val="0"/>
          <w:iCs w:val="0"/>
          <w:color w:val="000000" w:themeColor="text1"/>
          <w:sz w:val="22"/>
          <w:szCs w:val="22"/>
        </w:rPr>
        <w:t xml:space="preserve">®-tags, overcoming some significant limitations identified in the current approach. However, the higher cost of </w:t>
      </w:r>
      <w:proofErr w:type="spellStart"/>
      <w:r w:rsidR="008115A1">
        <w:rPr>
          <w:rFonts w:ascii="Arial" w:hAnsi="Arial" w:cs="Arial"/>
          <w:i w:val="0"/>
          <w:iCs w:val="0"/>
          <w:color w:val="000000" w:themeColor="text1"/>
          <w:sz w:val="22"/>
          <w:szCs w:val="22"/>
        </w:rPr>
        <w:t>StrepII</w:t>
      </w:r>
      <w:proofErr w:type="spellEnd"/>
      <w:r w:rsidR="008115A1">
        <w:rPr>
          <w:rFonts w:ascii="Arial" w:hAnsi="Arial" w:cs="Arial"/>
          <w:i w:val="0"/>
          <w:iCs w:val="0"/>
          <w:color w:val="000000" w:themeColor="text1"/>
          <w:sz w:val="22"/>
          <w:szCs w:val="22"/>
        </w:rPr>
        <w:t>®-tags than 6xHis-tags and using</w:t>
      </w:r>
      <w:r w:rsidR="008115A1" w:rsidRPr="00F1304C">
        <w:rPr>
          <w:rFonts w:ascii="Arial" w:hAnsi="Arial" w:cs="Arial"/>
          <w:i w:val="0"/>
          <w:iCs w:val="0"/>
          <w:color w:val="000000" w:themeColor="text1"/>
          <w:sz w:val="22"/>
          <w:szCs w:val="22"/>
        </w:rPr>
        <w:t xml:space="preserve"> a donor strain with less study than E. coli</w:t>
      </w:r>
      <w:r w:rsidR="008115A1">
        <w:rPr>
          <w:rFonts w:ascii="Arial" w:hAnsi="Arial" w:cs="Arial"/>
          <w:i w:val="0"/>
          <w:iCs w:val="0"/>
          <w:color w:val="000000" w:themeColor="text1"/>
          <w:sz w:val="22"/>
          <w:szCs w:val="22"/>
        </w:rPr>
        <w:t xml:space="preserve"> can be disadvantages in the advancement of the general extract proteome modification approach. </w:t>
      </w:r>
    </w:p>
    <w:p w14:paraId="16BA8E7D" w14:textId="77777777" w:rsidR="00BA1CA1" w:rsidRPr="00BA1CA1" w:rsidRDefault="00BA1CA1" w:rsidP="00BA1CA1">
      <w:pPr>
        <w:rPr>
          <w:lang w:val="en-US"/>
        </w:rPr>
      </w:pPr>
    </w:p>
    <w:p w14:paraId="2C13AC72" w14:textId="76740C34" w:rsidR="0031140D" w:rsidRPr="009A5F94" w:rsidRDefault="00D635E6" w:rsidP="009A5F94">
      <w:pPr>
        <w:pStyle w:val="ChapterHeading"/>
      </w:pPr>
      <w:bookmarkStart w:id="78" w:name="_Toc129701040"/>
      <w:r w:rsidRPr="00D635E6">
        <w:t xml:space="preserve">3.5. </w:t>
      </w:r>
      <w:r w:rsidR="0031140D" w:rsidRPr="00D635E6">
        <w:t>Conclusions</w:t>
      </w:r>
      <w:bookmarkEnd w:id="78"/>
    </w:p>
    <w:p w14:paraId="0CD54FA9" w14:textId="3DC1D71A" w:rsidR="008115A1" w:rsidRPr="00BA1CA1" w:rsidRDefault="0031140D" w:rsidP="00BA1CA1">
      <w:pPr>
        <w:ind w:firstLine="720"/>
        <w:contextualSpacing/>
        <w:rPr>
          <w:rFonts w:cs="Arial"/>
          <w:szCs w:val="22"/>
        </w:rPr>
      </w:pPr>
      <w:r w:rsidRPr="00A71FCF">
        <w:rPr>
          <w:rFonts w:cs="Arial"/>
          <w:color w:val="000000"/>
          <w:szCs w:val="22"/>
        </w:rPr>
        <w:t xml:space="preserve">Shown in this work was the use of genome engineering to create protein modifications that allow for the control of metabolic activity in cellular lysates. This cell-free metabolic engineering strategy allows for the targeted </w:t>
      </w:r>
      <w:r w:rsidRPr="00A71FCF">
        <w:rPr>
          <w:rFonts w:cs="Arial"/>
          <w:szCs w:val="22"/>
        </w:rPr>
        <w:t>removal of enzymes</w:t>
      </w:r>
      <w:r w:rsidRPr="00A71FCF">
        <w:rPr>
          <w:rFonts w:cs="Arial"/>
          <w:color w:val="000000"/>
          <w:szCs w:val="22"/>
        </w:rPr>
        <w:t xml:space="preserve"> that can enable the focused production of metabolites from simple precursors using rapidly prepared crude extracts that would otherwise</w:t>
      </w:r>
      <w:r w:rsidRPr="00A71FCF">
        <w:rPr>
          <w:rFonts w:cs="Arial"/>
          <w:szCs w:val="22"/>
        </w:rPr>
        <w:t xml:space="preserve"> lead to changes in metabolic state and significant growth defects in living cells</w:t>
      </w:r>
      <w:r w:rsidRPr="00A71FCF">
        <w:rPr>
          <w:rFonts w:cs="Arial"/>
          <w:szCs w:val="22"/>
        </w:rPr>
        <w:fldChar w:fldCharType="begin" w:fldLock="1"/>
      </w:r>
      <w:r w:rsidR="004F3109">
        <w:rPr>
          <w:rFonts w:cs="Arial"/>
          <w:szCs w:val="22"/>
        </w:rPr>
        <w:instrText>ADDIN CSL_CITATION {"citationItems":[{"id":"ITEM-1","itemData":{"DOI":"10.1007/s00284-010-9817-9","ISSN":"03438651","abstract":"In order to rationally manipulate the cellular metabolism of Escherichia coli for d-lactate production, single-gene and multiple-gene deletions with mutations in acetate kinase (ackA), phosphotransacetylase (pta), phosphoenolpyruvate synthase (pps), pyruvate formate lyase (pflB), FAD-binding d-lactate dehydrogenase (dld), pyruvate oxidase (poxB), alcohol dehydrogenase (adhE), and fumarate reductase (frdA) were tested for their effects in two-phase fermentations (aerobic growth and oxygen-limited production). Lactate yield and productivity could be improved by single-gene deletions of ackA, pta, pflB, dld, poxB, and frdA in the wild type E. coli strain but were unfavorably affected by deletions of pps and adhE. However, fermentation experiments with multiple-gene mutant strains showed that deletion of pps in addition to ackA-pta deletions had no effect on lactate production, whereas the additional deletion of adhE in E. coli B0013-050 (ackA-pta pps pflB dld poxB) increased lactate yield. Deletion of all eight genes in E. coli B0013 to produce B0013-070 (ackA-pta pps pflB dld poxB adhE frdA) increased lactate yield and productivity by twofold and reduced yields of acetate, succinate, formate, and ethanol by 95, 89, 100, and 93%, respectively. When tested in a bioreactor, E. coli B0013-070 produced 125 g/l d-lactate with an increased oxygen-limited lactate productivity of 0.61 g/g h (2.1-fold greater than E. coli B0013). These kinetic properties of d-lactate production are among the highest reported and the results have revealed which genetic manipulations improved d-lactate production by E. coli. © 2010 Springer Science+Business Media, LLC.","author":[{"dropping-particle":"","family":"Zhou","given":"Li","non-dropping-particle":"","parse-names":false,"suffix":""},{"dropping-particle":"","family":"Zuo","given":"Zhi Rui","non-dropping-particle":"","parse-names":false,"suffix":""},{"dropping-particle":"","family":"Chen","given":"Xian Zhong","non-dropping-particle":"","parse-names":false,"suffix":""},{"dropping-particle":"","family":"Niu","given":"Dan Dan","non-dropping-particle":"","parse-names":false,"suffix":""},{"dropping-particle":"","family":"Tian","given":"Kang Ming","non-dropping-particle":"","parse-names":false,"suffix":""},{"dropping-particle":"","family":"Prior","given":"Bernard A.","non-dropping-particle":"","parse-names":false,"suffix":""},{"dropping-particle":"","family":"Shen","given":"Wei","non-dropping-particle":"","parse-names":false,"suffix":""},{"dropping-particle":"","family":"Shi","given":"Gui Yang","non-dropping-particle":"","parse-names":false,"suffix":""},{"dropping-particle":"","family":"Singh","given":"Suren","non-dropping-particle":"","parse-names":false,"suffix":""},{"dropping-particle":"","family":"Wang","given":"Zheng Xiang","non-dropping-particle":"","parse-names":false,"suffix":""}],"container-title":"Current Microbiology","id":"ITEM-1","issue":"3","issued":{"date-parts":[["2011"]]},"page":"981-989","title":"Evaluation of genetic manipulation strategies on d-lactate production by Escherichia coli","type":"article-journal","volume":"62"},"uris":["http://www.mendeley.com/documents/?uuid=f55cad5f-cecf-4b87-9dc1-34f8430f6025","http://www.mendeley.com/documents/?uuid=40d1326d-4dfc-4857-bf6e-3e6dc322b7b2"]},{"id":"ITEM-2","itemData":{"DOI":"10.1128/JB.00705-13","ISSN":"00219193","abstract":"In bacteria like Escherichia coli, the accumulation of glucose-6-phosphate (G6P) or its analogs such as α-methyl glucoside-6- phosphate (αMG6P) results in stress that appears in the form of growth inhibition. The small RNA SgrS is an essential part of the response that helps E. coli combat glucose-phosphate stress; the growth of sgrS mutants during stress caused by αMG is significantly impaired. The cause of this stress is not currently known but may be due to either toxicity of accumulated sugar-phosphates or to depletion of metabolic intermediates. Here, we present evidence that glucose-phosphate stress results from depletion of glycolytic intermediates. Addition of glycolytic compounds like G6P and fructose-6-phosphate rescues the αMG growth defect of an sgrS mutant. These intermediates also markedly decrease induction of the stress response in both wild-type and sgrS strains grown with αMG, implying that cells grown with these intermediates experience less stress. Moreover, αMG transport assays confirm that G6P relieves stress even when αMG is taken up by the cell, strongly suggesting that accumulated αMG6P per se does not cause stress. We also report that addition of pyruvate during stress has a novel lethal effect on the sgrS mutant, resulting in cell lysis. The phosphoenolpyruvate (PEP) synthetase PpsA, which converts pyruvate to PEP, can confer resistance to pyruvate- induced lysis when ppsA is ectopically expressed in the sgrS mutant. Taken as a whole, these results provide the strongest evidence thus far that depletion of glycolytic intermediates is at the metabolic root of glucose-phosphate stress. © 2013, American Society for Microbiology.","author":[{"dropping-particle":"","family":"Richards","given":"Gregory R.","non-dropping-particle":"","parse-names":false,"suffix":""},{"dropping-particle":"V.","family":"Patel","given":"Maulik","non-dropping-particle":"","parse-names":false,"suffix":""},{"dropping-particle":"","family":"Lloyd","given":"Chelsea R.","non-dropping-particle":"","parse-names":false,"suffix":""},{"dropping-particle":"","family":"Vanderpool","given":"Carin K.","non-dropping-particle":"","parse-names":false,"suffix":""}],"container-title":"Journal of Bacteriology","id":"ITEM-2","issue":"21","issued":{"date-parts":[["2013"]]},"page":"4816-4825","title":"Depletion of glycolytic intermediates plays a key role in glucose-phosphate stress in escherichia coli","type":"article-journal","volume":"195"},"uris":["http://www.mendeley.com/documents/?uuid=4380d7e5-d5bf-4331-84af-ac616371fafc","http://www.mendeley.com/documents/?uuid=905aa419-b7de-4320-9d8f-24b2fe865e2c"]},{"id":"ITEM-3","itemData":{"DOI":"10.1016/j.bej.2005.05.010","ISSN":"1369703X","abstract":"To investigate how the central metabolism of Escherichia coli changes with the deletion of ldhA (lactate dehydrogenase gene), an integrated study was made by combining the information of cultivation characteristics, gene expressions, enzyme activities, intracellular metabolite concentrations, and metabolic flux distribution. The deletion of ldhA gene reduced the specific growth rate and the specific glucose consumption rate. The production rates of acetate, ethanol, and formate were all higher for the ldhA mutant as compared with those of the parent strain. The anaplerotic enzyme phosphoenol pyruvate carboxylase (Ppc), which is also known to be contributed to catabolic succinate formation under anaerobic condition, was downregulated in the ldhA mutant compared to the parent strain. On the other hand, phosphoenol pyruvate carboxykinase (Pck) that catalyzes the opposite reaction to Ppc was upregulated significantly in the mutant. This was mainly due to the shortage of phosphoenol pyruvate (PEP) in the ldhA mutant as was evidenced by the measurement of intracellular PEP concentration. Interestingly, two other catabolic enzymes, NAD+- and NADP+-specific malic enzymes, were both shown to be present in the parent E. coli but regulated differently in ldhA mutant. The activity of NADP+-specific malic enzyme encoded by maeB remained unchanged, whereas NAD+-specific malic enzyme encoded by sfcA was found to be upregulated significantly in the ldhA mutant compared to those in the parent strain implying that the inactivation of ldhA gene leads to the production of malate from pyruvate. Moreover, it was found that ldhA gene deletion induced a stress response as was evidenced by the significant upregulation of the genes dnaJ, grpE, groS, and fkpA involved in the heat shock response. © 2005 Elsevier B.V. All rights reserved.","author":[{"dropping-particle":"","family":"Kabir","given":"Md Mohiuddin","non-dropping-particle":"","parse-names":false,"suffix":""},{"dropping-particle":"","family":"Pei","given":"Yee Ho","non-dropping-particle":"","parse-names":false,"suffix":""},{"dropping-particle":"","family":"Shimizu","given":"Kazuyuki","non-dropping-particle":"","parse-names":false,"suffix":""}],"container-title":"Biochemical Engineering Journal","id":"ITEM-3","issue":"1","issued":{"date-parts":[["2005"]]},"page":"1-11","title":"Effect of ldhA gene deletion on the metabolism of Escherichia coli based on gene expression, enzyme activities, intracellular metabolite concentrations, and metabolic flux distribution","type":"article-journal","volume":"26"},"uris":["http://www.mendeley.com/documents/?uuid=6074d975-85d4-4d93-a404-e302341c0e74","http://www.mendeley.com/documents/?uuid=23ce00fc-6165-45d9-9218-0e8c61e60f63"]},{"id":"ITEM-4","itemData":{"DOI":"10.1128/IAI.00552-15","ISSN":"10985522","abstract":"Chemokines are best recognized for their role within the innate immune system as chemotactic cytokines, signaling and recruiting host immune cells to sites of infection. Certain chemokines, such as CXCL10, have been found to play an additional role in innate immunity, mediating CXCR3-independent killing of a diverse array of pathogenic microorganisms. While this is still not clearly understood, elucidating the mechanisms underlying chemokine-mediated antimicrobial activity may facilitate the development of novel therapeutic strategies effective against antibiotic-resistant Gram-negative pathogens. Here, we show that CXCL10 exerts antibacterial effects on clinical and laboratory strains of Escherichia coli and report that disruption of pyruvate dehydrogenase complex (PDHc), which converts pyruvate to acetyl coenzyme A, enables E. coli to resist these antimicrobial effects. Through generation and screening of a transposon mutant library, we identified two mutants with increased resistance to CXCL10, both with unique disruptions of the gene encoding the E1 subunit of PDHc, aceE. Resistance to CXCL10 also occurred following deletion of either aceF or lpdA, genes that encode the remaining two subunits of PDHc. Although PDHc resides within the bacterial cytosol, electron microscopy revealed localization of immunogold-labeled CXCL10 to the bacterial cell surface in both the E. coli parent and aceE deletion mutant strains. Taken together, our findings suggest that while CXCL10 interacts with an as-yet-unidentified component on the cell surface, PDHc is an important mediator of killing by CXCL10. To our knowledge, this is the first description of PDHc as a key bacterial component involved in the antibacterial effect of a chemokine.","author":[{"dropping-particle":"","family":"Schutte","given":"Kirsten M.","non-dropping-particle":"","parse-names":false,"suffix":""},{"dropping-particle":"","family":"Fisher","given":"Debra J.","non-dropping-particle":"","parse-names":false,"suffix":""},{"dropping-particle":"","family":"Burdick","given":"Marie D.","non-dropping-particle":"","parse-names":false,"suffix":""},{"dropping-particle":"","family":"Mehrad","given":"Borna","non-dropping-particle":"","parse-names":false,"suffix":""},{"dropping-particle":"","family":"Mathers","given":"Amy J.","non-dropping-particle":"","parse-names":false,"suffix":""},{"dropping-particle":"","family":"Mann","given":"Barbara J.","non-dropping-particle":"","parse-names":false,"suffix":""},{"dropping-particle":"","family":"Nakamoto","given":"Robert K.","non-dropping-particle":"","parse-names":false,"suffix":""},{"dropping-particle":"","family":"Hughes","given":"Molly A.","non-dropping-particle":"","parse-names":false,"suffix":""}],"container-title":"Infection and Immunity","id":"ITEM-4","issue":"1","issued":{"date-parts":[["2015"]]},"page":"320-328","title":"Escherichia coli pyruvate dehydrogenase complex is an important component of CXCL10-mediated antimicrobial activity","type":"article-journal","volume":"84"},"uris":["http://www.mendeley.com/documents/?uuid=aac3fba2-90e8-4f72-9f10-adcdeb7613f7","http://www.mendeley.com/documents/?uuid=7fe9b531-a8e8-4cc3-b6af-725a7b2dac78"]}],"mendeley":{"formattedCitation":"&lt;sup&gt;129,140–142&lt;/sup&gt;","plainTextFormattedCitation":"129,140–142","previouslyFormattedCitation":"&lt;sup&gt;129,140–142&lt;/sup&gt;"},"properties":{"noteIndex":0},"schema":"https://github.com/citation-style-language/schema/raw/master/csl-citation.json"}</w:instrText>
      </w:r>
      <w:r w:rsidRPr="00A71FCF">
        <w:rPr>
          <w:rFonts w:cs="Arial"/>
          <w:szCs w:val="22"/>
        </w:rPr>
        <w:fldChar w:fldCharType="separate"/>
      </w:r>
      <w:r w:rsidR="00A91591" w:rsidRPr="00A91591">
        <w:rPr>
          <w:rFonts w:cs="Arial"/>
          <w:bCs/>
          <w:noProof/>
          <w:szCs w:val="22"/>
          <w:vertAlign w:val="superscript"/>
        </w:rPr>
        <w:t>129,140–142</w:t>
      </w:r>
      <w:r w:rsidRPr="00A71FCF">
        <w:rPr>
          <w:rFonts w:cs="Arial"/>
          <w:szCs w:val="22"/>
        </w:rPr>
        <w:fldChar w:fldCharType="end"/>
      </w:r>
      <w:r w:rsidRPr="00A71FCF">
        <w:rPr>
          <w:rFonts w:cs="Arial"/>
          <w:szCs w:val="22"/>
        </w:rPr>
        <w:t xml:space="preserve">. The ability to extract pyruvate degrading enzymes, leading to unconventional </w:t>
      </w:r>
      <w:bookmarkStart w:id="79" w:name="_Hlk30167276"/>
      <w:r w:rsidRPr="00A71FCF">
        <w:rPr>
          <w:rFonts w:cs="Arial"/>
          <w:szCs w:val="22"/>
        </w:rPr>
        <w:t xml:space="preserve">metabolic states, was engineered and shown to be capable of pooling pyruvate for a significant period of time as well as improving the ethanol titer of the extract.  The ability to direct metabolic flux in cell-free systems and create proteomes untenable to living cells was demonstrated. The flexibility of CFME systems highlights the significant value they hold as novel bioproduction platforms. </w:t>
      </w:r>
      <w:r w:rsidRPr="00A71FCF">
        <w:rPr>
          <w:rFonts w:cs="Arial"/>
          <w:color w:val="000000"/>
          <w:szCs w:val="22"/>
        </w:rPr>
        <w:t xml:space="preserve">The advances made in this work can be extended to design molecule specific donor strains for natural product biosynthesis, such as for polyketides or carbohydrates, through the removal of defined inhibitory reactions. </w:t>
      </w:r>
      <w:r w:rsidRPr="00A71FCF">
        <w:rPr>
          <w:rFonts w:cs="Arial"/>
          <w:szCs w:val="22"/>
        </w:rPr>
        <w:t>The removal of specific components of crude lysates allows for more complex reaction networks to be employed in the development of CFME bioproduction platforms. As CFME begins to tackle new challenges related to antibiotic, fuel, and materials production</w:t>
      </w:r>
      <w:bookmarkEnd w:id="79"/>
      <w:r w:rsidRPr="00A71FCF">
        <w:rPr>
          <w:rFonts w:cs="Arial"/>
          <w:szCs w:val="22"/>
        </w:rPr>
        <w:t xml:space="preserve">, innovative engineering tools and techniques designed to improve its efficiency will be crucial to advancing the scope and adoption of cell-free biological production.    </w:t>
      </w:r>
    </w:p>
    <w:p w14:paraId="374631D7" w14:textId="6140C513" w:rsidR="0031140D" w:rsidRPr="0039202C" w:rsidRDefault="00E0516E" w:rsidP="009A5F94">
      <w:pPr>
        <w:contextualSpacing/>
        <w:jc w:val="center"/>
        <w:rPr>
          <w:rFonts w:cs="Arial"/>
          <w:b/>
          <w:bCs/>
          <w:sz w:val="28"/>
          <w:szCs w:val="28"/>
        </w:rPr>
      </w:pPr>
      <w:r w:rsidRPr="0039202C">
        <w:rPr>
          <w:rFonts w:cs="Arial"/>
          <w:b/>
          <w:bCs/>
          <w:sz w:val="28"/>
          <w:szCs w:val="28"/>
        </w:rPr>
        <w:lastRenderedPageBreak/>
        <w:t>Appendix</w:t>
      </w:r>
    </w:p>
    <w:p w14:paraId="7964377E" w14:textId="77777777" w:rsidR="0031140D" w:rsidRPr="00A71FCF" w:rsidRDefault="0031140D" w:rsidP="0008141D">
      <w:pPr>
        <w:pBdr>
          <w:top w:val="nil"/>
          <w:left w:val="nil"/>
          <w:bottom w:val="nil"/>
          <w:right w:val="nil"/>
          <w:between w:val="nil"/>
        </w:pBdr>
        <w:spacing w:after="280"/>
        <w:contextualSpacing/>
        <w:rPr>
          <w:rFonts w:cs="Arial"/>
          <w:b/>
          <w:szCs w:val="22"/>
        </w:rPr>
      </w:pPr>
    </w:p>
    <w:p w14:paraId="14B1D09E" w14:textId="77777777" w:rsidR="0031140D" w:rsidRPr="00A71FCF" w:rsidRDefault="0031140D" w:rsidP="0008141D">
      <w:pPr>
        <w:keepNext/>
        <w:pBdr>
          <w:top w:val="nil"/>
          <w:left w:val="nil"/>
          <w:bottom w:val="nil"/>
          <w:right w:val="nil"/>
          <w:between w:val="nil"/>
        </w:pBdr>
        <w:spacing w:after="280"/>
        <w:contextualSpacing/>
        <w:rPr>
          <w:rFonts w:cs="Arial"/>
          <w:szCs w:val="22"/>
        </w:rPr>
      </w:pPr>
      <w:r w:rsidRPr="00A71FCF">
        <w:rPr>
          <w:rFonts w:cs="Arial"/>
          <w:noProof/>
          <w:szCs w:val="22"/>
        </w:rPr>
        <w:drawing>
          <wp:inline distT="0" distB="0" distL="0" distR="0" wp14:anchorId="7FBCC0B0" wp14:editId="0739131B">
            <wp:extent cx="5943600" cy="3434963"/>
            <wp:effectExtent l="0" t="0" r="0" b="13335"/>
            <wp:docPr id="6" name="Chart 6">
              <a:extLst xmlns:a="http://schemas.openxmlformats.org/drawingml/2006/main">
                <a:ext uri="{FF2B5EF4-FFF2-40B4-BE49-F238E27FC236}">
                  <a16:creationId xmlns:a16="http://schemas.microsoft.com/office/drawing/2014/main" id="{1F69B264-887E-144E-8D0F-F5ED03BDCA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49CE9FC" w14:textId="26BC7441" w:rsidR="0031140D" w:rsidRPr="00A71FCF" w:rsidRDefault="0031140D" w:rsidP="009A5F94">
      <w:pPr>
        <w:pStyle w:val="Figurecaption"/>
        <w:rPr>
          <w:i/>
          <w:color w:val="000000"/>
        </w:rPr>
      </w:pPr>
      <w:bookmarkStart w:id="80" w:name="_Toc129701149"/>
      <w:r w:rsidRPr="00A71FCF">
        <w:t xml:space="preserve">Figure </w:t>
      </w:r>
      <w:r w:rsidR="002B385F">
        <w:t>3.</w:t>
      </w:r>
      <w:r w:rsidR="00C65F71">
        <w:t>6</w:t>
      </w:r>
      <w:r w:rsidR="002B385F">
        <w:t>.</w:t>
      </w:r>
      <w:r w:rsidRPr="00A71FCF">
        <w:t xml:space="preserve"> Growth rate and terminal OD600 as measured using a WPA CO 8000 Cell Density Meter (</w:t>
      </w:r>
      <w:proofErr w:type="spellStart"/>
      <w:r w:rsidRPr="00A71FCF">
        <w:t>Biochrom</w:t>
      </w:r>
      <w:proofErr w:type="spellEnd"/>
      <w:r w:rsidRPr="00A71FCF">
        <w:t xml:space="preserve"> Ltd., Cambridge, UK) for each of the four main strains generated in this study.</w:t>
      </w:r>
      <w:bookmarkEnd w:id="80"/>
    </w:p>
    <w:p w14:paraId="12C91EF3" w14:textId="77777777" w:rsidR="0031140D" w:rsidRPr="00A71FCF" w:rsidRDefault="0031140D" w:rsidP="0008141D">
      <w:pPr>
        <w:pStyle w:val="Caption"/>
        <w:contextualSpacing/>
        <w:rPr>
          <w:rFonts w:ascii="Arial" w:hAnsi="Arial" w:cs="Arial"/>
          <w:i w:val="0"/>
          <w:iCs w:val="0"/>
          <w:color w:val="auto"/>
          <w:sz w:val="22"/>
          <w:szCs w:val="22"/>
        </w:rPr>
      </w:pPr>
    </w:p>
    <w:p w14:paraId="48B4FECF" w14:textId="77777777" w:rsidR="0031140D" w:rsidRPr="00E0516E" w:rsidRDefault="0031140D" w:rsidP="00E0516E">
      <w:pPr>
        <w:pStyle w:val="Caption"/>
        <w:keepNext/>
        <w:contextualSpacing/>
        <w:jc w:val="center"/>
        <w:rPr>
          <w:rFonts w:ascii="Arial" w:hAnsi="Arial" w:cs="Arial"/>
          <w:i w:val="0"/>
          <w:iCs w:val="0"/>
          <w:sz w:val="22"/>
          <w:szCs w:val="22"/>
        </w:rPr>
      </w:pPr>
      <w:r w:rsidRPr="00A71FCF">
        <w:rPr>
          <w:rFonts w:ascii="Arial" w:hAnsi="Arial" w:cs="Arial"/>
          <w:noProof/>
          <w:sz w:val="22"/>
          <w:szCs w:val="22"/>
        </w:rPr>
        <w:lastRenderedPageBreak/>
        <mc:AlternateContent>
          <mc:Choice Requires="wpg">
            <w:drawing>
              <wp:inline distT="0" distB="0" distL="0" distR="0" wp14:anchorId="339EAD54" wp14:editId="0DA239BB">
                <wp:extent cx="5182755" cy="6192982"/>
                <wp:effectExtent l="0" t="0" r="0" b="5080"/>
                <wp:docPr id="8" name="Group 9"/>
                <wp:cNvGraphicFramePr/>
                <a:graphic xmlns:a="http://schemas.openxmlformats.org/drawingml/2006/main">
                  <a:graphicData uri="http://schemas.microsoft.com/office/word/2010/wordprocessingGroup">
                    <wpg:wgp>
                      <wpg:cNvGrpSpPr/>
                      <wpg:grpSpPr>
                        <a:xfrm>
                          <a:off x="0" y="0"/>
                          <a:ext cx="5182755" cy="6192982"/>
                          <a:chOff x="0" y="0"/>
                          <a:chExt cx="5148680" cy="6858000"/>
                        </a:xfrm>
                      </wpg:grpSpPr>
                      <pic:pic xmlns:pic="http://schemas.openxmlformats.org/drawingml/2006/picture">
                        <pic:nvPicPr>
                          <pic:cNvPr id="9" name="Picture 9" descr="Diagram&#10;&#10;Description automatically generated"/>
                          <pic:cNvPicPr>
                            <a:picLocks noChangeAspect="1"/>
                          </pic:cNvPicPr>
                        </pic:nvPicPr>
                        <pic:blipFill>
                          <a:blip r:embed="rId26" cstate="screen">
                            <a:extLst>
                              <a:ext uri="{28A0092B-C50C-407E-A947-70E740481C1C}">
                                <a14:useLocalDpi xmlns:a14="http://schemas.microsoft.com/office/drawing/2010/main"/>
                              </a:ext>
                            </a:extLst>
                          </a:blip>
                          <a:stretch>
                            <a:fillRect/>
                          </a:stretch>
                        </pic:blipFill>
                        <pic:spPr>
                          <a:xfrm>
                            <a:off x="0" y="0"/>
                            <a:ext cx="5148680" cy="6858000"/>
                          </a:xfrm>
                          <a:prstGeom prst="rect">
                            <a:avLst/>
                          </a:prstGeom>
                        </pic:spPr>
                      </pic:pic>
                      <wps:wsp>
                        <wps:cNvPr id="10" name="Text Box 2"/>
                        <wps:cNvSpPr txBox="1">
                          <a:spLocks noChangeArrowheads="1"/>
                        </wps:cNvSpPr>
                        <wps:spPr bwMode="auto">
                          <a:xfrm>
                            <a:off x="1158290" y="141428"/>
                            <a:ext cx="1416050" cy="280670"/>
                          </a:xfrm>
                          <a:prstGeom prst="rect">
                            <a:avLst/>
                          </a:prstGeom>
                          <a:solidFill>
                            <a:srgbClr val="FFFFFF"/>
                          </a:solidFill>
                          <a:ln w="9525">
                            <a:solidFill>
                              <a:schemeClr val="bg1"/>
                            </a:solidFill>
                            <a:miter lim="800000"/>
                            <a:headEnd/>
                            <a:tailEnd/>
                          </a:ln>
                        </wps:spPr>
                        <wps:txbx>
                          <w:txbxContent>
                            <w:p w14:paraId="7D201583" w14:textId="77777777" w:rsidR="0031140D" w:rsidRDefault="0031140D" w:rsidP="0031140D">
                              <w:pPr>
                                <w:spacing w:line="256" w:lineRule="auto"/>
                              </w:pPr>
                              <w:r>
                                <w:rPr>
                                  <w:b/>
                                  <w:bCs/>
                                  <w:color w:val="000000" w:themeColor="text1"/>
                                  <w:kern w:val="24"/>
                                </w:rPr>
                                <w:t>NONDEPLETED</w:t>
                              </w:r>
                            </w:p>
                          </w:txbxContent>
                        </wps:txbx>
                        <wps:bodyPr rot="0" vert="horz" wrap="square" lIns="91440" tIns="45720" rIns="91440" bIns="45720" anchor="t" anchorCtr="0">
                          <a:noAutofit/>
                        </wps:bodyPr>
                      </wps:wsp>
                      <wps:wsp>
                        <wps:cNvPr id="16" name="Text Box 2"/>
                        <wps:cNvSpPr txBox="1">
                          <a:spLocks noChangeArrowheads="1"/>
                        </wps:cNvSpPr>
                        <wps:spPr bwMode="auto">
                          <a:xfrm>
                            <a:off x="3486009" y="141428"/>
                            <a:ext cx="1416050" cy="280670"/>
                          </a:xfrm>
                          <a:prstGeom prst="rect">
                            <a:avLst/>
                          </a:prstGeom>
                          <a:solidFill>
                            <a:srgbClr val="FFFFFF"/>
                          </a:solidFill>
                          <a:ln w="9525">
                            <a:solidFill>
                              <a:schemeClr val="bg1"/>
                            </a:solidFill>
                            <a:miter lim="800000"/>
                            <a:headEnd/>
                            <a:tailEnd/>
                          </a:ln>
                        </wps:spPr>
                        <wps:txbx>
                          <w:txbxContent>
                            <w:p w14:paraId="6663BA14" w14:textId="77777777" w:rsidR="0031140D" w:rsidRDefault="0031140D" w:rsidP="0031140D">
                              <w:pPr>
                                <w:spacing w:line="256" w:lineRule="auto"/>
                              </w:pPr>
                              <w:r>
                                <w:rPr>
                                  <w:b/>
                                  <w:bCs/>
                                  <w:color w:val="000000" w:themeColor="text1"/>
                                  <w:kern w:val="24"/>
                                </w:rPr>
                                <w:t>DEPLETED</w:t>
                              </w:r>
                            </w:p>
                          </w:txbxContent>
                        </wps:txbx>
                        <wps:bodyPr rot="0" vert="horz" wrap="square" lIns="91440" tIns="45720" rIns="91440" bIns="45720" anchor="t" anchorCtr="0">
                          <a:noAutofit/>
                        </wps:bodyPr>
                      </wps:wsp>
                    </wpg:wgp>
                  </a:graphicData>
                </a:graphic>
              </wp:inline>
            </w:drawing>
          </mc:Choice>
          <mc:Fallback>
            <w:pict>
              <v:group w14:anchorId="339EAD54" id="Group 9" o:spid="_x0000_s1027" style="width:408.1pt;height:487.65pt;mso-position-horizontal-relative:char;mso-position-vertical-relative:line" coordsize="51486,6858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W/fy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alt="Diagram&#10;&#10;Description automatically generated" style="position:absolute;width:51486;height:685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">
                  <v:imagedata r:id="rId27" o:title="Diagram&#10;&#10;Description automatically generated"/>
                </v:shape>
                <v:shapetype id="_x0000_t202" coordsize="21600,21600" o:spt="202" path="m,l,21600r21600,l21600,xe">
                  <v:stroke joinstyle="miter"/>
                  <v:path gradientshapeok="t" o:connecttype="rect"/>
                </v:shapetype>
                <v:shape id="Text Box 2" o:spid="_x0000_s1029" type="#_x0000_t202" style="position:absolute;left:11582;top:1414;width:14161;height:280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" strokecolor="white [3212]">
                  <v:textbox>
                    <w:txbxContent>
                      <w:p w14:paraId="7D201583" w14:textId="77777777" w:rsidR="0031140D" w:rsidRDefault="0031140D" w:rsidP="0031140D">
                        <w:pPr>
                          <w:spacing w:line="256" w:lineRule="auto"/>
                        </w:pPr>
                        <w:r>
                          <w:rPr>
                            <w:b/>
                            <w:bCs/>
                            <w:color w:val="000000" w:themeColor="text1"/>
                            <w:kern w:val="24"/>
                          </w:rPr>
                          <w:t>NONDEPLETED</w:t>
                        </w:r>
                      </w:p>
                    </w:txbxContent>
                  </v:textbox>
                </v:shape>
                <v:shape id="Text Box 2" o:spid="_x0000_s1030" type="#_x0000_t202" style="position:absolute;left:34860;top:1414;width:14160;height:280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" strokecolor="white [3212]">
                  <v:textbox>
                    <w:txbxContent>
                      <w:p w14:paraId="6663BA14" w14:textId="77777777" w:rsidR="0031140D" w:rsidRDefault="0031140D" w:rsidP="0031140D">
                        <w:pPr>
                          <w:spacing w:line="256" w:lineRule="auto"/>
                        </w:pPr>
                        <w:r>
                          <w:rPr>
                            <w:b/>
                            <w:bCs/>
                            <w:color w:val="000000" w:themeColor="text1"/>
                            <w:kern w:val="24"/>
                          </w:rPr>
                          <w:t>DEPLETED</w:t>
                        </w:r>
                      </w:p>
                    </w:txbxContent>
                  </v:textbox>
                </v:shape>
                <w10:anchorlock/>
              </v:group>
            </w:pict>
          </mc:Fallback>
        </mc:AlternateContent>
      </w:r>
    </w:p>
    <w:p w14:paraId="62A01D52" w14:textId="2B86DD00" w:rsidR="0031140D" w:rsidRPr="00A71FCF" w:rsidRDefault="0031140D" w:rsidP="0008141D">
      <w:pPr>
        <w:pStyle w:val="Caption"/>
        <w:contextualSpacing/>
        <w:rPr>
          <w:rFonts w:ascii="Arial" w:hAnsi="Arial" w:cs="Arial"/>
          <w:i w:val="0"/>
          <w:iCs w:val="0"/>
          <w:color w:val="auto"/>
          <w:sz w:val="22"/>
          <w:szCs w:val="22"/>
        </w:rPr>
      </w:pPr>
      <w:bookmarkStart w:id="81" w:name="_Toc129701150"/>
      <w:r w:rsidRPr="009A5F94">
        <w:rPr>
          <w:rStyle w:val="FigurecaptionChar"/>
          <w:i w:val="0"/>
          <w:iCs w:val="0"/>
        </w:rPr>
        <w:t xml:space="preserve">Figure </w:t>
      </w:r>
      <w:r w:rsidR="009A5F94" w:rsidRPr="009A5F94">
        <w:rPr>
          <w:rStyle w:val="FigurecaptionChar"/>
          <w:i w:val="0"/>
          <w:iCs w:val="0"/>
        </w:rPr>
        <w:t>3.7.</w:t>
      </w:r>
      <w:r w:rsidRPr="009A5F94">
        <w:rPr>
          <w:rStyle w:val="FigurecaptionChar"/>
          <w:i w:val="0"/>
          <w:iCs w:val="0"/>
        </w:rPr>
        <w:t xml:space="preserve"> Glucose consumption and fermentation product concentrations over time in</w:t>
      </w:r>
      <w:r w:rsidR="009A5F94" w:rsidRPr="009A5F94">
        <w:rPr>
          <w:rStyle w:val="FigurecaptionChar"/>
          <w:i w:val="0"/>
          <w:iCs w:val="0"/>
        </w:rPr>
        <w:t xml:space="preserve"> modified lysates.</w:t>
      </w:r>
      <w:bookmarkEnd w:id="81"/>
      <w:r w:rsidRPr="009A5F94">
        <w:rPr>
          <w:rStyle w:val="FigurecaptionChar"/>
          <w:i w:val="0"/>
          <w:iCs w:val="0"/>
        </w:rPr>
        <w:t xml:space="preserve"> </w:t>
      </w:r>
      <w:r w:rsidRPr="00A71FCF">
        <w:rPr>
          <w:rFonts w:ascii="Arial" w:hAnsi="Arial" w:cs="Arial"/>
          <w:i w:val="0"/>
          <w:iCs w:val="0"/>
          <w:color w:val="auto"/>
          <w:sz w:val="22"/>
          <w:szCs w:val="22"/>
        </w:rPr>
        <w:t>A</w:t>
      </w:r>
      <w:r w:rsidR="009A5F94">
        <w:rPr>
          <w:rFonts w:ascii="Arial" w:hAnsi="Arial" w:cs="Arial"/>
          <w:i w:val="0"/>
          <w:iCs w:val="0"/>
          <w:color w:val="auto"/>
          <w:sz w:val="22"/>
          <w:szCs w:val="22"/>
        </w:rPr>
        <w:t>)</w:t>
      </w:r>
      <w:r w:rsidRPr="00A71FCF">
        <w:rPr>
          <w:rFonts w:ascii="Arial" w:hAnsi="Arial" w:cs="Arial"/>
          <w:i w:val="0"/>
          <w:iCs w:val="0"/>
          <w:color w:val="auto"/>
          <w:sz w:val="22"/>
          <w:szCs w:val="22"/>
        </w:rPr>
        <w:t xml:space="preserve"> WT, B</w:t>
      </w:r>
      <w:r w:rsidR="009A5F94">
        <w:rPr>
          <w:rFonts w:ascii="Arial" w:hAnsi="Arial" w:cs="Arial"/>
          <w:i w:val="0"/>
          <w:iCs w:val="0"/>
          <w:color w:val="auto"/>
          <w:sz w:val="22"/>
          <w:szCs w:val="22"/>
        </w:rPr>
        <w:t>)</w:t>
      </w:r>
      <w:r w:rsidRPr="00A71FCF">
        <w:rPr>
          <w:rFonts w:ascii="Arial" w:hAnsi="Arial" w:cs="Arial"/>
          <w:i w:val="0"/>
          <w:iCs w:val="0"/>
          <w:color w:val="auto"/>
          <w:sz w:val="22"/>
          <w:szCs w:val="22"/>
        </w:rPr>
        <w:t xml:space="preserve"> 6xHis-pflB, </w:t>
      </w:r>
      <w:r w:rsidR="009A5F94">
        <w:rPr>
          <w:rFonts w:ascii="Arial" w:hAnsi="Arial" w:cs="Arial"/>
          <w:i w:val="0"/>
          <w:iCs w:val="0"/>
          <w:color w:val="auto"/>
          <w:sz w:val="22"/>
          <w:szCs w:val="22"/>
        </w:rPr>
        <w:t>C)</w:t>
      </w:r>
      <w:r w:rsidRPr="00A71FCF">
        <w:rPr>
          <w:rFonts w:ascii="Arial" w:hAnsi="Arial" w:cs="Arial"/>
          <w:i w:val="0"/>
          <w:iCs w:val="0"/>
          <w:color w:val="auto"/>
          <w:sz w:val="22"/>
          <w:szCs w:val="22"/>
        </w:rPr>
        <w:t xml:space="preserve"> 6xHis-ldhA, D</w:t>
      </w:r>
      <w:r w:rsidR="009A5F94">
        <w:rPr>
          <w:rFonts w:ascii="Arial" w:hAnsi="Arial" w:cs="Arial"/>
          <w:i w:val="0"/>
          <w:iCs w:val="0"/>
          <w:color w:val="auto"/>
          <w:sz w:val="22"/>
          <w:szCs w:val="22"/>
        </w:rPr>
        <w:t>)</w:t>
      </w:r>
      <w:r w:rsidRPr="00A71FCF">
        <w:rPr>
          <w:rFonts w:ascii="Arial" w:hAnsi="Arial" w:cs="Arial"/>
          <w:i w:val="0"/>
          <w:iCs w:val="0"/>
          <w:color w:val="auto"/>
          <w:sz w:val="22"/>
          <w:szCs w:val="22"/>
        </w:rPr>
        <w:t xml:space="preserve"> 6xHis-2, E</w:t>
      </w:r>
      <w:r w:rsidR="009A5F94">
        <w:rPr>
          <w:rFonts w:ascii="Arial" w:hAnsi="Arial" w:cs="Arial"/>
          <w:i w:val="0"/>
          <w:iCs w:val="0"/>
          <w:color w:val="auto"/>
          <w:sz w:val="22"/>
          <w:szCs w:val="22"/>
        </w:rPr>
        <w:t>)</w:t>
      </w:r>
      <w:r w:rsidRPr="00A71FCF">
        <w:rPr>
          <w:rFonts w:ascii="Arial" w:hAnsi="Arial" w:cs="Arial"/>
          <w:i w:val="0"/>
          <w:iCs w:val="0"/>
          <w:color w:val="auto"/>
          <w:sz w:val="22"/>
          <w:szCs w:val="22"/>
        </w:rPr>
        <w:t xml:space="preserve"> 6xHis-3, and F</w:t>
      </w:r>
      <w:r w:rsidR="009A5F94">
        <w:rPr>
          <w:rFonts w:ascii="Arial" w:hAnsi="Arial" w:cs="Arial"/>
          <w:i w:val="0"/>
          <w:iCs w:val="0"/>
          <w:color w:val="auto"/>
          <w:sz w:val="22"/>
          <w:szCs w:val="22"/>
        </w:rPr>
        <w:t>)</w:t>
      </w:r>
      <w:r w:rsidRPr="00A71FCF">
        <w:rPr>
          <w:rFonts w:ascii="Arial" w:hAnsi="Arial" w:cs="Arial"/>
          <w:i w:val="0"/>
          <w:iCs w:val="0"/>
          <w:color w:val="auto"/>
          <w:sz w:val="22"/>
          <w:szCs w:val="22"/>
        </w:rPr>
        <w:t xml:space="preserve"> 6xHis-4 lysates. Data and standard deviation for the time course reactions were acquired using n=3 biological replicates. Depleted extracts have had specific 6xHis-tagged proteins removed by incubating them with cobalt beads. Extracts containing tagged proteins, but without an incubation step, are referred to as nondepleted.</w:t>
      </w:r>
    </w:p>
    <w:p w14:paraId="3391AFA0" w14:textId="55484BBE" w:rsidR="0031140D" w:rsidRPr="00A71FCF" w:rsidRDefault="0039202C" w:rsidP="00E0516E">
      <w:pPr>
        <w:keepNext/>
        <w:widowControl w:val="0"/>
        <w:autoSpaceDE w:val="0"/>
        <w:autoSpaceDN w:val="0"/>
        <w:adjustRightInd w:val="0"/>
        <w:contextualSpacing/>
        <w:jc w:val="center"/>
        <w:rPr>
          <w:rFonts w:cs="Arial"/>
          <w:szCs w:val="22"/>
        </w:rPr>
      </w:pPr>
      <w:r>
        <w:rPr>
          <w:rFonts w:cs="Arial"/>
          <w:noProof/>
          <w:szCs w:val="22"/>
        </w:rPr>
        <w:lastRenderedPageBreak/>
        <w:drawing>
          <wp:inline distT="0" distB="0" distL="0" distR="0" wp14:anchorId="518E9E86" wp14:editId="104C981E">
            <wp:extent cx="5792292" cy="3419061"/>
            <wp:effectExtent l="0" t="0" r="0" b="0"/>
            <wp:docPr id="201" name="Picture 20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Chart, line chart&#10;&#10;Description automatically generated"/>
                    <pic:cNvPicPr/>
                  </pic:nvPicPr>
                  <pic:blipFill>
                    <a:blip r:embed="rId28" cstate="screen">
                      <a:extLst>
                        <a:ext uri="{28A0092B-C50C-407E-A947-70E740481C1C}">
                          <a14:useLocalDpi xmlns:a14="http://schemas.microsoft.com/office/drawing/2010/main"/>
                        </a:ext>
                      </a:extLst>
                    </a:blip>
                    <a:stretch>
                      <a:fillRect/>
                    </a:stretch>
                  </pic:blipFill>
                  <pic:spPr>
                    <a:xfrm>
                      <a:off x="0" y="0"/>
                      <a:ext cx="5814562" cy="3432206"/>
                    </a:xfrm>
                    <a:prstGeom prst="rect">
                      <a:avLst/>
                    </a:prstGeom>
                  </pic:spPr>
                </pic:pic>
              </a:graphicData>
            </a:graphic>
          </wp:inline>
        </w:drawing>
      </w:r>
    </w:p>
    <w:p w14:paraId="770B68FC" w14:textId="08E1316C" w:rsidR="0031140D" w:rsidRPr="00A71FCF" w:rsidRDefault="0031140D" w:rsidP="0008141D">
      <w:pPr>
        <w:keepNext/>
        <w:widowControl w:val="0"/>
        <w:autoSpaceDE w:val="0"/>
        <w:autoSpaceDN w:val="0"/>
        <w:adjustRightInd w:val="0"/>
        <w:contextualSpacing/>
        <w:rPr>
          <w:rFonts w:cs="Arial"/>
          <w:szCs w:val="22"/>
        </w:rPr>
      </w:pPr>
      <w:bookmarkStart w:id="82" w:name="_Toc129701151"/>
      <w:r w:rsidRPr="009A5F94">
        <w:rPr>
          <w:rStyle w:val="FigurecaptionChar"/>
        </w:rPr>
        <w:t xml:space="preserve">Figure </w:t>
      </w:r>
      <w:r w:rsidR="002B385F" w:rsidRPr="009A5F94">
        <w:rPr>
          <w:rStyle w:val="FigurecaptionChar"/>
        </w:rPr>
        <w:t>3.</w:t>
      </w:r>
      <w:r w:rsidR="00C65F71" w:rsidRPr="009A5F94">
        <w:rPr>
          <w:rStyle w:val="FigurecaptionChar"/>
        </w:rPr>
        <w:t>8</w:t>
      </w:r>
      <w:r w:rsidRPr="009A5F94">
        <w:rPr>
          <w:rStyle w:val="FigurecaptionChar"/>
        </w:rPr>
        <w:t>. Comparison of pyruvate consumption using depleted WT and Δ4 extracts.</w:t>
      </w:r>
      <w:bookmarkEnd w:id="82"/>
      <w:r w:rsidRPr="00A71FCF">
        <w:rPr>
          <w:rFonts w:cs="Arial"/>
          <w:szCs w:val="22"/>
        </w:rPr>
        <w:t xml:space="preserve"> All reaction conditions were exactly as those used for the glucose consuming reactions aside from the replacement of glucose with 25 mM pyruvate.</w:t>
      </w:r>
    </w:p>
    <w:p w14:paraId="0BC77FEA" w14:textId="77777777" w:rsidR="0031140D" w:rsidRPr="00A71FCF" w:rsidRDefault="0031140D" w:rsidP="0008141D">
      <w:pPr>
        <w:contextualSpacing/>
        <w:rPr>
          <w:rFonts w:cs="Arial"/>
          <w:szCs w:val="22"/>
        </w:rPr>
      </w:pPr>
    </w:p>
    <w:p w14:paraId="3FFC0135" w14:textId="77777777" w:rsidR="0039202C" w:rsidRDefault="0039202C">
      <w:pPr>
        <w:rPr>
          <w:rFonts w:cs="Arial"/>
          <w:szCs w:val="22"/>
        </w:rPr>
      </w:pPr>
      <w:r>
        <w:rPr>
          <w:rFonts w:cs="Arial"/>
          <w:szCs w:val="22"/>
        </w:rPr>
        <w:br w:type="page"/>
      </w:r>
    </w:p>
    <w:p w14:paraId="7F82EAED" w14:textId="657476BC" w:rsidR="0031140D" w:rsidRPr="00A71FCF" w:rsidRDefault="0031140D" w:rsidP="00E0516E">
      <w:pPr>
        <w:contextualSpacing/>
        <w:jc w:val="center"/>
        <w:rPr>
          <w:rFonts w:cs="Arial"/>
          <w:szCs w:val="22"/>
        </w:rPr>
      </w:pPr>
      <w:r w:rsidRPr="00A71FCF">
        <w:rPr>
          <w:rFonts w:cs="Arial"/>
          <w:b/>
          <w:bCs/>
          <w:noProof/>
          <w:szCs w:val="22"/>
        </w:rPr>
        <w:lastRenderedPageBreak/>
        <w:drawing>
          <wp:inline distT="0" distB="0" distL="0" distR="0" wp14:anchorId="6A2A5045" wp14:editId="092C03EE">
            <wp:extent cx="5943600" cy="2676939"/>
            <wp:effectExtent l="0" t="0" r="0" b="3175"/>
            <wp:docPr id="2" name="Picture 2" descr="A picture containing photo, table, wine,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hoto, table, wine, plane&#10;&#10;Description automatically generated"/>
                    <pic:cNvPicPr/>
                  </pic:nvPicPr>
                  <pic:blipFill>
                    <a:blip r:embed="rId29"/>
                    <a:stretch>
                      <a:fillRect/>
                    </a:stretch>
                  </pic:blipFill>
                  <pic:spPr>
                    <a:xfrm>
                      <a:off x="0" y="0"/>
                      <a:ext cx="5950884" cy="2680220"/>
                    </a:xfrm>
                    <a:prstGeom prst="rect">
                      <a:avLst/>
                    </a:prstGeom>
                  </pic:spPr>
                </pic:pic>
              </a:graphicData>
            </a:graphic>
          </wp:inline>
        </w:drawing>
      </w:r>
    </w:p>
    <w:p w14:paraId="5C7B8BC5" w14:textId="6C60F8E5" w:rsidR="002B385F" w:rsidRDefault="0031140D" w:rsidP="0008141D">
      <w:pPr>
        <w:contextualSpacing/>
        <w:rPr>
          <w:rFonts w:eastAsia="Times New Roman" w:cs="Arial"/>
          <w:color w:val="000000"/>
          <w:szCs w:val="22"/>
          <w:shd w:val="clear" w:color="auto" w:fill="FFFFFF"/>
        </w:rPr>
      </w:pPr>
      <w:bookmarkStart w:id="83" w:name="_Toc129701152"/>
      <w:bookmarkEnd w:id="40"/>
      <w:r w:rsidRPr="009A5F94">
        <w:rPr>
          <w:rStyle w:val="FigurecaptionChar"/>
        </w:rPr>
        <w:t xml:space="preserve">Figure </w:t>
      </w:r>
      <w:r w:rsidR="002B385F" w:rsidRPr="009A5F94">
        <w:rPr>
          <w:rStyle w:val="FigurecaptionChar"/>
        </w:rPr>
        <w:t>3.</w:t>
      </w:r>
      <w:r w:rsidR="00C65F71" w:rsidRPr="009A5F94">
        <w:rPr>
          <w:rStyle w:val="FigurecaptionChar"/>
        </w:rPr>
        <w:t>9</w:t>
      </w:r>
      <w:r w:rsidRPr="009A5F94">
        <w:rPr>
          <w:rStyle w:val="FigurecaptionChar"/>
        </w:rPr>
        <w:t>. Anti-6xHis western blot showing successful pull-downs of target proteins.</w:t>
      </w:r>
      <w:bookmarkEnd w:id="83"/>
      <w:r w:rsidRPr="00A71FCF">
        <w:rPr>
          <w:rFonts w:cs="Arial"/>
          <w:szCs w:val="22"/>
        </w:rPr>
        <w:t xml:space="preserve"> Briefly, eluants from cobalt beads used to treat each lysate were concentrated to 0.6 mg/mL total protein concentrations. Protein solutions were denatured with equal volumes of 2x </w:t>
      </w:r>
      <w:proofErr w:type="spellStart"/>
      <w:r w:rsidRPr="00A71FCF">
        <w:rPr>
          <w:rFonts w:cs="Arial"/>
          <w:szCs w:val="22"/>
        </w:rPr>
        <w:t>Laemli</w:t>
      </w:r>
      <w:proofErr w:type="spellEnd"/>
      <w:r w:rsidRPr="00A71FCF">
        <w:rPr>
          <w:rFonts w:cs="Arial"/>
          <w:szCs w:val="22"/>
        </w:rPr>
        <w:t xml:space="preserve"> Sample Buffer (Bio-Rad) and boiled. Samples were loaded onto a 10 % Tris-glycine gel (</w:t>
      </w:r>
      <w:proofErr w:type="spellStart"/>
      <w:r w:rsidRPr="00A71FCF">
        <w:rPr>
          <w:rFonts w:cs="Arial"/>
          <w:szCs w:val="22"/>
        </w:rPr>
        <w:t>Bio-RAD</w:t>
      </w:r>
      <w:proofErr w:type="spellEnd"/>
      <w:r w:rsidRPr="00A71FCF">
        <w:rPr>
          <w:rFonts w:cs="Arial"/>
          <w:szCs w:val="22"/>
        </w:rPr>
        <w:t xml:space="preserve">) and separated by denaturing PAGE. A </w:t>
      </w:r>
      <w:r w:rsidRPr="00A71FCF">
        <w:rPr>
          <w:rFonts w:eastAsia="Times New Roman" w:cs="Arial"/>
          <w:color w:val="000000"/>
          <w:szCs w:val="22"/>
          <w:shd w:val="clear" w:color="auto" w:fill="FFFFFF"/>
        </w:rPr>
        <w:t>Bio-Rad (Hercules, California) Trans-Blot SD Semidry Transfer Cell was used to transfer bands onto a PVDF membrane. The membrane was probed with 6xHis-tag Monoclonal Antibodies (Thermo Fisher Scientific, Waltham, MA) overnight after blocking with Pierce Protein Free (TBS) Blocking Buffer (Thermo Fisher Scientific, Waltham, MA). Blots were incubated with the relevant secondary antibody, HRP conjugate then developed with Pierce DAB Substrate (Thermo Fisher Scientific, Waltham, MA).</w:t>
      </w:r>
    </w:p>
    <w:p w14:paraId="5F395310" w14:textId="35347FFA" w:rsidR="00F42789" w:rsidRDefault="00F42789">
      <w:pPr>
        <w:spacing w:line="240" w:lineRule="auto"/>
        <w:jc w:val="left"/>
        <w:rPr>
          <w:rFonts w:eastAsia="Times New Roman" w:cs="Arial"/>
          <w:color w:val="000000"/>
          <w:szCs w:val="22"/>
          <w:shd w:val="clear" w:color="auto" w:fill="FFFFFF"/>
        </w:rPr>
      </w:pPr>
      <w:r>
        <w:rPr>
          <w:rFonts w:eastAsia="Times New Roman" w:cs="Arial"/>
          <w:color w:val="000000"/>
          <w:szCs w:val="22"/>
          <w:shd w:val="clear" w:color="auto" w:fill="FFFFFF"/>
        </w:rPr>
        <w:br w:type="page"/>
      </w:r>
    </w:p>
    <w:p w14:paraId="3A1E7AA1" w14:textId="3829C9D4" w:rsidR="00F42789" w:rsidRDefault="00F42789" w:rsidP="000829C3">
      <w:pPr>
        <w:contextualSpacing/>
        <w:jc w:val="center"/>
        <w:rPr>
          <w:rFonts w:eastAsia="Times New Roman" w:cs="Arial"/>
          <w:color w:val="000000"/>
          <w:szCs w:val="22"/>
          <w:shd w:val="clear" w:color="auto" w:fill="FFFFFF"/>
        </w:rPr>
      </w:pPr>
      <w:r>
        <w:rPr>
          <w:rFonts w:eastAsia="Times New Roman" w:cs="Arial"/>
          <w:noProof/>
          <w:color w:val="000000"/>
          <w:szCs w:val="22"/>
          <w:shd w:val="clear" w:color="auto" w:fill="FFFFFF"/>
        </w:rPr>
        <w:lastRenderedPageBreak/>
        <w:drawing>
          <wp:inline distT="0" distB="0" distL="0" distR="0" wp14:anchorId="555D1B00" wp14:editId="50812953">
            <wp:extent cx="4683211" cy="3822621"/>
            <wp:effectExtent l="0" t="0" r="3175" b="635"/>
            <wp:docPr id="244" name="Picture 244" descr="A picture containing text, monitor, remote,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descr="A picture containing text, monitor, remote, black&#10;&#10;Description automatically generated"/>
                    <pic:cNvPicPr/>
                  </pic:nvPicPr>
                  <pic:blipFill>
                    <a:blip r:embed="rId30" cstate="screen">
                      <a:extLst>
                        <a:ext uri="{28A0092B-C50C-407E-A947-70E740481C1C}">
                          <a14:useLocalDpi xmlns:a14="http://schemas.microsoft.com/office/drawing/2010/main"/>
                        </a:ext>
                      </a:extLst>
                    </a:blip>
                    <a:stretch>
                      <a:fillRect/>
                    </a:stretch>
                  </pic:blipFill>
                  <pic:spPr>
                    <a:xfrm>
                      <a:off x="0" y="0"/>
                      <a:ext cx="4688960" cy="3827314"/>
                    </a:xfrm>
                    <a:prstGeom prst="rect">
                      <a:avLst/>
                    </a:prstGeom>
                  </pic:spPr>
                </pic:pic>
              </a:graphicData>
            </a:graphic>
          </wp:inline>
        </w:drawing>
      </w:r>
    </w:p>
    <w:p w14:paraId="0E729576" w14:textId="5A1DC30C" w:rsidR="00F42789" w:rsidRDefault="00F42789" w:rsidP="006823C8">
      <w:pPr>
        <w:contextualSpacing/>
        <w:rPr>
          <w:rFonts w:eastAsia="Times New Roman" w:cs="Arial"/>
          <w:color w:val="000000"/>
          <w:szCs w:val="22"/>
          <w:shd w:val="clear" w:color="auto" w:fill="FFFFFF"/>
        </w:rPr>
      </w:pPr>
      <w:bookmarkStart w:id="84" w:name="_Toc129701153"/>
      <w:r w:rsidRPr="000829C3">
        <w:rPr>
          <w:rStyle w:val="FigurecaptionChar"/>
        </w:rPr>
        <w:t xml:space="preserve">Figure 3.10. </w:t>
      </w:r>
      <w:proofErr w:type="spellStart"/>
      <w:r w:rsidRPr="000829C3">
        <w:rPr>
          <w:rStyle w:val="FigurecaptionChar"/>
        </w:rPr>
        <w:t>StrepII</w:t>
      </w:r>
      <w:proofErr w:type="spellEnd"/>
      <w:r w:rsidRPr="000829C3">
        <w:rPr>
          <w:rStyle w:val="FigurecaptionChar"/>
        </w:rPr>
        <w:t>®-tagged glycolytic enzymes in</w:t>
      </w:r>
      <w:r w:rsidR="006823C8" w:rsidRPr="000829C3">
        <w:rPr>
          <w:rStyle w:val="FigurecaptionChar"/>
        </w:rPr>
        <w:t xml:space="preserve"> modified</w:t>
      </w:r>
      <w:r w:rsidRPr="000829C3">
        <w:rPr>
          <w:rStyle w:val="FigurecaptionChar"/>
        </w:rPr>
        <w:t xml:space="preserve"> V. </w:t>
      </w:r>
      <w:proofErr w:type="spellStart"/>
      <w:r w:rsidRPr="000829C3">
        <w:rPr>
          <w:rStyle w:val="FigurecaptionChar"/>
        </w:rPr>
        <w:t>natriegens.</w:t>
      </w:r>
      <w:r w:rsidR="006823C8" w:rsidRPr="000829C3">
        <w:rPr>
          <w:rStyle w:val="FigurecaptionChar"/>
        </w:rPr>
        <w:t>strain</w:t>
      </w:r>
      <w:proofErr w:type="spellEnd"/>
      <w:r w:rsidR="006823C8" w:rsidRPr="000829C3">
        <w:rPr>
          <w:rStyle w:val="FigurecaptionChar"/>
        </w:rPr>
        <w:t>, ST11</w:t>
      </w:r>
      <w:r w:rsidR="000829C3" w:rsidRPr="000829C3">
        <w:rPr>
          <w:rStyle w:val="FigurecaptionChar"/>
        </w:rPr>
        <w:t>.</w:t>
      </w:r>
      <w:bookmarkEnd w:id="84"/>
      <w:r>
        <w:rPr>
          <w:rFonts w:eastAsia="Times New Roman" w:cs="Arial"/>
          <w:color w:val="000000"/>
          <w:szCs w:val="22"/>
          <w:shd w:val="clear" w:color="auto" w:fill="FFFFFF"/>
        </w:rPr>
        <w:t xml:space="preserve"> </w:t>
      </w:r>
      <w:r>
        <w:rPr>
          <w:rFonts w:eastAsia="Times New Roman" w:cs="Arial"/>
          <w:b/>
          <w:bCs/>
          <w:color w:val="000000"/>
          <w:szCs w:val="22"/>
          <w:shd w:val="clear" w:color="auto" w:fill="FFFFFF"/>
        </w:rPr>
        <w:t xml:space="preserve">A) </w:t>
      </w:r>
      <w:r>
        <w:rPr>
          <w:rFonts w:eastAsia="Times New Roman" w:cs="Arial"/>
          <w:color w:val="000000"/>
          <w:szCs w:val="22"/>
          <w:shd w:val="clear" w:color="auto" w:fill="FFFFFF"/>
        </w:rPr>
        <w:t xml:space="preserve">Pathway diagram of glycolysis with abbreviations of enzymes targeted for removal </w:t>
      </w:r>
      <w:r>
        <w:rPr>
          <w:rFonts w:eastAsia="Times New Roman" w:cs="Arial"/>
          <w:b/>
          <w:bCs/>
          <w:color w:val="000000"/>
          <w:szCs w:val="22"/>
          <w:shd w:val="clear" w:color="auto" w:fill="FFFFFF"/>
        </w:rPr>
        <w:t xml:space="preserve">in black bold font. B) </w:t>
      </w:r>
      <w:r>
        <w:rPr>
          <w:rFonts w:eastAsia="Times New Roman" w:cs="Arial"/>
          <w:color w:val="000000"/>
          <w:szCs w:val="22"/>
          <w:shd w:val="clear" w:color="auto" w:fill="FFFFFF"/>
        </w:rPr>
        <w:t xml:space="preserve">Agarose gel of </w:t>
      </w:r>
      <w:proofErr w:type="spellStart"/>
      <w:r>
        <w:rPr>
          <w:rFonts w:eastAsia="Times New Roman" w:cs="Arial"/>
          <w:color w:val="000000"/>
          <w:szCs w:val="22"/>
          <w:shd w:val="clear" w:color="auto" w:fill="FFFFFF"/>
        </w:rPr>
        <w:t>StrepII</w:t>
      </w:r>
      <w:proofErr w:type="spellEnd"/>
      <w:r>
        <w:rPr>
          <w:rFonts w:eastAsia="Times New Roman" w:cs="Arial"/>
          <w:color w:val="000000"/>
          <w:szCs w:val="22"/>
          <w:shd w:val="clear" w:color="auto" w:fill="FFFFFF"/>
        </w:rPr>
        <w:t xml:space="preserve">®-tagged gene sequences in the genome of the ST11 </w:t>
      </w:r>
      <w:r>
        <w:rPr>
          <w:rFonts w:eastAsia="Times New Roman" w:cs="Arial"/>
          <w:i/>
          <w:iCs/>
          <w:color w:val="000000"/>
          <w:szCs w:val="22"/>
          <w:shd w:val="clear" w:color="auto" w:fill="FFFFFF"/>
        </w:rPr>
        <w:t xml:space="preserve">V. </w:t>
      </w:r>
      <w:proofErr w:type="spellStart"/>
      <w:r>
        <w:rPr>
          <w:rFonts w:eastAsia="Times New Roman" w:cs="Arial"/>
          <w:i/>
          <w:iCs/>
          <w:color w:val="000000"/>
          <w:szCs w:val="22"/>
          <w:shd w:val="clear" w:color="auto" w:fill="FFFFFF"/>
        </w:rPr>
        <w:t>natriegens</w:t>
      </w:r>
      <w:proofErr w:type="spellEnd"/>
      <w:r>
        <w:rPr>
          <w:rFonts w:eastAsia="Times New Roman" w:cs="Arial"/>
          <w:i/>
          <w:iCs/>
          <w:color w:val="000000"/>
          <w:szCs w:val="22"/>
          <w:shd w:val="clear" w:color="auto" w:fill="FFFFFF"/>
        </w:rPr>
        <w:t xml:space="preserve"> </w:t>
      </w:r>
      <w:r>
        <w:rPr>
          <w:rFonts w:eastAsia="Times New Roman" w:cs="Arial"/>
          <w:color w:val="000000"/>
          <w:szCs w:val="22"/>
          <w:shd w:val="clear" w:color="auto" w:fill="FFFFFF"/>
        </w:rPr>
        <w:t xml:space="preserve">strain, detected via MASC-PCR. </w:t>
      </w:r>
      <w:r w:rsidR="006823C8">
        <w:rPr>
          <w:rFonts w:eastAsia="Times New Roman" w:cs="Arial"/>
          <w:color w:val="000000"/>
          <w:szCs w:val="22"/>
          <w:shd w:val="clear" w:color="auto" w:fill="FFFFFF"/>
        </w:rPr>
        <w:t xml:space="preserve">MASC-PCR reactions with the same primers were prepared with the WT </w:t>
      </w:r>
      <w:r w:rsidR="006823C8">
        <w:rPr>
          <w:rFonts w:eastAsia="Times New Roman" w:cs="Arial"/>
          <w:i/>
          <w:iCs/>
          <w:color w:val="000000"/>
          <w:szCs w:val="22"/>
          <w:shd w:val="clear" w:color="auto" w:fill="FFFFFF"/>
        </w:rPr>
        <w:t xml:space="preserve">V. </w:t>
      </w:r>
      <w:proofErr w:type="spellStart"/>
      <w:r w:rsidR="006823C8">
        <w:rPr>
          <w:rFonts w:eastAsia="Times New Roman" w:cs="Arial"/>
          <w:i/>
          <w:iCs/>
          <w:color w:val="000000"/>
          <w:szCs w:val="22"/>
          <w:shd w:val="clear" w:color="auto" w:fill="FFFFFF"/>
        </w:rPr>
        <w:t>natriegens</w:t>
      </w:r>
      <w:proofErr w:type="spellEnd"/>
      <w:r w:rsidR="006823C8">
        <w:rPr>
          <w:rFonts w:eastAsia="Times New Roman" w:cs="Arial"/>
          <w:i/>
          <w:iCs/>
          <w:color w:val="000000"/>
          <w:szCs w:val="22"/>
          <w:shd w:val="clear" w:color="auto" w:fill="FFFFFF"/>
        </w:rPr>
        <w:t xml:space="preserve"> </w:t>
      </w:r>
      <w:r w:rsidR="006823C8">
        <w:rPr>
          <w:rFonts w:eastAsia="Times New Roman" w:cs="Arial"/>
          <w:color w:val="000000"/>
          <w:szCs w:val="22"/>
          <w:shd w:val="clear" w:color="auto" w:fill="FFFFFF"/>
        </w:rPr>
        <w:t>and no bands were detected. GK = “glucokinase”; PTS = “phosphotransferase system”; G6PI = “glucose-6-phosphate isomerase”; 6PFK = “6-phosphofructokinase”; FBPA = “fructose-</w:t>
      </w:r>
      <w:proofErr w:type="spellStart"/>
      <w:r w:rsidR="006823C8">
        <w:rPr>
          <w:rFonts w:eastAsia="Times New Roman" w:cs="Arial"/>
          <w:color w:val="000000"/>
          <w:szCs w:val="22"/>
          <w:shd w:val="clear" w:color="auto" w:fill="FFFFFF"/>
        </w:rPr>
        <w:t>bisphophate</w:t>
      </w:r>
      <w:proofErr w:type="spellEnd"/>
      <w:r w:rsidR="006823C8">
        <w:rPr>
          <w:rFonts w:eastAsia="Times New Roman" w:cs="Arial"/>
          <w:color w:val="000000"/>
          <w:szCs w:val="22"/>
          <w:shd w:val="clear" w:color="auto" w:fill="FFFFFF"/>
        </w:rPr>
        <w:t xml:space="preserve"> </w:t>
      </w:r>
      <w:proofErr w:type="spellStart"/>
      <w:r w:rsidR="006823C8">
        <w:rPr>
          <w:rFonts w:eastAsia="Times New Roman" w:cs="Arial"/>
          <w:color w:val="000000"/>
          <w:szCs w:val="22"/>
          <w:shd w:val="clear" w:color="auto" w:fill="FFFFFF"/>
        </w:rPr>
        <w:t>adolase</w:t>
      </w:r>
      <w:proofErr w:type="spellEnd"/>
      <w:r w:rsidR="006823C8">
        <w:rPr>
          <w:rFonts w:eastAsia="Times New Roman" w:cs="Arial"/>
          <w:color w:val="000000"/>
          <w:szCs w:val="22"/>
          <w:shd w:val="clear" w:color="auto" w:fill="FFFFFF"/>
        </w:rPr>
        <w:t>”; TPI = “triose phosphate isomerase”; G3PDH = “glyceraldehyde-3-phosphate dehydrogenase”; PGK = “</w:t>
      </w:r>
      <w:proofErr w:type="spellStart"/>
      <w:r w:rsidR="006823C8">
        <w:rPr>
          <w:rFonts w:eastAsia="Times New Roman" w:cs="Arial"/>
          <w:color w:val="000000"/>
          <w:szCs w:val="22"/>
          <w:shd w:val="clear" w:color="auto" w:fill="FFFFFF"/>
        </w:rPr>
        <w:t>phosphoglucokinase</w:t>
      </w:r>
      <w:proofErr w:type="spellEnd"/>
      <w:r w:rsidR="006823C8">
        <w:rPr>
          <w:rFonts w:eastAsia="Times New Roman" w:cs="Arial"/>
          <w:color w:val="000000"/>
          <w:szCs w:val="22"/>
          <w:shd w:val="clear" w:color="auto" w:fill="FFFFFF"/>
        </w:rPr>
        <w:t>”; PGM = “phosphoglucomutase”; ENO = “enolase”; PYK = “pyruvate kinase”</w:t>
      </w:r>
      <w:r w:rsidR="000829C3">
        <w:rPr>
          <w:rFonts w:eastAsia="Times New Roman" w:cs="Arial"/>
          <w:color w:val="000000"/>
          <w:szCs w:val="22"/>
          <w:shd w:val="clear" w:color="auto" w:fill="FFFFFF"/>
        </w:rPr>
        <w:t xml:space="preserve">; G6P = “glucose-6-phosphate”; F6P = “fructose-6-phosphate”; F16BP = “fructose-1,6-bisphosphate; G3P = “glyceraldehyde-3-phosphate”; DHAP = “dihydroxyacetone phosphate”; 13BPG = “1,3-bisphosphoglycerate”; 3PG = “3-phosphoglycerate”; 2PG = </w:t>
      </w:r>
      <w:r w:rsidR="00DB28B4">
        <w:rPr>
          <w:rFonts w:eastAsia="Times New Roman" w:cs="Arial"/>
          <w:color w:val="000000"/>
          <w:szCs w:val="22"/>
          <w:shd w:val="clear" w:color="auto" w:fill="FFFFFF"/>
        </w:rPr>
        <w:t>“</w:t>
      </w:r>
      <w:r w:rsidR="000829C3">
        <w:rPr>
          <w:rFonts w:eastAsia="Times New Roman" w:cs="Arial"/>
          <w:color w:val="000000"/>
          <w:szCs w:val="22"/>
          <w:shd w:val="clear" w:color="auto" w:fill="FFFFFF"/>
        </w:rPr>
        <w:t>2-phosphogluconate”</w:t>
      </w:r>
      <w:r w:rsidR="00DB28B4">
        <w:rPr>
          <w:rFonts w:eastAsia="Times New Roman" w:cs="Arial"/>
          <w:color w:val="000000"/>
          <w:szCs w:val="22"/>
          <w:shd w:val="clear" w:color="auto" w:fill="FFFFFF"/>
        </w:rPr>
        <w:t>; PEP = “phosphoenolpyruvate”.</w:t>
      </w:r>
    </w:p>
    <w:p w14:paraId="4F4BADF5" w14:textId="28F6676F" w:rsidR="00F42789" w:rsidRDefault="00FE5E33" w:rsidP="0008141D">
      <w:pPr>
        <w:contextualSpacing/>
        <w:rPr>
          <w:rFonts w:eastAsia="Times New Roman" w:cs="Arial"/>
          <w:color w:val="000000"/>
          <w:szCs w:val="22"/>
          <w:shd w:val="clear" w:color="auto" w:fill="FFFFFF"/>
        </w:rPr>
      </w:pPr>
      <w:r>
        <w:rPr>
          <w:rFonts w:eastAsia="Times New Roman" w:cs="Arial"/>
          <w:noProof/>
          <w:color w:val="000000"/>
          <w:szCs w:val="22"/>
          <w:shd w:val="clear" w:color="auto" w:fill="FFFFFF"/>
        </w:rPr>
        <w:lastRenderedPageBreak/>
        <w:drawing>
          <wp:inline distT="0" distB="0" distL="0" distR="0" wp14:anchorId="01852278" wp14:editId="124517C1">
            <wp:extent cx="5943600" cy="2199503"/>
            <wp:effectExtent l="0" t="0" r="0" b="0"/>
            <wp:docPr id="245" name="Picture 245"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Icon&#10;&#10;Description automatically generated with medium confidence"/>
                    <pic:cNvPicPr/>
                  </pic:nvPicPr>
                  <pic:blipFill>
                    <a:blip r:embed="rId31" cstate="screen">
                      <a:extLst>
                        <a:ext uri="{28A0092B-C50C-407E-A947-70E740481C1C}">
                          <a14:useLocalDpi xmlns:a14="http://schemas.microsoft.com/office/drawing/2010/main"/>
                        </a:ext>
                      </a:extLst>
                    </a:blip>
                    <a:stretch>
                      <a:fillRect/>
                    </a:stretch>
                  </pic:blipFill>
                  <pic:spPr>
                    <a:xfrm>
                      <a:off x="0" y="0"/>
                      <a:ext cx="5954957" cy="2203706"/>
                    </a:xfrm>
                    <a:prstGeom prst="rect">
                      <a:avLst/>
                    </a:prstGeom>
                  </pic:spPr>
                </pic:pic>
              </a:graphicData>
            </a:graphic>
          </wp:inline>
        </w:drawing>
      </w:r>
    </w:p>
    <w:p w14:paraId="59123267" w14:textId="3017A3EB" w:rsidR="00FE5E33" w:rsidRPr="00714F7F" w:rsidRDefault="00FE5E33" w:rsidP="00FE5E33">
      <w:pPr>
        <w:contextualSpacing/>
        <w:rPr>
          <w:rFonts w:eastAsia="Times New Roman" w:cs="Arial"/>
          <w:color w:val="000000"/>
          <w:szCs w:val="22"/>
          <w:shd w:val="clear" w:color="auto" w:fill="FFFFFF"/>
        </w:rPr>
      </w:pPr>
      <w:bookmarkStart w:id="85" w:name="_Toc129701154"/>
      <w:r w:rsidRPr="000829C3">
        <w:rPr>
          <w:rStyle w:val="FigurecaptionChar"/>
        </w:rPr>
        <w:t>Figure 3.11.</w:t>
      </w:r>
      <w:r w:rsidR="006823C8" w:rsidRPr="000829C3">
        <w:rPr>
          <w:rStyle w:val="FigurecaptionChar"/>
        </w:rPr>
        <w:t xml:space="preserve"> Growth curves and metabolite data of strain ST11.</w:t>
      </w:r>
      <w:bookmarkEnd w:id="85"/>
      <w:r>
        <w:rPr>
          <w:rFonts w:eastAsia="Times New Roman" w:cs="Arial"/>
          <w:b/>
          <w:bCs/>
          <w:color w:val="000000"/>
          <w:szCs w:val="22"/>
          <w:shd w:val="clear" w:color="auto" w:fill="FFFFFF"/>
        </w:rPr>
        <w:t xml:space="preserve"> </w:t>
      </w:r>
      <w:r w:rsidR="006823C8">
        <w:rPr>
          <w:rFonts w:eastAsia="Times New Roman" w:cs="Arial"/>
          <w:color w:val="000000"/>
          <w:szCs w:val="22"/>
          <w:shd w:val="clear" w:color="auto" w:fill="FFFFFF"/>
        </w:rPr>
        <w:t xml:space="preserve"> </w:t>
      </w:r>
      <w:r>
        <w:rPr>
          <w:rFonts w:eastAsia="Times New Roman" w:cs="Arial"/>
          <w:b/>
          <w:bCs/>
          <w:color w:val="000000"/>
          <w:szCs w:val="22"/>
          <w:shd w:val="clear" w:color="auto" w:fill="FFFFFF"/>
        </w:rPr>
        <w:t xml:space="preserve">A) </w:t>
      </w:r>
      <w:r w:rsidR="006823C8">
        <w:rPr>
          <w:rFonts w:eastAsia="Times New Roman" w:cs="Arial"/>
          <w:color w:val="000000"/>
          <w:szCs w:val="22"/>
          <w:shd w:val="clear" w:color="auto" w:fill="FFFFFF"/>
        </w:rPr>
        <w:t xml:space="preserve">Growth curves of WT and ST11 strains. </w:t>
      </w:r>
      <w:r w:rsidR="006823C8">
        <w:rPr>
          <w:rFonts w:eastAsia="Times New Roman" w:cs="Arial"/>
          <w:b/>
          <w:bCs/>
          <w:color w:val="000000"/>
          <w:szCs w:val="22"/>
          <w:shd w:val="clear" w:color="auto" w:fill="FFFFFF"/>
        </w:rPr>
        <w:t xml:space="preserve">B) </w:t>
      </w:r>
      <w:r w:rsidR="006823C8">
        <w:rPr>
          <w:rFonts w:eastAsia="Times New Roman" w:cs="Arial"/>
          <w:color w:val="000000"/>
          <w:szCs w:val="22"/>
          <w:shd w:val="clear" w:color="auto" w:fill="FFFFFF"/>
        </w:rPr>
        <w:t xml:space="preserve">LC-MS/MS metabolomics data </w:t>
      </w:r>
      <w:r w:rsidR="00714F7F">
        <w:rPr>
          <w:rFonts w:eastAsia="Times New Roman" w:cs="Arial"/>
          <w:color w:val="000000"/>
          <w:szCs w:val="22"/>
          <w:shd w:val="clear" w:color="auto" w:fill="FFFFFF"/>
        </w:rPr>
        <w:t xml:space="preserve">showing glycolytic intermediates produced in </w:t>
      </w:r>
      <w:r w:rsidR="00302999">
        <w:rPr>
          <w:rFonts w:eastAsia="Times New Roman" w:cs="Arial"/>
          <w:color w:val="000000"/>
          <w:szCs w:val="22"/>
          <w:shd w:val="clear" w:color="auto" w:fill="FFFFFF"/>
        </w:rPr>
        <w:t xml:space="preserve">a </w:t>
      </w:r>
      <w:proofErr w:type="spellStart"/>
      <w:r w:rsidR="00714F7F">
        <w:rPr>
          <w:rFonts w:eastAsia="Times New Roman" w:cs="Arial"/>
          <w:color w:val="000000"/>
          <w:szCs w:val="22"/>
          <w:shd w:val="clear" w:color="auto" w:fill="FFFFFF"/>
        </w:rPr>
        <w:t>StrepII</w:t>
      </w:r>
      <w:proofErr w:type="spellEnd"/>
      <w:r w:rsidR="00714F7F">
        <w:rPr>
          <w:rFonts w:eastAsia="Times New Roman" w:cs="Arial"/>
          <w:color w:val="000000"/>
          <w:szCs w:val="22"/>
          <w:shd w:val="clear" w:color="auto" w:fill="FFFFFF"/>
        </w:rPr>
        <w:t>®-tag elution</w:t>
      </w:r>
      <w:r w:rsidR="00302999">
        <w:rPr>
          <w:rFonts w:eastAsia="Times New Roman" w:cs="Arial"/>
          <w:color w:val="000000"/>
          <w:szCs w:val="22"/>
          <w:shd w:val="clear" w:color="auto" w:fill="FFFFFF"/>
        </w:rPr>
        <w:t xml:space="preserve"> of the ST11-derived lysate</w:t>
      </w:r>
      <w:r w:rsidR="00714F7F">
        <w:rPr>
          <w:rFonts w:eastAsia="Times New Roman" w:cs="Arial"/>
          <w:color w:val="000000"/>
          <w:szCs w:val="22"/>
          <w:shd w:val="clear" w:color="auto" w:fill="FFFFFF"/>
        </w:rPr>
        <w:t xml:space="preserve"> (n=1) incubated</w:t>
      </w:r>
      <w:r w:rsidR="00302999">
        <w:rPr>
          <w:rFonts w:eastAsia="Times New Roman" w:cs="Arial"/>
          <w:color w:val="000000"/>
          <w:szCs w:val="22"/>
          <w:shd w:val="clear" w:color="auto" w:fill="FFFFFF"/>
        </w:rPr>
        <w:t xml:space="preserve"> with </w:t>
      </w:r>
      <w:r w:rsidR="00DA5824">
        <w:rPr>
          <w:rFonts w:eastAsia="Times New Roman" w:cs="Arial"/>
          <w:color w:val="000000"/>
          <w:szCs w:val="22"/>
          <w:shd w:val="clear" w:color="auto" w:fill="FFFFFF"/>
        </w:rPr>
        <w:t xml:space="preserve">glucose, cofactors, and salts, and buffer </w:t>
      </w:r>
      <w:r w:rsidR="00714F7F">
        <w:rPr>
          <w:rFonts w:eastAsia="Times New Roman" w:cs="Arial"/>
          <w:color w:val="000000"/>
          <w:szCs w:val="22"/>
          <w:shd w:val="clear" w:color="auto" w:fill="FFFFFF"/>
        </w:rPr>
        <w:t>for 15 h</w:t>
      </w:r>
      <w:r w:rsidR="00DA5824">
        <w:rPr>
          <w:rFonts w:eastAsia="Times New Roman" w:cs="Arial"/>
          <w:color w:val="000000"/>
          <w:szCs w:val="22"/>
          <w:shd w:val="clear" w:color="auto" w:fill="FFFFFF"/>
        </w:rPr>
        <w:t xml:space="preserve"> (</w:t>
      </w:r>
      <w:r w:rsidR="00DA5824">
        <w:rPr>
          <w:rFonts w:eastAsia="Times New Roman" w:cs="Arial"/>
          <w:b/>
          <w:bCs/>
          <w:color w:val="000000"/>
          <w:szCs w:val="22"/>
          <w:shd w:val="clear" w:color="auto" w:fill="FFFFFF"/>
        </w:rPr>
        <w:t>Appendix Note</w:t>
      </w:r>
      <w:r w:rsidR="00DA5824">
        <w:rPr>
          <w:rFonts w:eastAsia="Times New Roman" w:cs="Arial"/>
          <w:color w:val="000000"/>
          <w:szCs w:val="22"/>
          <w:shd w:val="clear" w:color="auto" w:fill="FFFFFF"/>
        </w:rPr>
        <w:t>)</w:t>
      </w:r>
      <w:r w:rsidR="00714F7F">
        <w:rPr>
          <w:rFonts w:eastAsia="Times New Roman" w:cs="Arial"/>
          <w:color w:val="000000"/>
          <w:szCs w:val="22"/>
          <w:shd w:val="clear" w:color="auto" w:fill="FFFFFF"/>
        </w:rPr>
        <w:t xml:space="preserve">. </w:t>
      </w:r>
      <w:r w:rsidR="00714F7F">
        <w:rPr>
          <w:rFonts w:eastAsia="Times New Roman" w:cs="Arial"/>
          <w:b/>
          <w:bCs/>
          <w:color w:val="000000"/>
          <w:szCs w:val="22"/>
          <w:shd w:val="clear" w:color="auto" w:fill="FFFFFF"/>
        </w:rPr>
        <w:t xml:space="preserve">C) </w:t>
      </w:r>
      <w:r w:rsidR="00714F7F">
        <w:rPr>
          <w:rFonts w:eastAsia="Times New Roman" w:cs="Arial"/>
          <w:color w:val="000000"/>
          <w:szCs w:val="22"/>
          <w:shd w:val="clear" w:color="auto" w:fill="FFFFFF"/>
        </w:rPr>
        <w:t>HPLC-RID quantification of pyruvate in</w:t>
      </w:r>
      <w:r w:rsidR="00302999">
        <w:rPr>
          <w:rFonts w:eastAsia="Times New Roman" w:cs="Arial"/>
          <w:color w:val="000000"/>
          <w:szCs w:val="22"/>
          <w:shd w:val="clear" w:color="auto" w:fill="FFFFFF"/>
        </w:rPr>
        <w:t xml:space="preserve"> a </w:t>
      </w:r>
      <w:proofErr w:type="spellStart"/>
      <w:r w:rsidR="00302999">
        <w:rPr>
          <w:rFonts w:eastAsia="Times New Roman" w:cs="Arial"/>
          <w:color w:val="000000"/>
          <w:szCs w:val="22"/>
          <w:shd w:val="clear" w:color="auto" w:fill="FFFFFF"/>
        </w:rPr>
        <w:t>StrepII</w:t>
      </w:r>
      <w:proofErr w:type="spellEnd"/>
      <w:r w:rsidR="00302999">
        <w:rPr>
          <w:rFonts w:eastAsia="Times New Roman" w:cs="Arial"/>
          <w:color w:val="000000"/>
          <w:szCs w:val="22"/>
          <w:shd w:val="clear" w:color="auto" w:fill="FFFFFF"/>
        </w:rPr>
        <w:t xml:space="preserve">®-tag elution of the ST11-derived lysate (n=1) incubated with </w:t>
      </w:r>
      <w:r w:rsidR="00DA5824">
        <w:rPr>
          <w:rFonts w:eastAsia="Times New Roman" w:cs="Arial"/>
          <w:color w:val="000000"/>
          <w:szCs w:val="22"/>
          <w:shd w:val="clear" w:color="auto" w:fill="FFFFFF"/>
        </w:rPr>
        <w:t xml:space="preserve">glucose, cofactors, salts, and buffer </w:t>
      </w:r>
      <w:r w:rsidR="00302999">
        <w:rPr>
          <w:rFonts w:eastAsia="Times New Roman" w:cs="Arial"/>
          <w:color w:val="000000"/>
          <w:szCs w:val="22"/>
          <w:shd w:val="clear" w:color="auto" w:fill="FFFFFF"/>
        </w:rPr>
        <w:t>for 15 h</w:t>
      </w:r>
      <w:r w:rsidR="00DA5824">
        <w:rPr>
          <w:rFonts w:eastAsia="Times New Roman" w:cs="Arial"/>
          <w:color w:val="000000"/>
          <w:szCs w:val="22"/>
          <w:shd w:val="clear" w:color="auto" w:fill="FFFFFF"/>
        </w:rPr>
        <w:t xml:space="preserve"> (</w:t>
      </w:r>
      <w:r w:rsidR="00DA5824">
        <w:rPr>
          <w:rFonts w:eastAsia="Times New Roman" w:cs="Arial"/>
          <w:b/>
          <w:bCs/>
          <w:color w:val="000000"/>
          <w:szCs w:val="22"/>
          <w:shd w:val="clear" w:color="auto" w:fill="FFFFFF"/>
        </w:rPr>
        <w:t>Appendix Note</w:t>
      </w:r>
      <w:r w:rsidR="00DA5824">
        <w:rPr>
          <w:rFonts w:eastAsia="Times New Roman" w:cs="Arial"/>
          <w:color w:val="000000"/>
          <w:szCs w:val="22"/>
          <w:shd w:val="clear" w:color="auto" w:fill="FFFFFF"/>
        </w:rPr>
        <w:t>)</w:t>
      </w:r>
      <w:r w:rsidR="00302999">
        <w:rPr>
          <w:rFonts w:eastAsia="Times New Roman" w:cs="Arial"/>
          <w:color w:val="000000"/>
          <w:szCs w:val="22"/>
          <w:shd w:val="clear" w:color="auto" w:fill="FFFFFF"/>
        </w:rPr>
        <w:t xml:space="preserve">. </w:t>
      </w:r>
    </w:p>
    <w:p w14:paraId="0FEAD3AF" w14:textId="77777777" w:rsidR="00FE5E33" w:rsidRPr="00F42789" w:rsidRDefault="00FE5E33" w:rsidP="0008141D">
      <w:pPr>
        <w:contextualSpacing/>
        <w:rPr>
          <w:rFonts w:eastAsia="Times New Roman" w:cs="Arial"/>
          <w:color w:val="000000"/>
          <w:szCs w:val="22"/>
          <w:shd w:val="clear" w:color="auto" w:fill="FFFFFF"/>
        </w:rPr>
      </w:pPr>
    </w:p>
    <w:p w14:paraId="5FBFDF6B" w14:textId="1CDEE609" w:rsidR="00E0516E" w:rsidRDefault="00E0516E" w:rsidP="0008141D">
      <w:pPr>
        <w:contextualSpacing/>
        <w:rPr>
          <w:rFonts w:eastAsia="Times New Roman" w:cs="Arial"/>
          <w:color w:val="000000"/>
          <w:szCs w:val="22"/>
          <w:shd w:val="clear" w:color="auto" w:fill="FFFFFF"/>
        </w:rPr>
      </w:pPr>
    </w:p>
    <w:p w14:paraId="3497D703" w14:textId="42CEA48E" w:rsidR="002B385F" w:rsidRPr="0039202C" w:rsidRDefault="0039202C" w:rsidP="009A5F94">
      <w:pPr>
        <w:pStyle w:val="Tablecaption"/>
        <w:rPr>
          <w:bCs/>
          <w:color w:val="auto"/>
        </w:rPr>
      </w:pPr>
      <w:r>
        <w:rPr>
          <w:bCs/>
        </w:rPr>
        <w:br w:type="page"/>
      </w:r>
      <w:bookmarkStart w:id="86" w:name="_Toc129676394"/>
      <w:r w:rsidR="002B385F" w:rsidRPr="00A71FCF">
        <w:rPr>
          <w:bCs/>
        </w:rPr>
        <w:lastRenderedPageBreak/>
        <w:t xml:space="preserve">Table </w:t>
      </w:r>
      <w:r w:rsidR="002B385F" w:rsidRPr="00C65F71">
        <w:rPr>
          <w:bCs/>
        </w:rPr>
        <w:t>3</w:t>
      </w:r>
      <w:r w:rsidR="002B385F">
        <w:rPr>
          <w:bCs/>
          <w:i/>
          <w:iCs/>
        </w:rPr>
        <w:t>.</w:t>
      </w:r>
      <w:r w:rsidR="001429A9">
        <w:rPr>
          <w:bCs/>
        </w:rPr>
        <w:t>3</w:t>
      </w:r>
      <w:r w:rsidR="002B385F" w:rsidRPr="00A71FCF">
        <w:rPr>
          <w:bCs/>
        </w:rPr>
        <w:t>.</w:t>
      </w:r>
      <w:r w:rsidR="002B385F" w:rsidRPr="00A71FCF">
        <w:t xml:space="preserve"> MAGE oligos use for this study. </w:t>
      </w:r>
      <w:proofErr w:type="spellStart"/>
      <w:r w:rsidR="002B385F" w:rsidRPr="00A71FCF">
        <w:t>Phosphorothioated</w:t>
      </w:r>
      <w:proofErr w:type="spellEnd"/>
      <w:r w:rsidR="002B385F" w:rsidRPr="00A71FCF">
        <w:t xml:space="preserve"> bases are noted with asterisks.</w:t>
      </w:r>
      <w:bookmarkEnd w:id="86"/>
      <w:r w:rsidR="002B385F" w:rsidRPr="00A71FCF">
        <w:t xml:space="preserve"> </w:t>
      </w:r>
    </w:p>
    <w:tbl>
      <w:tblPr>
        <w:tblW w:w="9350" w:type="dxa"/>
        <w:tblLayout w:type="fixed"/>
        <w:tblLook w:val="04A0" w:firstRow="1" w:lastRow="0" w:firstColumn="1" w:lastColumn="0" w:noHBand="0" w:noVBand="1"/>
      </w:tblPr>
      <w:tblGrid>
        <w:gridCol w:w="846"/>
        <w:gridCol w:w="8504"/>
      </w:tblGrid>
      <w:tr w:rsidR="002B385F" w:rsidRPr="00A71FCF" w14:paraId="1B9139DD" w14:textId="77777777" w:rsidTr="002B385F">
        <w:trPr>
          <w:trHeight w:val="514"/>
        </w:trPr>
        <w:tc>
          <w:tcPr>
            <w:tcW w:w="846" w:type="dxa"/>
            <w:tcBorders>
              <w:top w:val="single" w:sz="4" w:space="0" w:color="auto"/>
              <w:left w:val="single" w:sz="4" w:space="0" w:color="auto"/>
              <w:bottom w:val="single" w:sz="4" w:space="0" w:color="auto"/>
              <w:right w:val="single" w:sz="4" w:space="0" w:color="auto"/>
            </w:tcBorders>
            <w:hideMark/>
          </w:tcPr>
          <w:p w14:paraId="40205EF0" w14:textId="38AD5366" w:rsidR="002B385F" w:rsidRPr="00A71FCF" w:rsidRDefault="002B385F" w:rsidP="00DA38E2">
            <w:pPr>
              <w:pStyle w:val="Header"/>
              <w:contextualSpacing/>
              <w:rPr>
                <w:rFonts w:ascii="Arial" w:hAnsi="Arial" w:cs="Arial"/>
              </w:rPr>
            </w:pPr>
            <w:r>
              <w:rPr>
                <w:rFonts w:ascii="Arial" w:hAnsi="Arial" w:cs="Arial"/>
              </w:rPr>
              <w:t xml:space="preserve">Name </w:t>
            </w:r>
          </w:p>
        </w:tc>
        <w:tc>
          <w:tcPr>
            <w:tcW w:w="8504" w:type="dxa"/>
            <w:tcBorders>
              <w:top w:val="single" w:sz="4" w:space="0" w:color="auto"/>
              <w:left w:val="single" w:sz="4" w:space="0" w:color="auto"/>
              <w:bottom w:val="single" w:sz="4" w:space="0" w:color="auto"/>
              <w:right w:val="single" w:sz="4" w:space="0" w:color="auto"/>
            </w:tcBorders>
            <w:hideMark/>
          </w:tcPr>
          <w:p w14:paraId="34E6F6A7" w14:textId="77777777" w:rsidR="002B385F" w:rsidRPr="00A71FCF" w:rsidRDefault="002B385F" w:rsidP="00DA38E2">
            <w:pPr>
              <w:pStyle w:val="Header"/>
              <w:contextualSpacing/>
              <w:rPr>
                <w:rFonts w:ascii="Arial" w:hAnsi="Arial" w:cs="Arial"/>
              </w:rPr>
            </w:pPr>
            <w:r w:rsidRPr="00A71FCF">
              <w:rPr>
                <w:rFonts w:ascii="Arial" w:hAnsi="Arial" w:cs="Arial"/>
              </w:rPr>
              <w:t>Sequence</w:t>
            </w:r>
          </w:p>
        </w:tc>
      </w:tr>
      <w:tr w:rsidR="002B385F" w:rsidRPr="00A71FCF" w14:paraId="29839792" w14:textId="77777777" w:rsidTr="002B385F">
        <w:trPr>
          <w:trHeight w:val="498"/>
        </w:trPr>
        <w:tc>
          <w:tcPr>
            <w:tcW w:w="846" w:type="dxa"/>
            <w:tcBorders>
              <w:top w:val="single" w:sz="4" w:space="0" w:color="auto"/>
              <w:left w:val="single" w:sz="4" w:space="0" w:color="auto"/>
              <w:bottom w:val="single" w:sz="4" w:space="0" w:color="auto"/>
              <w:right w:val="single" w:sz="4" w:space="0" w:color="auto"/>
            </w:tcBorders>
            <w:hideMark/>
          </w:tcPr>
          <w:p w14:paraId="2D659AEB" w14:textId="77777777" w:rsidR="002B385F" w:rsidRPr="00A71FCF" w:rsidRDefault="002B385F" w:rsidP="00DA38E2">
            <w:pPr>
              <w:pStyle w:val="Header"/>
              <w:contextualSpacing/>
              <w:rPr>
                <w:rFonts w:ascii="Arial" w:hAnsi="Arial" w:cs="Arial"/>
              </w:rPr>
            </w:pPr>
            <w:proofErr w:type="spellStart"/>
            <w:r w:rsidRPr="00A71FCF">
              <w:rPr>
                <w:rFonts w:ascii="Arial" w:hAnsi="Arial" w:cs="Arial"/>
              </w:rPr>
              <w:t>Pfl</w:t>
            </w:r>
            <w:proofErr w:type="spellEnd"/>
          </w:p>
        </w:tc>
        <w:tc>
          <w:tcPr>
            <w:tcW w:w="8504" w:type="dxa"/>
            <w:tcBorders>
              <w:top w:val="single" w:sz="4" w:space="0" w:color="auto"/>
              <w:left w:val="single" w:sz="4" w:space="0" w:color="auto"/>
              <w:bottom w:val="single" w:sz="4" w:space="0" w:color="auto"/>
              <w:right w:val="single" w:sz="4" w:space="0" w:color="auto"/>
            </w:tcBorders>
            <w:hideMark/>
          </w:tcPr>
          <w:p w14:paraId="2DF4F5B9" w14:textId="77777777" w:rsidR="002B385F" w:rsidRPr="00A71FCF" w:rsidRDefault="002B385F" w:rsidP="00DA38E2">
            <w:pPr>
              <w:pStyle w:val="Header"/>
              <w:contextualSpacing/>
              <w:rPr>
                <w:rFonts w:ascii="Arial" w:hAnsi="Arial" w:cs="Arial"/>
              </w:rPr>
            </w:pPr>
            <w:r w:rsidRPr="00A71FCF">
              <w:rPr>
                <w:rFonts w:ascii="Arial" w:hAnsi="Arial" w:cs="Arial"/>
                <w:color w:val="000000"/>
              </w:rPr>
              <w:t>a*a*t*a*aaaaatccacttaagaaggtaggtgttacatgCACcatCACcatCACCATtccgagcttaatgaaaagttagccacagcctgggaa</w:t>
            </w:r>
          </w:p>
        </w:tc>
      </w:tr>
      <w:tr w:rsidR="002B385F" w:rsidRPr="00A71FCF" w14:paraId="224F395E" w14:textId="77777777" w:rsidTr="002B385F">
        <w:trPr>
          <w:trHeight w:val="514"/>
        </w:trPr>
        <w:tc>
          <w:tcPr>
            <w:tcW w:w="846" w:type="dxa"/>
            <w:tcBorders>
              <w:top w:val="single" w:sz="4" w:space="0" w:color="auto"/>
              <w:left w:val="single" w:sz="4" w:space="0" w:color="auto"/>
              <w:bottom w:val="single" w:sz="4" w:space="0" w:color="auto"/>
              <w:right w:val="single" w:sz="4" w:space="0" w:color="auto"/>
            </w:tcBorders>
            <w:hideMark/>
          </w:tcPr>
          <w:p w14:paraId="385A7BF4" w14:textId="77777777" w:rsidR="002B385F" w:rsidRPr="00A71FCF" w:rsidRDefault="002B385F" w:rsidP="00DA38E2">
            <w:pPr>
              <w:pStyle w:val="Header"/>
              <w:contextualSpacing/>
              <w:rPr>
                <w:rFonts w:ascii="Arial" w:hAnsi="Arial" w:cs="Arial"/>
              </w:rPr>
            </w:pPr>
            <w:proofErr w:type="spellStart"/>
            <w:r w:rsidRPr="00A71FCF">
              <w:rPr>
                <w:rFonts w:ascii="Arial" w:hAnsi="Arial" w:cs="Arial"/>
              </w:rPr>
              <w:t>Ldh</w:t>
            </w:r>
            <w:proofErr w:type="spellEnd"/>
          </w:p>
        </w:tc>
        <w:tc>
          <w:tcPr>
            <w:tcW w:w="8504" w:type="dxa"/>
            <w:tcBorders>
              <w:top w:val="single" w:sz="4" w:space="0" w:color="auto"/>
              <w:left w:val="single" w:sz="4" w:space="0" w:color="auto"/>
              <w:bottom w:val="single" w:sz="4" w:space="0" w:color="auto"/>
              <w:right w:val="single" w:sz="4" w:space="0" w:color="auto"/>
            </w:tcBorders>
            <w:hideMark/>
          </w:tcPr>
          <w:p w14:paraId="02521729" w14:textId="77777777" w:rsidR="002B385F" w:rsidRPr="00A71FCF" w:rsidRDefault="002B385F" w:rsidP="00DA38E2">
            <w:pPr>
              <w:pStyle w:val="Header"/>
              <w:contextualSpacing/>
              <w:rPr>
                <w:rFonts w:ascii="Arial" w:hAnsi="Arial" w:cs="Arial"/>
              </w:rPr>
            </w:pPr>
            <w:r w:rsidRPr="00A71FCF">
              <w:rPr>
                <w:rFonts w:ascii="Arial" w:hAnsi="Arial" w:cs="Arial"/>
              </w:rPr>
              <w:t>t*a*a*a*tgtgattcaacatcactggagaaagtcttatgCACcatCACcatCACCATaaactcgccgtttatagcacaaaacagtacgacaag</w:t>
            </w:r>
          </w:p>
        </w:tc>
      </w:tr>
      <w:tr w:rsidR="002B385F" w:rsidRPr="00A71FCF" w14:paraId="3873FCFA" w14:textId="77777777" w:rsidTr="002B385F">
        <w:trPr>
          <w:trHeight w:val="498"/>
        </w:trPr>
        <w:tc>
          <w:tcPr>
            <w:tcW w:w="846" w:type="dxa"/>
            <w:tcBorders>
              <w:top w:val="single" w:sz="4" w:space="0" w:color="auto"/>
              <w:left w:val="single" w:sz="4" w:space="0" w:color="auto"/>
              <w:bottom w:val="single" w:sz="4" w:space="0" w:color="auto"/>
              <w:right w:val="single" w:sz="4" w:space="0" w:color="auto"/>
            </w:tcBorders>
            <w:hideMark/>
          </w:tcPr>
          <w:p w14:paraId="54588AD7" w14:textId="77777777" w:rsidR="002B385F" w:rsidRPr="00A71FCF" w:rsidRDefault="002B385F" w:rsidP="00DA38E2">
            <w:pPr>
              <w:pStyle w:val="Header"/>
              <w:contextualSpacing/>
              <w:rPr>
                <w:rFonts w:ascii="Arial" w:hAnsi="Arial" w:cs="Arial"/>
              </w:rPr>
            </w:pPr>
            <w:proofErr w:type="spellStart"/>
            <w:r w:rsidRPr="00A71FCF">
              <w:rPr>
                <w:rFonts w:ascii="Arial" w:hAnsi="Arial" w:cs="Arial"/>
              </w:rPr>
              <w:t>Ppsa</w:t>
            </w:r>
            <w:proofErr w:type="spellEnd"/>
          </w:p>
        </w:tc>
        <w:tc>
          <w:tcPr>
            <w:tcW w:w="8504" w:type="dxa"/>
            <w:tcBorders>
              <w:top w:val="single" w:sz="4" w:space="0" w:color="auto"/>
              <w:left w:val="single" w:sz="4" w:space="0" w:color="auto"/>
              <w:bottom w:val="single" w:sz="4" w:space="0" w:color="auto"/>
              <w:right w:val="single" w:sz="4" w:space="0" w:color="auto"/>
            </w:tcBorders>
            <w:hideMark/>
          </w:tcPr>
          <w:p w14:paraId="63D333B8" w14:textId="77777777" w:rsidR="002B385F" w:rsidRPr="00A71FCF" w:rsidRDefault="002B385F" w:rsidP="00DA38E2">
            <w:pPr>
              <w:pStyle w:val="Header"/>
              <w:contextualSpacing/>
              <w:rPr>
                <w:rFonts w:ascii="Arial" w:hAnsi="Arial" w:cs="Arial"/>
              </w:rPr>
            </w:pPr>
            <w:r w:rsidRPr="00A71FCF">
              <w:rPr>
                <w:rFonts w:ascii="Arial" w:hAnsi="Arial" w:cs="Arial"/>
                <w:color w:val="000000"/>
              </w:rPr>
              <w:t>c*a*a*a*ccgttcatttatcacaaaaggattgttcgatgCACcatCACcatCACCATtccaacaatggctcgtcaccgctggtgctttggtat</w:t>
            </w:r>
          </w:p>
        </w:tc>
      </w:tr>
      <w:tr w:rsidR="002B385F" w:rsidRPr="00A71FCF" w14:paraId="2D058F2A" w14:textId="77777777" w:rsidTr="002B385F">
        <w:trPr>
          <w:trHeight w:val="498"/>
        </w:trPr>
        <w:tc>
          <w:tcPr>
            <w:tcW w:w="846" w:type="dxa"/>
            <w:tcBorders>
              <w:top w:val="single" w:sz="4" w:space="0" w:color="auto"/>
              <w:left w:val="single" w:sz="4" w:space="0" w:color="auto"/>
              <w:bottom w:val="single" w:sz="4" w:space="0" w:color="auto"/>
              <w:right w:val="single" w:sz="4" w:space="0" w:color="auto"/>
            </w:tcBorders>
            <w:hideMark/>
          </w:tcPr>
          <w:p w14:paraId="54BCC235" w14:textId="77777777" w:rsidR="002B385F" w:rsidRPr="00A71FCF" w:rsidRDefault="002B385F" w:rsidP="00DA38E2">
            <w:pPr>
              <w:pStyle w:val="Header"/>
              <w:contextualSpacing/>
              <w:rPr>
                <w:rFonts w:ascii="Arial" w:hAnsi="Arial" w:cs="Arial"/>
              </w:rPr>
            </w:pPr>
            <w:proofErr w:type="spellStart"/>
            <w:r w:rsidRPr="00A71FCF">
              <w:rPr>
                <w:rFonts w:ascii="Arial" w:hAnsi="Arial" w:cs="Arial"/>
              </w:rPr>
              <w:t>Pdh</w:t>
            </w:r>
            <w:proofErr w:type="spellEnd"/>
          </w:p>
        </w:tc>
        <w:tc>
          <w:tcPr>
            <w:tcW w:w="8504" w:type="dxa"/>
            <w:tcBorders>
              <w:top w:val="single" w:sz="4" w:space="0" w:color="auto"/>
              <w:left w:val="single" w:sz="4" w:space="0" w:color="auto"/>
              <w:bottom w:val="single" w:sz="4" w:space="0" w:color="auto"/>
              <w:right w:val="single" w:sz="4" w:space="0" w:color="auto"/>
            </w:tcBorders>
            <w:hideMark/>
          </w:tcPr>
          <w:p w14:paraId="68735EB7" w14:textId="77777777" w:rsidR="002B385F" w:rsidRPr="00A71FCF" w:rsidRDefault="002B385F" w:rsidP="00DA38E2">
            <w:pPr>
              <w:pStyle w:val="Header"/>
              <w:contextualSpacing/>
              <w:rPr>
                <w:rFonts w:ascii="Arial" w:hAnsi="Arial" w:cs="Arial"/>
              </w:rPr>
            </w:pPr>
            <w:r w:rsidRPr="00A71FCF">
              <w:rPr>
                <w:rFonts w:ascii="Arial" w:hAnsi="Arial" w:cs="Arial"/>
                <w:color w:val="000000"/>
              </w:rPr>
              <w:t>a*c*t*c*aacgttattagatagataaggaataacccatgCACcatCACcatCACCATtcagaacgtttcccaaatgacgtggatccgatcgaa</w:t>
            </w:r>
          </w:p>
        </w:tc>
      </w:tr>
    </w:tbl>
    <w:p w14:paraId="75220149" w14:textId="77777777" w:rsidR="00E0516E" w:rsidRDefault="00E0516E" w:rsidP="002B385F">
      <w:pPr>
        <w:pStyle w:val="Caption"/>
        <w:keepNext/>
        <w:contextualSpacing/>
        <w:rPr>
          <w:rFonts w:ascii="Arial" w:hAnsi="Arial" w:cs="Arial"/>
          <w:b/>
          <w:bCs/>
          <w:i w:val="0"/>
          <w:iCs w:val="0"/>
          <w:color w:val="auto"/>
          <w:sz w:val="22"/>
          <w:szCs w:val="22"/>
        </w:rPr>
      </w:pPr>
    </w:p>
    <w:p w14:paraId="69237A6A" w14:textId="2C5E9032" w:rsidR="002B385F" w:rsidRPr="0039202C" w:rsidRDefault="002B385F" w:rsidP="009A5F94">
      <w:pPr>
        <w:pStyle w:val="Tablecaption"/>
        <w:rPr>
          <w:rFonts w:eastAsia="Calibri"/>
          <w:bCs/>
          <w:lang w:val="en-US"/>
        </w:rPr>
      </w:pPr>
      <w:bookmarkStart w:id="87" w:name="_Toc129676395"/>
      <w:r w:rsidRPr="00A71FCF">
        <w:rPr>
          <w:bCs/>
        </w:rPr>
        <w:t xml:space="preserve">Table </w:t>
      </w:r>
      <w:r>
        <w:rPr>
          <w:bCs/>
        </w:rPr>
        <w:t>3.</w:t>
      </w:r>
      <w:r w:rsidR="001429A9">
        <w:rPr>
          <w:bCs/>
        </w:rPr>
        <w:t>4</w:t>
      </w:r>
      <w:r w:rsidRPr="00A71FCF">
        <w:rPr>
          <w:bCs/>
        </w:rPr>
        <w:t>.</w:t>
      </w:r>
      <w:r w:rsidRPr="00A71FCF">
        <w:t xml:space="preserve"> MASC-PCR oligos used for this study.</w:t>
      </w:r>
      <w:bookmarkEnd w:id="87"/>
      <w:r w:rsidRPr="00A71FCF">
        <w:t xml:space="preserve"> </w:t>
      </w:r>
    </w:p>
    <w:tbl>
      <w:tblPr>
        <w:tblW w:w="0" w:type="auto"/>
        <w:tblInd w:w="-5" w:type="dxa"/>
        <w:tblLook w:val="04A0" w:firstRow="1" w:lastRow="0" w:firstColumn="1" w:lastColumn="0" w:noHBand="0" w:noVBand="1"/>
      </w:tblPr>
      <w:tblGrid>
        <w:gridCol w:w="993"/>
        <w:gridCol w:w="8362"/>
      </w:tblGrid>
      <w:tr w:rsidR="002B385F" w:rsidRPr="00A71FCF" w14:paraId="7A68FC69" w14:textId="77777777" w:rsidTr="002B385F">
        <w:tc>
          <w:tcPr>
            <w:tcW w:w="993" w:type="dxa"/>
            <w:tcBorders>
              <w:top w:val="single" w:sz="4" w:space="0" w:color="auto"/>
              <w:left w:val="single" w:sz="4" w:space="0" w:color="auto"/>
              <w:bottom w:val="single" w:sz="4" w:space="0" w:color="auto"/>
              <w:right w:val="single" w:sz="4" w:space="0" w:color="auto"/>
            </w:tcBorders>
            <w:hideMark/>
          </w:tcPr>
          <w:p w14:paraId="111C177E" w14:textId="1CE05275" w:rsidR="002B385F" w:rsidRPr="00A71FCF" w:rsidRDefault="002B385F" w:rsidP="00DA38E2">
            <w:pPr>
              <w:pStyle w:val="Header"/>
              <w:contextualSpacing/>
              <w:rPr>
                <w:rFonts w:ascii="Arial" w:hAnsi="Arial" w:cs="Arial"/>
              </w:rPr>
            </w:pPr>
            <w:r>
              <w:rPr>
                <w:rFonts w:ascii="Arial" w:hAnsi="Arial" w:cs="Arial"/>
              </w:rPr>
              <w:t>Name</w:t>
            </w:r>
            <w:r w:rsidRPr="00A71FCF">
              <w:rPr>
                <w:rFonts w:ascii="Arial" w:hAnsi="Arial" w:cs="Arial"/>
              </w:rPr>
              <w:t xml:space="preserve"> </w:t>
            </w:r>
          </w:p>
        </w:tc>
        <w:tc>
          <w:tcPr>
            <w:tcW w:w="8362" w:type="dxa"/>
            <w:tcBorders>
              <w:top w:val="single" w:sz="4" w:space="0" w:color="auto"/>
              <w:left w:val="single" w:sz="4" w:space="0" w:color="auto"/>
              <w:bottom w:val="single" w:sz="4" w:space="0" w:color="auto"/>
              <w:right w:val="single" w:sz="4" w:space="0" w:color="auto"/>
            </w:tcBorders>
            <w:hideMark/>
          </w:tcPr>
          <w:p w14:paraId="7DBDEE39" w14:textId="77777777" w:rsidR="002B385F" w:rsidRPr="00A71FCF" w:rsidRDefault="002B385F" w:rsidP="00DA38E2">
            <w:pPr>
              <w:pStyle w:val="Header"/>
              <w:contextualSpacing/>
              <w:rPr>
                <w:rFonts w:ascii="Arial" w:hAnsi="Arial" w:cs="Arial"/>
              </w:rPr>
            </w:pPr>
            <w:r w:rsidRPr="00A71FCF">
              <w:rPr>
                <w:rFonts w:ascii="Arial" w:hAnsi="Arial" w:cs="Arial"/>
              </w:rPr>
              <w:t>Sequence</w:t>
            </w:r>
          </w:p>
        </w:tc>
      </w:tr>
      <w:tr w:rsidR="002B385F" w:rsidRPr="00A71FCF" w14:paraId="1761C5C0" w14:textId="77777777" w:rsidTr="002B385F">
        <w:tc>
          <w:tcPr>
            <w:tcW w:w="993" w:type="dxa"/>
            <w:tcBorders>
              <w:top w:val="single" w:sz="4" w:space="0" w:color="auto"/>
              <w:left w:val="single" w:sz="4" w:space="0" w:color="auto"/>
              <w:bottom w:val="single" w:sz="4" w:space="0" w:color="auto"/>
              <w:right w:val="single" w:sz="4" w:space="0" w:color="auto"/>
            </w:tcBorders>
            <w:hideMark/>
          </w:tcPr>
          <w:p w14:paraId="28A84427" w14:textId="77777777" w:rsidR="002B385F" w:rsidRPr="00A71FCF" w:rsidRDefault="002B385F" w:rsidP="00DA38E2">
            <w:pPr>
              <w:pStyle w:val="Header"/>
              <w:contextualSpacing/>
              <w:rPr>
                <w:rFonts w:ascii="Arial" w:hAnsi="Arial" w:cs="Arial"/>
              </w:rPr>
            </w:pPr>
            <w:proofErr w:type="spellStart"/>
            <w:r w:rsidRPr="00A71FCF">
              <w:rPr>
                <w:rFonts w:ascii="Arial" w:hAnsi="Arial" w:cs="Arial"/>
              </w:rPr>
              <w:t>Pfl</w:t>
            </w:r>
            <w:proofErr w:type="spellEnd"/>
            <w:r w:rsidRPr="00A71FCF">
              <w:rPr>
                <w:rFonts w:ascii="Arial" w:hAnsi="Arial" w:cs="Arial"/>
              </w:rPr>
              <w:t xml:space="preserve"> F</w:t>
            </w:r>
          </w:p>
        </w:tc>
        <w:tc>
          <w:tcPr>
            <w:tcW w:w="8362" w:type="dxa"/>
            <w:tcBorders>
              <w:top w:val="single" w:sz="4" w:space="0" w:color="auto"/>
              <w:left w:val="single" w:sz="4" w:space="0" w:color="auto"/>
              <w:bottom w:val="single" w:sz="4" w:space="0" w:color="auto"/>
              <w:right w:val="single" w:sz="4" w:space="0" w:color="auto"/>
            </w:tcBorders>
            <w:hideMark/>
          </w:tcPr>
          <w:p w14:paraId="5A4B5752" w14:textId="77777777" w:rsidR="002B385F" w:rsidRPr="00A71FCF" w:rsidRDefault="002B385F" w:rsidP="00DA38E2">
            <w:pPr>
              <w:pStyle w:val="Header"/>
              <w:contextualSpacing/>
              <w:rPr>
                <w:rFonts w:ascii="Arial" w:hAnsi="Arial" w:cs="Arial"/>
              </w:rPr>
            </w:pPr>
            <w:r w:rsidRPr="00A71FCF">
              <w:rPr>
                <w:rFonts w:ascii="Arial" w:hAnsi="Arial" w:cs="Arial"/>
                <w:color w:val="000000"/>
              </w:rPr>
              <w:t>GCCAGCCAGGAAGGACTCGTCACCCTCG</w:t>
            </w:r>
          </w:p>
        </w:tc>
      </w:tr>
      <w:tr w:rsidR="002B385F" w:rsidRPr="00A71FCF" w14:paraId="0C088003" w14:textId="77777777" w:rsidTr="002B385F">
        <w:tc>
          <w:tcPr>
            <w:tcW w:w="993" w:type="dxa"/>
            <w:tcBorders>
              <w:top w:val="single" w:sz="4" w:space="0" w:color="auto"/>
              <w:left w:val="single" w:sz="4" w:space="0" w:color="auto"/>
              <w:bottom w:val="single" w:sz="4" w:space="0" w:color="auto"/>
              <w:right w:val="single" w:sz="4" w:space="0" w:color="auto"/>
            </w:tcBorders>
            <w:hideMark/>
          </w:tcPr>
          <w:p w14:paraId="1CEC0BE0" w14:textId="77777777" w:rsidR="002B385F" w:rsidRPr="00A71FCF" w:rsidRDefault="002B385F" w:rsidP="00DA38E2">
            <w:pPr>
              <w:pStyle w:val="Header"/>
              <w:contextualSpacing/>
              <w:rPr>
                <w:rFonts w:ascii="Arial" w:hAnsi="Arial" w:cs="Arial"/>
              </w:rPr>
            </w:pPr>
            <w:proofErr w:type="spellStart"/>
            <w:r w:rsidRPr="00A71FCF">
              <w:rPr>
                <w:rFonts w:ascii="Arial" w:hAnsi="Arial" w:cs="Arial"/>
              </w:rPr>
              <w:t>Pfl</w:t>
            </w:r>
            <w:proofErr w:type="spellEnd"/>
            <w:r w:rsidRPr="00A71FCF">
              <w:rPr>
                <w:rFonts w:ascii="Arial" w:hAnsi="Arial" w:cs="Arial"/>
              </w:rPr>
              <w:t xml:space="preserve"> R</w:t>
            </w:r>
          </w:p>
        </w:tc>
        <w:tc>
          <w:tcPr>
            <w:tcW w:w="8362" w:type="dxa"/>
            <w:tcBorders>
              <w:top w:val="single" w:sz="4" w:space="0" w:color="auto"/>
              <w:left w:val="single" w:sz="4" w:space="0" w:color="auto"/>
              <w:bottom w:val="single" w:sz="4" w:space="0" w:color="auto"/>
              <w:right w:val="single" w:sz="4" w:space="0" w:color="auto"/>
            </w:tcBorders>
            <w:hideMark/>
          </w:tcPr>
          <w:p w14:paraId="269061E6" w14:textId="77777777" w:rsidR="002B385F" w:rsidRPr="00A71FCF" w:rsidRDefault="002B385F" w:rsidP="00DA38E2">
            <w:pPr>
              <w:pStyle w:val="Header"/>
              <w:contextualSpacing/>
              <w:rPr>
                <w:rFonts w:ascii="Arial" w:hAnsi="Arial" w:cs="Arial"/>
              </w:rPr>
            </w:pPr>
            <w:r w:rsidRPr="00A71FCF">
              <w:rPr>
                <w:rFonts w:ascii="Arial" w:hAnsi="Arial" w:cs="Arial"/>
                <w:color w:val="000000"/>
              </w:rPr>
              <w:t>GCAGTAAATAAAAAATCCACTTAAGAAGGTAGGTGTTACATGC</w:t>
            </w:r>
          </w:p>
        </w:tc>
      </w:tr>
      <w:tr w:rsidR="002B385F" w:rsidRPr="00A71FCF" w14:paraId="6199C4A4" w14:textId="77777777" w:rsidTr="002B385F">
        <w:tc>
          <w:tcPr>
            <w:tcW w:w="993" w:type="dxa"/>
            <w:tcBorders>
              <w:top w:val="single" w:sz="4" w:space="0" w:color="auto"/>
              <w:left w:val="single" w:sz="4" w:space="0" w:color="auto"/>
              <w:bottom w:val="single" w:sz="4" w:space="0" w:color="auto"/>
              <w:right w:val="single" w:sz="4" w:space="0" w:color="auto"/>
            </w:tcBorders>
            <w:hideMark/>
          </w:tcPr>
          <w:p w14:paraId="3D23A332" w14:textId="77777777" w:rsidR="002B385F" w:rsidRPr="00A71FCF" w:rsidRDefault="002B385F" w:rsidP="00DA38E2">
            <w:pPr>
              <w:pStyle w:val="Header"/>
              <w:contextualSpacing/>
              <w:rPr>
                <w:rFonts w:ascii="Arial" w:hAnsi="Arial" w:cs="Arial"/>
              </w:rPr>
            </w:pPr>
            <w:proofErr w:type="spellStart"/>
            <w:r w:rsidRPr="00A71FCF">
              <w:rPr>
                <w:rFonts w:ascii="Arial" w:hAnsi="Arial" w:cs="Arial"/>
              </w:rPr>
              <w:t>Ldh</w:t>
            </w:r>
            <w:proofErr w:type="spellEnd"/>
            <w:r w:rsidRPr="00A71FCF">
              <w:rPr>
                <w:rFonts w:ascii="Arial" w:hAnsi="Arial" w:cs="Arial"/>
              </w:rPr>
              <w:t xml:space="preserve"> F</w:t>
            </w:r>
          </w:p>
        </w:tc>
        <w:tc>
          <w:tcPr>
            <w:tcW w:w="8362" w:type="dxa"/>
            <w:tcBorders>
              <w:top w:val="single" w:sz="4" w:space="0" w:color="auto"/>
              <w:left w:val="single" w:sz="4" w:space="0" w:color="auto"/>
              <w:bottom w:val="single" w:sz="4" w:space="0" w:color="auto"/>
              <w:right w:val="single" w:sz="4" w:space="0" w:color="auto"/>
            </w:tcBorders>
            <w:hideMark/>
          </w:tcPr>
          <w:p w14:paraId="1B38802B" w14:textId="77777777" w:rsidR="002B385F" w:rsidRPr="00A71FCF" w:rsidRDefault="002B385F" w:rsidP="00DA38E2">
            <w:pPr>
              <w:pStyle w:val="Header"/>
              <w:contextualSpacing/>
              <w:rPr>
                <w:rFonts w:ascii="Arial" w:hAnsi="Arial" w:cs="Arial"/>
              </w:rPr>
            </w:pPr>
            <w:r w:rsidRPr="00A71FCF">
              <w:rPr>
                <w:rFonts w:ascii="Arial" w:hAnsi="Arial" w:cs="Arial"/>
                <w:color w:val="000000"/>
              </w:rPr>
              <w:t>CAGCGTCATCATCATACCGATGGC</w:t>
            </w:r>
          </w:p>
        </w:tc>
      </w:tr>
      <w:tr w:rsidR="002B385F" w:rsidRPr="00A71FCF" w14:paraId="7343E273" w14:textId="77777777" w:rsidTr="002B385F">
        <w:tc>
          <w:tcPr>
            <w:tcW w:w="993" w:type="dxa"/>
            <w:tcBorders>
              <w:top w:val="single" w:sz="4" w:space="0" w:color="auto"/>
              <w:left w:val="single" w:sz="4" w:space="0" w:color="auto"/>
              <w:bottom w:val="single" w:sz="4" w:space="0" w:color="auto"/>
              <w:right w:val="single" w:sz="4" w:space="0" w:color="auto"/>
            </w:tcBorders>
            <w:hideMark/>
          </w:tcPr>
          <w:p w14:paraId="6319AB4E" w14:textId="77777777" w:rsidR="002B385F" w:rsidRPr="00A71FCF" w:rsidRDefault="002B385F" w:rsidP="00DA38E2">
            <w:pPr>
              <w:pStyle w:val="Header"/>
              <w:contextualSpacing/>
              <w:rPr>
                <w:rFonts w:ascii="Arial" w:hAnsi="Arial" w:cs="Arial"/>
              </w:rPr>
            </w:pPr>
            <w:proofErr w:type="spellStart"/>
            <w:r w:rsidRPr="00A71FCF">
              <w:rPr>
                <w:rFonts w:ascii="Arial" w:hAnsi="Arial" w:cs="Arial"/>
              </w:rPr>
              <w:t>Ldh</w:t>
            </w:r>
            <w:proofErr w:type="spellEnd"/>
            <w:r w:rsidRPr="00A71FCF">
              <w:rPr>
                <w:rFonts w:ascii="Arial" w:hAnsi="Arial" w:cs="Arial"/>
              </w:rPr>
              <w:t xml:space="preserve"> R</w:t>
            </w:r>
          </w:p>
        </w:tc>
        <w:tc>
          <w:tcPr>
            <w:tcW w:w="8362" w:type="dxa"/>
            <w:tcBorders>
              <w:top w:val="single" w:sz="4" w:space="0" w:color="auto"/>
              <w:left w:val="single" w:sz="4" w:space="0" w:color="auto"/>
              <w:bottom w:val="single" w:sz="4" w:space="0" w:color="auto"/>
              <w:right w:val="single" w:sz="4" w:space="0" w:color="auto"/>
            </w:tcBorders>
            <w:hideMark/>
          </w:tcPr>
          <w:p w14:paraId="6ACDC678" w14:textId="77777777" w:rsidR="002B385F" w:rsidRPr="00A71FCF" w:rsidRDefault="002B385F" w:rsidP="00DA38E2">
            <w:pPr>
              <w:pStyle w:val="Header"/>
              <w:contextualSpacing/>
              <w:rPr>
                <w:rFonts w:ascii="Arial" w:hAnsi="Arial" w:cs="Arial"/>
              </w:rPr>
            </w:pPr>
            <w:r w:rsidRPr="00A71FCF">
              <w:rPr>
                <w:rFonts w:ascii="Arial" w:hAnsi="Arial" w:cs="Arial"/>
                <w:color w:val="000000"/>
              </w:rPr>
              <w:t>CTTAAATGTGATTCAACATCACTGGAGAAAGTCTTATGC</w:t>
            </w:r>
          </w:p>
        </w:tc>
      </w:tr>
      <w:tr w:rsidR="002B385F" w:rsidRPr="00A71FCF" w14:paraId="135EC27A" w14:textId="77777777" w:rsidTr="002B385F">
        <w:tc>
          <w:tcPr>
            <w:tcW w:w="993" w:type="dxa"/>
            <w:tcBorders>
              <w:top w:val="single" w:sz="4" w:space="0" w:color="auto"/>
              <w:left w:val="single" w:sz="4" w:space="0" w:color="auto"/>
              <w:bottom w:val="single" w:sz="4" w:space="0" w:color="auto"/>
              <w:right w:val="single" w:sz="4" w:space="0" w:color="auto"/>
            </w:tcBorders>
            <w:hideMark/>
          </w:tcPr>
          <w:p w14:paraId="0E535589" w14:textId="77777777" w:rsidR="002B385F" w:rsidRPr="00A71FCF" w:rsidRDefault="002B385F" w:rsidP="00DA38E2">
            <w:pPr>
              <w:pStyle w:val="Header"/>
              <w:contextualSpacing/>
              <w:rPr>
                <w:rFonts w:ascii="Arial" w:hAnsi="Arial" w:cs="Arial"/>
              </w:rPr>
            </w:pPr>
            <w:proofErr w:type="spellStart"/>
            <w:r w:rsidRPr="00A71FCF">
              <w:rPr>
                <w:rFonts w:ascii="Arial" w:hAnsi="Arial" w:cs="Arial"/>
              </w:rPr>
              <w:t>Ppsa</w:t>
            </w:r>
            <w:proofErr w:type="spellEnd"/>
            <w:r w:rsidRPr="00A71FCF">
              <w:rPr>
                <w:rFonts w:ascii="Arial" w:hAnsi="Arial" w:cs="Arial"/>
              </w:rPr>
              <w:t xml:space="preserve"> F</w:t>
            </w:r>
          </w:p>
        </w:tc>
        <w:tc>
          <w:tcPr>
            <w:tcW w:w="8362" w:type="dxa"/>
            <w:tcBorders>
              <w:top w:val="single" w:sz="4" w:space="0" w:color="auto"/>
              <w:left w:val="single" w:sz="4" w:space="0" w:color="auto"/>
              <w:bottom w:val="single" w:sz="4" w:space="0" w:color="auto"/>
              <w:right w:val="single" w:sz="4" w:space="0" w:color="auto"/>
            </w:tcBorders>
            <w:hideMark/>
          </w:tcPr>
          <w:p w14:paraId="2E0510B5" w14:textId="77777777" w:rsidR="002B385F" w:rsidRPr="00A71FCF" w:rsidRDefault="002B385F" w:rsidP="00DA38E2">
            <w:pPr>
              <w:pStyle w:val="Header"/>
              <w:contextualSpacing/>
              <w:rPr>
                <w:rFonts w:ascii="Arial" w:hAnsi="Arial" w:cs="Arial"/>
              </w:rPr>
            </w:pPr>
            <w:r w:rsidRPr="00A71FCF">
              <w:rPr>
                <w:rFonts w:ascii="Arial" w:hAnsi="Arial" w:cs="Arial"/>
                <w:color w:val="000000"/>
              </w:rPr>
              <w:t>GCTGGTTTACGCCGCTTTGGTCC</w:t>
            </w:r>
          </w:p>
        </w:tc>
      </w:tr>
      <w:tr w:rsidR="002B385F" w:rsidRPr="00A71FCF" w14:paraId="537C284E" w14:textId="77777777" w:rsidTr="002B385F">
        <w:tc>
          <w:tcPr>
            <w:tcW w:w="993" w:type="dxa"/>
            <w:tcBorders>
              <w:top w:val="single" w:sz="4" w:space="0" w:color="auto"/>
              <w:left w:val="single" w:sz="4" w:space="0" w:color="auto"/>
              <w:bottom w:val="single" w:sz="4" w:space="0" w:color="auto"/>
              <w:right w:val="single" w:sz="4" w:space="0" w:color="auto"/>
            </w:tcBorders>
            <w:hideMark/>
          </w:tcPr>
          <w:p w14:paraId="35578A2D" w14:textId="77777777" w:rsidR="002B385F" w:rsidRPr="00A71FCF" w:rsidRDefault="002B385F" w:rsidP="00DA38E2">
            <w:pPr>
              <w:pStyle w:val="Header"/>
              <w:contextualSpacing/>
              <w:rPr>
                <w:rFonts w:ascii="Arial" w:hAnsi="Arial" w:cs="Arial"/>
              </w:rPr>
            </w:pPr>
            <w:proofErr w:type="spellStart"/>
            <w:r w:rsidRPr="00A71FCF">
              <w:rPr>
                <w:rFonts w:ascii="Arial" w:hAnsi="Arial" w:cs="Arial"/>
              </w:rPr>
              <w:t>Ppsa</w:t>
            </w:r>
            <w:proofErr w:type="spellEnd"/>
            <w:r w:rsidRPr="00A71FCF">
              <w:rPr>
                <w:rFonts w:ascii="Arial" w:hAnsi="Arial" w:cs="Arial"/>
              </w:rPr>
              <w:t xml:space="preserve"> R</w:t>
            </w:r>
          </w:p>
        </w:tc>
        <w:tc>
          <w:tcPr>
            <w:tcW w:w="8362" w:type="dxa"/>
            <w:tcBorders>
              <w:top w:val="single" w:sz="4" w:space="0" w:color="auto"/>
              <w:left w:val="single" w:sz="4" w:space="0" w:color="auto"/>
              <w:bottom w:val="single" w:sz="4" w:space="0" w:color="auto"/>
              <w:right w:val="single" w:sz="4" w:space="0" w:color="auto"/>
            </w:tcBorders>
            <w:hideMark/>
          </w:tcPr>
          <w:p w14:paraId="7A5CC19A" w14:textId="77777777" w:rsidR="002B385F" w:rsidRPr="00A71FCF" w:rsidRDefault="002B385F" w:rsidP="00DA38E2">
            <w:pPr>
              <w:pStyle w:val="Header"/>
              <w:contextualSpacing/>
              <w:rPr>
                <w:rFonts w:ascii="Arial" w:hAnsi="Arial" w:cs="Arial"/>
              </w:rPr>
            </w:pPr>
            <w:r w:rsidRPr="00A71FCF">
              <w:rPr>
                <w:rFonts w:ascii="Arial" w:hAnsi="Arial" w:cs="Arial"/>
                <w:color w:val="000000"/>
              </w:rPr>
              <w:t>ACCGTTCATTTATCACAAAAGGATTGTTCGATGC</w:t>
            </w:r>
          </w:p>
        </w:tc>
      </w:tr>
      <w:tr w:rsidR="002B385F" w:rsidRPr="00A71FCF" w14:paraId="316B534F" w14:textId="77777777" w:rsidTr="002B385F">
        <w:tc>
          <w:tcPr>
            <w:tcW w:w="993" w:type="dxa"/>
            <w:tcBorders>
              <w:top w:val="single" w:sz="4" w:space="0" w:color="auto"/>
              <w:left w:val="single" w:sz="4" w:space="0" w:color="auto"/>
              <w:bottom w:val="single" w:sz="4" w:space="0" w:color="auto"/>
              <w:right w:val="single" w:sz="4" w:space="0" w:color="auto"/>
            </w:tcBorders>
            <w:hideMark/>
          </w:tcPr>
          <w:p w14:paraId="5D231FCF" w14:textId="77777777" w:rsidR="002B385F" w:rsidRPr="00A71FCF" w:rsidRDefault="002B385F" w:rsidP="00DA38E2">
            <w:pPr>
              <w:pStyle w:val="Header"/>
              <w:contextualSpacing/>
              <w:rPr>
                <w:rFonts w:ascii="Arial" w:hAnsi="Arial" w:cs="Arial"/>
              </w:rPr>
            </w:pPr>
            <w:proofErr w:type="spellStart"/>
            <w:r w:rsidRPr="00A71FCF">
              <w:rPr>
                <w:rFonts w:ascii="Arial" w:hAnsi="Arial" w:cs="Arial"/>
              </w:rPr>
              <w:t>Pdh</w:t>
            </w:r>
            <w:proofErr w:type="spellEnd"/>
            <w:r w:rsidRPr="00A71FCF">
              <w:rPr>
                <w:rFonts w:ascii="Arial" w:hAnsi="Arial" w:cs="Arial"/>
              </w:rPr>
              <w:t xml:space="preserve"> F</w:t>
            </w:r>
          </w:p>
        </w:tc>
        <w:tc>
          <w:tcPr>
            <w:tcW w:w="8362" w:type="dxa"/>
            <w:tcBorders>
              <w:top w:val="single" w:sz="4" w:space="0" w:color="auto"/>
              <w:left w:val="single" w:sz="4" w:space="0" w:color="auto"/>
              <w:bottom w:val="single" w:sz="4" w:space="0" w:color="auto"/>
              <w:right w:val="single" w:sz="4" w:space="0" w:color="auto"/>
            </w:tcBorders>
            <w:hideMark/>
          </w:tcPr>
          <w:p w14:paraId="2788427C" w14:textId="77777777" w:rsidR="002B385F" w:rsidRPr="00A71FCF" w:rsidRDefault="002B385F" w:rsidP="00DA38E2">
            <w:pPr>
              <w:pStyle w:val="Header"/>
              <w:contextualSpacing/>
              <w:rPr>
                <w:rFonts w:ascii="Arial" w:hAnsi="Arial" w:cs="Arial"/>
              </w:rPr>
            </w:pPr>
            <w:r w:rsidRPr="00A71FCF">
              <w:rPr>
                <w:rFonts w:ascii="Arial" w:hAnsi="Arial" w:cs="Arial"/>
                <w:color w:val="000000"/>
              </w:rPr>
              <w:t>TGGCCTTTATCGAAGAAATTTTGCTCGACAG</w:t>
            </w:r>
          </w:p>
        </w:tc>
      </w:tr>
      <w:tr w:rsidR="002B385F" w:rsidRPr="00A71FCF" w14:paraId="187665B7" w14:textId="77777777" w:rsidTr="002B385F">
        <w:tc>
          <w:tcPr>
            <w:tcW w:w="993" w:type="dxa"/>
            <w:tcBorders>
              <w:top w:val="single" w:sz="4" w:space="0" w:color="auto"/>
              <w:left w:val="single" w:sz="4" w:space="0" w:color="auto"/>
              <w:bottom w:val="single" w:sz="4" w:space="0" w:color="auto"/>
              <w:right w:val="single" w:sz="4" w:space="0" w:color="auto"/>
            </w:tcBorders>
            <w:hideMark/>
          </w:tcPr>
          <w:p w14:paraId="7D67C361" w14:textId="77777777" w:rsidR="002B385F" w:rsidRPr="00A71FCF" w:rsidRDefault="002B385F" w:rsidP="00DA38E2">
            <w:pPr>
              <w:pStyle w:val="Header"/>
              <w:contextualSpacing/>
              <w:rPr>
                <w:rFonts w:ascii="Arial" w:hAnsi="Arial" w:cs="Arial"/>
              </w:rPr>
            </w:pPr>
            <w:proofErr w:type="spellStart"/>
            <w:r w:rsidRPr="00A71FCF">
              <w:rPr>
                <w:rFonts w:ascii="Arial" w:hAnsi="Arial" w:cs="Arial"/>
              </w:rPr>
              <w:t>Pdh</w:t>
            </w:r>
            <w:proofErr w:type="spellEnd"/>
            <w:r w:rsidRPr="00A71FCF">
              <w:rPr>
                <w:rFonts w:ascii="Arial" w:hAnsi="Arial" w:cs="Arial"/>
              </w:rPr>
              <w:t xml:space="preserve"> R</w:t>
            </w:r>
          </w:p>
        </w:tc>
        <w:tc>
          <w:tcPr>
            <w:tcW w:w="8362" w:type="dxa"/>
            <w:tcBorders>
              <w:top w:val="single" w:sz="4" w:space="0" w:color="auto"/>
              <w:left w:val="single" w:sz="4" w:space="0" w:color="auto"/>
              <w:bottom w:val="single" w:sz="4" w:space="0" w:color="auto"/>
              <w:right w:val="single" w:sz="4" w:space="0" w:color="auto"/>
            </w:tcBorders>
            <w:hideMark/>
          </w:tcPr>
          <w:p w14:paraId="10BF5D99" w14:textId="77777777" w:rsidR="002B385F" w:rsidRPr="00A71FCF" w:rsidRDefault="002B385F" w:rsidP="00DA38E2">
            <w:pPr>
              <w:pStyle w:val="Header"/>
              <w:contextualSpacing/>
              <w:rPr>
                <w:rFonts w:ascii="Arial" w:hAnsi="Arial" w:cs="Arial"/>
              </w:rPr>
            </w:pPr>
            <w:r w:rsidRPr="00A71FCF">
              <w:rPr>
                <w:rFonts w:ascii="Arial" w:hAnsi="Arial" w:cs="Arial"/>
                <w:color w:val="000000"/>
              </w:rPr>
              <w:t>ATCCACGTCATTTGGGAAACGTTCTGAA</w:t>
            </w:r>
          </w:p>
        </w:tc>
      </w:tr>
    </w:tbl>
    <w:p w14:paraId="5F449338" w14:textId="77777777" w:rsidR="0031140D" w:rsidRPr="00A71FCF" w:rsidRDefault="0031140D" w:rsidP="0008141D">
      <w:pPr>
        <w:contextualSpacing/>
        <w:rPr>
          <w:rFonts w:eastAsia="Times New Roman" w:cs="Arial"/>
          <w:szCs w:val="22"/>
        </w:rPr>
      </w:pPr>
    </w:p>
    <w:p w14:paraId="0AADE035" w14:textId="77777777" w:rsidR="0031140D" w:rsidRPr="00A71FCF" w:rsidRDefault="0031140D" w:rsidP="0008141D">
      <w:pPr>
        <w:contextualSpacing/>
        <w:rPr>
          <w:rFonts w:cs="Arial"/>
          <w:b/>
          <w:color w:val="000000"/>
          <w:szCs w:val="22"/>
        </w:rPr>
      </w:pPr>
    </w:p>
    <w:p w14:paraId="52375DC3" w14:textId="15F83089" w:rsidR="00DA5824" w:rsidRDefault="00DA5824">
      <w:pPr>
        <w:spacing w:line="240" w:lineRule="auto"/>
        <w:jc w:val="left"/>
        <w:rPr>
          <w:rFonts w:cs="Arial"/>
          <w:szCs w:val="22"/>
        </w:rPr>
      </w:pPr>
      <w:r>
        <w:rPr>
          <w:rFonts w:cs="Arial"/>
          <w:szCs w:val="22"/>
        </w:rPr>
        <w:br w:type="page"/>
      </w:r>
    </w:p>
    <w:p w14:paraId="6D6ABA27" w14:textId="2A239478" w:rsidR="0031140D" w:rsidRDefault="00DA5824" w:rsidP="0008141D">
      <w:pPr>
        <w:contextualSpacing/>
        <w:rPr>
          <w:rFonts w:cs="Arial"/>
          <w:b/>
          <w:bCs/>
          <w:szCs w:val="22"/>
        </w:rPr>
      </w:pPr>
      <w:r>
        <w:rPr>
          <w:rFonts w:cs="Arial"/>
          <w:b/>
          <w:bCs/>
          <w:szCs w:val="22"/>
        </w:rPr>
        <w:lastRenderedPageBreak/>
        <w:t>Appendix Note</w:t>
      </w:r>
      <w:r w:rsidR="004F3109">
        <w:rPr>
          <w:rFonts w:cs="Arial"/>
          <w:b/>
          <w:bCs/>
          <w:szCs w:val="22"/>
        </w:rPr>
        <w:t>:</w:t>
      </w:r>
    </w:p>
    <w:p w14:paraId="4009BA0B" w14:textId="4FEC74C7" w:rsidR="004F3109" w:rsidRDefault="004F3109" w:rsidP="0008141D">
      <w:pPr>
        <w:contextualSpacing/>
        <w:rPr>
          <w:rFonts w:cs="Arial"/>
          <w:szCs w:val="22"/>
        </w:rPr>
      </w:pPr>
      <w:r>
        <w:rPr>
          <w:rFonts w:cs="Arial"/>
          <w:szCs w:val="22"/>
        </w:rPr>
        <w:t xml:space="preserve">Protocol for the generation of </w:t>
      </w:r>
      <w:r>
        <w:rPr>
          <w:rFonts w:cs="Arial"/>
          <w:i/>
          <w:iCs/>
          <w:szCs w:val="22"/>
        </w:rPr>
        <w:t xml:space="preserve">V. </w:t>
      </w:r>
      <w:proofErr w:type="spellStart"/>
      <w:r>
        <w:rPr>
          <w:rFonts w:cs="Arial"/>
          <w:i/>
          <w:iCs/>
          <w:szCs w:val="22"/>
        </w:rPr>
        <w:t>natriegens</w:t>
      </w:r>
      <w:proofErr w:type="spellEnd"/>
      <w:r>
        <w:rPr>
          <w:rFonts w:cs="Arial"/>
          <w:i/>
          <w:iCs/>
          <w:szCs w:val="22"/>
        </w:rPr>
        <w:t xml:space="preserve"> </w:t>
      </w:r>
      <w:r>
        <w:rPr>
          <w:rFonts w:cs="Arial"/>
          <w:szCs w:val="22"/>
        </w:rPr>
        <w:t>ST11 and the preparation of reconstituted enzyme reactions:</w:t>
      </w:r>
    </w:p>
    <w:p w14:paraId="032C2FC6" w14:textId="77777777" w:rsidR="00C74E28" w:rsidRDefault="004F3109" w:rsidP="004F3109">
      <w:pPr>
        <w:ind w:firstLine="720"/>
        <w:contextualSpacing/>
        <w:rPr>
          <w:rFonts w:cs="Arial"/>
          <w:color w:val="000000" w:themeColor="text1"/>
          <w:szCs w:val="22"/>
        </w:rPr>
      </w:pPr>
      <w:r>
        <w:rPr>
          <w:rFonts w:cs="Arial"/>
          <w:i/>
          <w:iCs/>
          <w:szCs w:val="22"/>
        </w:rPr>
        <w:t xml:space="preserve">V. </w:t>
      </w:r>
      <w:proofErr w:type="spellStart"/>
      <w:r>
        <w:rPr>
          <w:rFonts w:cs="Arial"/>
          <w:i/>
          <w:iCs/>
          <w:szCs w:val="22"/>
        </w:rPr>
        <w:t>natriegens</w:t>
      </w:r>
      <w:proofErr w:type="spellEnd"/>
      <w:r>
        <w:rPr>
          <w:rFonts w:cs="Arial"/>
          <w:i/>
          <w:iCs/>
          <w:szCs w:val="22"/>
        </w:rPr>
        <w:t xml:space="preserve"> </w:t>
      </w:r>
      <w:r>
        <w:rPr>
          <w:rFonts w:cs="Arial"/>
          <w:szCs w:val="22"/>
        </w:rPr>
        <w:t xml:space="preserve">ATCC 14048 was transformed with the </w:t>
      </w:r>
      <w:proofErr w:type="spellStart"/>
      <w:r>
        <w:rPr>
          <w:rFonts w:cs="Arial"/>
          <w:szCs w:val="22"/>
        </w:rPr>
        <w:t>pMMB-tfox</w:t>
      </w:r>
      <w:proofErr w:type="spellEnd"/>
      <w:r>
        <w:rPr>
          <w:rFonts w:cs="Arial"/>
          <w:szCs w:val="22"/>
        </w:rPr>
        <w:t xml:space="preserve"> plasmid and MUGENT was carried out as previously described</w:t>
      </w:r>
      <w:r>
        <w:rPr>
          <w:rFonts w:cs="Arial"/>
          <w:szCs w:val="22"/>
        </w:rPr>
        <w:fldChar w:fldCharType="begin" w:fldLock="1"/>
      </w:r>
      <w:r>
        <w:rPr>
          <w:rFonts w:cs="Arial"/>
          <w:szCs w:val="22"/>
        </w:rPr>
        <w:instrText xml:space="preserve">ADDIN CSL_CITATION {"citationItems":[{"id":"ITEM-1","itemData":{"DOI":"10.1021/acssynbio.7b00116","PMID":"28571309","abstract":"Vibrio natriegens has recently emerged as an alternative to Escherichia coli for molecular biology and biotechnology, but low-efficiency genetic tools hamper its development. Here, we uncover how to induce natural competence in V. natriegens and describe methods for multiplex genome editing by natural transformation (MuGENT). MuGENT promotes integration of multiple genome edits at high-efficiency on unprecedented time scales. Also, this method allows for generating highly complex mutant populations, which can be exploited for metabolic engineering efforts. As a proof-of-concept, we attempted to enhance production of the value added chemical poly-β-hydroxybutyrate (PHB) in V. natriegens by targeting the expression of nine genes involved in PHB biosynthesis via MuGENT. Within 1 week, we isolated edited strains that produced </w:instrText>
      </w:r>
      <w:r>
        <w:rPr>
          <w:rFonts w:ascii="Cambria Math" w:hAnsi="Cambria Math" w:cs="Cambria Math"/>
          <w:szCs w:val="22"/>
        </w:rPr>
        <w:instrText>∼</w:instrText>
      </w:r>
      <w:r>
        <w:rPr>
          <w:rFonts w:cs="Arial"/>
          <w:szCs w:val="22"/>
        </w:rPr>
        <w:instrText xml:space="preserve">100 times more PHB than the parent isolate and </w:instrText>
      </w:r>
      <w:r>
        <w:rPr>
          <w:rFonts w:ascii="Cambria Math" w:hAnsi="Cambria Math" w:cs="Cambria Math"/>
          <w:szCs w:val="22"/>
        </w:rPr>
        <w:instrText>∼</w:instrText>
      </w:r>
      <w:r>
        <w:rPr>
          <w:rFonts w:cs="Arial"/>
          <w:szCs w:val="22"/>
        </w:rPr>
        <w:instrText>3.3 times more than a rationally designed strain. Thus, the methods described here should extend the utility of this species for diverse academic and industrial applications.","author":[{"dropping-particle":"","family":"Dalia","given":"Triana N.","non-dropping-particle":"","parse-names":false,"suffix":""},{"dropping-particle":"","family":"Hayes","given":"Chelsea A.","non-dropping-particle":"","parse-names":false,"suffix":""},{"dropping-particle":"","family":"Stolyar","given":"Sergey","non-dropping-particle":"","parse-names":false,"suffix":""},{"dropping-particle":"","family":"Marx","given":"Christopher J.","non-dropping-particle":"","parse-names":false,"suffix":""},{"dropping-particle":"","family":"McKinlay","given":"James B.","non-dropping-particle":"","parse-names":false,"suffix":""},{"dropping-particle":"","family":"Dalia","given":"Ankur B.","non-dropping-particle":"","parse-names":false,"suffix":""}],"container-title":"ACS Synthetic Biology","id":"ITEM-1","issue":"9","issued":{"date-parts":[["2017","9","15"]]},"page":"1650-1655","title":"Multiplex Genome Editing by Natural Transformation (MuGENT) for Synthetic Biology in Vibrio natriegens","type":"article-journal","volume":"6"},"uris":["http://www.mendeley.com/documents/?uuid=c774663a-2be0-3638-8c9a-cccc0a307d2b"]}],"mendeley":{"formattedCitation":"&lt;sup&gt;130&lt;/sup&gt;","plainTextFormattedCitation":"130"},"properties":{"noteIndex":0},"schema":"https://github.com/citation-style-language/schema/raw/master/csl-citation.json"}</w:instrText>
      </w:r>
      <w:r>
        <w:rPr>
          <w:rFonts w:cs="Arial"/>
          <w:szCs w:val="22"/>
        </w:rPr>
        <w:fldChar w:fldCharType="separate"/>
      </w:r>
      <w:r w:rsidRPr="004F3109">
        <w:rPr>
          <w:rFonts w:cs="Arial"/>
          <w:noProof/>
          <w:szCs w:val="22"/>
          <w:vertAlign w:val="superscript"/>
        </w:rPr>
        <w:t>130</w:t>
      </w:r>
      <w:r>
        <w:rPr>
          <w:rFonts w:cs="Arial"/>
          <w:szCs w:val="22"/>
        </w:rPr>
        <w:fldChar w:fldCharType="end"/>
      </w:r>
      <w:r>
        <w:rPr>
          <w:rFonts w:cs="Arial"/>
          <w:szCs w:val="22"/>
        </w:rPr>
        <w:t xml:space="preserve">. </w:t>
      </w:r>
      <w:r w:rsidR="00DA5824">
        <w:rPr>
          <w:rFonts w:cs="Arial"/>
          <w:szCs w:val="22"/>
        </w:rPr>
        <w:t xml:space="preserve">Oligos for insertion into </w:t>
      </w:r>
      <w:r w:rsidR="00DA5824">
        <w:rPr>
          <w:rFonts w:cs="Arial"/>
          <w:i/>
          <w:iCs/>
          <w:szCs w:val="22"/>
        </w:rPr>
        <w:t xml:space="preserve">V. </w:t>
      </w:r>
      <w:proofErr w:type="spellStart"/>
      <w:r w:rsidR="00DA5824">
        <w:rPr>
          <w:rFonts w:cs="Arial"/>
          <w:i/>
          <w:iCs/>
          <w:szCs w:val="22"/>
        </w:rPr>
        <w:t>natriegens</w:t>
      </w:r>
      <w:proofErr w:type="spellEnd"/>
      <w:r w:rsidR="00DA5824">
        <w:rPr>
          <w:rFonts w:cs="Arial"/>
          <w:i/>
          <w:iCs/>
          <w:szCs w:val="22"/>
        </w:rPr>
        <w:t xml:space="preserve"> </w:t>
      </w:r>
      <w:r w:rsidR="00DA5824">
        <w:rPr>
          <w:rFonts w:cs="Arial"/>
          <w:szCs w:val="22"/>
        </w:rPr>
        <w:t xml:space="preserve">genomes were prepared by overlap PCR. </w:t>
      </w:r>
      <w:r w:rsidR="00EE11FF">
        <w:rPr>
          <w:rFonts w:cs="Arial"/>
          <w:szCs w:val="22"/>
        </w:rPr>
        <w:t>Briefly, p</w:t>
      </w:r>
      <w:r w:rsidR="00981C90">
        <w:rPr>
          <w:rFonts w:cs="Arial"/>
          <w:szCs w:val="22"/>
        </w:rPr>
        <w:t xml:space="preserve">rimers were designed so that ~ 3 kb long oligos containing the gene-of-interest and at least 1 kb of flanking sequences upstream and downstream of the gene could be isolated from </w:t>
      </w:r>
      <w:r w:rsidR="00EE11FF">
        <w:rPr>
          <w:rFonts w:cs="Arial"/>
          <w:i/>
          <w:iCs/>
          <w:szCs w:val="22"/>
        </w:rPr>
        <w:t xml:space="preserve">V. </w:t>
      </w:r>
      <w:proofErr w:type="spellStart"/>
      <w:r w:rsidR="00EE11FF">
        <w:rPr>
          <w:rFonts w:cs="Arial"/>
          <w:i/>
          <w:iCs/>
          <w:szCs w:val="22"/>
        </w:rPr>
        <w:t>natriegens</w:t>
      </w:r>
      <w:proofErr w:type="spellEnd"/>
      <w:r w:rsidR="00EE11FF">
        <w:rPr>
          <w:rFonts w:cs="Arial"/>
          <w:i/>
          <w:iCs/>
          <w:szCs w:val="22"/>
        </w:rPr>
        <w:t xml:space="preserve"> </w:t>
      </w:r>
      <w:r w:rsidR="00EE11FF">
        <w:rPr>
          <w:rFonts w:cs="Arial"/>
          <w:szCs w:val="22"/>
        </w:rPr>
        <w:t>ATCC 14048</w:t>
      </w:r>
      <w:r w:rsidR="00EE11FF">
        <w:rPr>
          <w:rFonts w:cs="Arial"/>
          <w:i/>
          <w:iCs/>
          <w:szCs w:val="22"/>
        </w:rPr>
        <w:t xml:space="preserve"> </w:t>
      </w:r>
      <w:r w:rsidR="00981C90">
        <w:rPr>
          <w:rFonts w:cs="Arial"/>
          <w:szCs w:val="22"/>
        </w:rPr>
        <w:t>genomic DNA.</w:t>
      </w:r>
      <w:r w:rsidR="00EE11FF">
        <w:rPr>
          <w:rFonts w:cs="Arial"/>
          <w:szCs w:val="22"/>
        </w:rPr>
        <w:t xml:space="preserve"> </w:t>
      </w:r>
      <w:r w:rsidR="00991CDD">
        <w:rPr>
          <w:rFonts w:cs="Arial"/>
          <w:szCs w:val="22"/>
        </w:rPr>
        <w:t xml:space="preserve">MASC-PCR primers were designed to validate genomic insertions via colony MASC-PCR. </w:t>
      </w:r>
      <w:r>
        <w:rPr>
          <w:rFonts w:cs="Arial"/>
          <w:szCs w:val="22"/>
        </w:rPr>
        <w:t xml:space="preserve">After confirming the 11 </w:t>
      </w:r>
      <w:proofErr w:type="spellStart"/>
      <w:r>
        <w:rPr>
          <w:rFonts w:cs="Arial"/>
          <w:szCs w:val="22"/>
        </w:rPr>
        <w:t>StrepII</w:t>
      </w:r>
      <w:proofErr w:type="spellEnd"/>
      <w:r>
        <w:rPr>
          <w:rFonts w:cs="Arial"/>
          <w:szCs w:val="22"/>
        </w:rPr>
        <w:t>®-tagged genes, the</w:t>
      </w:r>
      <w:r w:rsidR="00991CDD">
        <w:rPr>
          <w:rFonts w:cs="Arial"/>
          <w:szCs w:val="22"/>
        </w:rPr>
        <w:t xml:space="preserve"> ST11 strain was grown to OD 6.0 and harvested for lysis. Lysates were prepared following the same protocol for </w:t>
      </w:r>
      <w:r w:rsidR="00991CDD">
        <w:rPr>
          <w:rFonts w:cs="Arial"/>
          <w:i/>
          <w:iCs/>
          <w:szCs w:val="22"/>
        </w:rPr>
        <w:t xml:space="preserve">E. coli </w:t>
      </w:r>
      <w:r w:rsidR="00991CDD">
        <w:rPr>
          <w:rFonts w:cs="Arial"/>
          <w:szCs w:val="22"/>
        </w:rPr>
        <w:t xml:space="preserve">described here. 500 µL lysate was used to load </w:t>
      </w:r>
      <w:proofErr w:type="spellStart"/>
      <w:r w:rsidR="00991CDD" w:rsidRPr="00857C48">
        <w:rPr>
          <w:rFonts w:cs="Arial"/>
          <w:color w:val="000000" w:themeColor="text1"/>
          <w:szCs w:val="22"/>
        </w:rPr>
        <w:t>Strep-Tactin®XT</w:t>
      </w:r>
      <w:proofErr w:type="spellEnd"/>
      <w:r w:rsidR="00991CDD" w:rsidRPr="00857C48">
        <w:rPr>
          <w:rFonts w:cs="Arial"/>
          <w:color w:val="000000" w:themeColor="text1"/>
          <w:szCs w:val="22"/>
        </w:rPr>
        <w:t xml:space="preserve"> Spin Columns (IBA Life Sciences, #2-4150-025)</w:t>
      </w:r>
      <w:r w:rsidR="00991CDD" w:rsidRPr="00857C48">
        <w:rPr>
          <w:rFonts w:cs="Arial"/>
          <w:b/>
          <w:bCs/>
          <w:color w:val="000000" w:themeColor="text1"/>
          <w:szCs w:val="22"/>
        </w:rPr>
        <w:t>.</w:t>
      </w:r>
      <w:r w:rsidR="00991CDD" w:rsidRPr="00857C48">
        <w:rPr>
          <w:rFonts w:cs="Arial"/>
          <w:color w:val="000000" w:themeColor="text1"/>
          <w:szCs w:val="22"/>
        </w:rPr>
        <w:t xml:space="preserve"> </w:t>
      </w:r>
      <w:r w:rsidR="00DA5824" w:rsidRPr="00857C48">
        <w:rPr>
          <w:rFonts w:cs="Arial"/>
          <w:color w:val="000000" w:themeColor="text1"/>
          <w:szCs w:val="22"/>
        </w:rPr>
        <w:t xml:space="preserve">Columns were washed 4x and eluted </w:t>
      </w:r>
      <w:r w:rsidR="00DA5824">
        <w:rPr>
          <w:rFonts w:cs="Arial"/>
          <w:color w:val="000000" w:themeColor="text1"/>
          <w:szCs w:val="22"/>
        </w:rPr>
        <w:t>for maximum protein yield</w:t>
      </w:r>
      <w:r w:rsidR="00DA5824" w:rsidRPr="00857C48">
        <w:rPr>
          <w:rFonts w:cs="Arial"/>
          <w:color w:val="000000" w:themeColor="text1"/>
          <w:szCs w:val="22"/>
        </w:rPr>
        <w:t xml:space="preserve"> following the manufacturer’s protocol.</w:t>
      </w:r>
      <w:r w:rsidR="00DA5824">
        <w:rPr>
          <w:rFonts w:cs="Arial"/>
          <w:color w:val="000000" w:themeColor="text1"/>
          <w:szCs w:val="22"/>
        </w:rPr>
        <w:t xml:space="preserve"> Approximately 450 µL of elution was </w:t>
      </w:r>
      <w:r>
        <w:rPr>
          <w:rFonts w:cs="Arial"/>
          <w:color w:val="000000" w:themeColor="text1"/>
          <w:szCs w:val="22"/>
        </w:rPr>
        <w:t xml:space="preserve">buffer exchanged with S30 buffer </w:t>
      </w:r>
      <w:r w:rsidR="00DA5824">
        <w:rPr>
          <w:rFonts w:cs="Arial"/>
          <w:color w:val="000000" w:themeColor="text1"/>
          <w:szCs w:val="22"/>
        </w:rPr>
        <w:t xml:space="preserve">using </w:t>
      </w:r>
      <w:proofErr w:type="spellStart"/>
      <w:r w:rsidR="00DA5824">
        <w:rPr>
          <w:rFonts w:cs="Arial"/>
          <w:color w:val="000000" w:themeColor="text1"/>
          <w:szCs w:val="22"/>
        </w:rPr>
        <w:t>Amicon®Ultra</w:t>
      </w:r>
      <w:proofErr w:type="spellEnd"/>
      <w:r w:rsidR="00DA5824">
        <w:rPr>
          <w:rFonts w:cs="Arial"/>
          <w:color w:val="000000" w:themeColor="text1"/>
          <w:szCs w:val="22"/>
        </w:rPr>
        <w:t xml:space="preserve"> Centrifugal Filters 3000 NMWL (Millipore, UFC500324)</w:t>
      </w:r>
      <w:r>
        <w:rPr>
          <w:rFonts w:cs="Arial"/>
          <w:color w:val="000000" w:themeColor="text1"/>
          <w:szCs w:val="22"/>
        </w:rPr>
        <w:t xml:space="preserve"> then concentrated to ~ 90 µL solution. </w:t>
      </w:r>
    </w:p>
    <w:p w14:paraId="7928DEC4" w14:textId="3CF9A21E" w:rsidR="004F3109" w:rsidRPr="004F3109" w:rsidRDefault="00C74E28" w:rsidP="004F3109">
      <w:pPr>
        <w:ind w:firstLine="720"/>
        <w:contextualSpacing/>
        <w:rPr>
          <w:rFonts w:cs="Arial"/>
          <w:color w:val="000000" w:themeColor="text1"/>
          <w:szCs w:val="22"/>
        </w:rPr>
      </w:pPr>
      <w:r>
        <w:rPr>
          <w:rFonts w:cs="Arial"/>
          <w:color w:val="000000" w:themeColor="text1"/>
          <w:szCs w:val="22"/>
        </w:rPr>
        <w:t xml:space="preserve">CFME reactions with these reconstituted enzyme systems were prepared by mixing 35 µL concentrated protein solution with 10 mM glucose, 1.5 mM ATP, 1.5 mM NAD+, 10 mM bis-tris buffer, 10 mM dipotassium phosphate, 30 mM tris-acetate, 42 mM magnesium acetate, 180 mM potassium acetate, </w:t>
      </w:r>
      <w:r w:rsidRPr="00A71FCF">
        <w:rPr>
          <w:rFonts w:cs="Arial"/>
          <w:szCs w:val="22"/>
        </w:rPr>
        <w:t>18 mM magnesium glutamate, 15 mM ammonium glutamate, 0.2 mM Coenzyme A,</w:t>
      </w:r>
      <w:r>
        <w:rPr>
          <w:rFonts w:cs="Arial"/>
          <w:szCs w:val="22"/>
        </w:rPr>
        <w:t xml:space="preserve"> and</w:t>
      </w:r>
      <w:r w:rsidRPr="00A71FCF">
        <w:rPr>
          <w:rFonts w:cs="Arial"/>
          <w:szCs w:val="22"/>
        </w:rPr>
        <w:t xml:space="preserve"> 195 mM potassium glutamate</w:t>
      </w:r>
      <w:r>
        <w:rPr>
          <w:rFonts w:cs="Arial"/>
          <w:szCs w:val="22"/>
        </w:rPr>
        <w:t xml:space="preserve">. Reactions were incubated at 37 ˚C then analyzed via LC-MS/MS or HPLC as described in Chapter 2 of this dissertation. </w:t>
      </w:r>
    </w:p>
    <w:p w14:paraId="25E77AA5" w14:textId="4F6D2822" w:rsidR="00595F79" w:rsidRPr="00E033D4" w:rsidRDefault="002B385F" w:rsidP="009A5F94">
      <w:pPr>
        <w:jc w:val="center"/>
        <w:rPr>
          <w:rFonts w:cs="Arial"/>
          <w:b/>
          <w:bCs/>
          <w:sz w:val="32"/>
          <w:szCs w:val="32"/>
        </w:rPr>
      </w:pPr>
      <w:r>
        <w:rPr>
          <w:rFonts w:cs="Arial"/>
          <w:szCs w:val="22"/>
        </w:rPr>
        <w:br w:type="page"/>
      </w:r>
      <w:r w:rsidR="00595F79" w:rsidRPr="00E033D4">
        <w:rPr>
          <w:rFonts w:cs="Arial"/>
          <w:b/>
          <w:bCs/>
          <w:sz w:val="32"/>
          <w:szCs w:val="32"/>
        </w:rPr>
        <w:lastRenderedPageBreak/>
        <w:t>CHAPTER 4</w:t>
      </w:r>
    </w:p>
    <w:p w14:paraId="4BEC92EB" w14:textId="23C094B8" w:rsidR="004E2DE7" w:rsidRPr="00E033D4" w:rsidRDefault="00060FE0" w:rsidP="00E033D4">
      <w:pPr>
        <w:pStyle w:val="ChapterTitle"/>
      </w:pPr>
      <w:bookmarkStart w:id="88" w:name="_Toc129701041"/>
      <w:r w:rsidRPr="00E033D4">
        <w:t>REWIRING CELL-FREE METABOLIC FLUX IN E. COLI LYSATES USING A BLOCK-PUSH-PULL APPROACH</w:t>
      </w:r>
      <w:bookmarkEnd w:id="88"/>
      <w:r w:rsidRPr="00E033D4">
        <w:t xml:space="preserve"> </w:t>
      </w:r>
    </w:p>
    <w:p w14:paraId="4E85F037" w14:textId="77777777" w:rsidR="004E2DE7" w:rsidRDefault="004E2DE7">
      <w:pPr>
        <w:rPr>
          <w:rFonts w:cs="Arial"/>
          <w:b/>
          <w:bCs/>
          <w:sz w:val="28"/>
          <w:szCs w:val="28"/>
        </w:rPr>
      </w:pPr>
      <w:r>
        <w:rPr>
          <w:rFonts w:cs="Arial"/>
          <w:b/>
          <w:bCs/>
          <w:sz w:val="28"/>
          <w:szCs w:val="28"/>
        </w:rPr>
        <w:br w:type="page"/>
      </w:r>
    </w:p>
    <w:p w14:paraId="26B43A4C" w14:textId="15CACE33" w:rsidR="004E2DE7" w:rsidRDefault="004E2DE7" w:rsidP="004E2DE7">
      <w:pPr>
        <w:pBdr>
          <w:top w:val="nil"/>
          <w:left w:val="nil"/>
          <w:bottom w:val="nil"/>
          <w:right w:val="nil"/>
          <w:between w:val="nil"/>
        </w:pBdr>
        <w:spacing w:after="280"/>
        <w:ind w:firstLine="720"/>
        <w:contextualSpacing/>
        <w:rPr>
          <w:rFonts w:cs="Arial"/>
          <w:bCs/>
          <w:color w:val="000000"/>
          <w:szCs w:val="22"/>
        </w:rPr>
      </w:pPr>
      <w:r w:rsidRPr="004E2DE7">
        <w:rPr>
          <w:rFonts w:eastAsia="Times New Roman" w:cs="Arial"/>
          <w:szCs w:val="22"/>
        </w:rPr>
        <w:lastRenderedPageBreak/>
        <w:t xml:space="preserve">A version of this chapter </w:t>
      </w:r>
      <w:r>
        <w:rPr>
          <w:rFonts w:eastAsia="Times New Roman" w:cs="Arial"/>
          <w:szCs w:val="22"/>
        </w:rPr>
        <w:t xml:space="preserve">has been submitted for publication </w:t>
      </w:r>
      <w:r w:rsidRPr="004E2DE7">
        <w:rPr>
          <w:rFonts w:eastAsia="Times New Roman" w:cs="Arial"/>
          <w:szCs w:val="22"/>
        </w:rPr>
        <w:t xml:space="preserve">by </w:t>
      </w:r>
      <w:r w:rsidRPr="004E2DE7">
        <w:rPr>
          <w:rFonts w:cs="Arial"/>
          <w:szCs w:val="22"/>
        </w:rPr>
        <w:t>Jaime Lorenzo N. Dinglasan</w:t>
      </w:r>
      <w:r>
        <w:rPr>
          <w:rFonts w:cs="Arial"/>
          <w:szCs w:val="22"/>
        </w:rPr>
        <w:t xml:space="preserve"> </w:t>
      </w:r>
      <w:r w:rsidRPr="004E2DE7">
        <w:rPr>
          <w:rFonts w:cs="Arial"/>
          <w:bCs/>
          <w:color w:val="000000"/>
          <w:szCs w:val="22"/>
        </w:rPr>
        <w:t xml:space="preserve">and Mitchel J. </w:t>
      </w:r>
      <w:proofErr w:type="spellStart"/>
      <w:r w:rsidRPr="004E2DE7">
        <w:rPr>
          <w:rFonts w:cs="Arial"/>
          <w:bCs/>
          <w:color w:val="000000"/>
          <w:szCs w:val="22"/>
        </w:rPr>
        <w:t>Doktycz</w:t>
      </w:r>
      <w:proofErr w:type="spellEnd"/>
      <w:r w:rsidRPr="004E2DE7">
        <w:rPr>
          <w:rFonts w:cs="Arial"/>
          <w:bCs/>
          <w:color w:val="000000"/>
          <w:szCs w:val="22"/>
        </w:rPr>
        <w:t>:</w:t>
      </w:r>
    </w:p>
    <w:p w14:paraId="20553D4A" w14:textId="77777777" w:rsidR="00F534D3" w:rsidRPr="004E2DE7" w:rsidRDefault="00F534D3" w:rsidP="004E2DE7">
      <w:pPr>
        <w:pBdr>
          <w:top w:val="nil"/>
          <w:left w:val="nil"/>
          <w:bottom w:val="nil"/>
          <w:right w:val="nil"/>
          <w:between w:val="nil"/>
        </w:pBdr>
        <w:spacing w:after="280"/>
        <w:ind w:firstLine="720"/>
        <w:contextualSpacing/>
        <w:rPr>
          <w:rFonts w:cs="Arial"/>
          <w:b/>
          <w:color w:val="000000"/>
          <w:szCs w:val="22"/>
        </w:rPr>
      </w:pPr>
    </w:p>
    <w:p w14:paraId="419DEBDE" w14:textId="54917DA4" w:rsidR="004E2DE7" w:rsidRPr="004E2DE7" w:rsidRDefault="004E2DE7" w:rsidP="004E2DE7">
      <w:pPr>
        <w:ind w:left="720"/>
        <w:rPr>
          <w:rFonts w:cs="Arial"/>
          <w:bCs/>
          <w:szCs w:val="22"/>
        </w:rPr>
      </w:pPr>
      <w:r w:rsidRPr="004E2DE7">
        <w:rPr>
          <w:rFonts w:cs="Arial"/>
          <w:b/>
          <w:szCs w:val="22"/>
        </w:rPr>
        <w:t>Dinglasan, J.L.N.</w:t>
      </w:r>
      <w:r w:rsidRPr="004E2DE7">
        <w:rPr>
          <w:rFonts w:cs="Arial"/>
          <w:bCs/>
          <w:szCs w:val="22"/>
        </w:rPr>
        <w:t xml:space="preserve"> &amp; </w:t>
      </w:r>
      <w:proofErr w:type="spellStart"/>
      <w:r w:rsidRPr="004E2DE7">
        <w:rPr>
          <w:rFonts w:cs="Arial"/>
          <w:bCs/>
          <w:szCs w:val="22"/>
        </w:rPr>
        <w:t>Doktycz</w:t>
      </w:r>
      <w:proofErr w:type="spellEnd"/>
      <w:r w:rsidRPr="004E2DE7">
        <w:rPr>
          <w:rFonts w:cs="Arial"/>
          <w:bCs/>
          <w:szCs w:val="22"/>
        </w:rPr>
        <w:t xml:space="preserve">, M.J. (2023). Rewiring Cell-free Metabolic Flux in </w:t>
      </w:r>
      <w:r w:rsidRPr="004E2DE7">
        <w:rPr>
          <w:rFonts w:cs="Arial"/>
          <w:bCs/>
          <w:i/>
          <w:iCs/>
          <w:szCs w:val="22"/>
        </w:rPr>
        <w:t xml:space="preserve">Escherichia coli </w:t>
      </w:r>
      <w:r w:rsidRPr="004E2DE7">
        <w:rPr>
          <w:rFonts w:cs="Arial"/>
          <w:bCs/>
          <w:szCs w:val="22"/>
        </w:rPr>
        <w:t xml:space="preserve">Lysates using a Block-Push-Pull Approach. </w:t>
      </w:r>
      <w:r w:rsidR="00533862">
        <w:rPr>
          <w:rFonts w:cs="Arial"/>
          <w:bCs/>
          <w:i/>
          <w:iCs/>
          <w:szCs w:val="22"/>
        </w:rPr>
        <w:t>Accepted in</w:t>
      </w:r>
      <w:r w:rsidRPr="004E2DE7">
        <w:rPr>
          <w:rFonts w:cs="Arial"/>
          <w:bCs/>
          <w:i/>
          <w:iCs/>
          <w:szCs w:val="22"/>
        </w:rPr>
        <w:t xml:space="preserve"> Oxford Academic Synthetic Biology</w:t>
      </w:r>
      <w:r w:rsidR="00533862">
        <w:rPr>
          <w:rFonts w:cs="Arial"/>
          <w:bCs/>
          <w:i/>
          <w:iCs/>
          <w:szCs w:val="22"/>
        </w:rPr>
        <w:t>.</w:t>
      </w:r>
    </w:p>
    <w:p w14:paraId="4145A35E" w14:textId="77777777" w:rsidR="004E2DE7" w:rsidRPr="004E2DE7" w:rsidRDefault="004E2DE7" w:rsidP="004E2DE7">
      <w:pPr>
        <w:ind w:left="720"/>
        <w:rPr>
          <w:rFonts w:cs="Arial"/>
          <w:szCs w:val="22"/>
        </w:rPr>
      </w:pPr>
    </w:p>
    <w:p w14:paraId="279926B1" w14:textId="09257B3F" w:rsidR="004E2DE7" w:rsidRDefault="004E2DE7" w:rsidP="004E2DE7">
      <w:pPr>
        <w:ind w:firstLine="720"/>
        <w:rPr>
          <w:rFonts w:eastAsia="Times New Roman" w:cs="Arial"/>
          <w:szCs w:val="22"/>
        </w:rPr>
      </w:pPr>
      <w:r w:rsidRPr="00AB1BFA">
        <w:rPr>
          <w:rFonts w:eastAsia="Times New Roman" w:cs="Arial"/>
          <w:szCs w:val="22"/>
        </w:rPr>
        <w:t>This chapter has been adapted from its published format to accommodate new Figure, Table, and Equation enumeration. The Supplementary Information associated with this work may be found in the Appendix</w:t>
      </w:r>
      <w:r w:rsidRPr="004E2DE7">
        <w:rPr>
          <w:rFonts w:eastAsia="Times New Roman" w:cs="Arial"/>
          <w:szCs w:val="22"/>
        </w:rPr>
        <w:t xml:space="preserve"> section of this chapter. All</w:t>
      </w:r>
      <w:r w:rsidRPr="00AB1BFA">
        <w:rPr>
          <w:rFonts w:eastAsia="Times New Roman" w:cs="Arial"/>
          <w:szCs w:val="22"/>
        </w:rPr>
        <w:t xml:space="preserve"> references are located at the end of the document. </w:t>
      </w:r>
    </w:p>
    <w:p w14:paraId="00E3AA5C" w14:textId="08E51858" w:rsidR="004E2DE7" w:rsidRDefault="004E2DE7" w:rsidP="004E2DE7">
      <w:pPr>
        <w:rPr>
          <w:rFonts w:eastAsia="Times New Roman" w:cs="Arial"/>
          <w:szCs w:val="22"/>
        </w:rPr>
      </w:pPr>
    </w:p>
    <w:p w14:paraId="57E3AC4D" w14:textId="6AE5EA81" w:rsidR="004E2DE7" w:rsidRPr="00E033D4" w:rsidRDefault="004E2DE7" w:rsidP="00E033D4">
      <w:pPr>
        <w:pStyle w:val="ChapterHeading"/>
      </w:pPr>
      <w:bookmarkStart w:id="89" w:name="_Toc129701042"/>
      <w:r w:rsidRPr="00E033D4">
        <w:t>4.1. A</w:t>
      </w:r>
      <w:r w:rsidR="002C0A3B" w:rsidRPr="00E033D4">
        <w:t>bstract</w:t>
      </w:r>
      <w:bookmarkEnd w:id="89"/>
    </w:p>
    <w:p w14:paraId="390B47E4" w14:textId="77777777" w:rsidR="004E2DE7" w:rsidRPr="002C0A3B" w:rsidRDefault="004E2DE7" w:rsidP="004E2DE7">
      <w:pPr>
        <w:ind w:firstLine="720"/>
        <w:rPr>
          <w:rFonts w:cs="Arial"/>
          <w:szCs w:val="22"/>
        </w:rPr>
      </w:pPr>
      <w:r w:rsidRPr="002C0A3B">
        <w:rPr>
          <w:rFonts w:cs="Arial"/>
          <w:szCs w:val="22"/>
        </w:rPr>
        <w:t xml:space="preserve">Cell-free systems can expedite the design and implementation of biomanufacturing processes by bypassing troublesome requirements associated with the use of live cells. In particular, the lack of survival objectives and the open nature of cell-free reactions afford engineering approaches that allow purposeful direction of metabolic flux.  The use of lysate-based systems to produce desired small molecules can result in competitive titers and productivities when compared against their cell-based counterparts. However, pathway crosstalk within endogenous lysate metabolism can compromise conversion yields by diverting carbon flow away from desired products. Here, the “block-push-pull” concept of conventional cell-based metabolic engineering was adapted to develop a cell-free approach that efficiently directs carbon flow in lysates from glucose and towards endogenous ethanol synthesis. The approach is readily adaptable, relatively rapid, and allows manipulation of central metabolism in cell extracts. In implementing this approach, a block strategy is first optimized, enabling selective enzyme removal </w:t>
      </w:r>
      <w:r w:rsidRPr="002C0A3B">
        <w:rPr>
          <w:rFonts w:cs="Arial"/>
          <w:szCs w:val="22"/>
        </w:rPr>
        <w:lastRenderedPageBreak/>
        <w:t xml:space="preserve">from the lysate to the point of eliminating byproduct forming activity while channeling flux through the target pathway. This is complemented with cell-free metabolic engineering (CFME) methods that manipulate the lysate proteome and reaction environment to push through bottlenecks and pull flux towards ethanol. The approach incorporating these block, push, and pull strategies maximized glucose to ethanol conversion in an </w:t>
      </w:r>
      <w:r w:rsidRPr="002C0A3B">
        <w:rPr>
          <w:rFonts w:cs="Arial"/>
          <w:i/>
          <w:iCs/>
          <w:szCs w:val="22"/>
        </w:rPr>
        <w:t xml:space="preserve">E. coli </w:t>
      </w:r>
      <w:r w:rsidRPr="002C0A3B">
        <w:rPr>
          <w:rFonts w:cs="Arial"/>
          <w:szCs w:val="22"/>
        </w:rPr>
        <w:t xml:space="preserve">lysate that initially had low ethanologenic potential. A 10-fold improvement in percent yield is demonstrated. To our knowledge, this is the first report of successfully rewiring lysate carbon flux without source strain optimization and to completely transform consumed input substrate to a desired output product in a lysate-based, cell-free system. </w:t>
      </w:r>
    </w:p>
    <w:p w14:paraId="766AFA5A" w14:textId="77777777" w:rsidR="0039202C" w:rsidRDefault="0039202C" w:rsidP="0039202C">
      <w:pPr>
        <w:rPr>
          <w:rFonts w:cs="Arial"/>
          <w:i/>
          <w:color w:val="000000"/>
          <w:szCs w:val="22"/>
        </w:rPr>
      </w:pPr>
    </w:p>
    <w:p w14:paraId="4430FD08" w14:textId="476B3206" w:rsidR="002C0A3B" w:rsidRPr="00E033D4" w:rsidRDefault="002C0A3B" w:rsidP="00E033D4">
      <w:pPr>
        <w:pStyle w:val="ChapterHeading"/>
      </w:pPr>
      <w:bookmarkStart w:id="90" w:name="_Toc129701043"/>
      <w:r w:rsidRPr="00E033D4">
        <w:t>4.2</w:t>
      </w:r>
      <w:r w:rsidR="004E2DE7" w:rsidRPr="00E033D4">
        <w:t>. I</w:t>
      </w:r>
      <w:r w:rsidRPr="00E033D4">
        <w:t>ntroduction</w:t>
      </w:r>
      <w:bookmarkEnd w:id="90"/>
    </w:p>
    <w:p w14:paraId="4C6CA647" w14:textId="2A07F6B9" w:rsidR="004E2DE7" w:rsidRPr="002C0A3B" w:rsidRDefault="004E2DE7" w:rsidP="002C0A3B">
      <w:pPr>
        <w:ind w:firstLine="720"/>
        <w:rPr>
          <w:rFonts w:cs="Arial"/>
          <w:color w:val="000000" w:themeColor="text1"/>
          <w:szCs w:val="22"/>
        </w:rPr>
      </w:pPr>
      <w:r w:rsidRPr="002C0A3B">
        <w:rPr>
          <w:rFonts w:cs="Arial"/>
          <w:color w:val="000000" w:themeColor="text1"/>
          <w:szCs w:val="22"/>
        </w:rPr>
        <w:t>Cell-based manufacturing systems routinely produce fuels and pharmaceutical precursors and products, among other commercially valuable compounds, from readily available substrates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{"citationItems":[{"id":"ITEM-1","itemData":{"DOI":"10.1146/annurev-chembioeng-061312-103312","ISSN":"1947-5438","abstract":"We present here a broad overview of the field of metabolic engineering, describing in the first section the key fundamental principles that define and distinguish it, as well as the technological and intellectual developments over the past approximately 20 years that have led to the current state of the art. Discussion of concepts such as metabolic flux analysis, metabolic control analysis, and rational and combinatorial methods is facilitated by illustrative examples of their application drawn from the extensive metabolic engineering literature. In the second section, we present some of the rapidly emerging technologies that we think will play pivotal roles in the continued growth of the field, from improving production metrics to expanding the range of attainable compounds. Expected final online publication date for the Annual Review of Chemical and Biomolecular Engineering Volume 4 is June 07, 2013. Please see http://www.annualreviews.org/catalog/pubdates.aspx for revised estimates.","author":[{"dropping-particle":"","family":"Woolston","given":"Benjamin M.","non-dropping-particle":"","parse-names":false,"suffix":""},{"dropping-particle":"","family":"Edgar","given":"Steven","non-dropping-particle":"","parse-names":false,"suffix":""},{"dropping-particle":"","family":"Stephanopoulos","given":"Gregory","non-dropping-particle":"","parse-names":false,"suffix":""}],"container-title":"Annual Review of Chemical and Biomolecular Engineering","id":"ITEM-1","issue":"1","issued":{"date-parts":[["2013","6","7"]]},"page":"259-288","publisher":"Annual Reviews","title":"Metabolic Engineering: Past and Future","type":"article-journal","volume":"4"},"uris":["http://www.mendeley.com/documents/?uuid=53a9df93-ae7e-398c-8ec2-88534a6bd011"]},{"id":"ITEM-2","itemData":{"DOI":"10.1007/S00253-010-2446-1","ISSN":"1432-0614","PMID":"20143230","abstract":"The microbial production of biofuels is a promising avenue for the development of viable processes for the generation of fuels from sustainable resources. In order to become cost and energy effective, these processes must utilize organisms that can be optimized to efficiently produce candidate fuels from a variety of feedstocks. Escherichia coli has become a promising host organism for the microbial production of biofuels in part due to the ease at which this organism can be manipulated. Advancements in metabolic engineering and synthetic biology have led to the ability to efficiently engineer E. coli as a biocatalyst for the production of a wide variety of potential biofuels from several biomass constituents. This review focuses on recent efforts devoted to engineering E. coli for the production of biofuels, with emphasis on the key aspects of both the utilization of a variety of substrates as well as the synthesis of several promising biofuels. Strategies for the efficient utilization of carbohydrates, carbohydrate mixtures, and noncarbohydrate carbon sources will be discussed along with engineering efforts for the exploitation of both fermentative and nonfermentative pathways for the production of candidate biofuels such as alcohols and higher carbon biofuels derived from fatty acid and isoprenoid pathways. Continued advancements in metabolic engineering and synthetic biology will help improve not only the titers, yields, and productivities of biofuels discussed herein, but also increase the potential range of compounds that can be produced.","author":[{"dropping-particle":"","family":"Clomburg","given":"James M.","non-dropping-particle":"","parse-names":false,"suffix":""},{"dropping-particle":"","family":"Gonzalez","given":"Ramon","non-dropping-particle":"","parse-names":false,"suffix":""}],"container-title":"Applied Microbiology and Biotechnology 2010 86:2","id":"ITEM-2","issue":"2","issued":{"date-parts":[["2010","2","9"]]},"page":"419-434","publisher":"Springer","title":"Biofuel production in Escherichia coli: the role of metabolic engineering and synthetic biology","type":"article-journal","volume":"86"},"uris":["http://www.mendeley.com/documents/?uuid=0f79c4ec-0c80-3d5c-b69e-794244d50a69"]},{"id":"ITEM-3","itemData":{"DOI":"10.1111/1751-7915.12385","ISSN":"1751-7915","PMID":"27435545","abstract":"While academic-level studies on metabolic engineering of microorganisms for production of chemicals and fuels are ever growing, a significantly lower number of such production processes have reached commercial-scale. In this work, we review the challenges associated with moving from laboratory-scale demonstration of microbial chemical or fuel production to actual commercialization, focusing on key requirements on the production organism that need to be considered during the metabolic engineering process. Metabolic engineering strategies should take into account techno-economic factors such as the choice of feedstock, the product yield, productivity and titre, and the cost effectiveness of midstream and downstream processes. Also, it is important to develop an industrial strain through metabolic engineering for pathway construction and flux optimization together with increasing tolerance to products and inhibitors present in the feedstock, and ensuring genetic stability and strain robustness under actual fermentation conditions.","author":[{"dropping-particle":"","family":"Gustavsson","given":"Martin","non-dropping-particle":"","parse-names":false,"suffix":""},{"dropping-particle":"","family":"Lee","given":"Sang Yup","non-dropping-particle":"","parse-names":false,"suffix":""}],"container-title":"Microbial Biotechnology","id":"ITEM-3","issue":"5","issued":{"date-parts":[["2016","9","1"]]},"page":"610-617","publisher":"John Wiley &amp; Sons, Ltd","title":"Prospects of microbial cell factories developed through systems metabolic engineering","type":"article-journal","volume":"9"},"uris":["http://www.mendeley.com/documents/?uuid=59cb7e37-c83f-3a27-940b-c6104366c201"]}],"mendeley":{"formattedCitation":"&lt;sup&gt;13,143,144&lt;/sup&gt;","plainTextFormattedCitation":"13,143,144","previouslyFormattedCitation":"&lt;sup&gt;13,143,144&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13,143,144</w:t>
      </w:r>
      <w:r w:rsidRPr="002C0A3B">
        <w:rPr>
          <w:rFonts w:cs="Arial"/>
          <w:color w:val="000000" w:themeColor="text1"/>
          <w:szCs w:val="22"/>
        </w:rPr>
        <w:fldChar w:fldCharType="end"/>
      </w:r>
      <w:r w:rsidRPr="002C0A3B">
        <w:rPr>
          <w:rFonts w:cs="Arial"/>
          <w:color w:val="000000" w:themeColor="text1"/>
          <w:szCs w:val="22"/>
        </w:rPr>
        <w:t>. These biomanufacturing systems are commonly evaluated by their productivity (rate of product formation per unit volume), titer (concentration), and yield (amount of product formed per substrate amount consumed)</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{"citationItems":[{"id":"ITEM-1","itemData":{"DOI":"10.1146/annurev-chembioeng-061312-103312","ISSN":"1947-5438","abstract":"We present here a broad overview of the field of metabolic engineering, describing in the first section the key fundamental principles that define and distinguish it, as well as the technological and intellectual developments over the past approximately 20 years that have led to the current state of the art. Discussion of concepts such as metabolic flux analysis, metabolic control analysis, and rational and combinatorial methods is facilitated by illustrative examples of their application drawn from the extensive metabolic engineering literature. In the second section, we present some of the rapidly emerging technologies that we think will play pivotal roles in the continued growth of the field, from improving production metrics to expanding the range of attainable compounds. Expected final online publication date for the Annual Review of Chemical and Biomolecular Engineering Volume 4 is June 07, 2013. Please see http://www.annualreviews.org/catalog/pubdates.aspx for revised estimates.","author":[{"dropping-particle":"","family":"Woolston","given":"Benjamin M.","non-dropping-particle":"","parse-names":false,"suffix":""},{"dropping-particle":"","family":"Edgar","given":"Steven","non-dropping-particle":"","parse-names":false,"suffix":""},{"dropping-particle":"","family":"Stephanopoulos","given":"Gregory","non-dropping-particle":"","parse-names":false,"suffix":""}],"container-title":"Annual Review of Chemical and Biomolecular Engineering","id":"ITEM-1","issue":"1","issued":{"date-parts":[["2013","6","7"]]},"page":"259-288","publisher":"Annual Reviews","title":"Metabolic Engineering: Past and Future","type":"article-journal","volume":"4"},"uris":["http://www.mendeley.com/documents/?uuid=53a9df93-ae7e-398c-8ec2-88534a6bd011"]},{"id":"ITEM-2","itemData":{"DOI":"10.1007/S00253-010-2446-1","ISSN":"1432-0614","PMID":"20143230","abstract":"The microbial production of biofuels is a promising avenue for the development of viable processes for the generation of fuels from sustainable resources. In order to become cost and energy effective, these processes must utilize organisms that can be optimized to efficiently produce candidate fuels from a variety of feedstocks. Escherichia coli has become a promising host organism for the microbial production of biofuels in part due to the ease at which this organism can be manipulated. Advancements in metabolic engineering and synthetic biology have led to the ability to efficiently engineer E. coli as a biocatalyst for the production of a wide variety of potential biofuels from several biomass constituents. This review focuses on recent efforts devoted to engineering E. coli for the production of biofuels, with emphasis on the key aspects of both the utilization of a variety of substrates as well as the synthesis of several promising biofuels. Strategies for the efficient utilization of carbohydrates, carbohydrate mixtures, and noncarbohydrate carbon sources will be discussed along with engineering efforts for the exploitation of both fermentative and nonfermentative pathways for the production of candidate biofuels such as alcohols and higher carbon biofuels derived from fatty acid and isoprenoid pathways. Continued advancements in metabolic engineering and synthetic biology will help improve not only the titers, yields, and productivities of biofuels discussed herein, but also increase the potential range of compounds that can be produced.","author":[{"dropping-particle":"","family":"Clomburg","given":"James M.","non-dropping-particle":"","parse-names":false,"suffix":""},{"dropping-particle":"","family":"Gonzalez","given":"Ramon","non-dropping-particle":"","parse-names":false,"suffix":""}],"container-title":"Applied Microbiology and Biotechnology 2010 86:2","id":"ITEM-2","issue":"2","issued":{"date-parts":[["2010","2","9"]]},"page":"419-434","publisher":"Springer","title":"Biofuel production in Escherichia coli: the role of metabolic engineering and synthetic biology","type":"article-journal","volume":"86"},"uris":["http://www.mendeley.com/documents/?uuid=0f79c4ec-0c80-3d5c-b69e-794244d50a69"]},{"id":"ITEM-3","itemData":{"DOI":"10.1111/1751-7915.12385","ISSN":"1751-7915","PMID":"27435545","abstract":"While academic-level studies on metabolic engineering of microorganisms for production of chemicals and fuels are ever growing, a significantly lower number of such production processes have reached commercial-scale. In this work, we review the challenges associated with moving from laboratory-scale demonstration of microbial chemical or fuel production to actual commercialization, focusing on key requirements on the production organism that need to be considered during the metabolic engineering process. Metabolic engineering strategies should take into account techno-economic factors such as the choice of feedstock, the product yield, productivity and titre, and the cost effectiveness of midstream and downstream processes. Also, it is important to develop an industrial strain through metabolic engineering for pathway construction and flux optimization together with increasing tolerance to products and inhibitors present in the feedstock, and ensuring genetic stability and strain robustness under actual fermentation conditions.","author":[{"dropping-particle":"","family":"Gustavsson","given":"Martin","non-dropping-particle":"","parse-names":false,"suffix":""},{"dropping-particle":"","family":"Lee","given":"Sang Yup","non-dropping-particle":"","parse-names":false,"suffix":""}],"container-title":"Microbial Biotechnology","id":"ITEM-3","issue":"5","issued":{"date-parts":[["2016","9","1"]]},"page":"610-617","publisher":"John Wiley &amp; Sons, Ltd","title":"Prospects of microbial cell factories developed through systems metabolic engineering","type":"article-journal","volume":"9"},"uris":["http://www.mendeley.com/documents/?uuid=59cb7e37-c83f-3a27-940b-c6104366c201"]}],"mendeley":{"formattedCitation":"&lt;sup&gt;13,143,144&lt;/sup&gt;","plainTextFormattedCitation":"13,143,144","previouslyFormattedCitation":"&lt;sup&gt;13,143,144&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13,143,144</w:t>
      </w:r>
      <w:r w:rsidRPr="002C0A3B">
        <w:rPr>
          <w:rFonts w:cs="Arial"/>
          <w:color w:val="000000" w:themeColor="text1"/>
          <w:szCs w:val="22"/>
        </w:rPr>
        <w:fldChar w:fldCharType="end"/>
      </w:r>
      <w:r w:rsidRPr="002C0A3B">
        <w:rPr>
          <w:rFonts w:cs="Arial"/>
          <w:color w:val="000000" w:themeColor="text1"/>
          <w:szCs w:val="22"/>
        </w:rPr>
        <w:t>. However, engineering a living organism’s complex dynamic metabolism while meeting its survival demands typically requires multiple time-consuming design-build-test-learn (DBTL) cycles to make modest gains in these performance metrics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{"citationItems":[{"id":"ITEM-1","itemData":{"DOI":"10.1002/biot.201400330","ISSN":"18606768","abstract":"Industrial biotechnology and microbial metabolic engineering are poised to help meet the growing demand for sustainable, low-cost commodity chemicals and natural products, yet the fraction of biochemicals amenable to commercial production remains limited. Common problems afflicting the current state-of-the-art include low volumetric productivities, build-up of toxic intermediates or products, and byproduct losses via competing pathways. To overcome these limitations, cell-free metabolic engineering (CFME) is expanding the scope of the traditional bioengineering model by using in vitro ensembles of catalytic proteins prepared from purified enzymes or crude lysates of cells for the production of target products. In recent years, the unprecedented level of control and freedom of design, relative to in vivo systems, has inspired the development of engineering foundations for cell-free systems. These efforts have led to activation of long enzymatic pathways (&gt;8 enzymes), near theoretical conversion yields, productivities greater than 100 mg L-1 h-1, reaction scales of &gt;100 L, and new directions in protein purification, spatial organization, and enzyme stability. In the coming years, CFME will offer exciting opportunities to: (i) debug and optimize biosynthetic pathways; (ii) carry out design-build-test iterations without re-engineering organisms; and (iii) perform molecular transformations when bioconversion yields, productivities, or cellular toxicity limit commercial feasibility. Cell-free metabolic engineering (CFME) is the practice of using in vitro ensembles of catalytic proteins prepared from purified enzymes or crude lysates of cells for the production of useful products. By avoiding constraints associated with product toxicity, focusing substrates towards the biosynthesis of a single product, and separating cellular growth objectives from engineering process objectives, CFME complements existing in vivo strategies and expands the scope of metabolic engineering. CFME offers exciting opportunities to debug and optimize enzymatic pathways and perform molecular transformations when bioconversion yields, productivities, or cellular toxicity limit commercial feasibility of whole-cell fermentation.","author":[{"dropping-particle":"","family":"Dudley","given":"Quentin M.","non-dropping-particle":"","parse-names":false,"suffix":""},{"dropping-particle":"","family":"Karim","given":"Ashty S.","non-dropping-particle":"","parse-names":false,"suffix":""},{"dropping-particle":"","family":"Jewett","given":"Michael C.","non-dropping-particle":"","parse-names":false,"suffix":""}],"container-title":"Biotechnology Journal","id":"ITEM-1","issue":"1","issued":{"date-parts":[["2015","1","1"]]},"page":"69-82","publisher":"Wiley-VCH Verlag","title":"Cell-free metabolic engineering: Biomanufacturing beyond the cell","type":"article-journal","volume":"10"},"uris":["http://www.mendeley.com/documents/?uuid=43fbdee7-97e6-32f6-b950-a2d6e466d0b3"]},{"id":"ITEM-2","itemData":{"DOI":"10.1016/j.csbj.2017.01.006","ISSN":"20010370","PMID":"28179978","abstract":"With the breakthroughs in biomolecular engineering and synthetic biology, many valuable biologically active compound and commodity chemicals have been successfully manufactured using cell-based approaches in the past decade. However, because of the high complexity of cell metabolism, the identification and optimization of rate-limiting metabolic pathways for improving the product yield is often difficult, which represents a significant and unavoidable barrier of traditional in vivo metabolic engineering. Recently, some in vitro engineering approaches were proposed as alternative strategies to solve this problem. In brief, by reconstituting a biosynthetic pathway in a cell-free environment with the supplement of cofactors and substrates, the performance of each biosynthetic pathway could be evaluated and optimized systematically. Several value-added products, including chemicals, nutraceuticals, and drug precursors, have been biosynthesized as proof-of-concept demonstrations of in vitro metabolic engineering. This mini-review summarizes the recent progresses on the emerging topic of in vitro metabolic engineering and comments on the potential application of cell-free technology to speed up the “design-build-test” cycles of biomanufacturing.","author":[{"dropping-particle":"","family":"Guo","given":"Weihua","non-dropping-particle":"","parse-names":false,"suffix":""},{"dropping-particle":"","family":"Sheng","given":"Jiayuan","non-dropping-particle":"","parse-names":false,"suffix":""},{"dropping-particle":"","family":"Feng","given":"Xueyang","non-dropping-particle":"","parse-names":false,"suffix":""}],"container-title":"Computational and Structural Biotechnology Journal","id":"ITEM-2","issued":{"date-parts":[["2017","1","1"]]},"page":"161-167","publisher":"Elsevier B.V.","title":"Mini-review: In vitro Metabolic Engineering for Biomanufacturing of High-value Products","type":"article","volume":"15"},"uris":["http://www.mendeley.com/documents/?uuid=8dd364d8-64f4-34a9-9365-7026bb960e30"]}],"mendeley":{"formattedCitation":"&lt;sup&gt;18,145&lt;/sup&gt;","plainTextFormattedCitation":"18,145","previouslyFormattedCitation":"&lt;sup&gt;18,145&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18,145</w:t>
      </w:r>
      <w:r w:rsidRPr="002C0A3B">
        <w:rPr>
          <w:rFonts w:cs="Arial"/>
          <w:color w:val="000000" w:themeColor="text1"/>
          <w:szCs w:val="22"/>
        </w:rPr>
        <w:fldChar w:fldCharType="end"/>
      </w:r>
      <w:r w:rsidRPr="002C0A3B">
        <w:rPr>
          <w:rFonts w:cs="Arial"/>
          <w:color w:val="000000" w:themeColor="text1"/>
          <w:szCs w:val="22"/>
        </w:rPr>
        <w:t>. For example, ethanol is a major biofuel and realizing production at high titer (&gt; 40 g/L), productivity (&gt; 1 g/L/h), and yield (&gt; 90% of the maximum theoretical amount of ethanol that can be formed from substrate) in cell-based systems has taken decades of strain optimization</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Biotechnology","id":"ITEM-1","issued":{"date-parts":[["2020","1","23"]]},"publisher":"Elsevier Ltd","title":"Synthetic Biochemistry: The Bio-inspired Cell-Free Approach to Commodity Chemical Production","type":"article"},"uris":["http://www.mendeley.com/documents/?uuid=2e6836a8-603b-33f3-ac63-5bc4a65d2485"]},{"id":"ITEM-2","itemData":{"DOI":"10.1016/j.rser.2017.05.052","ISSN":"18790690","abstract":"To address issues of energy security and greenhouse gas (GHG) mitigation, substantial amounts of corn-derived ethanol are being used in U.S. gasoline. Currently, ethanol comprises 10% of the U.S. gasoline pool (E10), but there is interest in increasing this – possibly doubling the amount currently used. Production of corn ethanol raises several concerns with respect to environmental and ecological impacts. This paper reviews the available literature regarding impacts on biodiversity, land use change (LUC), greenhouse gas (GHG) emissions, and overall sustainability. A companion paper addresses impacts on water, soil, and air quality. We emphasize recent information appearing since comprehensive reports on these topics were issued by the U.S. EPA and NRC/NAS in 2011. The principal environmental and ecological concerns arise from the intensive agricultural activities associated with corn cropping. Expansion of these activities promotes regional mono-culture, which is accompanied by reduced plant and animal biodiversity, and diminished ecosystem functions and services. Extensification of corn cropping into Conservation Reserve Program (CRP) lands is occurring, which raises concerns about erosion, nutrient runoff, and other adverse environmental impacts. Estimating the impacts of increased ethanol on GHG emissions requires sophisticated life cycle assessment (LCA) modeling approaches to account for emissions resulting from land use change (LUC). Although considerable uncertainty remains, recent regulatory modeling by EPA and CARB estimate modest GHG reductions of about 20% from corn ethanol as compared to gasoline. Being a major commodity in global food/feed markets, displacing large amounts of corn to produce ethanol strengthens demand and increases prices. To date, these effects have been small, but there are growing concerns about increased use of staple food products to produce fuels within the context of an expanding global population that faces severe calorie shortages. Tradeoffs regarding environmental, ecological, and social impacts raise questions about the overall sustainability of such an approach.","author":[{"dropping-particle":"","family":"Hoekman","given":"S. Kent","non-dropping-particle":"","parse-names":false,"suffix":""},{"dropping-particle":"","family":"Broch","given":"Amber","non-dropping-particle":"","parse-names":false,"suffix":""}],"container-title":"Renewable and Sustainable Energy Reviews","id":"ITEM-2","issued":{"date-parts":[["2018"]]},"title":"Environmental implications of higher ethanol production and use in the U.S.: A literature review. Part II – Biodiversity, land use change, GHG emissions, and sustainability","type":"article","volume":"81"},"uris":["http://www.mendeley.com/documents/?uuid=decea376-e20c-3683-9585-9d87d791ce33"]}],"mendeley":{"formattedCitation":"&lt;sup&gt;20,146&lt;/sup&gt;","plainTextFormattedCitation":"20,146","previouslyFormattedCitation":"&lt;sup&gt;20,146&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20,146</w:t>
      </w:r>
      <w:r w:rsidRPr="002C0A3B">
        <w:rPr>
          <w:rFonts w:cs="Arial"/>
          <w:color w:val="000000" w:themeColor="text1"/>
          <w:szCs w:val="22"/>
        </w:rPr>
        <w:fldChar w:fldCharType="end"/>
      </w:r>
      <w:r w:rsidRPr="002C0A3B">
        <w:rPr>
          <w:rFonts w:cs="Arial"/>
          <w:color w:val="000000" w:themeColor="text1"/>
          <w:szCs w:val="22"/>
        </w:rPr>
        <w:t>. Cell-free optimizations and implementations shows promise in expediting the generation of biosynthetic platforms with high production metrics</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{"citationItems":[{"id":"ITEM-1","itemData":{"DOI":"10.1038/nchembio.2062","ISSN":"1552-4450","PMID":"27065234","abstract":"Synthetic biochemistry, the cell-free production of biologically based chemicals, is a potentially high-yield, flexible alternative to in vivo metabolic engineering. To limit costs, cell-free systems must be designed to operate continuously with minimal addition of feedstock chemicals. We describe a robust, efficient synthetic glucose breakdown pathway and implement it for the production of bioplastic. The system's performance suggests that synthetic biochemistry has the potential to become a viable industrial alternative.","author":[{"dropping-particle":"","family":"Opgenorth","given":"Paul H","non-dropping-particle":"","parse-names":false,"suffix":""},{"dropping-particle":"","family":"Korman","given":"Tyler P","non-dropping-particle":"","parse-names":false,"suffix":""},{"dropping-particle":"","family":"Bowie","given":"James U","non-dropping-particle":"","parse-names":false,"suffix":""}],"container-title":"Nature Chemical Biology","id":"ITEM-1","issue":"6","issued":{"date-parts":[["2016"]]},"page":"1-4","publisher":"Nature Publishing Group","title":"A synthetic biochemistry module for production of bio-based chemicals from glucose","type":"article-journal","volume":"12"},"uris":["http://www.mendeley.com/documents/?uuid=c0c5c3d1-fb5c-4764-9ab6-a474693628d7"]},{"id":"ITEM-2","itemData":{"DOI":"10.1016/j.tibtech.2019.12.024","ISSN":"18793096","abstract":"Metabolic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Biotechnology","id":"ITEM-2","issued":{"date-parts":[["2020","1","23"]]},"publisher":"Elsevier Ltd","title":"Synthetic Biochemistry: The Bio-inspired Cell-Free Approach to Commodity Chemical Production","type":"article"},"uris":["http://www.mendeley.com/documents/?uuid=2e6836a8-603b-33f3-ac63-5bc4a65d2485"]}],"mendeley":{"formattedCitation":"&lt;sup&gt;20,57&lt;/sup&gt;","plainTextFormattedCitation":"20,57","previouslyFormattedCitation":"&lt;sup&gt;20,57&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20,57</w:t>
      </w:r>
      <w:r w:rsidRPr="002C0A3B">
        <w:rPr>
          <w:rFonts w:cs="Arial"/>
          <w:color w:val="000000" w:themeColor="text1"/>
          <w:szCs w:val="22"/>
        </w:rPr>
        <w:fldChar w:fldCharType="end"/>
      </w:r>
      <w:r w:rsidRPr="002C0A3B">
        <w:rPr>
          <w:rFonts w:cs="Arial"/>
          <w:color w:val="000000" w:themeColor="text1"/>
          <w:szCs w:val="22"/>
        </w:rPr>
        <w:t>.</w:t>
      </w:r>
    </w:p>
    <w:p w14:paraId="021A8BE3" w14:textId="78934FCC" w:rsidR="004E2DE7" w:rsidRPr="002C0A3B" w:rsidRDefault="004E2DE7" w:rsidP="002C0A3B">
      <w:pPr>
        <w:ind w:firstLine="720"/>
        <w:rPr>
          <w:rFonts w:cs="Arial"/>
          <w:color w:val="000000" w:themeColor="text1"/>
          <w:szCs w:val="22"/>
        </w:rPr>
      </w:pPr>
      <w:r w:rsidRPr="002C0A3B">
        <w:rPr>
          <w:rFonts w:cs="Arial"/>
          <w:color w:val="000000" w:themeColor="text1"/>
          <w:szCs w:val="22"/>
        </w:rPr>
        <w:t xml:space="preserve">Cell-free or </w:t>
      </w:r>
      <w:r w:rsidRPr="002C0A3B">
        <w:rPr>
          <w:rFonts w:cs="Arial"/>
          <w:i/>
          <w:iCs/>
          <w:color w:val="000000" w:themeColor="text1"/>
          <w:szCs w:val="22"/>
        </w:rPr>
        <w:t xml:space="preserve">in vitro </w:t>
      </w:r>
      <w:r w:rsidRPr="002C0A3B">
        <w:rPr>
          <w:rFonts w:cs="Arial"/>
          <w:color w:val="000000" w:themeColor="text1"/>
          <w:szCs w:val="22"/>
        </w:rPr>
        <w:t>systems employ the components necessary to carry out metabolism outside of a living cell, or in a “cell-free” space</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{"citationItems":[{"id":"ITEM-1","itemData":{"DOI":"10.1002/biot.201400330","ISSN":"18606768","abstract":"Industrial biotechnology and microbial metabolic engineering are poised to help meet the growing demand for sustainable, low-cost commodity chemicals and natural products, yet the fraction of biochemicals amenable to commercial production remains limited. Common problems afflicting the current state-of-the-art include low volumetric productivities, build-up of toxic intermediates or products, and byproduct losses via competing pathways. To overcome these limitations, cell-free metabolic engineering (CFME) is expanding the scope of the traditional bioengineering model by using in vitro ensembles of catalytic proteins prepared from purified enzymes or crude lysates of cells for the production of target products. In recent years, the unprecedented level of control and freedom of design, relative to in vivo systems, has inspired the development of engineering foundations for cell-free systems. These efforts have led to activation of long enzymatic pathways (&gt;8 enzymes), near theoretical conversion yields, productivities greater than 100 mg L-1 h-1, reaction scales of &gt;100 L, and new directions in protein purification, spatial organization, and enzyme stability. In the coming years, CFME will offer exciting opportunities to: (i) debug and optimize biosynthetic pathways; (ii) carry out design-build-test iterations without re-engineering organisms; and (iii) perform molecular transformations when bioconversion yields, productivities, or cellular toxicity limit commercial feasibility. Cell-free metabolic engineering (CFME) is the practice of using in vitro ensembles of catalytic proteins prepared from purified enzymes or crude lysates of cells for the production of useful products. By avoiding constraints associated with product toxicity, focusing substrates towards the biosynthesis of a single product, and separating cellular growth objectives from engineering process objectives, CFME complements existing in vivo strategies and expands the scope of metabolic engineering. CFME offers exciting opportunities to debug and optimize enzymatic pathways and perform molecular transformations when bioconversion yields, productivities, or cellular toxicity limit commercial feasibility of whole-cell fermentation.","author":[{"dropping-particle":"","family":"Dudley","given":"Quentin M.","non-dropping-particle":"","parse-names":false,"suffix":""},{"dropping-particle":"","family":"Karim","given":"Ashty S.","non-dropping-particle":"","parse-names":false,"suffix":""},{"dropping-particle":"","family":"Jewett","given":"Michael C.","non-dropping-particle":"","parse-names":false,"suffix":""}],"container-title":"Biotechnology Journal","id":"ITEM-1","issue":"1","issued":{"date-parts":[["2015","1","1"]]},"page":"69-82","publisher":"Wiley-VCH Verlag","title":"Cell-free metabolic engineering: Biomanufacturing beyond the cell","type":"article-journal","volume":"10"},"uris":["http://www.mendeley.com/documents/?uuid=43fbdee7-97e6-32f6-b950-a2d6e466d0b3"]},{"id":"ITEM-2","itemData":{"DOI":"10.1016/j.synbio.2017.02.003","ISSN":"2405805X","abstract":"Cell-free synthetic biology emerges as a powerful and flexible enabling technology that can engineer biological parts and systems for life science applications without using living cells. It provides simpler and faster engineering solutions with an unprecedented freedom of design in an open environment than cell system. This review focuses on recent developments of cell-free synthetic biology on biological engineering fields at molecular and cellular levels, including protein engineering, metabolic engineering, and artificial cell engineering. In cell-free protein engineering, the direct control of reaction conditions in cell-free system allows for easy synthesis of complex proteins, toxic proteins, membrane proteins, and novel proteins with unnatural amino acids. Cell-free systems offer the ability to design metabolic pathways towards the production of desired products. Buildup of artificial cells based on cell-free systems will improve our understanding of life and use them for environmental and biomedical applications.","author":[{"dropping-particle":"","family":"Lu","given":"Yuan","non-dropping-particle":"","parse-names":false,"suffix":""}],"container-title":"Synthetic and Systems Biotechnology","id":"ITEM-2","issue":"1","issued":{"date-parts":[["2017"]]},"page":"23-27","publisher":"Elsevier Ltd","title":"Cell-free synthetic biology: Engineering in an open world","type":"article-journal","volume":"2"},"uris":["http://www.mendeley.com/documents/?uuid=dc6a8ebb-0ab9-4b19-8a16-4441a930befd"]},{"id":"ITEM-3","itemData":{"DOI":"10.1038/s41576-019-0186-3","ISSN":"14710064","PMID":"31780816","abstract":"Cell-free biology is the activation of biological processes without the use of intact living cells. It has been used for more than 50 years across the life sciences as a foundational research tool, but a recent technical renaissance has facilitated high-yielding (grams of protein per litre), cell-free gene expression systems from model bacteria, the development of cell-free platforms from non-model organisms and multiplexed strategies for rapidly assessing biological design. These advances provide exciting opportunities to profoundly transform synthetic biology by enabling new approaches to the model-driven design of synthetic gene networks, the fast and portable sensing of compounds, on-demand biomanufacturing, building cells from the bottom up, and next-generation educational kits.","author":[{"dropping-particle":"","family":"Silverman","given":"Adam D.","non-dropping-particle":"","parse-names":false,"suffix":""},{"dropping-particle":"","family":"Karim","given":"Ashty S.","non-dropping-particle":"","parse-names":false,"suffix":""},{"dropping-particle":"","family":"Jewett","given":"Michael C.","non-dropping-particle":"","parse-names":false,"suffix":""}],"container-title":"Nature Reviews Genetics","id":"ITEM-3","issue":"3","issued":{"date-parts":[["2020","3","1"]]},"page":"151-170","publisher":"Nature Research","title":"Cell-free gene expression: an expanded repertoire of applications","type":"article","volume":"21"},"uris":["http://www.mendeley.com/documents/?uuid=2cc18847-7f0d-3d9c-a024-e99bf14f47ce"]}],"mendeley":{"formattedCitation":"&lt;sup&gt;29,30,145&lt;/sup&gt;","plainTextFormattedCitation":"29,30,145","previouslyFormattedCitation":"&lt;sup&gt;29,30,145&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29,30,145</w:t>
      </w:r>
      <w:r w:rsidRPr="002C0A3B">
        <w:rPr>
          <w:rFonts w:cs="Arial"/>
          <w:color w:val="000000" w:themeColor="text1"/>
          <w:szCs w:val="22"/>
        </w:rPr>
        <w:fldChar w:fldCharType="end"/>
      </w:r>
      <w:r w:rsidRPr="002C0A3B">
        <w:rPr>
          <w:rFonts w:cs="Arial"/>
          <w:color w:val="000000" w:themeColor="text1"/>
          <w:szCs w:val="22"/>
        </w:rPr>
        <w:t xml:space="preserve">. These systems are commonly generated </w:t>
      </w:r>
      <w:r w:rsidRPr="002C0A3B">
        <w:rPr>
          <w:rFonts w:cs="Arial"/>
          <w:color w:val="000000" w:themeColor="text1"/>
          <w:szCs w:val="22"/>
        </w:rPr>
        <w:lastRenderedPageBreak/>
        <w:t>either as reconstituted pathways from purified enzymes (i.e., reconstituted enzyme systems), or as crude cell extracts (i.e., lysate-based systems) via lysis procedures that preserve the functionalities of select cellular components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{"citationItems":[{"id":"ITEM-1","itemData":{"DOI":"10.1016/j.csbj.2017.01.006","ISSN":"20010370","PMID":"28179978","abstract":"With the breakthroughs in biomolecular engineering and synthetic biology, many valuable biologically active compound and commodity chemicals have been successfully manufactured using cell-based approaches in the past decade. However, because of the high complexity of cell metabolism, the identification and optimization of rate-limiting metabolic pathways for improving the product yield is often difficult, which represents a significant and unavoidable barrier of traditional in vivo metabolic engineering. Recently, some in vitro engineering approaches were proposed as alternative strategies to solve this problem. In brief, by reconstituting a biosynthetic pathway in a cell-free environment with the supplement of cofactors and substrates, the performance of each biosynthetic pathway could be evaluated and optimized systematically. Several value-added products, including chemicals, nutraceuticals, and drug precursors, have been biosynthesized as proof-of-concept demonstrations of in vitro metabolic engineering. This mini-review summarizes the recent progresses on the emerging topic of in vitro metabolic engineering and comments on the potential application of cell-free technology to speed up the “design-build-test” cycles of biomanufacturing.","author":[{"dropping-particle":"","family":"Guo","given":"Weihua","non-dropping-particle":"","parse-names":false,"suffix":""},{"dropping-particle":"","family":"Sheng","given":"Jiayuan","non-dropping-particle":"","parse-names":false,"suffix":""},{"dropping-particle":"","family":"Feng","given":"Xueyang","non-dropping-particle":"","parse-names":false,"suffix":""}],"container-title":"Computational and Structural Biotechnology Journal","id":"ITEM-1","issued":{"date-parts":[["2017","1","1"]]},"page":"161-167","publisher":"Elsevier B.V.","title":"Mini-review: In vitro Metabolic Engineering for Biomanufacturing of High-value Products","type":"article","volume":"15"},"uris":["http://www.mendeley.com/documents/?uuid=8dd364d8-64f4-34a9-9365-7026bb960e30"]},{"id":"ITEM-2","itemData":{"DOI":"10.1002/biot.201400330","ISSN":"18606768","abstract":"Industrial biotechnology and microbial metabolic engineering are poised to help meet the growing demand for sustainable, low-cost commodity chemicals and natural products, yet the fraction of biochemicals amenable to commercial production remains limited. Common problems afflicting the current state-of-the-art include low volumetric productivities, build-up of toxic intermediates or products, and byproduct losses via competing pathways. To overcome these limitations, cell-free metabolic engineering (CFME) is expanding the scope of the traditional bioengineering model by using in vitro ensembles of catalytic proteins prepared from purified enzymes or crude lysates of cells for the production of target products. In recent years, the unprecedented level of control and freedom of design, relative to in vivo systems, has inspired the development of engineering foundations for cell-free systems. These efforts have led to activation of long enzymatic pathways (&gt;8 enzymes), near theoretical conversion yields, productivities greater than 100 mg L-1 h-1, reaction scales of &gt;100 L, and new directions in protein purification, spatial organization, and enzyme stability. In the coming years, CFME will offer exciting opportunities to: (i) debug and optimize biosynthetic pathways; (ii) carry out design-build-test iterations without re-engineering organisms; and (iii) perform molecular transformations when bioconversion yields, productivities, or cellular toxicity limit commercial feasibility. Cell-free metabolic engineering (CFME) is the practice of using in vitro ensembles of catalytic proteins prepared from purified enzymes or crude lysates of cells for the production of useful products. By avoiding constraints associated with product toxicity, focusing substrates towards the biosynthesis of a single product, and separating cellular growth objectives from engineering process objectives, CFME complements existing in vivo strategies and expands the scope of metabolic engineering. CFME offers exciting opportunities to debug and optimize enzymatic pathways and perform molecular transformations when bioconversion yields, productivities, or cellular toxicity limit commercial feasibility of whole-cell fermentation.","author":[{"dropping-particle":"","family":"Dudley","given":"Quentin M.","non-dropping-particle":"","parse-names":false,"suffix":""},{"dropping-particle":"","family":"Karim","given":"Ashty S.","non-dropping-particle":"","parse-names":false,"suffix":""},{"dropping-particle":"","family":"Jewett","given":"Michael C.","non-dropping-particle":"","parse-names":false,"suffix":""}],"container-title":"Biotechnology Journal","id":"ITEM-2","issue":"1","issued":{"date-parts":[["2015","1","1"]]},"page":"69-82","publisher":"Wiley-VCH Verlag","title":"Cell-free metabolic engineering: Biomanufacturing beyond the cell","type":"article-journal","volume":"10"},"uris":["http://www.mendeley.com/documents/?uuid=43fbdee7-97e6-32f6-b950-a2d6e466d0b3"]}],"mendeley":{"formattedCitation":"&lt;sup&gt;18,145&lt;/sup&gt;","plainTextFormattedCitation":"18,145","previouslyFormattedCitation":"&lt;sup&gt;18,145&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18,145</w:t>
      </w:r>
      <w:r w:rsidRPr="002C0A3B">
        <w:rPr>
          <w:rFonts w:cs="Arial"/>
          <w:color w:val="000000" w:themeColor="text1"/>
          <w:szCs w:val="22"/>
        </w:rPr>
        <w:fldChar w:fldCharType="end"/>
      </w:r>
      <w:r w:rsidRPr="002C0A3B">
        <w:rPr>
          <w:rFonts w:cs="Arial"/>
          <w:color w:val="000000" w:themeColor="text1"/>
          <w:szCs w:val="22"/>
        </w:rPr>
        <w:t>. In either case, cell-free systems are open biochemical environments devoid of organismal survival demands. Their amenability to direct manipulation offers unique and straightforward metabolic engineering approaches and are considered to have high potential for commercially viable production of diverse materials</w:t>
      </w:r>
      <w:r w:rsidRPr="002C0A3B">
        <w:rPr>
          <w:rFonts w:cs="Arial"/>
          <w:color w:val="000000" w:themeColor="text1"/>
          <w:szCs w:val="22"/>
        </w:rPr>
        <w:fldChar w:fldCharType="begin" w:fldLock="1"/>
      </w:r>
      <w:r w:rsidR="00A927F0">
        <w:rPr>
          <w:rFonts w:cs="Arial"/>
          <w:color w:val="000000" w:themeColor="text1"/>
          <w:szCs w:val="22"/>
        </w:rPr>
        <w:instrText>ADDIN CSL_CITATION {"citationItems":[{"id":"ITEM-1","itemData":{"DOI":"10.1016/j.tibtech.2019.12.024","ISSN":"18793096","abstract":"Metabolic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Biotechnology","id":"ITEM-1","issued":{"date-parts":[["2020","1","23"]]},"publisher":"Elsevier Ltd","title":"Synthetic Biochemistry: The Bio-inspired Cell-Free Approach to Commodity Chemical Production","type":"article"},"uris":["http://www.mendeley.com/documents/?uuid=2e6836a8-603b-33f3-ac63-5bc4a65d2485"]}],"mendeley":{"formattedCitation":"&lt;sup&gt;20&lt;/sup&gt;","plainTextFormattedCitation":"20","previouslyFormattedCitation":"&lt;sup&gt;20&lt;/sup&gt;"},"properties":{"noteIndex":0},"schema":"https://github.com/citation-style-language/schema/raw/master/csl-citation.json"}</w:instrText>
      </w:r>
      <w:r w:rsidRPr="002C0A3B">
        <w:rPr>
          <w:rFonts w:cs="Arial"/>
          <w:color w:val="000000" w:themeColor="text1"/>
          <w:szCs w:val="22"/>
        </w:rPr>
        <w:fldChar w:fldCharType="separate"/>
      </w:r>
      <w:r w:rsidR="002C0A3B" w:rsidRPr="002C0A3B">
        <w:rPr>
          <w:rFonts w:cs="Arial"/>
          <w:noProof/>
          <w:color w:val="000000" w:themeColor="text1"/>
          <w:szCs w:val="22"/>
          <w:vertAlign w:val="superscript"/>
        </w:rPr>
        <w:t>20</w:t>
      </w:r>
      <w:r w:rsidRPr="002C0A3B">
        <w:rPr>
          <w:rFonts w:cs="Arial"/>
          <w:color w:val="000000" w:themeColor="text1"/>
          <w:szCs w:val="22"/>
        </w:rPr>
        <w:fldChar w:fldCharType="end"/>
      </w:r>
      <w:r w:rsidRPr="002C0A3B">
        <w:rPr>
          <w:rFonts w:cs="Arial"/>
          <w:color w:val="000000" w:themeColor="text1"/>
          <w:szCs w:val="22"/>
        </w:rPr>
        <w:t>. For example, lysates have been used to synthesize several commodity chemicals such as 2,3-butanediol and styrene at high titers and productivities</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Engineering","id":"ITEM-1","issued":{"date-parts":[["2015"]]},"page":"133-142","title":"Lysate of engineered Escherichia coli supports high-level conversion of glucose to 2,3-butanediol","type":"article-journal","volume":"32"},"uris":["http://www.mendeley.com/documents/?uuid=cb5185b2-2e9e-42b5-808e-ce918d13a7be"]},{"id":"ITEM-2","itemData":{"DOI":"10.1016/J.YMBEN.2020.05.009","ISSN":"1096-7176","PMID":"32502620","abstract":"Styrene is an important petroleum-derived molecule that is polymerized to make versatile plastics, including disposable silverware and foamed packaging materials. Finding more sustainable methods, such as biosynthesis, for producing styrene is essential due to the increasing severity of climate change as well as the limited supply of fossil fuels. Recent metabolic engineering efforts have enabled the biological production of styrene in Escherichia coli, but styrene toxicity and volatility limit biosynthesis in cells. To address these limitations, we have developed a cell-free styrene biosynthesis platform. The cell-free system provides an open reaction environment without cell viability constraints, which allows exquisite control over reaction conditions and greater carbon flux toward product formation rather than cell growth. The two biosynthetic enzymes required for styrene production were generated via cell-free protein synthesis and mixed in defined ratios with supplemented L-phenylalanine and buffer. By altering the time, temperature, pH, and enzyme concentrations in the reaction, this approach increased the cell-free titer of styrene from 5.36 ± 0.63 mM to 40.33 ± 1.03 mM, the highest amount achieved using biosynthesis without process modifications and product removal strategies. Cell-free systems offer a complimentary approach to cellular synthesis of small molecules, which can provide particular benefits for producing toxic molecules.","author":[{"dropping-particle":"","family":"Grubbe","given":"William S.","non-dropping-particle":"","parse-names":false,"suffix":""},{"dropping-particle":"","family":"Rasor","given":"Blake J.","non-dropping-particle":"","parse-names":false,"suffix":""},{"dropping-particle":"","family":"Krüger","given":"Antje","non-dropping-particle":"","parse-names":false,"suffix":""},{"dropping-particle":"","family":"Jewett","given":"Michael C.","non-dropping-particle":"","parse-names":false,"suffix":""},{"dropping-particle":"","family":"Karim","given":"Ashty S.","non-dropping-particle":"","parse-names":false,"suffix":""}],"container-title":"Metabolic Engineering","id":"ITEM-2","issued":{"date-parts":[["2020","9","1"]]},"page":"89-95","publisher":"Academic Press","title":"Cell-free styrene biosynthesis at high titers","type":"article-journal","volume":"61"},"uris":["http://www.mendeley.com/documents/?uuid=392ffd54-774c-3eee-bbde-70b91225bd34"]}],"mendeley":{"formattedCitation":"&lt;sup&gt;46,51&lt;/sup&gt;","plainTextFormattedCitation":"46,51","previouslyFormattedCitation":"&lt;sup&gt;46,51&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46,51</w:t>
      </w:r>
      <w:r w:rsidRPr="002C0A3B">
        <w:rPr>
          <w:rFonts w:cs="Arial"/>
          <w:color w:val="000000" w:themeColor="text1"/>
          <w:szCs w:val="22"/>
        </w:rPr>
        <w:fldChar w:fldCharType="end"/>
      </w:r>
      <w:r w:rsidRPr="002C0A3B">
        <w:rPr>
          <w:rFonts w:cs="Arial"/>
          <w:color w:val="000000" w:themeColor="text1"/>
          <w:szCs w:val="22"/>
        </w:rPr>
        <w:t>. Additionally, cell-free systems can be lyophilized and stored at room temperature which would eliminate the need for a cold chain and enable distributed biomanufacturing</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{"citationItems":[{"id":"ITEM-1","itemData":{"DOI":"10.1016/J.BEJ.2018.07.008","ISSN":"1369-703X","abstract":"Cell-free synthetic biology is an exciting and new branch in the field of synthetic biology. Based on in vitro transcription and translation systems, this application-focused domain builds on decades of cell-free biochemistry and protein expression to operate synthetic gene networks outside of cellular environments. This has brought new and perhaps even unexpected advantages. Chief among these is the ability to operate genetically encoded tools in a sterile and abiotic format. Recent work has extended this advantage by freeze-drying these cell-free systems into dried pellets or embedded paper-based reactions. Taken together, these new ideas have solved the longstanding challenge of how to deploy poised synthetic gene networks in a biosafe mode outside of the laboratory. There is significant excitement in the potential of this newfound venue and the community has begun to extend proof-of-concept demonstrations in important and creative ways. Here I explore these new efforts and provide my thoughts on the challenges and opportunities ahead for freeze-dried, cell-free synthetic biology.","author":[{"dropping-particle":"","family":"Pardee","given":"Keith","non-dropping-particle":"","parse-names":false,"suffix":""}],"container-title":"Biochemical Engineering Journal","id":"ITEM-1","issued":{"date-parts":[["2018","10","15"]]},"page":"91-97","publisher":"Elsevier","title":"Perspective: Solidifying the impact of cell-free synthetic biology through lyophilization","type":"article-journal","volume":"138"},"uris":["http://www.mendeley.com/documents/?uuid=69744710-ec4e-39b6-a2f1-ee7e9a2921ff"]}],"mendeley":{"formattedCitation":"&lt;sup&gt;41&lt;/sup&gt;","plainTextFormattedCitation":"41","previouslyFormattedCitation":"&lt;sup&gt;41&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41</w:t>
      </w:r>
      <w:r w:rsidRPr="002C0A3B">
        <w:rPr>
          <w:rFonts w:cs="Arial"/>
          <w:color w:val="000000" w:themeColor="text1"/>
          <w:szCs w:val="22"/>
        </w:rPr>
        <w:fldChar w:fldCharType="end"/>
      </w:r>
      <w:r w:rsidRPr="002C0A3B">
        <w:rPr>
          <w:rFonts w:cs="Arial"/>
          <w:color w:val="000000" w:themeColor="text1"/>
          <w:szCs w:val="22"/>
        </w:rPr>
        <w:t>. This is empowered by ongoing efforts to improve the shelf-stability of these platforms for on-demand small molecule synthesis especially in times of supply chain disruption</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{"citationItems":[{"id":"ITEM-1","itemData":{"DOI":"10.1016/J.NBT.2019.07.004","ISSN":"1871-6784","PMID":"31349031","abstract":"Cell-free protein synthesis has emerged as a promising platform for the production of therapeutic proteins due to its inherently open reaction environment, flexible reaction conditions and rapid protein synthesis capabilities. In recent years, lyophilized cell-free systems have widened the application space of cell-free technology by improving reagent stability outside of cold-chain storage. Current embodiments of the system, however, demonstrate poor stability at elevated temperatures. Lyoprotectants have long been recognized for the ability to preserve the activity of biological molecules during drying processes, but the application of this technology to lyophilized cell-free systems has been limited and has failed to address the negative effects that such lyoprotectants may have on cell-free systems. Here, several lyoprotected, lyophilized cell-free protein synthesis systems are demonstrated using antiplasticized sugar glasses as lyoprotectants, showing significant improvement over standard lyophilized systems or trehalose-preserved systems. Furthermore, we demonstrate for the first time, preservation and therapeutic expression, specifically of FDA-approved crisantaspase, from a truly single-pot lyophilized, endotoxin-free, cell-free protein synthesis system, exemplifying the potential for on-site therapeutic synthesis.","author":[{"dropping-particle":"","family":"Wilding","given":"Kristen M.","non-dropping-particle":"","parse-names":false,"suffix":""},{"dropping-particle":"","family":"Zhao","given":"Emily Long","non-dropping-particle":"","parse-names":false,"suffix":""},{"dropping-particle":"","family":"Earl","given":"Conner C.","non-dropping-particle":"","parse-names":false,"suffix":""},{"dropping-particle":"","family":"Bundy","given":"Bradley C.","non-dropping-particle":"","parse-names":false,"suffix":""}],"container-title":"New Biotechnology","id":"ITEM-1","issued":{"date-parts":[["2019","11","25"]]},"page":"73-80","publisher":"Elsevier","title":"Thermostable lyoprotectant-enhanced cell-free protein synthesis for on-demand endotoxin-free therapeutic production","type":"article-journal","volume":"53"},"uris":["http://www.mendeley.com/documents/?uuid=273e0da3-7251-3eec-a70b-86c048b7eaa6"]}],"mendeley":{"formattedCitation":"&lt;sup&gt;43&lt;/sup&gt;","plainTextFormattedCitation":"43","previouslyFormattedCitation":"&lt;sup&gt;43&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43</w:t>
      </w:r>
      <w:r w:rsidRPr="002C0A3B">
        <w:rPr>
          <w:rFonts w:cs="Arial"/>
          <w:color w:val="000000" w:themeColor="text1"/>
          <w:szCs w:val="22"/>
        </w:rPr>
        <w:fldChar w:fldCharType="end"/>
      </w:r>
      <w:r w:rsidRPr="002C0A3B">
        <w:rPr>
          <w:rFonts w:cs="Arial"/>
          <w:color w:val="000000" w:themeColor="text1"/>
          <w:szCs w:val="22"/>
        </w:rPr>
        <w:t xml:space="preserve">.  </w:t>
      </w:r>
    </w:p>
    <w:p w14:paraId="60A0F804" w14:textId="716D3449" w:rsidR="004E2DE7" w:rsidRPr="002C0A3B" w:rsidRDefault="004E2DE7" w:rsidP="002C0A3B">
      <w:pPr>
        <w:ind w:firstLine="720"/>
        <w:rPr>
          <w:rFonts w:cs="Arial"/>
          <w:color w:val="000000" w:themeColor="text1"/>
          <w:szCs w:val="22"/>
        </w:rPr>
      </w:pPr>
      <w:r w:rsidRPr="002C0A3B">
        <w:rPr>
          <w:rFonts w:cs="Arial"/>
          <w:color w:val="000000" w:themeColor="text1"/>
          <w:szCs w:val="22"/>
        </w:rPr>
        <w:t>Implementing cell-free systems requires overcoming key barriers. When rebuilding large conversion pathways, reconstituted enzyme systems can be constrained by high enzyme production and purification costs as well as problems associated with cofactor turnover</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Biotechnology","id":"ITEM-1","issued":{"date-parts":[["2020","1","23"]]},"publisher":"Elsevier Ltd","title":"Synthetic Biochemistry: The Bio-inspired Cell-Free Approach to Commodity Chemical Production","type":"article"},"uris":["http://www.mendeley.com/documents/?uuid=2e6836a8-603b-33f3-ac63-5bc4a65d2485"]},{"id":"ITEM-2","itemData":{"DOI":"10.1016/j.ymben.2015.09.015","ISSN":"10967184","PMID":"26428449","abstract":"Cell-free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Engineering","id":"ITEM-2","issued":{"date-parts":[["2015"]]},"page":"133-142","title":"Lysate of engineered Escherichia coli supports high-level conversion of glucose to 2,3-butanediol","type":"article-journal","volume":"32"},"uris":["http://www.mendeley.com/documents/?uuid=cb5185b2-2e9e-42b5-808e-ce918d13a7be"]}],"mendeley":{"formattedCitation":"&lt;sup&gt;20,46&lt;/sup&gt;","plainTextFormattedCitation":"20,46","previouslyFormattedCitation":"&lt;sup&gt;20,46&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20,46</w:t>
      </w:r>
      <w:r w:rsidRPr="002C0A3B">
        <w:rPr>
          <w:rFonts w:cs="Arial"/>
          <w:color w:val="000000" w:themeColor="text1"/>
          <w:szCs w:val="22"/>
        </w:rPr>
        <w:fldChar w:fldCharType="end"/>
      </w:r>
      <w:r w:rsidRPr="002C0A3B">
        <w:rPr>
          <w:rFonts w:cs="Arial"/>
          <w:color w:val="000000" w:themeColor="text1"/>
          <w:szCs w:val="22"/>
        </w:rPr>
        <w:t>. On the other hand, lysates typically contain endogenous central metabolic pathways and cofactor regenerating reactions that feed into reactions catalyzed by supplemented heterologous enzymes. Consequently, protein purification requirements are greatly reduced albeit at the expense of reaction crosstalk. However, a significant barrier to production in lysate-based systems is the competition for flux between unwanted endogenous background reactions and target production modules, which inevitably impacts their yield</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{"citationItems":[{"id":"ITEM-1","itemData":{"DOI":"10.1002/bit.22666","ISSN":"00063592","PMID":"20091765","abstract":"The orchestration of a multitude of enzyme catalysts allows cells to carry out complex and thermodynamically unfavorable chemical conversions. In an effort to recruit these advantages for in vitro biotransformations, we have assembled a 10-step catalytic system - a system of biotransformations (SBT) - for the synthesis of unnatural monosaccharides based on the versatile building block dihydroxyacetone phosphate (DHAP). To facilitate the assembly of such a network, we have insulated a production pathway from Escherichia coli's central carbon metabolism. This pathway consists of the endogenous glycolysis without triose-phosphate isomerase to enable accumulation of DHAP and was completed with lactate dehydrogenase to regenerate NAD+. It could be readily extended for the synthesis of unnatural sugar molecules, such as the unnatural monosaccharide phosphate 5,6,7-trideoxy-D-threoheptulose-1-phosphate from DHAP and butanal. Insulation required in particular inactivation of the amn gene encoding the AMP nucleosidase, which otherwise led to glucoseindependent DHAP production from adenosine phosphates. The work demonstrates that a sufficiently insulated in vitro multi-step enzymatic system can be readily assembled from central carbon metabolism pathways. © 2010 Wiley Periodicals, Inc.","author":[{"dropping-particle":"","family":"Bujara","given":"Matthias","non-dropping-particle":"","parse-names":false,"suffix":""},{"dropping-particle":"","family":"Schümperli","given":"Michael","non-dropping-particle":"","parse-names":false,"suffix":""},{"dropping-particle":"","family":"Billerbeck","given":"Sonja","non-dropping-particle":"","parse-names":false,"suffix":""},{"dropping-particle":"","family":"Heinemann","given":"Matthias","non-dropping-particle":"","parse-names":false,"suffix":""},{"dropping-particle":"","family":"Panke","given":"Sven","non-dropping-particle":"","parse-names":false,"suffix":""}],"container-title":"Biotechnology and Bioengineering","id":"ITEM-1","issue":"3","issued":{"date-parts":[["2010","6","15"]]},"page":"376-389","publisher":"Biotechnol Bioeng","title":"Exploiting cell-free systems: Implementation and debugging of a system of biotransformations","type":"article-journal","volume":"106"},"uris":["http://www.mendeley.com/documents/?uuid=dcf05f7d-a050-3deb-b73b-d5fe4b460eed"]}],"mendeley":{"formattedCitation":"&lt;sup&gt;47&lt;/sup&gt;","plainTextFormattedCitation":"47","previouslyFormattedCitation":"&lt;sup&gt;47&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47</w:t>
      </w:r>
      <w:r w:rsidRPr="002C0A3B">
        <w:rPr>
          <w:rFonts w:cs="Arial"/>
          <w:color w:val="000000" w:themeColor="text1"/>
          <w:szCs w:val="22"/>
        </w:rPr>
        <w:fldChar w:fldCharType="end"/>
      </w:r>
      <w:r w:rsidRPr="002C0A3B">
        <w:rPr>
          <w:rFonts w:cs="Arial"/>
          <w:color w:val="000000" w:themeColor="text1"/>
          <w:szCs w:val="22"/>
        </w:rPr>
        <w:t>. Making high yield targeted conversions would require insulating an endogenous pathway by removing only a few enzymes that redirect flux through undesired reactions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{"citationItems":[{"id":"ITEM-1","itemData":{"DOI":"10.1002/bit.22666","ISSN":"00063592","PMID":"20091765","abstract":"The orchestration of a multitude of enzyme catalysts allows cells to carry out complex and thermodynamically unfavorable chemical conversions. In an effort to recruit these advantages for in vitro biotransformations, we have assembled a 10-step catalytic system - a system of biotransformations (SBT) - for the synthesis of unnatural monosaccharides based on the versatile building block dihydroxyacetone phosphate (DHAP). To facilitate the assembly of such a network, we have insulated a production pathway from Escherichia coli's central carbon metabolism. This pathway consists of the endogenous glycolysis without triose-phosphate isomerase to enable accumulation of DHAP and was completed with lactate dehydrogenase to regenerate NAD+. It could be readily extended for the synthesis of unnatural sugar molecules, such as the unnatural monosaccharide phosphate 5,6,7-trideoxy-D-threoheptulose-1-phosphate from DHAP and butanal. Insulation required in particular inactivation of the amn gene encoding the AMP nucleosidase, which otherwise led to glucoseindependent DHAP production from adenosine phosphates. The work demonstrates that a sufficiently insulated in vitro multi-step enzymatic system can be readily assembled from central carbon metabolism pathways. © 2010 Wiley Periodicals, Inc.","author":[{"dropping-particle":"","family":"Bujara","given":"Matthias","non-dropping-particle":"","parse-names":false,"suffix":""},{"dropping-particle":"","family":"Schümperli","given":"Michael","non-dropping-particle":"","parse-names":false,"suffix":""},{"dropping-particle":"","family":"Billerbeck","given":"Sonja","non-dropping-particle":"","parse-names":false,"suffix":""},{"dropping-particle":"","family":"Heinemann","given":"Matthias","non-dropping-particle":"","parse-names":false,"suffix":""},{"dropping-particle":"","family":"Panke","given":"Sven","non-dropping-particle":"","parse-names":false,"suffix":""}],"container-title":"Biotechnology and Bioengineering","id":"ITEM-1","issue":"3","issued":{"date-parts":[["2010","6","15"]]},"page":"376-389","publisher":"Biotechnol Bioeng","title":"Exploiting cell-free systems: Implementation and debugging of a system of biotransformations","type":"article-journal","volume":"106"},"uris":["http://www.mendeley.com/documents/?uuid=dcf05f7d-a050-3deb-b73b-d5fe4b460eed"]},{"id":"ITEM-2","itemData":{"DOI":"10.1016/j.tibtech.2019.12.024","ISSN":"18793096","abstract":"Metabolic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Biotechnology","id":"ITEM-2","issued":{"date-parts":[["2020","1","23"]]},"publisher":"Elsevier Ltd","title":"Synthetic Biochemistry: The Bio-inspired Cell-Free Approach to Commodity Chemical Production","type":"article"},"uris":["http://www.mendeley.com/documents/?uuid=2e6836a8-603b-33f3-ac63-5bc4a65d2485"]},{"id":"ITEM-3","itemData":{"DOI":"10.1101/2020.04.05.026393","abstract":"Cell-free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limited. Here, we employ Multiplex Automated Genomic Engineering (MAGE) to tag proteins for selective removal from crude extracts so as to specifically direct chemical production. Specific edits to central metabolism are possible without significantly impacting cell growth. Selective removal of pyruvate degrading enzymes are demonstrated that result in engineered crude lysates that are capable of 10 to 20-fold increases of pyruvate production when compared to the non-engineered extract. The described approach melds the tools of systems and synthetic biology to develop cell-free metabolic engineering into a practical platform for both bioprototyping and bioproduction.HighlightsA novel method of engineering crude cell lysates for enhancing specific metabolic processes is described.Multiplex Automated Genomic Engineering (MAGE) can be used to engineer donor strains for improving cell-free metabolite production with minimal impact on cell-growth.The described lysate engineering strategy can specifically direct metabolic flux and create metabolic states not possible in living cells.Pooling of the central precursor pyruvate was significantly improved through use of this lysate proteome engineering strategy.","author":[{"dropping-particle":"","family":"Garcia","given":"David","non-dropping-particle":"","parse-names":false,"suffix":""},{"dropping-particle":"","family":"Dinglasan","given":"Jaime Lorenzo","non-dropping-particle":"","parse-names":false,"suffix":""},{"dropping-particle":"","family":"Shrestha","given":"Him","non-dropping-particle":"","parse-names":false,"suffix":""},{"dropping-particle":"","family":"Abraham","given":"Paul","non-dropping-particle":"","parse-names":false,"suffix":""},{"dropping-particle":"","family":"Hettich","given":"Robert","non-dropping-particle":"","parse-names":false,"suffix":""},{"dropping-particle":"","family":"Doktycz","given":"Mitchel","non-dropping-particle":"","parse-names":false,"suffix":""}],"container-title":"bioRxiv","id":"ITEM-3","issued":{"date-parts":[["2020","4","5"]]},"page":"2020.04.05.026393","publisher":"Cold Spring Harbor Laboratory","title":"A Lysate Proteome Engineering Strategy for Enhancing Cell-Free Metabolite Production","type":"article-journal"},"uris":["http://www.mendeley.com/documents/?uuid=12051c59-0297-3ba5-a515-7533515fb950"]}],"mendeley":{"formattedCitation":"&lt;sup&gt;20,47,147&lt;/sup&gt;","plainTextFormattedCitation":"20,47,147","previouslyFormattedCitation":"&lt;sup&gt;20,47,147&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20,47,147</w:t>
      </w:r>
      <w:r w:rsidRPr="002C0A3B">
        <w:rPr>
          <w:rFonts w:cs="Arial"/>
          <w:color w:val="000000" w:themeColor="text1"/>
          <w:szCs w:val="22"/>
        </w:rPr>
        <w:fldChar w:fldCharType="end"/>
      </w:r>
      <w:r w:rsidRPr="002C0A3B">
        <w:rPr>
          <w:rFonts w:cs="Arial"/>
          <w:color w:val="000000" w:themeColor="text1"/>
          <w:szCs w:val="22"/>
        </w:rPr>
        <w:t>. The ability to do so could benefit the rapid cell-free synthesis of high-value metabolites, which commonly have precursors in central metabolism, without arduous whole pathway purification</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{"citationItems":[{"id":"ITEM-1","itemData":{"DOI":"10.1016/j.ymben.2016.01.007","ISBN":"1096-7176","ISSN":"10967184","PMID":"26850742","abstract":"Metabolic engineering uses microorganisms to synthesize chemicals from renewable resources. Given the thousands of known metabolites, it is unclear what valuable chemicals could be produced by a microorganism and what native and heterologous reactions are needed for their synthesis. To answer these questions, a systematic computational assessment of Escherichia coli's potential ability to produce different chemicals was performed using an integrated metabolic model that included native E.coli reactions and known heterologous reactions. By adding heterologous reactions, a total of 1777 non-native products could theoretically be produced in E. coli under glucose minimal medium conditions, of which 279 non-native products have commercial applications. Synthesis pathways involving native and heterologous reactions were identified from eight central metabolic precursors to the 279 non-native commercial products. These pathways were used to evaluate the dependence on, and diversity of, native and heterologous reactions to produce each non-native commercial product, as well as to identify each product's closest central metabolic precursor. Analysis of the synthesis pathways (with 5 or fewer reaction steps) to non-native commercial products revealed that isopentenyl diphosphate, pyruvate, and oxaloacetate are the closest central metabolic precursors to the most non-native commercial products. Additionally, 4-hydroxybenzoate, tyrosine, and phenylalanine were found to be common precursors to a large number of non-native commercial products. Strains capable of producing high levels of these precursors could be further engineered to create strains capable of producing a variety of commercial non-native chemicals.","author":[{"dropping-particle":"","family":"Zhang","given":"Xiaolin","non-dropping-particle":"","parse-names":false,"suffix":""},{"dropping-particle":"","family":"Tervo","given":"Christopher J.","non-dropping-particle":"","parse-names":false,"suffix":""},{"dropping-particle":"","family":"Reed","given":"Jennifer L.","non-dropping-particle":"","parse-names":false,"suffix":""}],"container-title":"Metabolic Engineering","id":"ITEM-1","issued":{"date-parts":[["2016"]]},"page":"64-74","publisher":"Elsevier","title":"Metabolic assessment of E. coli as a Biofactory for commercial products","type":"article-journal","volume":"35"},"uris":["http://www.mendeley.com/documents/?uuid=56bd6518-4e2b-4193-a51b-03f4cf957d63"]},{"id":"ITEM-2","itemData":{"DOI":"10.1016/j.ymben.2018.09.011","ISSN":"10967184","abstract":"Expanding the concept of cell-free biology, implemented both with purified components and crude extracts, is continuing to deepen our appreciation of biological fundamentals while enlarging the range of applications. We are no longer intimidated by the complexity of crude extracts and complicated reaction systems with hundreds of active components, and, instead, coordinately activate and inactivate metabolic processes to focus and expand the capabilities of natural biological processes. This, in turn, dramatically increases the range of benefits offered by new products, both natural and supernatural, that were previously infeasible and/or unimaginable. This overview of cell-free metabolic engineering provides a broad range of examples and insights to guide and motivate continued research that will further expand fundamental understanding and beneficial applications. However, this survey also reveals how far we are from fully unlocking the potential offered by natural and engineered biological components and systems. This is an exciting conclusion, but metabolic engineering by itself is not sufficient. Going forward, innovative metabolic engineering must be intimately combined with creative process engineering to fully realize potential contributions toward a sustainable global civilization.","author":[{"dropping-particle":"","family":"Swartz","given":"James R.","non-dropping-particle":"","parse-names":false,"suffix":""}],"container-title":"Metabolic Engineering","id":"ITEM-2","issued":{"date-parts":[["2018"]]},"title":"Expanding biological applications using cell-free metabolic engineering: An overview","type":"article","volume":"50"},"uris":["http://www.mendeley.com/documents/?uuid=3d7b36e7-9d5b-3968-a2f9-9724c9ff971e"]}],"mendeley":{"formattedCitation":"&lt;sup&gt;19,99&lt;/sup&gt;","plainTextFormattedCitation":"19,99","previouslyFormattedCitation":"&lt;sup&gt;19,99&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19,99</w:t>
      </w:r>
      <w:r w:rsidRPr="002C0A3B">
        <w:rPr>
          <w:rFonts w:cs="Arial"/>
          <w:color w:val="000000" w:themeColor="text1"/>
          <w:szCs w:val="22"/>
        </w:rPr>
        <w:fldChar w:fldCharType="end"/>
      </w:r>
      <w:r w:rsidRPr="002C0A3B">
        <w:rPr>
          <w:rFonts w:cs="Arial"/>
          <w:color w:val="000000" w:themeColor="text1"/>
          <w:szCs w:val="22"/>
        </w:rPr>
        <w:t xml:space="preserve">. To advance the commercial potential of extracts for large-scale or distributed biomanufacturing, methods to eliminate unwanted </w:t>
      </w:r>
      <w:r w:rsidRPr="002C0A3B">
        <w:rPr>
          <w:rFonts w:cs="Arial"/>
          <w:color w:val="000000" w:themeColor="text1"/>
          <w:szCs w:val="22"/>
        </w:rPr>
        <w:lastRenderedPageBreak/>
        <w:t xml:space="preserve">pathway crosstalk and rewire flux through target endogenous metabolic pathways in lysates are needed. </w:t>
      </w:r>
    </w:p>
    <w:p w14:paraId="2B5C6FDC" w14:textId="663210D0" w:rsidR="004E2DE7" w:rsidRPr="002C0A3B" w:rsidRDefault="004E2DE7" w:rsidP="002C0A3B">
      <w:pPr>
        <w:ind w:firstLine="720"/>
        <w:rPr>
          <w:rFonts w:cs="Arial"/>
          <w:color w:val="000000" w:themeColor="text1"/>
          <w:szCs w:val="22"/>
        </w:rPr>
      </w:pPr>
      <w:r w:rsidRPr="002C0A3B">
        <w:rPr>
          <w:rFonts w:cs="Arial"/>
          <w:color w:val="000000" w:themeColor="text1"/>
          <w:szCs w:val="22"/>
        </w:rPr>
        <w:t>“Block-push-pull” approaches are commonly applied when engineering cellular metabolism for insulating target pathways and maximizing conversion yields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{"citationItems":[{"id":"ITEM-1","itemData":{"DOI":"10.1016/j.ymben.2012.11.002","ISSN":"10967176","abstract":"Production of fuels and chemicals by industrial biotechnology requires efficient, safe and flexible cell factory platforms that can be used for production of a wide range of compounds. Here we developed a platform yeast cell factory for efficient provision of acetyl-CoA that serves as precursor metabolite for a wide range of industrially interesting products. We demonstrate that the platform cell factory can be used to improve the production of α-santalene, a plant sesquiterpene that can be used as a perfume by four-fold. This strain would be a useful tool to produce a wide range of acetyl-CoA-derived products. © 2012 Elsevier Inc.","author":[{"dropping-particle":"","family":"Chen","given":"Yun","non-dropping-particle":"","parse-names":false,"suffix":""},{"dropping-particle":"","family":"Daviet","given":"Laurent","non-dropping-particle":"","parse-names":false,"suffix":""},{"dropping-particle":"","family":"Schalk","given":"Michel","non-dropping-particle":"","parse-names":false,"suffix":""},{"dropping-particle":"","family":"Siewers","given":"Verena","non-dropping-particle":"","parse-names":false,"suffix":""},{"dropping-particle":"","family":"Nielsen","given":"Jens","non-dropping-particle":"","parse-names":false,"suffix":""}],"container-title":"Metabolic Engineering","id":"ITEM-1","issue":"1","issued":{"date-parts":[["2013"]]},"title":"Establishing a platform cell factory through engineering of yeast acetyl-CoA metabolism","type":"article-journal","volume":"15"},"uris":["http://www.mendeley.com/documents/?uuid=9b68af71-b48c-339b-b8e6-d174b19ac21e"]},{"id":"ITEM-2","itemData":{"DOI":"10.3389/FMICB.2014.00344/BIBTEX","ISSN":"1664302X","abstract":"Metabolic engineering has developed microbial cell factories that can convert renewable carbon sources into biofuels. Current molecular biology tools can efficiently alter enzyme levels to redirect carbon fluxes toward biofuel production, but low product yield and titer in large bioreactors prevent the fulfillment of cheap biofuels. There are three major roadblocks preventing economical biofuel production. First, carbon fluxes from the substrate dissipate into a complex metabolic network. Besides the desired product, microbial hosts direct carbon flux to synthesize biomass, overflow metabolites, and heterologous enzymes. Second, microbial hosts need to oxidize a large portion of the substrate to generate both ATP and NAD(P)H to power biofuel synthesis. High cell maintenance, triggered by the metabolic burdens from genetic modifications, can significantly affect the ATP supply. Thereby, fermentation of advanced biofuels (such as biodiesel and hydrocarbons) often requires aerobic respiration to resolve the ATP shortage. Third, mass transfer limitations in large bioreactors create heterogeneous growth conditions and micro-environmental fluctuations (such as suboptimal O2 level and pH) that induce metabolic stresses and genetic instability. To overcome these limitations, fermentation engineering should merge with systems metabolic engineering. Modern fermentation engineers need to adopt new metabolic flux analysis tools that integrate kinetics, hydrodynamics, and 13C-proteomics, to reveal the dynamic physiologies of the microbial host under large bioreactor conditions. Based on metabolic analyses, fermentation engineers may employ rational pathway modifications, synthetic biology circuits, and bioreactor control algorithms to optimize large-scale biofuel production. © 2014 Hollinshead, He and Tang.","author":[{"dropping-particle":"","family":"Hollinshead","given":"Whitney","non-dropping-particle":"","parse-names":false,"suffix":""},{"dropping-particle":"","family":"He","given":"Lian","non-dropping-particle":"","parse-names":false,"suffix":""},{"dropping-particle":"","family":"Tang","given":"Yinjie J.","non-dropping-particle":"","parse-names":false,"suffix":""}],"container-title":"Frontiers in Microbiology","id":"ITEM-2","issue":"JULY","issued":{"date-parts":[["2014"]]},"page":"344","publisher":"Frontiers Research Foundation","title":"Biofuel production: An odyssey from metabolic engineering to fermentation scale-up","type":"article-journal","volume":"5"},"uris":["http://www.mendeley.com/documents/?uuid=7218401a-4d82-3ac5-8cba-bf7a6fb4f6e3"]},{"id":"ITEM-3","itemData":{"DOI":"10.1186/S13036-019-0156-5/TABLES/4","ISSN":"17541611","abstract":"Background: Biliverdin, a prospective recyclable antioxidant and one of the most important precursors for optogenetics, has received growing attention. Biliverdin is currently produced by oxidation of bilirubin from mammalian bile using chemicals. However, unsustainable procedures of extraction, chemical oxidation, and isomer separation have prompted bio-based production using a microbial cell factory. Results: In vitro thermodynamic analysis was performed to show potential candidates of bottleneck enzymes in the pathway to produce biliverdin. Among the candidates, hemA and hemL were overexpressed in Corynebacterium glutamicum to produce heme, precursor of biliverdin. To increase precursor supply, we suggested a novel hemQ-mediated coproporphyrin dependent pathway rather than noted hemN-mediated protoporphyrin dependent pathway in C. glutamicum. After securing precursors, hmuO was overexpressed to pull the carbon flow to produce biliverdin. Through modular optimization using gene rearrangements of hemA, hemL, hemQ, and hmuO, engineered C. glutamicum BV004 produced 11.38 ± 0.47 mg/L of biliverdin at flask scale. Fed-batch fermentations performed in 5 L bioreactor with minimal medium using glucose as a sole carbon source resulted in the accumulation of 68.74 ± 4.97 mg/L of biliverdin, the highest titer to date to the best of our knowledge. Conclusions: We developed an eco-friendly microbial cell factory to produce biliverdin using C. glutamicum as a biosystem. Moreover, we suggested that C. glutamicum has the thermodynamically favorable coproporphyrin dependent pathway. This study indicated that C. glutamicum can work as a powerful platform to produce biliverdin as well as heme-related products based on the rational design with in vitro thermodynamic analysis.","author":[{"dropping-particle":"","family":"Seok","given":"Jiho","non-dropping-particle":"","parse-names":false,"suffix":""},{"dropping-particle":"","family":"Ko","given":"Young Jin","non-dropping-particle":"","parse-names":false,"suffix":""},{"dropping-particle":"","family":"Lee","given":"Myeong Eun","non-dropping-particle":"","parse-names":false,"suffix":""},{"dropping-particle":"","family":"Hyeon","given":"Jeong Eun","non-dropping-particle":"","parse-names":false,"suffix":""},{"dropping-particle":"","family":"Han","given":"Sung Ok","non-dropping-particle":"","parse-names":false,"suffix":""}],"container-title":"Journal of Biological Engineering","id":"ITEM-3","issue":"1","issued":{"date-parts":[["2019","3","29"]]},"page":"1-13","publisher":"BioMed Central Ltd.","title":"Systems metabolic engineering of Corynebacterium glutamicum for the bioproduction of biliverdin via protoporphyrin independent pathway","type":"article-journal","volume":"13"},"uris":["http://www.mendeley.com/documents/?uuid=ca634076-7352-3931-8ccb-7bc0d5fc860b"]},{"id":"ITEM-4","itemData":{"DOI":"10.1002/BIT.25124","ISSN":"00063592","PMID":"24122357","abstract":"We engineered a fatty acid overproducing Escherichia coli strain through overexpressing tesA (\"pull\") and fadR (\"push\") and knocking out fadE (\"block\"). This \"pull-push-block\" strategy yielded 0.17g of fatty acids (C12-C18) per gram of glucose (equivalent to 48% of the maximum theoretical yield) in batch cultures during the exponential growth phase under aerobic conditions. Metabolic fluxes were determined for the engineered E. coli and its control strain using tracer ([1,2-13C]glucose) experiments and 13C-metabolic flux analysis. Cofactor (NADPH) and energy (ATP) balances were also investigated for both strains based on estimated fluxes. Compared to the control strain, fatty acid overproduction led to significant metabolic responses in the central metabolism: (1) Acetic acid secretion flux decreased 10-fold; (2) Pentose phosphate pathway and Entner-Doudoroff pathway fluxes increased 1.5- and 2.0-fold, respectively; (3) Biomass synthesis flux was reduced 1.9-fold; (4) Anaplerotic phosphoenolpyruvate carboxylation flux decreased 1.7-fold; (5) Transhydrogenation flux converting NADH to NADPH increased by 1.7-fold. Real-time quantitative RT-PCR analysis revealed the engineered strain increased the transcription levels of pntA (encoding the membrane-bound transhydrogenase) by 2.1-fold and udhA (encoding the soluble transhydrogenase) by 1.4-fold, which is in agreement with the increased transhydrogenation flux. Cofactor and energy balances analyses showed that the fatty acid overproducing E. coli consumed significantly higher cellular maintenance energy than the control strain. We discussed the strategies to future strain development and process improvements for fatty acid production in E. coli. © 2013 Wiley Periodicals, Inc.","author":[{"dropping-particle":"","family":"He","given":"Lian","non-dropping-particle":"","parse-names":false,"suffix":""},{"dropping-particle":"","family":"Xiao","given":"Yi","non-dropping-particle":"","parse-names":false,"suffix":""},{"dropping-particle":"","family":"Gebreselassie","given":"Nikodimos","non-dropping-particle":"","parse-names":false,"suffix":""},{"dropping-particle":"","family":"Zhang","given":"Fuzhong","non-dropping-particle":"","parse-names":false,"suffix":""},{"dropping-particle":"","family":"Antoniewicz","given":"Maciek R.","non-dropping-particle":"","parse-names":false,"suffix":""},{"dropping-particle":"","family":"Tang","given":"Yinjie J.","non-dropping-particle":"","parse-names":false,"suffix":""},{"dropping-particle":"","family":"Peng","given":"Lifeng","non-dropping-particle":"","parse-names":false,"suffix":""}],"container-title":"Biotechnology and bioengineering","id":"ITEM-4","issue":"3","issued":{"date-parts":[["2014","3"]]},"page":"575","publisher":"NIH Public Access","title":"Central Metabolic Responses to the Overproduction of Fatty Acids in Escherichia coli Based on 13C-Metabolic Flux Analysis","type":"article-journal","volume":"111"},"uris":["http://www.mendeley.com/documents/?uuid=61989b7e-d3a7-3628-ae44-6ec796bc052b"]}],"mendeley":{"formattedCitation":"&lt;sup&gt;148–151&lt;/sup&gt;","plainTextFormattedCitation":"148–151","previouslyFormattedCitation":"&lt;sup&gt;148–151&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148–151</w:t>
      </w:r>
      <w:r w:rsidRPr="002C0A3B">
        <w:rPr>
          <w:rFonts w:cs="Arial"/>
          <w:color w:val="000000" w:themeColor="text1"/>
          <w:szCs w:val="22"/>
        </w:rPr>
        <w:fldChar w:fldCharType="end"/>
      </w:r>
      <w:r w:rsidRPr="002C0A3B">
        <w:rPr>
          <w:rFonts w:cs="Arial"/>
          <w:color w:val="000000" w:themeColor="text1"/>
          <w:szCs w:val="22"/>
        </w:rPr>
        <w:t>. In this convention, to “block” means to inactivate reactions by removing endogenously expressed enzymes (commonly by gene deletions) that interface with target and flux-competing pathways. To “push” means to drive flux forward by overexpressing flux limiting enzymes, and to “pull” is to direct flux towards the end-product by overexpressing enzyme(s) in a terminal pathway module</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{"citationItems":[{"id":"ITEM-1","itemData":{"DOI":"10.1002/BIT.25124","ISSN":"00063592","PMID":"24122357","abstract":"We engineered a fatty acid overproducing Escherichia coli strain through overexpressing tesA (\"pull\") and fadR (\"push\") and knocking out fadE (\"block\"). This \"pull-push-block\" strategy yielded 0.17g of fatty acids (C12-C18) per gram of glucose (equivalent to 48% of the maximum theoretical yield) in batch cultures during the exponential growth phase under aerobic conditions. Metabolic fluxes were determined for the engineered E. coli and its control strain using tracer ([1,2-13C]glucose) experiments and 13C-metabolic flux analysis. Cofactor (NADPH) and energy (ATP) balances were also investigated for both strains based on estimated fluxes. Compared to the control strain, fatty acid overproduction led to significant metabolic responses in the central metabolism: (1) Acetic acid secretion flux decreased 10-fold; (2) Pentose phosphate pathway and Entner-Doudoroff pathway fluxes increased 1.5- and 2.0-fold, respectively; (3) Biomass synthesis flux was reduced 1.9-fold; (4) Anaplerotic phosphoenolpyruvate carboxylation flux decreased 1.7-fold; (5) Transhydrogenation flux converting NADH to NADPH increased by 1.7-fold. Real-time quantitative RT-PCR analysis revealed the engineered strain increased the transcription levels of pntA (encoding the membrane-bound transhydrogenase) by 2.1-fold and udhA (encoding the soluble transhydrogenase) by 1.4-fold, which is in agreement with the increased transhydrogenation flux. Cofactor and energy balances analyses showed that the fatty acid overproducing E. coli consumed significantly higher cellular maintenance energy than the control strain. We discussed the strategies to future strain development and process improvements for fatty acid production in E. coli. © 2013 Wiley Periodicals, Inc.","author":[{"dropping-particle":"","family":"He","given":"Lian","non-dropping-particle":"","parse-names":false,"suffix":""},{"dropping-particle":"","family":"Xiao","given":"Yi","non-dropping-particle":"","parse-names":false,"suffix":""},{"dropping-particle":"","family":"Gebreselassie","given":"Nikodimos","non-dropping-particle":"","parse-names":false,"suffix":""},{"dropping-particle":"","family":"Zhang","given":"Fuzhong","non-dropping-particle":"","parse-names":false,"suffix":""},{"dropping-particle":"","family":"Antoniewicz","given":"Maciek R.","non-dropping-particle":"","parse-names":false,"suffix":""},{"dropping-particle":"","family":"Tang","given":"Yinjie J.","non-dropping-particle":"","parse-names":false,"suffix":""},{"dropping-particle":"","family":"Peng","given":"Lifeng","non-dropping-particle":"","parse-names":false,"suffix":""}],"container-title":"Biotechnology and bioengineering","id":"ITEM-1","issue":"3","issued":{"date-parts":[["2014","3"]]},"page":"575","publisher":"NIH Public Access","title":"Central Metabolic Responses to the Overproduction of Fatty Acids in Escherichia coli Based on 13C-Metabolic Flux Analysis","type":"article-journal","volume":"111"},"uris":["http://www.mendeley.com/documents/?uuid=61989b7e-d3a7-3628-ae44-6ec796bc052b"]},{"id":"ITEM-2","itemData":{"DOI":"10.1186/S13036-019-0156-5/TABLES/4","ISSN":"17541611","abstract":"Background: Biliverdin, a prospective recyclable antioxidant and one of the most important precursors for optogenetics, has received growing attention. Biliverdin is currently produced by oxidation of bilirubin from mammalian bile using chemicals. However, unsustainable procedures of extraction, chemical oxidation, and isomer separation have prompted bio-based production using a microbial cell factory. Results: In vitro thermodynamic analysis was performed to show potential candidates of bottleneck enzymes in the pathway to produce biliverdin. Among the candidates, hemA and hemL were overexpressed in Corynebacterium glutamicum to produce heme, precursor of biliverdin. To increase precursor supply, we suggested a novel hemQ-mediated coproporphyrin dependent pathway rather than noted hemN-mediated protoporphyrin dependent pathway in C. glutamicum. After securing precursors, hmuO was overexpressed to pull the carbon flow to produce biliverdin. Through modular optimization using gene rearrangements of hemA, hemL, hemQ, and hmuO, engineered C. glutamicum BV004 produced 11.38 ± 0.47 mg/L of biliverdin at flask scale. Fed-batch fermentations performed in 5 L bioreactor with minimal medium using glucose as a sole carbon source resulted in the accumulation of 68.74 ± 4.97 mg/L of biliverdin, the highest titer to date to the best of our knowledge. Conclusions: We developed an eco-friendly microbial cell factory to produce biliverdin using C. glutamicum as a biosystem. Moreover, we suggested that C. glutamicum has the thermodynamically favorable coproporphyrin dependent pathway. This study indicated that C. glutamicum can work as a powerful platform to produce biliverdin as well as heme-related products based on the rational design with in vitro thermodynamic analysis.","author":[{"dropping-particle":"","family":"Seok","given":"Jiho","non-dropping-particle":"","parse-names":false,"suffix":""},{"dropping-particle":"","family":"Ko","given":"Young Jin","non-dropping-particle":"","parse-names":false,"suffix":""},{"dropping-particle":"","family":"Lee","given":"Myeong Eun","non-dropping-particle":"","parse-names":false,"suffix":""},{"dropping-particle":"","family":"Hyeon","given":"Jeong Eun","non-dropping-particle":"","parse-names":false,"suffix":""},{"dropping-particle":"","family":"Han","given":"Sung Ok","non-dropping-particle":"","parse-names":false,"suffix":""}],"container-title":"Journal of Biological Engineering","id":"ITEM-2","issue":"1","issued":{"date-parts":[["2019","3","29"]]},"page":"1-13","publisher":"BioMed Central Ltd.","title":"Systems metabolic engineering of Corynebacterium glutamicum for the bioproduction of biliverdin via protoporphyrin independent pathway","type":"article-journal","volume":"13"},"uris":["http://www.mendeley.com/documents/?uuid=ca634076-7352-3931-8ccb-7bc0d5fc860b"]}],"mendeley":{"formattedCitation":"&lt;sup&gt;150,151&lt;/sup&gt;","plainTextFormattedCitation":"150,151","previouslyFormattedCitation":"&lt;sup&gt;150,151&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150,151</w:t>
      </w:r>
      <w:r w:rsidRPr="002C0A3B">
        <w:rPr>
          <w:rFonts w:cs="Arial"/>
          <w:color w:val="000000" w:themeColor="text1"/>
          <w:szCs w:val="22"/>
        </w:rPr>
        <w:fldChar w:fldCharType="end"/>
      </w:r>
      <w:r w:rsidRPr="002C0A3B">
        <w:rPr>
          <w:rFonts w:cs="Arial"/>
          <w:color w:val="000000" w:themeColor="text1"/>
          <w:szCs w:val="22"/>
        </w:rPr>
        <w:t>.  These cell-based metabolic engineering strategies however take a toll on host vitality and require laborious molecular cloning procedures, lengthening and increasing DBTL cycles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{"citationItems":[{"id":"ITEM-1","itemData":{"DOI":"10.1002/biot.201400330","ISSN":"18606768","abstract":"Industrial biotechnology and microbial metabolic engineering are poised to help meet the growing demand for sustainable, low-cost commodity chemicals and natural products, yet the fraction of biochemicals amenable to commercial production remains limited. Common problems afflicting the current state-of-the-art include low volumetric productivities, build-up of toxic intermediates or products, and byproduct losses via competing pathways. To overcome these limitations, cell-free metabolic engineering (CFME) is expanding the scope of the traditional bioengineering model by using in vitro ensembles of catalytic proteins prepared from purified enzymes or crude lysates of cells for the production of target products. In recent years, the unprecedented level of control and freedom of design, relative to in vivo systems, has inspired the development of engineering foundations for cell-free systems. These efforts have led to activation of long enzymatic pathways (&gt;8 enzymes), near theoretical conversion yields, productivities greater than 100 mg L-1 h-1, reaction scales of &gt;100 L, and new directions in protein purification, spatial organization, and enzyme stability. In the coming years, CFME will offer exciting opportunities to: (i) debug and optimize biosynthetic pathways; (ii) carry out design-build-test iterations without re-engineering organisms; and (iii) perform molecular transformations when bioconversion yields, productivities, or cellular toxicity limit commercial feasibility. Cell-free metabolic engineering (CFME) is the practice of using in vitro ensembles of catalytic proteins prepared from purified enzymes or crude lysates of cells for the production of useful products. By avoiding constraints associated with product toxicity, focusing substrates towards the biosynthesis of a single product, and separating cellular growth objectives from engineering process objectives, CFME complements existing in vivo strategies and expands the scope of metabolic engineering. CFME offers exciting opportunities to debug and optimize enzymatic pathways and perform molecular transformations when bioconversion yields, productivities, or cellular toxicity limit commercial feasibility of whole-cell fermentation.","author":[{"dropping-particle":"","family":"Dudley","given":"Quentin M.","non-dropping-particle":"","parse-names":false,"suffix":""},{"dropping-particle":"","family":"Karim","given":"Ashty S.","non-dropping-particle":"","parse-names":false,"suffix":""},{"dropping-particle":"","family":"Jewett","given":"Michael C.","non-dropping-particle":"","parse-names":false,"suffix":""}],"container-title":"Biotechnology Journal","id":"ITEM-1","issue":"1","issued":{"date-parts":[["2015","1","1"]]},"page":"69-82","publisher":"Wiley-VCH Verlag","title":"Cell-free metabolic engineering: Biomanufacturing beyond the cell","type":"article-journal","volume":"10"},"uris":["http://www.mendeley.com/documents/?uuid=43fbdee7-97e6-32f6-b950-a2d6e466d0b3"]}],"mendeley":{"formattedCitation":"&lt;sup&gt;145&lt;/sup&gt;","plainTextFormattedCitation":"145","previouslyFormattedCitation":"&lt;sup&gt;145&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145</w:t>
      </w:r>
      <w:r w:rsidRPr="002C0A3B">
        <w:rPr>
          <w:rFonts w:cs="Arial"/>
          <w:color w:val="000000" w:themeColor="text1"/>
          <w:szCs w:val="22"/>
        </w:rPr>
        <w:fldChar w:fldCharType="end"/>
      </w:r>
      <w:r w:rsidRPr="002C0A3B">
        <w:rPr>
          <w:rFonts w:cs="Arial"/>
          <w:color w:val="000000" w:themeColor="text1"/>
          <w:szCs w:val="22"/>
        </w:rPr>
        <w:t>. The open nature of lysate-based cell-free systems offers unique push and pull strategies to redirect flux without imposing metabolic burden on source strains. For example, bottlenecks can be overcome and specific pathway modules can be enriched by tailoring the reaction environment (i.e., cofactor availability and pH) to enhance enzyme activity, manipulating source strain cultivation conditions, and supplementing lysates with overexpressed proteins</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{"citationItems":[{"id":"ITEM-1","itemData":{"DOI":"10.1016/j.ymben.2018.09.011","ISSN":"10967184","abstract":"Expanding the concept of cell-free biology, implemented both with purified components and crude extracts, is continuing to deepen our appreciation of biological fundamentals while enlarging the range of applications. We are no longer intimidated by the complexity of crude extracts and complicated reaction systems with hundreds of active components, and, instead, coordinately activate and inactivate metabolic processes to focus and expand the capabilities of natural biological processes. This, in turn, dramatically increases the range of benefits offered by new products, both natural and supernatural, that were previously infeasible and/or unimaginable. This overview of cell-free metabolic engineering provides a broad range of examples and insights to guide and motivate continued research that will further expand fundamental understanding and beneficial applications. However, this survey also reveals how far we are from fully unlocking the potential offered by natural and engineered biological components and systems. This is an exciting conclusion, but metabolic engineering by itself is not sufficient. Going forward, innovative metabolic engineering must be intimately combined with creative process engineering to fully realize potential contributions toward a sustainable global civilization.","author":[{"dropping-particle":"","family":"Swartz","given":"James R.","non-dropping-particle":"","parse-names":false,"suffix":""}],"container-title":"Metabolic Engineering","id":"ITEM-1","issued":{"date-parts":[["2018"]]},"title":"Expanding biological applications using cell-free metabolic engineering: An overview","type":"article","volume":"50"},"uris":["http://www.mendeley.com/documents/?uuid=3d7b36e7-9d5b-3968-a2f9-9724c9ff971e"]},{"id":"ITEM-2","itemData":{"DOI":"10.3390/MPS2020033","ISSN":"2409-9279","abstract":"Due to the ongoing crises of fossil fuel depletion, climate change, and environmental pollution, microbial processes are increasingly considered as a potential alternative for cleaner and more efficient production of the diverse chemicals required for modern civilization. However, many issues, including low efficiency of raw material conversion and unintended release of genetically modified microorganisms into the environment, have limited the use of bioprocesses that rely on recombinant microorganisms. Cell-free metabolic engineering is emerging as a new approach that overcomes the limitations of existing cell-based systems. Instead of relying on metabolic processes carried out by living cells, cell-free metabolic engineering harnesses the metabolic activities of cell lysates in vitro. Such approaches offer several potential benefits, including operational simplicity, high conversion yield and productivity, and prevention of environmental release of microorganisms. In this article, we review the recent progress in this field and discuss the prospects of this technique as a next-generation bioconversion platform for the chemical industry.","author":[{"dropping-particle":"","family":"Lim","given":"Hye Jin","non-dropping-particle":"","parse-names":false,"suffix":""},{"dropping-particle":"","family":"Kim","given":"Dong Myung","non-dropping-particle":"","parse-names":false,"suffix":""}],"container-title":"Methods and Protocols 2019, Vol. 2, Page 33","id":"ITEM-2","issue":"2","issued":{"date-parts":[["2019","4","30"]]},"page":"33","publisher":"Multidisciplinary Digital Publishing Institute","title":"Cell-Free Metabolic Engineering: Recent Developments and Future Prospects","type":"article-journal","volume":"2"},"uris":["http://www.mendeley.com/documents/?uuid=ba4f51c7-f7a4-3531-be0e-7634b4d1a798"]},{"id":"ITEM-3","itemData":{"DOI":"10.1093/synbio/ysz027","abstract":"Engineering metabolism for the synthesis of bio-based products in non-model organisms can be challenging. One specific challenge is that biosynthetic pathways are often built from enzyme candidates sourced from diverse organisms, which can prove difficult to implement in recombinant hosts due to differences in their cellular environments (e.g. pH, cofactor balance). To address this problem, we report a cell-free synthetic biology approach for understanding metabolism in a range of environmental conditions, specifically under varied pH. The key idea is to control the pH of Escherichia coli-based cell-free systems for assessing pathway performance using enzymes sourced from organisms other than E. coli. As a model, we apply this approach to study the impact of pH on the n-butanol biosynthesis pathway derived from clostridia in E. coli lysates. Specifically, we exploit the open, cell-free reaction environment to explore pH outside the habitable range of E. coli, revealing insights into how chemical context impacts the interaction between native metabolism and heterologous enzymes. We find that the pH optimum for butanol production from acetyl-CoA is substantially lower than the optimal pH of glycolysis in E. coli-based crude lysates. In addition, pH is an essential factor to consider when activating metabolic pathways in the cell-free environment due to its effect on reaction yield or enzyme activity, the latter of which is demonstrated in this work for alcohol dehydrogenases from a range of extremophiles. Ultimately, altering metabolism through pH control will allow cell-free systems to be used in studying the metabolic state of organisms and identify suitable enzymes for pathway engineering.","author":[{"dropping-particle":"","family":"Karim","given":"Ashty S","non-dropping-particle":"","parse-names":false,"suffix":""},{"dropping-particle":"","family":"Rasor","given":"Blake J","non-dropping-particle":"","parse-names":false,"suffix":""},{"dropping-particle":"","family":"Jewett","given":"Michael C","non-dropping-particle":"","parse-names":false,"suffix":""}],"container-title":"Synthetic Biology","id":"ITEM-3","issue":"1","issued":{"date-parts":[["2020","1","1"]]},"publisher":"Oxford Academic","title":"Enhancing control of cell-free metabolism through pH modulation","type":"article-journal","volume":"5"},"uris":["http://www.mendeley.com/documents/?uuid=8088fefb-6e17-3ff6-91fc-9aaecbaf8f13"]},{"id":"ITEM-4","itemData":{"DOI":"10.1021/acssynbio.9b00524","ISSN":"21615063","PMID":"33044063","abstract":"Progress in cell-free protein synthesis (CFPS) has spurred resurgent interest in engineering complex biological metabolism outside of the cell. Unlike purified enzyme systems, crude cell-free systems can be prepared for a fraction of the cost and contain endogenous cellular pathways that can be activated for biosynthesis. Endogenous activity performs essential functions in cell-free systems including substrate biosynthesis and energy regeneration; however, use of crude cell-free systems for bioproduction has been hampered by the under-described complexity of the metabolic networks inherent to a crude lysate. Physical and chemical cultivation parameters influence the endogenous activity of the resulting lysate, but targeted efforts to engineer this activity by manipulation of these nongenetic factors has been limited. Here growth medium composition was manipulated to improve the one-pot in vitro biosynthesis of phenol from glucose via the expression of Pasteurella multocida phenol-tyrosine lyase in crude E. coli lysates. Crude cell lysate metabolic activity was focused toward the limiting precursor tyrosine by targeted growth medium dropouts guided by proteomics. The result is the activation of a 25-step enzymatic reaction cascade involving at least three endogenous E. coli metabolic pathways. Additional modification of this system, through CFPS of feedback intolerant AroG improves yield. This effort demonstrates the ability to activate a long, complex pathway in vitro and provides a framework for harnessing the metabolic potential of diverse organisms for cell-free metabolic engineering. The more than 6-fold increase in phenol yield with limited genetic manipulation demonstrates the benefits of optimizing growth medium for crude cell-free extract production and illustrates the advantages of a systems approach to cell-free metabolic engineering.","author":[{"dropping-particle":"","family":"Mohr","given":"Benjamin","non-dropping-particle":"","parse-names":false,"suffix":""},{"dropping-particle":"","family":"Giannone","given":"Richard J.","non-dropping-particle":"","parse-names":false,"suffix":""},{"dropping-particle":"","family":"Hettich","given":"Robert L.","non-dropping-particle":"","parse-names":false,"suffix":""},{"dropping-particle":"","family":"Doktycz","given":"Mitchel J.","non-dropping-particle":"","parse-names":false,"suffix":""}],"container-title":"ACS Synthetic Biology","id":"ITEM-4","issue":"11","issued":{"date-parts":[["2020","11","20"]]},"page":"2986-2997","publisher":"American Chemical Society","title":"Targeted growth medium dropouts promote aromatic compound synthesis in crude E. Coli cell-free systems","type":"article-journal","volume":"9"},"uris":["http://www.mendeley.com/documents/?uuid=5056c735-c966-306b-80ed-9bbc3ce44183"]}],"mendeley":{"formattedCitation":"&lt;sup&gt;17,19,73,78&lt;/sup&gt;","plainTextFormattedCitation":"17,19,73,78","previouslyFormattedCitation":"&lt;sup&gt;17,19,73,78&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17,19,73,78</w:t>
      </w:r>
      <w:r w:rsidRPr="002C0A3B">
        <w:rPr>
          <w:rFonts w:cs="Arial"/>
          <w:color w:val="000000" w:themeColor="text1"/>
          <w:szCs w:val="22"/>
        </w:rPr>
        <w:fldChar w:fldCharType="end"/>
      </w:r>
      <w:r w:rsidRPr="002C0A3B">
        <w:rPr>
          <w:rFonts w:cs="Arial"/>
          <w:color w:val="000000" w:themeColor="text1"/>
          <w:szCs w:val="22"/>
        </w:rPr>
        <w:t xml:space="preserve">. On the other hand, reaction blocking strategies that effectively shave lysate endogenous metabolic complexity while taking advantage of the manipulable cell-free environment are lacking. Prior CFME efforts that focused on rewiring carbon flux typically involved deriving lysates from </w:t>
      </w:r>
      <w:r w:rsidRPr="002C0A3B">
        <w:rPr>
          <w:rFonts w:cs="Arial"/>
          <w:i/>
          <w:iCs/>
          <w:color w:val="000000" w:themeColor="text1"/>
          <w:szCs w:val="22"/>
        </w:rPr>
        <w:t>knock-out</w:t>
      </w:r>
      <w:r w:rsidRPr="002C0A3B">
        <w:rPr>
          <w:rFonts w:cs="Arial"/>
          <w:color w:val="000000" w:themeColor="text1"/>
          <w:szCs w:val="22"/>
        </w:rPr>
        <w:t xml:space="preserve"> strains</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{"citationItems":[{"id":"ITEM-1","itemData":{"DOI":"10.1002/bit.22666","ISSN":"00063592","PMID":"20091765","abstract":"The orchestration of a multitude of enzyme catalysts allows cells to carry out complex and thermodynamically unfavorable chemical conversions. In an effort to recruit these advantages for in vitro biotransformations, we have assembled a 10-step catalytic system - a system of biotransformations (SBT) - for the synthesis of unnatural monosaccharides based on the versatile building block dihydroxyacetone phosphate (DHAP). To facilitate the assembly of such a network, we have insulated a production pathway from Escherichia coli's central carbon metabolism. This pathway consists of the endogenous glycolysis without triose-phosphate isomerase to enable accumulation of DHAP and was completed with lactate dehydrogenase to regenerate NAD+. It could be readily extended for the synthesis of unnatural sugar molecules, such as the unnatural monosaccharide phosphate 5,6,7-trideoxy-D-threoheptulose-1-phosphate from DHAP and butanal. Insulation required in particular inactivation of the amn gene encoding the AMP nucleosidase, which otherwise led to glucoseindependent DHAP production from adenosine phosphates. The work demonstrates that a sufficiently insulated in vitro multi-step enzymatic system can be readily assembled from central carbon metabolism pathways. © 2010 Wiley Periodicals, Inc.","author":[{"dropping-particle":"","family":"Bujara","given":"Matthias","non-dropping-particle":"","parse-names":false,"suffix":""},{"dropping-particle":"","family":"Schümperli","given":"Michael","non-dropping-particle":"","parse-names":false,"suffix":""},{"dropping-particle":"","family":"Billerbeck","given":"Sonja","non-dropping-particle":"","parse-names":false,"suffix":""},{"dropping-particle":"","family":"Heinemann","given":"Matthias","non-dropping-particle":"","parse-names":false,"suffix":""},{"dropping-particle":"","family":"Panke","given":"Sven","non-dropping-particle":"","parse-names":false,"suffix":""}],"container-title":"Biotechnology and Bioengineering","id":"ITEM-1","issue":"3","issued":{"date-parts":[["2010","6","15"]]},"page":"376-389","publisher":"Biotechnol Bioeng","title":"Exploiting cell-free systems: Implementation and debugging of a system of biotransformations","type":"article-journal","volume":"106"},"uris":["http://www.mendeley.com/documents/?uuid=dcf05f7d-a050-3deb-b73b-d5fe4b460eed"]},{"id":"ITEM-2","itemData":{"DOI":"10.1021/acssynbio.6b00154","author":[{"dropping-particle":"","family":"Dudley","given":"Quentin M","non-dropping-particle":"","parse-names":false,"suffix":""},{"dropping-particle":"","family":"Anderson","given":"Kim C","non-dropping-particle":"","parse-names":false,"suffix":""},{"dropping-particle":"","family":"Jewett","given":"Michael C","non-dropping-particle":"","parse-names":false,"suffix":""}],"id":"ITEM-2","issued":{"date-parts":[["2016"]]},"title":"Cell-Free Mixing of Escherichia coli Crude Extracts to Prototype and Rationally Engineer High-Titer Mevalonate Synthesis","type":"article-journal"},"uris":["http://www.mendeley.com/documents/?uuid=99336352-fabf-4121-855f-c8567c91a0c0"]}],"mendeley":{"formattedCitation":"&lt;sup&gt;47,53&lt;/sup&gt;","plainTextFormattedCitation":"47,53","previouslyFormattedCitation":"&lt;sup&gt;47,53&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47,53</w:t>
      </w:r>
      <w:r w:rsidRPr="002C0A3B">
        <w:rPr>
          <w:rFonts w:cs="Arial"/>
          <w:color w:val="000000" w:themeColor="text1"/>
          <w:szCs w:val="22"/>
        </w:rPr>
        <w:fldChar w:fldCharType="end"/>
      </w:r>
      <w:r w:rsidRPr="002C0A3B">
        <w:rPr>
          <w:rFonts w:cs="Arial"/>
          <w:color w:val="000000" w:themeColor="text1"/>
          <w:szCs w:val="22"/>
        </w:rPr>
        <w:t>. However, this strategy will not always result in predicted changes to lysate metabolism, presumably because gene deletions lead to protein expression changes that rearrange flux distributions and metabolic networks in the source strain</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{"citationItems":[{"id":"ITEM-1","itemData":{"DOI":"10.1128/MSYSTEMS.00625-20","ISSN":"23795077","abstract":"It is generally recognized that proteins constitute the key cellular component in shaping microbial phenotypes. Due to limited cellular resources and space, optimal allocation of proteins is crucial for microbes to facilitate maximum proliferation rates while allowing a flexible response to environmental changes. It is generally recognized that proteins constitute the key cellular component in shaping microbial phenotypes. Due to limited cellular resources and space, optimal allocation of proteins is crucial for microbes to facilitate maximum proliferation rates while allowing a flexible response to environmental changes. To account for the growth condition-dependent proteome in the constraint-based metabolic modeling of Escherichia coli , we consolidated a coarse-grained protein allocation approach with the explicit consideration of enzymatic constraints on reaction fluxes. Besides representing physiologically relevant wild-type phenotypes and flux distributions, the resulting protein allocation model (PAM) advances the predictability of the metabolic responses to genetic perturbations. A main driver of mutant phenotypes was ascribed to inherited regulation patterns in protein distribution among metabolic enzymes. Moreover, the PAM correctly reflected metabolic responses to an augmented protein burden imposed by the heterologous expression of green fluorescent protein. In summary, we were able to model the effects of important and frequently applied metabolic engineering approaches on microbial metabolism. Therefore, we want to promote the integration of protein allocation constraints into classical constraint-based models to foster their predictive capabilities and application for strain analysis and engineering purposes.  IMPORTANCE Predictive metabolic models are important, e.g., for generating biological knowledge and designing microbes with superior performance for target compound production. Yet today’s whole-cell models either show insufficient predictive capabilities or are computationally too expensive to be applied to metabolic engineering purposes. By linking the inherent genotype-phenotype relationship to a complete representation of the proteome, the PAM advances the accuracy of simulated phenotypes and intracellular flux distributions of E. coli . Being equally computationally lightweight as classical stoichiometric models and allowing for the application of established in silico tools, the PAM and related simulation approaches will foste…","author":[{"dropping-particle":"","family":"Alter","given":"Tobias B.","non-dropping-particle":"","parse-names":false,"suffix":""},{"dropping-particle":"","family":"Blank","given":"Lars M.","non-dropping-particle":"","parse-names":false,"suffix":""},{"dropping-particle":"","family":"Ebert","given":"Birgitta E.","non-dropping-particle":"","parse-names":false,"suffix":""}],"container-title":"mSystems","id":"ITEM-1","issue":"2","issued":{"date-parts":[["2021","4","27"]]},"publisher":"American Society for Microbiology","title":"Proteome Regulation Patterns Determine Escherichia coli Wild-Type and Mutant Phenotypes","type":"article-journal","volume":"6"},"uris":["http://www.mendeley.com/documents/?uuid=14edc35f-3259-3997-8978-704e4d8a922f"]}],"mendeley":{"formattedCitation":"&lt;sup&gt;152&lt;/sup&gt;","plainTextFormattedCitation":"152","previouslyFormattedCitation":"&lt;sup&gt;152&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152</w:t>
      </w:r>
      <w:r w:rsidRPr="002C0A3B">
        <w:rPr>
          <w:rFonts w:cs="Arial"/>
          <w:color w:val="000000" w:themeColor="text1"/>
          <w:szCs w:val="22"/>
        </w:rPr>
        <w:fldChar w:fldCharType="end"/>
      </w:r>
      <w:r w:rsidRPr="002C0A3B">
        <w:rPr>
          <w:rFonts w:cs="Arial"/>
          <w:color w:val="000000" w:themeColor="text1"/>
          <w:szCs w:val="22"/>
        </w:rPr>
        <w:t>. This method is also constrained by cell viability and thus faces limitations common to cell-based metabolic engineering</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{"citationItems":[{"id":"ITEM-1","itemData":{"DOI":"10.1002/bit.22666","ISSN":"00063592","PMID":"20091765","abstract":"The orchestration of a multitude of enzyme catalysts allows cells to carry out complex and thermodynamically unfavorable chemical conversions. In an effort to recruit these advantages for in vitro biotransformations, we have assembled a 10-step catalytic system - a system of biotransformations (SBT) - for the synthesis of unnatural monosaccharides based on the versatile building block dihydroxyacetone phosphate (DHAP). To facilitate the assembly of such a network, we have insulated a production pathway from Escherichia coli's central carbon metabolism. This pathway consists of the endogenous glycolysis without triose-phosphate isomerase to enable accumulation of DHAP and was completed with lactate dehydrogenase to regenerate NAD+. It could be readily extended for the synthesis of unnatural sugar molecules, such as the unnatural monosaccharide phosphate 5,6,7-trideoxy-D-threoheptulose-1-phosphate from DHAP and butanal. Insulation required in particular inactivation of the amn gene encoding the AMP nucleosidase, which otherwise led to glucoseindependent DHAP production from adenosine phosphates. The work demonstrates that a sufficiently insulated in vitro multi-step enzymatic system can be readily assembled from central carbon metabolism pathways. © 2010 Wiley Periodicals, Inc.","author":[{"dropping-particle":"","family":"Bujara","given":"Matthias","non-dropping-particle":"","parse-names":false,"suffix":""},{"dropping-particle":"","family":"Schümperli","given":"Michael","non-dropping-particle":"","parse-names":false,"suffix":""},{"dropping-particle":"","family":"Billerbeck","given":"Sonja","non-dropping-particle":"","parse-names":false,"suffix":""},{"dropping-particle":"","family":"Heinemann","given":"Matthias","non-dropping-particle":"","parse-names":false,"suffix":""},{"dropping-particle":"","family":"Panke","given":"Sven","non-dropping-particle":"","parse-names":false,"suffix":""}],"container-title":"Biotechnology and Bioengineering","id":"ITEM-1","issue":"3","issued":{"date-parts":[["2010","6","15"]]},"page":"376-389","publisher":"Biotechnol Bioeng","title":"Exploiting cell-free systems: Implementation and debugging of a system of biotransformations","type":"article-journal","volume":"106"},"uris":["http://www.mendeley.com/documents/?uuid=dcf05f7d-a050-3deb-b73b-d5fe4b460eed"]}],"mendeley":{"formattedCitation":"&lt;sup&gt;47&lt;/sup&gt;","plainTextFormattedCitation":"47","previouslyFormattedCitation":"&lt;sup&gt;47&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47</w:t>
      </w:r>
      <w:r w:rsidRPr="002C0A3B">
        <w:rPr>
          <w:rFonts w:cs="Arial"/>
          <w:color w:val="000000" w:themeColor="text1"/>
          <w:szCs w:val="22"/>
        </w:rPr>
        <w:fldChar w:fldCharType="end"/>
      </w:r>
      <w:r w:rsidRPr="002C0A3B">
        <w:rPr>
          <w:rFonts w:cs="Arial"/>
          <w:color w:val="000000" w:themeColor="text1"/>
          <w:szCs w:val="22"/>
        </w:rPr>
        <w:t>. Recently, negative CRISPR effectors that down-regulate byproduct forming enzymes in source strains were shown to rewire metabolic flux in a cell-free system towards target end-products without affecting source strain growth</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{"citationItems":[{"id":"ITEM-1","itemData":{"DOI":"10.1038/s41467-021-25233-y","ISSN":"20411723","abstract":"Cell-free systems using crude cell extracts present appealing opportunities for designing biosynthetic pathways and enabling sustainable chemical synthesis. However, the lack of tools to effectively manipulate the underlying host metabolism in vitro limits the potential of these systems. Here, we create an integrated framework to address this gap that leverages cell extracts from host strains genetically rewired by multiplexed CRISPR-dCas9 modulation and other metabolic engineering techniques. As a model, we explore conversion of glucose to 2,3-butanediol in extracts from flux-enhanced Saccharomyces cerevisiae strains. We show that cellular flux rewiring in several strains of S. cerevisiae combined with systematic optimization of the cell-free reaction environment significantly increases 2,3-butanediol titers and volumetric productivities, reaching productivities greater than 0.9 g/L-h. We then show the generalizability of the framework by improving cell-free itaconic acid and glycerol biosynthesis. Our coupled in vivo/in vitro metabolic engineering approach opens opportunities for synthetic biology prototyping efforts and cell-free biomanufacturing.","author":[{"dropping-particle":"","family":"Rasor","given":"Blake J.","non-dropping-particle":"","parse-names":false,"suffix":""},{"dropping-particle":"","family":"Yi","given":"Xiunan","non-dropping-particle":"","parse-names":false,"suffix":""},{"dropping-particle":"","family":"Brown","given":"Hunter","non-dropping-particle":"","parse-names":false,"suffix":""},{"dropping-particle":"","family":"Alper","given":"Hal S.","non-dropping-particle":"","parse-names":false,"suffix":""},{"dropping-particle":"","family":"Jewett","given":"Michael C.","non-dropping-particle":"","parse-names":false,"suffix":""}],"container-title":"Nature Communications","id":"ITEM-1","issue":"1","issued":{"date-parts":[["2021"]]},"title":"An integrated in vivo/in vitro framework to enhance cell-free biosynthesis with metabolically rewired yeast extracts","type":"article-journal","volume":"12"},"uris":["http://www.mendeley.com/documents/?uuid=de3655a6-6de6-3969-b0d9-b134deac4cdc"]}],"mendeley":{"formattedCitation":"&lt;sup&gt;62&lt;/sup&gt;","plainTextFormattedCitation":"62","previouslyFormattedCitation":"&lt;sup&gt;62&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62</w:t>
      </w:r>
      <w:r w:rsidRPr="002C0A3B">
        <w:rPr>
          <w:rFonts w:cs="Arial"/>
          <w:color w:val="000000" w:themeColor="text1"/>
          <w:szCs w:val="22"/>
        </w:rPr>
        <w:fldChar w:fldCharType="end"/>
      </w:r>
      <w:r w:rsidRPr="002C0A3B">
        <w:rPr>
          <w:rFonts w:cs="Arial"/>
          <w:color w:val="000000" w:themeColor="text1"/>
          <w:szCs w:val="22"/>
        </w:rPr>
        <w:t xml:space="preserve">. While this improved product titers, substrate to product conversion yields remained low because this strategy can only </w:t>
      </w:r>
      <w:r w:rsidRPr="002C0A3B">
        <w:rPr>
          <w:rFonts w:cs="Arial"/>
          <w:i/>
          <w:iCs/>
          <w:color w:val="000000" w:themeColor="text1"/>
          <w:szCs w:val="22"/>
        </w:rPr>
        <w:lastRenderedPageBreak/>
        <w:t>knock-down</w:t>
      </w:r>
      <w:r w:rsidRPr="002C0A3B">
        <w:rPr>
          <w:rFonts w:cs="Arial"/>
          <w:color w:val="000000" w:themeColor="text1"/>
          <w:szCs w:val="22"/>
        </w:rPr>
        <w:t>, and not completely eliminate, flux-competing reactions</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{"citationItems":[{"id":"ITEM-1","itemData":{"DOI":"10.1038/s41467-021-25233-y","ISSN":"20411723","abstract":"Cell-free systems using crude cell extracts present appealing opportunities for designing biosynthetic pathways and enabling sustainable chemical synthesis. However, the lack of tools to effectively manipulate the underlying host metabolism in vitro limits the potential of these systems. Here, we create an integrated framework to address this gap that leverages cell extracts from host strains genetically rewired by multiplexed CRISPR-dCas9 modulation and other metabolic engineering techniques. As a model, we explore conversion of glucose to 2,3-butanediol in extracts from flux-enhanced Saccharomyces cerevisiae strains. We show that cellular flux rewiring in several strains of S. cerevisiae combined with systematic optimization of the cell-free reaction environment significantly increases 2,3-butanediol titers and volumetric productivities, reaching productivities greater than 0.9 g/L-h. We then show the generalizability of the framework by improving cell-free itaconic acid and glycerol biosynthesis. Our coupled in vivo/in vitro metabolic engineering approach opens opportunities for synthetic biology prototyping efforts and cell-free biomanufacturing.","author":[{"dropping-particle":"","family":"Rasor","given":"Blake J.","non-dropping-particle":"","parse-names":false,"suffix":""},{"dropping-particle":"","family":"Yi","given":"Xiunan","non-dropping-particle":"","parse-names":false,"suffix":""},{"dropping-particle":"","family":"Brown","given":"Hunter","non-dropping-particle":"","parse-names":false,"suffix":""},{"dropping-particle":"","family":"Alper","given":"Hal S.","non-dropping-particle":"","parse-names":false,"suffix":""},{"dropping-particle":"","family":"Jewett","given":"Michael C.","non-dropping-particle":"","parse-names":false,"suffix":""}],"container-title":"Nature Communications","id":"ITEM-1","issue":"1","issued":{"date-parts":[["2021"]]},"title":"An integrated in vivo/in vitro framework to enhance cell-free biosynthesis with metabolically rewired yeast extracts","type":"article-journal","volume":"12"},"uris":["http://www.mendeley.com/documents/?uuid=de3655a6-6de6-3969-b0d9-b134deac4cdc"]}],"mendeley":{"formattedCitation":"&lt;sup&gt;62&lt;/sup&gt;","plainTextFormattedCitation":"62","previouslyFormattedCitation":"&lt;sup&gt;62&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62</w:t>
      </w:r>
      <w:r w:rsidRPr="002C0A3B">
        <w:rPr>
          <w:rFonts w:cs="Arial"/>
          <w:color w:val="000000" w:themeColor="text1"/>
          <w:szCs w:val="22"/>
        </w:rPr>
        <w:fldChar w:fldCharType="end"/>
      </w:r>
      <w:r w:rsidRPr="002C0A3B">
        <w:rPr>
          <w:rFonts w:cs="Arial"/>
          <w:color w:val="000000" w:themeColor="text1"/>
          <w:szCs w:val="22"/>
        </w:rPr>
        <w:t>. Inhibiting enzymes in cell-free reactions may be a viable strategy for inactivating unwanted reactions without impacting source strain phenotypes. This approach also benefits from being able to add inhibitors directly into the open lysate environment. However, the cost and availability of these molecules could be restrictive</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{"citationItems":[{"id":"ITEM-1","itemData":{"DOI":"10.1016/J.JBIOTEC.2020.09.011","ISSN":"0168-1656","PMID":"32961202","abstract":"Bioavailable glutamine (Gln) is critical for metabolism, intestinal health, immune function, and cell signaling. Routine measurement of serum Gln concentrations could facilitate improved diagnosis and treatment of severe infections, anorexia nervosa, chronic kidney disease, diabetes, and cancer. Current methods for quantifying tissue Gln concentrations rely mainly on HPLC, which requires extensive sample preparation and expensive equipment. Consequently, patient Gln levels may be clinically underutilized. Cell-free protein synthesis (CFPS) is an emerging sensing platform with promising clinical applications, including detection of hormones, amino acids, nucleic acids, and other biomarkers. In this work, in vitro E. coli amino acid metabolism is engineered with methionine sulfoximine to inhibit glutamine synthetase and create a CFPS Gln sensor. The sensor features a strong signal-to-noise ratio and a detection range ideally suited to physiological Gln concentrations. Furthermore, it quantifies Gln concentration in the presence of human serum. This work demonstrates that CFPS reactions which harness the metabolic power of E. coli lysate may be engineered to detect clinically relevant analytes in human samples. This approach could lead to transformative point-of-care diagnostics and improved treatment regimens for a variety of diseases including cancer, diabetes, anorexia nervosa, chronic kidney disease, and severe infections.","author":[{"dropping-particle":"","family":"Hunt","given":"J. Porter","non-dropping-particle":"","parse-names":false,"suffix":""},{"dropping-particle":"","family":"Barnett","given":"R. Jordan","non-dropping-particle":"","parse-names":false,"suffix":""},{"dropping-particle":"","family":"Robinson","given":"Hannah","non-dropping-particle":"","parse-names":false,"suffix":""},{"dropping-particle":"","family":"Soltani","given":"Mehran","non-dropping-particle":"","parse-names":false,"suffix":""},{"dropping-particle":"","family":"Nelson","given":"J. Andrew D.","non-dropping-particle":"","parse-names":false,"suffix":""},{"dropping-particle":"","family":"Bundy","given":"Bradley C.","non-dropping-particle":"","parse-names":false,"suffix":""}],"container-title":"Journal of Biotechnology","id":"ITEM-1","issued":{"date-parts":[["2021","1","10"]]},"page":"389-394","publisher":"Elsevier","title":"Rapid sensing of clinically relevant glutamine concentrations in human serum with metabolically engineered E. coli-based cell-free protein synthesis","type":"article-journal","volume":"325"},"uris":["http://www.mendeley.com/documents/?uuid=a169b5d7-2d82-3a64-a8d2-21f6556963b2"]}],"mendeley":{"formattedCitation":"&lt;sup&gt;153&lt;/sup&gt;","plainTextFormattedCitation":"153","previouslyFormattedCitation":"&lt;sup&gt;153&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153</w:t>
      </w:r>
      <w:r w:rsidRPr="002C0A3B">
        <w:rPr>
          <w:rFonts w:cs="Arial"/>
          <w:color w:val="000000" w:themeColor="text1"/>
          <w:szCs w:val="22"/>
        </w:rPr>
        <w:fldChar w:fldCharType="end"/>
      </w:r>
      <w:r w:rsidRPr="002C0A3B">
        <w:rPr>
          <w:rFonts w:cs="Arial"/>
          <w:color w:val="000000" w:themeColor="text1"/>
          <w:szCs w:val="22"/>
        </w:rPr>
        <w:t>. Another recently described strategy for reducing concentrations of select enzymes in extracts involves the incorporation of an affinity tag at the N- or C-terminus of endogenously expressed enzymes for subsequent removal from the lysate</w:t>
      </w:r>
      <w:r w:rsidRPr="002C0A3B">
        <w:rPr>
          <w:rFonts w:cs="Arial"/>
          <w:i/>
          <w:iCs/>
          <w:color w:val="000000" w:themeColor="text1"/>
          <w:szCs w:val="22"/>
        </w:rPr>
        <w:fldChar w:fldCharType="begin" w:fldLock="1"/>
      </w:r>
      <w:r w:rsidR="00567FF4">
        <w:rPr>
          <w:rFonts w:cs="Arial"/>
          <w:i/>
          <w:iCs/>
          <w:color w:val="000000" w:themeColor="text1"/>
          <w:szCs w:val="22"/>
        </w:rPr>
        <w:instrText>ADDIN CSL_CITATION {"citationItems":[{"id":"ITEM-1","itemData":{"DOI":"10.1016/j.mec.2021.e00162","ISSN":"22140301","abstract":"Cell-free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Communications","id":"ITEM-1","issued":{"date-parts":[["2021","6","1"]]},"page":"e00162","publisher":"Elsevier B.V.","title":"A lysate proteome engineering strategy for enhancing cell-free metabolite production","type":"article-journal","volume":"12"},"uris":["http://www.mendeley.com/documents/?uuid=babcd1d7-dd2c-32bc-b636-c7ebdf6b2dd4"]}],"mendeley":{"formattedCitation":"&lt;sup&gt;74&lt;/sup&gt;","plainTextFormattedCitation":"74","previouslyFormattedCitation":"&lt;sup&gt;74&lt;/sup&gt;"},"properties":{"noteIndex":0},"schema":"https://github.com/citation-style-language/schema/raw/master/csl-citation.json"}</w:instrText>
      </w:r>
      <w:r w:rsidRPr="002C0A3B">
        <w:rPr>
          <w:rFonts w:cs="Arial"/>
          <w:i/>
          <w:iCs/>
          <w:color w:val="000000" w:themeColor="text1"/>
          <w:szCs w:val="22"/>
        </w:rPr>
        <w:fldChar w:fldCharType="separate"/>
      </w:r>
      <w:r w:rsidR="00567FF4" w:rsidRPr="00567FF4">
        <w:rPr>
          <w:rFonts w:cs="Arial"/>
          <w:iCs/>
          <w:noProof/>
          <w:color w:val="000000" w:themeColor="text1"/>
          <w:szCs w:val="22"/>
          <w:vertAlign w:val="superscript"/>
        </w:rPr>
        <w:t>74</w:t>
      </w:r>
      <w:r w:rsidRPr="002C0A3B">
        <w:rPr>
          <w:rFonts w:cs="Arial"/>
          <w:i/>
          <w:iCs/>
          <w:color w:val="000000" w:themeColor="text1"/>
          <w:szCs w:val="22"/>
        </w:rPr>
        <w:fldChar w:fldCharType="end"/>
      </w:r>
      <w:r w:rsidRPr="002C0A3B">
        <w:rPr>
          <w:rFonts w:cs="Arial"/>
          <w:i/>
          <w:iCs/>
          <w:color w:val="000000" w:themeColor="text1"/>
          <w:szCs w:val="22"/>
        </w:rPr>
        <w:t xml:space="preserve">. </w:t>
      </w:r>
      <w:r w:rsidRPr="002C0A3B">
        <w:rPr>
          <w:rFonts w:cs="Arial"/>
          <w:color w:val="000000" w:themeColor="text1"/>
          <w:szCs w:val="22"/>
        </w:rPr>
        <w:t xml:space="preserve">Importantly, genomic integration of the 6xHis-tags had no significant effect on source strain viability even though central metabolic, pyruvate-consuming enzymes were targeted. When the derived lysates were fed glucose, the formation of unwanted byproducts was slowed, enabling significant pyruvate accumulation for a few hours followed by eventual byproduct pooling. This affinity-based selective enzyme depletion method can theoretically be improved to completely remove these unwanted reactions post-lysis, but this has yet to be reported. </w:t>
      </w:r>
    </w:p>
    <w:p w14:paraId="143C1567" w14:textId="73F94503" w:rsidR="004E2DE7" w:rsidRPr="002C0A3B" w:rsidRDefault="004E2DE7" w:rsidP="004E2DE7">
      <w:pPr>
        <w:ind w:firstLine="720"/>
        <w:rPr>
          <w:rFonts w:cs="Arial"/>
          <w:color w:val="000000" w:themeColor="text1"/>
          <w:szCs w:val="22"/>
        </w:rPr>
      </w:pPr>
      <w:r w:rsidRPr="002C0A3B">
        <w:rPr>
          <w:rFonts w:cs="Arial"/>
          <w:color w:val="000000" w:themeColor="text1"/>
          <w:szCs w:val="22"/>
        </w:rPr>
        <w:t xml:space="preserve">Here, we describe a cell-free block-push-pull approach that insulates and drives flux through an endogenous lysate metabolic pathway for high-yield metabolic conversion. This is demonstrated with ethanol synthesis from glucose using an </w:t>
      </w:r>
      <w:r w:rsidRPr="002C0A3B">
        <w:rPr>
          <w:rFonts w:cs="Arial"/>
          <w:i/>
          <w:iCs/>
          <w:color w:val="000000" w:themeColor="text1"/>
          <w:szCs w:val="22"/>
        </w:rPr>
        <w:t xml:space="preserve">E. coli </w:t>
      </w:r>
      <w:r w:rsidRPr="002C0A3B">
        <w:rPr>
          <w:rFonts w:cs="Arial"/>
          <w:color w:val="000000" w:themeColor="text1"/>
          <w:szCs w:val="22"/>
        </w:rPr>
        <w:t xml:space="preserve">derived extract. To achieve this, the affinity-based selective enzyme depletion strategy was optimized to block unwanted reactions, those that compete with flux towards ethanol synthesis. This optimization was performed in lysates derived from a previously described </w:t>
      </w:r>
      <w:r w:rsidRPr="002C0A3B">
        <w:rPr>
          <w:rFonts w:cs="Arial"/>
          <w:i/>
          <w:iCs/>
          <w:color w:val="000000" w:themeColor="text1"/>
          <w:szCs w:val="22"/>
        </w:rPr>
        <w:t xml:space="preserve">E. coli </w:t>
      </w:r>
      <w:r w:rsidRPr="002C0A3B">
        <w:rPr>
          <w:rFonts w:cs="Arial"/>
          <w:color w:val="000000" w:themeColor="text1"/>
          <w:szCs w:val="22"/>
        </w:rPr>
        <w:t xml:space="preserve">strain that encodes an N-terminal 6xHis-tag at its pyruvate </w:t>
      </w:r>
      <w:proofErr w:type="spellStart"/>
      <w:r w:rsidRPr="002C0A3B">
        <w:rPr>
          <w:rFonts w:cs="Arial"/>
          <w:color w:val="000000" w:themeColor="text1"/>
          <w:szCs w:val="22"/>
        </w:rPr>
        <w:t>formate</w:t>
      </w:r>
      <w:proofErr w:type="spellEnd"/>
      <w:r w:rsidRPr="002C0A3B">
        <w:rPr>
          <w:rFonts w:cs="Arial"/>
          <w:color w:val="000000" w:themeColor="text1"/>
          <w:szCs w:val="22"/>
        </w:rPr>
        <w:t xml:space="preserve"> lyase B (</w:t>
      </w:r>
      <w:proofErr w:type="spellStart"/>
      <w:r w:rsidRPr="002C0A3B">
        <w:rPr>
          <w:rFonts w:cs="Arial"/>
          <w:i/>
          <w:iCs/>
          <w:color w:val="000000" w:themeColor="text1"/>
          <w:szCs w:val="22"/>
        </w:rPr>
        <w:t>pflB</w:t>
      </w:r>
      <w:proofErr w:type="spellEnd"/>
      <w:r w:rsidRPr="002C0A3B">
        <w:rPr>
          <w:rFonts w:cs="Arial"/>
          <w:color w:val="000000" w:themeColor="text1"/>
          <w:szCs w:val="22"/>
        </w:rPr>
        <w:t>) and lactate dehydrogenase A (</w:t>
      </w:r>
      <w:proofErr w:type="spellStart"/>
      <w:r w:rsidRPr="002C0A3B">
        <w:rPr>
          <w:rFonts w:cs="Arial"/>
          <w:i/>
          <w:iCs/>
          <w:color w:val="000000" w:themeColor="text1"/>
          <w:szCs w:val="22"/>
        </w:rPr>
        <w:t>ldhA</w:t>
      </w:r>
      <w:proofErr w:type="spellEnd"/>
      <w:r w:rsidRPr="002C0A3B">
        <w:rPr>
          <w:rFonts w:cs="Arial"/>
          <w:color w:val="000000" w:themeColor="text1"/>
          <w:szCs w:val="22"/>
        </w:rPr>
        <w:t>) genes. The reaction blocking strategy was then complemented with existing CFME strategies (i.e., reaction and source strain cultivation condition optimizations) that drive flux through bottlenecks and towards ethanol without further genetic manipulations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1)</w:t>
      </w:r>
      <w:r w:rsidRPr="002C0A3B">
        <w:rPr>
          <w:rFonts w:cs="Arial"/>
          <w:color w:val="000000" w:themeColor="text1"/>
          <w:szCs w:val="22"/>
        </w:rPr>
        <w:t xml:space="preserve">. Removing unwanted reactions and modifying reaction or cultivation parameters to focus and increase flux through the pathway successfully modified a low ethanol producing </w:t>
      </w:r>
      <w:r w:rsidRPr="002C0A3B">
        <w:rPr>
          <w:rFonts w:cs="Arial"/>
          <w:i/>
          <w:iCs/>
          <w:color w:val="000000" w:themeColor="text1"/>
          <w:szCs w:val="22"/>
        </w:rPr>
        <w:t xml:space="preserve">E. coli </w:t>
      </w:r>
      <w:r w:rsidRPr="002C0A3B">
        <w:rPr>
          <w:rFonts w:cs="Arial"/>
          <w:color w:val="000000" w:themeColor="text1"/>
          <w:szCs w:val="22"/>
        </w:rPr>
        <w:t xml:space="preserve">lysate into a </w:t>
      </w:r>
      <w:proofErr w:type="spellStart"/>
      <w:r w:rsidRPr="002C0A3B">
        <w:rPr>
          <w:rFonts w:cs="Arial"/>
          <w:color w:val="000000" w:themeColor="text1"/>
          <w:szCs w:val="22"/>
        </w:rPr>
        <w:t>homoethanologenic</w:t>
      </w:r>
      <w:proofErr w:type="spellEnd"/>
      <w:r w:rsidRPr="002C0A3B">
        <w:rPr>
          <w:rFonts w:cs="Arial"/>
          <w:color w:val="000000" w:themeColor="text1"/>
          <w:szCs w:val="22"/>
        </w:rPr>
        <w:t xml:space="preserve"> cell-free system that produces ethanol from glucose with &gt; 90% yield. </w:t>
      </w:r>
    </w:p>
    <w:p w14:paraId="600DD906" w14:textId="77777777" w:rsidR="004E2DE7" w:rsidRPr="002C0A3B" w:rsidRDefault="004E2DE7" w:rsidP="004E2DE7">
      <w:pPr>
        <w:ind w:firstLine="720"/>
        <w:rPr>
          <w:rFonts w:cs="Arial"/>
          <w:color w:val="000000" w:themeColor="text1"/>
          <w:szCs w:val="22"/>
        </w:rPr>
      </w:pPr>
    </w:p>
    <w:p w14:paraId="0E4B9566" w14:textId="77777777" w:rsidR="004E2DE7" w:rsidRPr="002C0A3B" w:rsidRDefault="004E2DE7" w:rsidP="004E2DE7">
      <w:pPr>
        <w:rPr>
          <w:rFonts w:cs="Arial"/>
          <w:color w:val="000000" w:themeColor="text1"/>
          <w:szCs w:val="22"/>
        </w:rPr>
      </w:pPr>
      <w:r w:rsidRPr="002C0A3B">
        <w:rPr>
          <w:rFonts w:cs="Arial"/>
          <w:noProof/>
          <w:color w:val="000000" w:themeColor="text1"/>
          <w:szCs w:val="22"/>
        </w:rPr>
        <w:drawing>
          <wp:inline distT="0" distB="0" distL="0" distR="0" wp14:anchorId="374712A8" wp14:editId="3CA38362">
            <wp:extent cx="5943600" cy="2040255"/>
            <wp:effectExtent l="0" t="0" r="0" b="4445"/>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32" cstate="screen">
                      <a:extLst>
                        <a:ext uri="{28A0092B-C50C-407E-A947-70E740481C1C}">
                          <a14:useLocalDpi xmlns:a14="http://schemas.microsoft.com/office/drawing/2010/main"/>
                        </a:ext>
                      </a:extLst>
                    </a:blip>
                    <a:stretch>
                      <a:fillRect/>
                    </a:stretch>
                  </pic:blipFill>
                  <pic:spPr>
                    <a:xfrm>
                      <a:off x="0" y="0"/>
                      <a:ext cx="5972630" cy="2050220"/>
                    </a:xfrm>
                    <a:prstGeom prst="rect">
                      <a:avLst/>
                    </a:prstGeom>
                  </pic:spPr>
                </pic:pic>
              </a:graphicData>
            </a:graphic>
          </wp:inline>
        </w:drawing>
      </w:r>
    </w:p>
    <w:p w14:paraId="04AF11D8" w14:textId="7732B8E4" w:rsidR="004E2DE7" w:rsidRPr="002C0A3B" w:rsidRDefault="004E2DE7" w:rsidP="004E2DE7">
      <w:pPr>
        <w:rPr>
          <w:rFonts w:cs="Arial"/>
          <w:color w:val="000000" w:themeColor="text1"/>
          <w:szCs w:val="22"/>
        </w:rPr>
      </w:pPr>
      <w:bookmarkStart w:id="91" w:name="_Toc129701155"/>
      <w:r w:rsidRPr="00F534D3">
        <w:rPr>
          <w:rStyle w:val="FigurecaptionChar"/>
        </w:rPr>
        <w:t xml:space="preserve">Figure </w:t>
      </w:r>
      <w:r w:rsidR="007B7C75" w:rsidRPr="00F534D3">
        <w:rPr>
          <w:rStyle w:val="FigurecaptionChar"/>
        </w:rPr>
        <w:t>4.</w:t>
      </w:r>
      <w:r w:rsidRPr="00F534D3">
        <w:rPr>
          <w:rStyle w:val="FigurecaptionChar"/>
        </w:rPr>
        <w:t xml:space="preserve">1. </w:t>
      </w:r>
      <w:r w:rsidR="00F534D3" w:rsidRPr="00F534D3">
        <w:rPr>
          <w:rStyle w:val="FigurecaptionChar"/>
        </w:rPr>
        <w:t>Target pathway and workflow for flux optimization.</w:t>
      </w:r>
      <w:bookmarkEnd w:id="91"/>
      <w:r w:rsidR="00F534D3">
        <w:rPr>
          <w:rFonts w:cs="Arial"/>
          <w:b/>
          <w:bCs/>
          <w:color w:val="000000" w:themeColor="text1"/>
          <w:szCs w:val="22"/>
        </w:rPr>
        <w:t xml:space="preserve"> </w:t>
      </w:r>
      <w:r w:rsidRPr="002C0A3B">
        <w:rPr>
          <w:rFonts w:cs="Arial"/>
          <w:b/>
          <w:bCs/>
          <w:color w:val="000000" w:themeColor="text1"/>
          <w:szCs w:val="22"/>
        </w:rPr>
        <w:t xml:space="preserve">A) </w:t>
      </w:r>
      <w:r w:rsidRPr="002C0A3B">
        <w:rPr>
          <w:rFonts w:cs="Arial"/>
          <w:color w:val="000000" w:themeColor="text1"/>
          <w:szCs w:val="22"/>
        </w:rPr>
        <w:t xml:space="preserve">Simplified metabolic pathway for endogenous ethanol biosynthesis from glucose in </w:t>
      </w:r>
      <w:r w:rsidRPr="002C0A3B">
        <w:rPr>
          <w:rFonts w:cs="Arial"/>
          <w:i/>
          <w:iCs/>
          <w:color w:val="000000" w:themeColor="text1"/>
          <w:szCs w:val="22"/>
        </w:rPr>
        <w:t>E. coli</w:t>
      </w:r>
      <w:r w:rsidRPr="002C0A3B">
        <w:rPr>
          <w:rFonts w:cs="Arial"/>
          <w:color w:val="000000" w:themeColor="text1"/>
          <w:szCs w:val="22"/>
        </w:rPr>
        <w:t xml:space="preserve"> lysates. The strain used here was genome engineered to express endogenous </w:t>
      </w:r>
      <w:proofErr w:type="spellStart"/>
      <w:r w:rsidRPr="002C0A3B">
        <w:rPr>
          <w:rFonts w:cs="Arial"/>
          <w:color w:val="000000" w:themeColor="text1"/>
          <w:szCs w:val="22"/>
        </w:rPr>
        <w:t>LdhA</w:t>
      </w:r>
      <w:proofErr w:type="spellEnd"/>
      <w:r w:rsidRPr="002C0A3B">
        <w:rPr>
          <w:rFonts w:cs="Arial"/>
          <w:color w:val="000000" w:themeColor="text1"/>
          <w:szCs w:val="22"/>
        </w:rPr>
        <w:t xml:space="preserve"> and </w:t>
      </w:r>
      <w:proofErr w:type="spellStart"/>
      <w:r w:rsidRPr="002C0A3B">
        <w:rPr>
          <w:rFonts w:cs="Arial"/>
          <w:color w:val="000000" w:themeColor="text1"/>
          <w:szCs w:val="22"/>
        </w:rPr>
        <w:t>PflB</w:t>
      </w:r>
      <w:proofErr w:type="spellEnd"/>
      <w:r w:rsidRPr="002C0A3B">
        <w:rPr>
          <w:rFonts w:cs="Arial"/>
          <w:color w:val="000000" w:themeColor="text1"/>
          <w:szCs w:val="22"/>
        </w:rPr>
        <w:t xml:space="preserve"> proteins with terminal 6xHis tags for selective removal from the derived lysate. Red arrows represent reactions that are targeted for blocking while blue and green arrows represent reactions that flux will be pushed and pulled through, respectively. </w:t>
      </w:r>
      <w:r w:rsidRPr="002C0A3B">
        <w:rPr>
          <w:rFonts w:cs="Arial"/>
          <w:b/>
          <w:bCs/>
          <w:color w:val="000000" w:themeColor="text1"/>
          <w:szCs w:val="22"/>
        </w:rPr>
        <w:t xml:space="preserve">B) </w:t>
      </w:r>
      <w:r w:rsidRPr="002C0A3B">
        <w:rPr>
          <w:rFonts w:cs="Arial"/>
          <w:color w:val="000000" w:themeColor="text1"/>
          <w:szCs w:val="22"/>
        </w:rPr>
        <w:t xml:space="preserve">Schematic of the cell-free block-push-pull approach employed here to maximize ethanol yield from glucose. </w:t>
      </w:r>
    </w:p>
    <w:p w14:paraId="73276548" w14:textId="77777777" w:rsidR="002C0A3B" w:rsidRDefault="002C0A3B" w:rsidP="002C0A3B">
      <w:pPr>
        <w:rPr>
          <w:rFonts w:cs="Arial"/>
          <w:color w:val="000000" w:themeColor="text1"/>
          <w:szCs w:val="22"/>
        </w:rPr>
      </w:pPr>
    </w:p>
    <w:p w14:paraId="1FDCC8FA" w14:textId="77777777" w:rsidR="00F534D3" w:rsidRDefault="00F534D3">
      <w:pPr>
        <w:spacing w:line="240" w:lineRule="auto"/>
        <w:jc w:val="left"/>
        <w:rPr>
          <w:rFonts w:eastAsia="Times New Roman" w:cs="Arial"/>
          <w:b/>
          <w:bCs/>
          <w:color w:val="000000"/>
          <w:sz w:val="28"/>
          <w:szCs w:val="28"/>
          <w:lang w:val="en-US"/>
        </w:rPr>
      </w:pPr>
      <w:r>
        <w:br w:type="page"/>
      </w:r>
    </w:p>
    <w:p w14:paraId="03239B74" w14:textId="46755F7B" w:rsidR="004E2DE7" w:rsidRPr="00E033D4" w:rsidRDefault="002C0A3B" w:rsidP="00E033D4">
      <w:pPr>
        <w:pStyle w:val="ChapterHeading"/>
      </w:pPr>
      <w:bookmarkStart w:id="92" w:name="_Toc129701044"/>
      <w:r w:rsidRPr="00E033D4">
        <w:lastRenderedPageBreak/>
        <w:t>4.3</w:t>
      </w:r>
      <w:r w:rsidR="004E2DE7" w:rsidRPr="00E033D4">
        <w:t>. M</w:t>
      </w:r>
      <w:r w:rsidRPr="00E033D4">
        <w:t>ethods</w:t>
      </w:r>
      <w:bookmarkEnd w:id="92"/>
    </w:p>
    <w:p w14:paraId="275A9C90" w14:textId="2760EDB8" w:rsidR="004E2DE7" w:rsidRPr="00E033D4" w:rsidRDefault="002C0A3B" w:rsidP="00E033D4">
      <w:pPr>
        <w:pStyle w:val="ChapterSub-heading"/>
      </w:pPr>
      <w:bookmarkStart w:id="93" w:name="_Toc129701045"/>
      <w:r w:rsidRPr="00E033D4">
        <w:t>4.3</w:t>
      </w:r>
      <w:r w:rsidR="004E2DE7" w:rsidRPr="00E033D4">
        <w:t>.1. Cell Culture</w:t>
      </w:r>
      <w:bookmarkEnd w:id="93"/>
    </w:p>
    <w:p w14:paraId="3E25AAC9" w14:textId="5E06CCB6" w:rsidR="004E2DE7" w:rsidRDefault="004E2DE7" w:rsidP="002C0A3B">
      <w:pPr>
        <w:ind w:firstLine="720"/>
        <w:rPr>
          <w:rFonts w:cs="Arial"/>
          <w:color w:val="000000" w:themeColor="text1"/>
          <w:szCs w:val="22"/>
        </w:rPr>
      </w:pPr>
      <w:r w:rsidRPr="002C0A3B">
        <w:rPr>
          <w:rFonts w:cs="Arial"/>
          <w:color w:val="000000" w:themeColor="text1"/>
          <w:szCs w:val="22"/>
        </w:rPr>
        <w:t xml:space="preserve">The strain, derived from </w:t>
      </w:r>
      <w:r w:rsidRPr="002C0A3B">
        <w:rPr>
          <w:rFonts w:cs="Arial"/>
          <w:i/>
          <w:iCs/>
          <w:color w:val="000000" w:themeColor="text1"/>
          <w:szCs w:val="22"/>
        </w:rPr>
        <w:t xml:space="preserve">E. coli </w:t>
      </w:r>
      <w:r w:rsidRPr="002C0A3B">
        <w:rPr>
          <w:rFonts w:cs="Arial"/>
          <w:color w:val="000000" w:themeColor="text1"/>
          <w:szCs w:val="22"/>
        </w:rPr>
        <w:t xml:space="preserve">BL21 (Star) DE3, used here was previously engineered via a </w:t>
      </w:r>
      <w:proofErr w:type="spellStart"/>
      <w:r w:rsidRPr="002C0A3B">
        <w:rPr>
          <w:rFonts w:cs="Arial"/>
          <w:color w:val="000000" w:themeColor="text1"/>
          <w:szCs w:val="22"/>
        </w:rPr>
        <w:t>pORTMAGE</w:t>
      </w:r>
      <w:proofErr w:type="spellEnd"/>
      <w:r w:rsidRPr="002C0A3B">
        <w:rPr>
          <w:rFonts w:cs="Arial"/>
          <w:color w:val="000000" w:themeColor="text1"/>
          <w:szCs w:val="22"/>
        </w:rPr>
        <w:t xml:space="preserve"> protocol to incorporate genomic 6xHis tag DNA sequence insertions upstream of  the </w:t>
      </w:r>
      <w:proofErr w:type="spellStart"/>
      <w:r w:rsidRPr="002C0A3B">
        <w:rPr>
          <w:rFonts w:cs="Arial"/>
          <w:i/>
          <w:iCs/>
          <w:color w:val="000000" w:themeColor="text1"/>
          <w:szCs w:val="22"/>
        </w:rPr>
        <w:t>ldhA</w:t>
      </w:r>
      <w:proofErr w:type="spellEnd"/>
      <w:r w:rsidRPr="002C0A3B">
        <w:rPr>
          <w:rFonts w:cs="Arial"/>
          <w:i/>
          <w:iCs/>
          <w:color w:val="000000" w:themeColor="text1"/>
          <w:szCs w:val="22"/>
        </w:rPr>
        <w:t xml:space="preserve"> </w:t>
      </w:r>
      <w:r w:rsidRPr="002C0A3B">
        <w:rPr>
          <w:rFonts w:cs="Arial"/>
          <w:color w:val="000000" w:themeColor="text1"/>
          <w:szCs w:val="22"/>
        </w:rPr>
        <w:t xml:space="preserve">and </w:t>
      </w:r>
      <w:proofErr w:type="spellStart"/>
      <w:r w:rsidRPr="002C0A3B">
        <w:rPr>
          <w:rFonts w:cs="Arial"/>
          <w:i/>
          <w:iCs/>
          <w:color w:val="000000" w:themeColor="text1"/>
          <w:szCs w:val="22"/>
        </w:rPr>
        <w:t>pflB</w:t>
      </w:r>
      <w:proofErr w:type="spellEnd"/>
      <w:r w:rsidRPr="002C0A3B">
        <w:rPr>
          <w:rFonts w:cs="Arial"/>
          <w:i/>
          <w:iCs/>
          <w:color w:val="000000" w:themeColor="text1"/>
          <w:szCs w:val="22"/>
        </w:rPr>
        <w:t xml:space="preserve"> </w:t>
      </w:r>
      <w:r w:rsidRPr="002C0A3B">
        <w:rPr>
          <w:rFonts w:cs="Arial"/>
          <w:color w:val="000000" w:themeColor="text1"/>
          <w:szCs w:val="22"/>
        </w:rPr>
        <w:t>genes</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Communications","id":"ITEM-1","issued":{"date-parts":[["2021","6","1"]]},"page":"e00162","publisher":"Elsevier B.V.","title":"A lysate proteome engineering strategy for enhancing cell-free metabolite production","type":"article-journal","volume":"12"},"uris":["http://www.mendeley.com/documents/?uuid=babcd1d7-dd2c-32bc-b636-c7ebdf6b2dd4"]}],"mendeley":{"formattedCitation":"&lt;sup&gt;74&lt;/sup&gt;","plainTextFormattedCitation":"74","previouslyFormattedCitation":"&lt;sup&gt;74&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74</w:t>
      </w:r>
      <w:r w:rsidRPr="002C0A3B">
        <w:rPr>
          <w:rFonts w:cs="Arial"/>
          <w:color w:val="000000" w:themeColor="text1"/>
          <w:szCs w:val="22"/>
        </w:rPr>
        <w:fldChar w:fldCharType="end"/>
      </w:r>
      <w:r w:rsidRPr="002C0A3B">
        <w:rPr>
          <w:rFonts w:cs="Arial"/>
          <w:color w:val="000000" w:themeColor="text1"/>
          <w:szCs w:val="22"/>
        </w:rPr>
        <w:t>. These cells were initially grown in standard 2xYPT-G media (16 ​g L</w:t>
      </w:r>
      <w:r w:rsidRPr="002C0A3B">
        <w:rPr>
          <w:rFonts w:cs="Arial"/>
          <w:color w:val="000000" w:themeColor="text1"/>
          <w:szCs w:val="22"/>
          <w:vertAlign w:val="superscript"/>
        </w:rPr>
        <w:t>-1</w:t>
      </w:r>
      <w:r w:rsidRPr="002C0A3B">
        <w:rPr>
          <w:rFonts w:cs="Arial"/>
          <w:color w:val="000000" w:themeColor="text1"/>
          <w:szCs w:val="22"/>
        </w:rPr>
        <w:t> tryptone, 10 ​g L</w:t>
      </w:r>
      <w:r w:rsidRPr="002C0A3B">
        <w:rPr>
          <w:rFonts w:cs="Arial"/>
          <w:color w:val="000000" w:themeColor="text1"/>
          <w:szCs w:val="22"/>
          <w:vertAlign w:val="superscript"/>
        </w:rPr>
        <w:t>-1</w:t>
      </w:r>
      <w:r w:rsidRPr="002C0A3B">
        <w:rPr>
          <w:rFonts w:cs="Arial"/>
          <w:color w:val="000000" w:themeColor="text1"/>
          <w:szCs w:val="22"/>
        </w:rPr>
        <w:t> yeast extract, 5 ​g L</w:t>
      </w:r>
      <w:r w:rsidRPr="002C0A3B">
        <w:rPr>
          <w:rFonts w:cs="Arial"/>
          <w:color w:val="000000" w:themeColor="text1"/>
          <w:szCs w:val="22"/>
          <w:vertAlign w:val="superscript"/>
        </w:rPr>
        <w:t>-1</w:t>
      </w:r>
      <w:r w:rsidRPr="002C0A3B">
        <w:rPr>
          <w:rFonts w:cs="Arial"/>
          <w:color w:val="000000" w:themeColor="text1"/>
          <w:szCs w:val="22"/>
        </w:rPr>
        <w:t> NaCl, 7 ​g L</w:t>
      </w:r>
      <w:r w:rsidRPr="002C0A3B">
        <w:rPr>
          <w:rFonts w:cs="Arial"/>
          <w:color w:val="000000" w:themeColor="text1"/>
          <w:szCs w:val="22"/>
          <w:vertAlign w:val="superscript"/>
        </w:rPr>
        <w:t>-1</w:t>
      </w:r>
      <w:r w:rsidRPr="002C0A3B">
        <w:rPr>
          <w:rFonts w:cs="Arial"/>
          <w:color w:val="000000" w:themeColor="text1"/>
          <w:szCs w:val="22"/>
        </w:rPr>
        <w:t> KH</w:t>
      </w:r>
      <w:r w:rsidRPr="002C0A3B">
        <w:rPr>
          <w:rFonts w:cs="Arial"/>
          <w:color w:val="000000" w:themeColor="text1"/>
          <w:szCs w:val="22"/>
          <w:vertAlign w:val="subscript"/>
        </w:rPr>
        <w:t>2</w:t>
      </w:r>
      <w:r w:rsidRPr="002C0A3B">
        <w:rPr>
          <w:rFonts w:cs="Arial"/>
          <w:color w:val="000000" w:themeColor="text1"/>
          <w:szCs w:val="22"/>
        </w:rPr>
        <w:t>PO</w:t>
      </w:r>
      <w:r w:rsidRPr="002C0A3B">
        <w:rPr>
          <w:rFonts w:cs="Arial"/>
          <w:color w:val="000000" w:themeColor="text1"/>
          <w:szCs w:val="22"/>
          <w:vertAlign w:val="subscript"/>
        </w:rPr>
        <w:t>4</w:t>
      </w:r>
      <w:r w:rsidRPr="002C0A3B">
        <w:rPr>
          <w:rFonts w:cs="Arial"/>
          <w:color w:val="000000" w:themeColor="text1"/>
          <w:szCs w:val="22"/>
        </w:rPr>
        <w:t>, 3 ​g L</w:t>
      </w:r>
      <w:r w:rsidRPr="002C0A3B">
        <w:rPr>
          <w:rFonts w:cs="Arial"/>
          <w:color w:val="000000" w:themeColor="text1"/>
          <w:szCs w:val="22"/>
          <w:vertAlign w:val="superscript"/>
        </w:rPr>
        <w:t>-1</w:t>
      </w:r>
      <w:r w:rsidRPr="002C0A3B">
        <w:rPr>
          <w:rFonts w:cs="Arial"/>
          <w:color w:val="000000" w:themeColor="text1"/>
          <w:szCs w:val="22"/>
        </w:rPr>
        <w:t> K</w:t>
      </w:r>
      <w:r w:rsidRPr="002C0A3B">
        <w:rPr>
          <w:rFonts w:cs="Arial"/>
          <w:color w:val="000000" w:themeColor="text1"/>
          <w:szCs w:val="22"/>
          <w:vertAlign w:val="subscript"/>
        </w:rPr>
        <w:t>2</w:t>
      </w:r>
      <w:r w:rsidRPr="002C0A3B">
        <w:rPr>
          <w:rFonts w:cs="Arial"/>
          <w:color w:val="000000" w:themeColor="text1"/>
          <w:szCs w:val="22"/>
        </w:rPr>
        <w:t>HPO</w:t>
      </w:r>
      <w:r w:rsidRPr="002C0A3B">
        <w:rPr>
          <w:rFonts w:cs="Arial"/>
          <w:color w:val="000000" w:themeColor="text1"/>
          <w:szCs w:val="22"/>
          <w:vertAlign w:val="subscript"/>
        </w:rPr>
        <w:t>4</w:t>
      </w:r>
      <w:r w:rsidRPr="002C0A3B">
        <w:rPr>
          <w:rFonts w:cs="Arial"/>
          <w:color w:val="000000" w:themeColor="text1"/>
          <w:szCs w:val="22"/>
        </w:rPr>
        <w:t>, 18 ​g ​L</w:t>
      </w:r>
      <w:r w:rsidRPr="002C0A3B">
        <w:rPr>
          <w:rFonts w:cs="Arial"/>
          <w:color w:val="000000" w:themeColor="text1"/>
          <w:szCs w:val="22"/>
          <w:vertAlign w:val="superscript"/>
        </w:rPr>
        <w:t>-1</w:t>
      </w:r>
      <w:r w:rsidRPr="002C0A3B">
        <w:rPr>
          <w:rFonts w:cs="Arial"/>
          <w:color w:val="000000" w:themeColor="text1"/>
          <w:szCs w:val="22"/>
        </w:rPr>
        <w:t> glucose). Glucose concentrations in media were adjusted to 9 g ​L</w:t>
      </w:r>
      <w:r w:rsidRPr="002C0A3B">
        <w:rPr>
          <w:rFonts w:cs="Arial"/>
          <w:color w:val="000000" w:themeColor="text1"/>
          <w:szCs w:val="22"/>
          <w:vertAlign w:val="superscript"/>
        </w:rPr>
        <w:t>-1</w:t>
      </w:r>
      <w:r w:rsidRPr="002C0A3B">
        <w:rPr>
          <w:rFonts w:cs="Arial"/>
          <w:color w:val="000000" w:themeColor="text1"/>
          <w:szCs w:val="22"/>
        </w:rPr>
        <w:t xml:space="preserve"> or 27 g ​L</w:t>
      </w:r>
      <w:r w:rsidRPr="002C0A3B">
        <w:rPr>
          <w:rFonts w:cs="Arial"/>
          <w:color w:val="000000" w:themeColor="text1"/>
          <w:szCs w:val="22"/>
          <w:vertAlign w:val="superscript"/>
        </w:rPr>
        <w:t>-1</w:t>
      </w:r>
      <w:r w:rsidRPr="002C0A3B">
        <w:rPr>
          <w:rFonts w:cs="Arial"/>
          <w:color w:val="000000" w:themeColor="text1"/>
          <w:szCs w:val="22"/>
        </w:rPr>
        <w:t> according to our source strain cultivation conditions optimization protocol. Starter cultures in 6 mL 2xYPTG were incubated overnight at 30˚C with shaking at 250 rpm. Baffled Erlenmeyer flasks containing 100 mL of the same media were inoculated with 2% of the overnight culture and incubated at 37˚C with constant shaking at 250 rpm. Cells were pelleted by centrifugation for 5 min at 10,000 g at 4˚C, initially between OD</w:t>
      </w:r>
      <w:r w:rsidRPr="002C0A3B">
        <w:rPr>
          <w:rFonts w:cs="Arial"/>
          <w:color w:val="000000" w:themeColor="text1"/>
          <w:szCs w:val="22"/>
          <w:vertAlign w:val="subscript"/>
        </w:rPr>
        <w:t xml:space="preserve">600 </w:t>
      </w:r>
      <w:r w:rsidRPr="002C0A3B">
        <w:rPr>
          <w:rFonts w:cs="Arial"/>
          <w:color w:val="000000" w:themeColor="text1"/>
          <w:szCs w:val="22"/>
        </w:rPr>
        <w:t>5.8-6.0. When optimizing this parameter, cells were strictly grown to either OD</w:t>
      </w:r>
      <w:r w:rsidRPr="002C0A3B">
        <w:rPr>
          <w:rFonts w:cs="Arial"/>
          <w:color w:val="000000" w:themeColor="text1"/>
          <w:szCs w:val="22"/>
          <w:vertAlign w:val="subscript"/>
        </w:rPr>
        <w:t xml:space="preserve">600 </w:t>
      </w:r>
      <w:r w:rsidRPr="002C0A3B">
        <w:rPr>
          <w:rFonts w:cs="Arial"/>
          <w:color w:val="000000" w:themeColor="text1"/>
          <w:szCs w:val="22"/>
        </w:rPr>
        <w:t>5.0 or 7.0, then between OD</w:t>
      </w:r>
      <w:r w:rsidRPr="002C0A3B">
        <w:rPr>
          <w:rFonts w:cs="Arial"/>
          <w:color w:val="000000" w:themeColor="text1"/>
          <w:szCs w:val="22"/>
          <w:vertAlign w:val="subscript"/>
        </w:rPr>
        <w:t xml:space="preserve">600 </w:t>
      </w:r>
      <w:r w:rsidRPr="002C0A3B">
        <w:rPr>
          <w:rFonts w:cs="Arial"/>
          <w:color w:val="000000" w:themeColor="text1"/>
          <w:szCs w:val="22"/>
        </w:rPr>
        <w:t xml:space="preserve">5.0-5.2 for subsequent experiments. Cell pellets were washed twice with cold S30 buffer without dithiothreitol (DTT) (14 ​mM magnesium acetate, 60 ​mM potassium acetate, and 10 ​mM Tris-acetate, pH 8.2) then weighed. These were flash-frozen and stored at -80˚C unless lysed on the same day. Fresh cultures were prepared for each optimization step. </w:t>
      </w:r>
    </w:p>
    <w:p w14:paraId="56A4BDD5" w14:textId="77777777" w:rsidR="002C0A3B" w:rsidRPr="002C0A3B" w:rsidRDefault="002C0A3B" w:rsidP="002C0A3B">
      <w:pPr>
        <w:ind w:firstLine="720"/>
        <w:rPr>
          <w:rFonts w:cs="Arial"/>
          <w:color w:val="000000" w:themeColor="text1"/>
          <w:szCs w:val="22"/>
        </w:rPr>
      </w:pPr>
    </w:p>
    <w:p w14:paraId="4A947CC2" w14:textId="44CF094F" w:rsidR="004E2DE7" w:rsidRPr="00E033D4" w:rsidRDefault="002C0A3B" w:rsidP="00E033D4">
      <w:pPr>
        <w:pStyle w:val="ChapterSub-heading"/>
      </w:pPr>
      <w:bookmarkStart w:id="94" w:name="_Toc129701046"/>
      <w:r w:rsidRPr="00E033D4">
        <w:t>4.3</w:t>
      </w:r>
      <w:r w:rsidR="004E2DE7" w:rsidRPr="00E033D4">
        <w:t>.2. Lysate Preparation</w:t>
      </w:r>
      <w:bookmarkEnd w:id="94"/>
    </w:p>
    <w:p w14:paraId="3D82F698" w14:textId="77777777" w:rsidR="004E2DE7" w:rsidRPr="002C0A3B" w:rsidRDefault="004E2DE7" w:rsidP="004E2DE7">
      <w:pPr>
        <w:pStyle w:val="NormalWeb"/>
        <w:spacing w:before="0" w:beforeAutospacing="0" w:after="0" w:afterAutospacing="0"/>
        <w:ind w:firstLine="720"/>
        <w:rPr>
          <w:rFonts w:ascii="Arial" w:hAnsi="Arial" w:cs="Arial"/>
          <w:color w:val="000000" w:themeColor="text1"/>
          <w:szCs w:val="22"/>
        </w:rPr>
      </w:pPr>
      <w:r w:rsidRPr="002C0A3B">
        <w:rPr>
          <w:rFonts w:ascii="Arial" w:hAnsi="Arial" w:cs="Arial"/>
          <w:color w:val="000000" w:themeColor="text1"/>
          <w:szCs w:val="22"/>
        </w:rPr>
        <w:t xml:space="preserve">Cell pellets were resuspended in 0.8 mL S30 buffer (without DTT) per gram wet cell mass, after thawing on ice. Resuspensions were sonicated using a Branson 450 </w:t>
      </w:r>
      <w:proofErr w:type="spellStart"/>
      <w:r w:rsidRPr="002C0A3B">
        <w:rPr>
          <w:rFonts w:ascii="Arial" w:hAnsi="Arial" w:cs="Arial"/>
          <w:color w:val="000000" w:themeColor="text1"/>
          <w:szCs w:val="22"/>
        </w:rPr>
        <w:t>sonifier</w:t>
      </w:r>
      <w:proofErr w:type="spellEnd"/>
      <w:r w:rsidRPr="002C0A3B">
        <w:rPr>
          <w:rFonts w:ascii="Arial" w:hAnsi="Arial" w:cs="Arial"/>
          <w:color w:val="000000" w:themeColor="text1"/>
          <w:szCs w:val="22"/>
        </w:rPr>
        <w:t xml:space="preserve"> with a 3.2 mm tip. Briefly, 1 mL resuspension was placed in 1.5 mL microcentrifuge tubes surrounded by an ice water bath. Cells were lysed by applying 590 J at 50% tip amplitude at 10 s ON, 10 s OFF intervals directly to the resuspension. The resulting extracts were centrifuged twice at 21,100 g for 10 min </w:t>
      </w:r>
      <w:r w:rsidRPr="002C0A3B">
        <w:rPr>
          <w:rFonts w:ascii="Arial" w:hAnsi="Arial" w:cs="Arial"/>
          <w:color w:val="000000" w:themeColor="text1"/>
          <w:szCs w:val="22"/>
        </w:rPr>
        <w:lastRenderedPageBreak/>
        <w:t xml:space="preserve">at 4˚C. The supernatant was aliquoted to clean microcentrifuge tubes, flash-frozen, then stored at -80˚C until use. Extracts were prepared from fresh cultures for each optimization step. </w:t>
      </w:r>
    </w:p>
    <w:p w14:paraId="643AF012" w14:textId="77777777" w:rsidR="004E2DE7" w:rsidRPr="002C0A3B" w:rsidRDefault="004E2DE7" w:rsidP="004E2DE7">
      <w:pPr>
        <w:pStyle w:val="NormalWeb"/>
        <w:spacing w:before="0" w:beforeAutospacing="0" w:after="0" w:afterAutospacing="0"/>
        <w:rPr>
          <w:rFonts w:ascii="Arial" w:hAnsi="Arial" w:cs="Arial"/>
          <w:b/>
          <w:bCs/>
          <w:color w:val="000000" w:themeColor="text1"/>
          <w:szCs w:val="22"/>
        </w:rPr>
      </w:pPr>
    </w:p>
    <w:p w14:paraId="06A32886" w14:textId="337DEB8A" w:rsidR="004E2DE7" w:rsidRPr="00E033D4" w:rsidRDefault="002C0A3B" w:rsidP="00E033D4">
      <w:pPr>
        <w:pStyle w:val="ChapterSub-heading"/>
      </w:pPr>
      <w:bookmarkStart w:id="95" w:name="_Toc129701047"/>
      <w:r w:rsidRPr="00E033D4">
        <w:t>4.3</w:t>
      </w:r>
      <w:r w:rsidR="004E2DE7" w:rsidRPr="00E033D4">
        <w:t>.3. Lysate Depletion</w:t>
      </w:r>
      <w:bookmarkEnd w:id="95"/>
    </w:p>
    <w:p w14:paraId="54CBB420" w14:textId="4A42DF6C" w:rsidR="007B7C75" w:rsidRDefault="004E2DE7" w:rsidP="007B7C75">
      <w:pPr>
        <w:pStyle w:val="NormalWeb"/>
        <w:spacing w:before="0" w:beforeAutospacing="0" w:after="0" w:afterAutospacing="0"/>
        <w:ind w:firstLine="720"/>
        <w:rPr>
          <w:rFonts w:ascii="Arial" w:hAnsi="Arial" w:cs="Arial"/>
          <w:color w:val="000000" w:themeColor="text1"/>
          <w:szCs w:val="22"/>
        </w:rPr>
      </w:pPr>
      <w:r w:rsidRPr="002C0A3B">
        <w:rPr>
          <w:rFonts w:ascii="Arial" w:hAnsi="Arial" w:cs="Arial"/>
          <w:color w:val="000000" w:themeColor="text1"/>
          <w:szCs w:val="22"/>
        </w:rPr>
        <w:t xml:space="preserve">For optimizing the post-lysis depletion method, </w:t>
      </w:r>
      <w:proofErr w:type="spellStart"/>
      <w:r w:rsidRPr="002C0A3B">
        <w:rPr>
          <w:rFonts w:ascii="Arial" w:hAnsi="Arial" w:cs="Arial"/>
          <w:color w:val="000000" w:themeColor="text1"/>
          <w:szCs w:val="22"/>
        </w:rPr>
        <w:t>HisPur</w:t>
      </w:r>
      <w:proofErr w:type="spellEnd"/>
      <w:r w:rsidRPr="002C0A3B">
        <w:rPr>
          <w:rFonts w:ascii="Arial" w:hAnsi="Arial" w:cs="Arial"/>
          <w:color w:val="000000" w:themeColor="text1"/>
          <w:szCs w:val="22"/>
        </w:rPr>
        <w:t>™ Cobalt Resin (</w:t>
      </w:r>
      <w:proofErr w:type="spellStart"/>
      <w:r w:rsidRPr="002C0A3B">
        <w:rPr>
          <w:rFonts w:ascii="Arial" w:hAnsi="Arial" w:cs="Arial"/>
          <w:color w:val="000000" w:themeColor="text1"/>
          <w:szCs w:val="22"/>
        </w:rPr>
        <w:t>ThermoFisher</w:t>
      </w:r>
      <w:proofErr w:type="spellEnd"/>
      <w:r w:rsidRPr="002C0A3B">
        <w:rPr>
          <w:rFonts w:ascii="Arial" w:hAnsi="Arial" w:cs="Arial"/>
          <w:color w:val="000000" w:themeColor="text1"/>
          <w:szCs w:val="22"/>
        </w:rPr>
        <w:t xml:space="preserve"> Scientific) suspensions were washed with 600 µL S30 buffer (without DTT) on ice and centrifuged for 30 s at 21,100 g at 4˚C. It should be noted that the resin is suspended in ethanol in storage. In initial experiments, all resin suspension volumes were washed twice following our previously reported protocol, but this was insufficient for higher volume resin suspensions as residual ethanol storage buffer affected our time zero sample measurements</w:t>
      </w:r>
      <w:r w:rsidRPr="002C0A3B">
        <w:rPr>
          <w:rFonts w:ascii="Arial" w:hAnsi="Arial" w:cs="Arial"/>
          <w:color w:val="000000" w:themeColor="text1"/>
          <w:szCs w:val="22"/>
        </w:rPr>
        <w:fldChar w:fldCharType="begin" w:fldLock="1"/>
      </w:r>
      <w:r w:rsidR="00567FF4">
        <w:rPr>
          <w:rFonts w:ascii="Arial" w:hAnsi="Arial" w:cs="Arial"/>
          <w:color w:val="000000" w:themeColor="text1"/>
          <w:szCs w:val="22"/>
        </w:rPr>
        <w:instrText>ADDIN CSL_CITATION {"citationItems":[{"id":"ITEM-1","itemData":{"DOI":"10.1016/j.mec.2021.e00162","ISSN":"22140301","abstract":"Cell-free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Communications","id":"ITEM-1","issued":{"date-parts":[["2021","6","1"]]},"page":"e00162","publisher":"Elsevier B.V.","title":"A lysate proteome engineering strategy for enhancing cell-free metabolite production","type":"article-journal","volume":"12"},"uris":["http://www.mendeley.com/documents/?uuid=babcd1d7-dd2c-32bc-b636-c7ebdf6b2dd4"]}],"mendeley":{"formattedCitation":"&lt;sup&gt;74&lt;/sup&gt;","plainTextFormattedCitation":"74","previouslyFormattedCitation":"&lt;sup&gt;74&lt;/sup&gt;"},"properties":{"noteIndex":0},"schema":"https://github.com/citation-style-language/schema/raw/master/csl-citation.json"}</w:instrText>
      </w:r>
      <w:r w:rsidRPr="002C0A3B">
        <w:rPr>
          <w:rFonts w:ascii="Arial" w:hAnsi="Arial" w:cs="Arial"/>
          <w:color w:val="000000" w:themeColor="text1"/>
          <w:szCs w:val="22"/>
        </w:rPr>
        <w:fldChar w:fldCharType="separate"/>
      </w:r>
      <w:r w:rsidR="00567FF4" w:rsidRPr="00567FF4">
        <w:rPr>
          <w:rFonts w:ascii="Arial" w:hAnsi="Arial" w:cs="Arial"/>
          <w:noProof/>
          <w:color w:val="000000" w:themeColor="text1"/>
          <w:szCs w:val="22"/>
          <w:vertAlign w:val="superscript"/>
        </w:rPr>
        <w:t>74</w:t>
      </w:r>
      <w:r w:rsidRPr="002C0A3B">
        <w:rPr>
          <w:rFonts w:ascii="Arial" w:hAnsi="Arial" w:cs="Arial"/>
          <w:color w:val="000000" w:themeColor="text1"/>
          <w:szCs w:val="22"/>
        </w:rPr>
        <w:fldChar w:fldCharType="end"/>
      </w:r>
      <w:r w:rsidRPr="002C0A3B">
        <w:rPr>
          <w:rFonts w:ascii="Arial" w:hAnsi="Arial" w:cs="Arial"/>
          <w:color w:val="000000" w:themeColor="text1"/>
          <w:szCs w:val="22"/>
        </w:rPr>
        <w:t xml:space="preserve"> (</w:t>
      </w:r>
      <w:r w:rsidR="008F37DB" w:rsidRPr="008F37DB">
        <w:rPr>
          <w:rFonts w:ascii="Arial" w:hAnsi="Arial" w:cs="Arial"/>
          <w:b/>
          <w:bCs/>
          <w:color w:val="000000" w:themeColor="text1"/>
          <w:szCs w:val="22"/>
        </w:rPr>
        <w:t>Appendix</w:t>
      </w:r>
      <w:r w:rsidR="008F37DB">
        <w:rPr>
          <w:rFonts w:ascii="Arial" w:hAnsi="Arial" w:cs="Arial"/>
          <w:color w:val="000000" w:themeColor="text1"/>
          <w:szCs w:val="22"/>
        </w:rPr>
        <w:t xml:space="preserve"> </w:t>
      </w:r>
      <w:r w:rsidR="00405F98">
        <w:rPr>
          <w:rFonts w:ascii="Arial" w:hAnsi="Arial" w:cs="Arial"/>
          <w:b/>
          <w:bCs/>
          <w:color w:val="000000" w:themeColor="text1"/>
          <w:szCs w:val="22"/>
        </w:rPr>
        <w:t>Figure</w:t>
      </w:r>
      <w:r w:rsidRPr="002C0A3B">
        <w:rPr>
          <w:rFonts w:ascii="Arial" w:hAnsi="Arial" w:cs="Arial"/>
          <w:b/>
          <w:bCs/>
          <w:color w:val="000000" w:themeColor="text1"/>
          <w:szCs w:val="22"/>
        </w:rPr>
        <w:t xml:space="preserve"> </w:t>
      </w:r>
      <w:r w:rsidR="00E84CA7">
        <w:rPr>
          <w:rFonts w:ascii="Arial" w:hAnsi="Arial" w:cs="Arial"/>
          <w:b/>
          <w:bCs/>
          <w:color w:val="000000" w:themeColor="text1"/>
          <w:szCs w:val="22"/>
        </w:rPr>
        <w:t>4.8</w:t>
      </w:r>
      <w:r w:rsidRPr="002C0A3B">
        <w:rPr>
          <w:rFonts w:ascii="Arial" w:hAnsi="Arial" w:cs="Arial"/>
          <w:color w:val="000000" w:themeColor="text1"/>
          <w:szCs w:val="22"/>
        </w:rPr>
        <w:t>). More wash cycles remedied this problem (</w:t>
      </w:r>
      <w:r w:rsidR="008F37DB">
        <w:rPr>
          <w:rFonts w:ascii="Arial" w:hAnsi="Arial" w:cs="Arial"/>
          <w:b/>
          <w:bCs/>
          <w:color w:val="000000" w:themeColor="text1"/>
          <w:szCs w:val="22"/>
        </w:rPr>
        <w:t>Appendix T</w:t>
      </w:r>
      <w:r w:rsidRPr="002C0A3B">
        <w:rPr>
          <w:rFonts w:ascii="Arial" w:hAnsi="Arial" w:cs="Arial"/>
          <w:b/>
          <w:bCs/>
          <w:color w:val="000000" w:themeColor="text1"/>
          <w:szCs w:val="22"/>
        </w:rPr>
        <w:t>able 1</w:t>
      </w:r>
      <w:r w:rsidRPr="002C0A3B">
        <w:rPr>
          <w:rFonts w:ascii="Arial" w:hAnsi="Arial" w:cs="Arial"/>
          <w:color w:val="000000" w:themeColor="text1"/>
          <w:szCs w:val="22"/>
        </w:rPr>
        <w:t>). The number of wash steps were thus optimized per resin suspension volume to ensure the removal of ethanol buffer used for resin storage. LdhA-6xHis and PflB-6xHis were depleted from lysate proteomes by adding 1X volume of the cell extract to Co</w:t>
      </w:r>
      <w:r w:rsidRPr="002C0A3B">
        <w:rPr>
          <w:rFonts w:ascii="Arial" w:hAnsi="Arial" w:cs="Arial"/>
          <w:color w:val="000000" w:themeColor="text1"/>
          <w:szCs w:val="22"/>
          <w:vertAlign w:val="superscript"/>
        </w:rPr>
        <w:t>2+</w:t>
      </w:r>
      <w:r w:rsidRPr="002C0A3B">
        <w:rPr>
          <w:rFonts w:ascii="Arial" w:hAnsi="Arial" w:cs="Arial"/>
          <w:color w:val="000000" w:themeColor="text1"/>
          <w:szCs w:val="22"/>
        </w:rPr>
        <w:t xml:space="preserve"> beads washed from 0.2X, 0.6X, 1X, 1.4X, and 1.8X volume of ice-cold resin suspension. A fixed lysate volume of 200 µL was used. Lysates were initially mixed with beads for 1 </w:t>
      </w:r>
      <w:proofErr w:type="spellStart"/>
      <w:r w:rsidRPr="002C0A3B">
        <w:rPr>
          <w:rFonts w:ascii="Arial" w:hAnsi="Arial" w:cs="Arial"/>
          <w:color w:val="000000" w:themeColor="text1"/>
          <w:szCs w:val="22"/>
        </w:rPr>
        <w:t>hr</w:t>
      </w:r>
      <w:proofErr w:type="spellEnd"/>
      <w:r w:rsidRPr="002C0A3B">
        <w:rPr>
          <w:rFonts w:ascii="Arial" w:hAnsi="Arial" w:cs="Arial"/>
          <w:color w:val="000000" w:themeColor="text1"/>
          <w:szCs w:val="22"/>
        </w:rPr>
        <w:t xml:space="preserve"> at 4˚C under shaking conditions (900 rpm). Incubation time was changed to 30 min after optimization of this protocol for subsequent experiments. All lysate-bead mixtures were centrifuged at 21,100 </w:t>
      </w:r>
      <w:r w:rsidRPr="002C0A3B">
        <w:rPr>
          <w:rStyle w:val="Emphasis"/>
          <w:rFonts w:ascii="Arial" w:hAnsi="Arial" w:cs="Arial"/>
          <w:color w:val="000000" w:themeColor="text1"/>
          <w:szCs w:val="22"/>
        </w:rPr>
        <w:t>g</w:t>
      </w:r>
      <w:r w:rsidRPr="002C0A3B">
        <w:rPr>
          <w:rFonts w:ascii="Arial" w:hAnsi="Arial" w:cs="Arial"/>
          <w:color w:val="000000" w:themeColor="text1"/>
          <w:szCs w:val="22"/>
        </w:rPr>
        <w:t xml:space="preserve"> for 30 ​s. Supernatants were aliquoted, flash-frozen, and stored at −80 ​°C until use. The depletion method was performed in triplicate on the same batch of extract. Replicates are referred to here as “depletion replicates”. </w:t>
      </w:r>
    </w:p>
    <w:p w14:paraId="7ADD7562" w14:textId="77777777" w:rsidR="00E84CA7" w:rsidRDefault="00E84CA7" w:rsidP="007B7C75">
      <w:pPr>
        <w:pStyle w:val="NormalWeb"/>
        <w:spacing w:before="0" w:beforeAutospacing="0" w:after="0" w:afterAutospacing="0"/>
        <w:rPr>
          <w:rFonts w:ascii="Arial" w:hAnsi="Arial" w:cs="Arial"/>
          <w:b/>
          <w:bCs/>
          <w:color w:val="000000" w:themeColor="text1"/>
          <w:szCs w:val="22"/>
        </w:rPr>
      </w:pPr>
    </w:p>
    <w:p w14:paraId="1696D49B" w14:textId="23B1E651" w:rsidR="004E2DE7" w:rsidRPr="00E033D4" w:rsidRDefault="002C0A3B" w:rsidP="00E033D4">
      <w:pPr>
        <w:pStyle w:val="ChapterSub-heading"/>
      </w:pPr>
      <w:bookmarkStart w:id="96" w:name="_Toc129701048"/>
      <w:r w:rsidRPr="00E033D4">
        <w:t>4.3</w:t>
      </w:r>
      <w:r w:rsidR="004E2DE7" w:rsidRPr="00E033D4">
        <w:t>.4. CFME Reaction Preparation</w:t>
      </w:r>
      <w:bookmarkEnd w:id="96"/>
    </w:p>
    <w:p w14:paraId="11BDA205" w14:textId="1CCE1BAA" w:rsidR="004E2DE7" w:rsidRPr="002C0A3B" w:rsidRDefault="004E2DE7" w:rsidP="002C0A3B">
      <w:pPr>
        <w:pStyle w:val="NormalWeb"/>
        <w:spacing w:before="0" w:beforeAutospacing="0" w:after="0" w:afterAutospacing="0"/>
        <w:ind w:firstLine="720"/>
        <w:rPr>
          <w:rFonts w:ascii="Arial" w:hAnsi="Arial" w:cs="Arial"/>
          <w:color w:val="000000" w:themeColor="text1"/>
          <w:szCs w:val="22"/>
        </w:rPr>
      </w:pPr>
      <w:r w:rsidRPr="002C0A3B">
        <w:rPr>
          <w:rFonts w:ascii="Arial" w:hAnsi="Arial" w:cs="Arial"/>
          <w:color w:val="000000" w:themeColor="text1"/>
          <w:szCs w:val="22"/>
        </w:rPr>
        <w:t xml:space="preserve">All cell-free metabolic reactions were prepared with 18 mM magnesium glutamate, 15 ​mM ammonium glutamate, 195 ​mM potassium glutamate, 150 ​mM Bis-Tris, and 10 ​mM dipotassium phosphate. Lysate was added to these mixtures at a final concentration of 4.5 mg/mL unless otherwise noted. For every tested condition, reactions were prepared with depletion replicate </w:t>
      </w:r>
      <w:r w:rsidRPr="002C0A3B">
        <w:rPr>
          <w:rFonts w:ascii="Arial" w:hAnsi="Arial" w:cs="Arial"/>
          <w:color w:val="000000" w:themeColor="text1"/>
          <w:szCs w:val="22"/>
        </w:rPr>
        <w:lastRenderedPageBreak/>
        <w:t>lysates (n=3) to evaluate variability in the depletion strategy. Cofactor (NAD</w:t>
      </w:r>
      <w:r w:rsidRPr="002C0A3B">
        <w:rPr>
          <w:rFonts w:ascii="Arial" w:hAnsi="Arial" w:cs="Arial"/>
          <w:color w:val="000000" w:themeColor="text1"/>
          <w:szCs w:val="22"/>
          <w:vertAlign w:val="superscript"/>
        </w:rPr>
        <w:t>+</w:t>
      </w:r>
      <w:r w:rsidRPr="002C0A3B">
        <w:rPr>
          <w:rFonts w:ascii="Arial" w:hAnsi="Arial" w:cs="Arial"/>
          <w:color w:val="000000" w:themeColor="text1"/>
          <w:szCs w:val="22"/>
        </w:rPr>
        <w:t xml:space="preserve">, CoA, ATP) and glucose concentrations and pH levels used to initiate the reactions are detailed in the manuscript. To achieve acidic pH levels, glacial acetic acid was added to S30 buffer solutions that were then used to prepare the reactions. The pH of the reaction itself was measured with </w:t>
      </w:r>
      <w:proofErr w:type="spellStart"/>
      <w:r w:rsidRPr="002C0A3B">
        <w:rPr>
          <w:rFonts w:ascii="Arial" w:hAnsi="Arial" w:cs="Arial"/>
          <w:color w:val="000000" w:themeColor="text1"/>
          <w:szCs w:val="22"/>
        </w:rPr>
        <w:t>Hydryion</w:t>
      </w:r>
      <w:proofErr w:type="spellEnd"/>
      <w:r w:rsidRPr="002C0A3B">
        <w:rPr>
          <w:rFonts w:ascii="Arial" w:hAnsi="Arial" w:cs="Arial"/>
          <w:color w:val="000000" w:themeColor="text1"/>
          <w:szCs w:val="22"/>
        </w:rPr>
        <w:t xml:space="preserve"> </w:t>
      </w:r>
      <w:proofErr w:type="spellStart"/>
      <w:r w:rsidRPr="002C0A3B">
        <w:rPr>
          <w:rFonts w:ascii="Arial" w:hAnsi="Arial" w:cs="Arial"/>
          <w:color w:val="000000" w:themeColor="text1"/>
          <w:szCs w:val="22"/>
        </w:rPr>
        <w:t>MicroFine</w:t>
      </w:r>
      <w:proofErr w:type="spellEnd"/>
      <w:r w:rsidRPr="002C0A3B">
        <w:rPr>
          <w:rFonts w:ascii="Arial" w:hAnsi="Arial" w:cs="Arial"/>
          <w:color w:val="000000" w:themeColor="text1"/>
          <w:szCs w:val="22"/>
        </w:rPr>
        <w:t xml:space="preserve"> pH papers prior to incubation. Reactions were carried out in 30 µL volumes in enclosed 1.5 mL microcentrifuge tubes (Thermo Scientific #3451), 0.2 mL PCR tubes (VWR #20170-012), or 50 µL wells on a 384-well-plate (Corning #3544) sealed with polyester film (VWR #75853-868) as described. Reactions were incubated at 37˚C for 20 h unless otherwise stated. For each replicate, a control time zero reaction was prepared as described previously</w:t>
      </w:r>
      <w:r w:rsidRPr="002C0A3B">
        <w:rPr>
          <w:rFonts w:ascii="Arial" w:hAnsi="Arial" w:cs="Arial"/>
          <w:color w:val="000000" w:themeColor="text1"/>
          <w:szCs w:val="22"/>
        </w:rPr>
        <w:fldChar w:fldCharType="begin" w:fldLock="1"/>
      </w:r>
      <w:r w:rsidR="004F3109">
        <w:rPr>
          <w:rFonts w:ascii="Arial" w:hAnsi="Arial" w:cs="Arial"/>
          <w:color w:val="000000" w:themeColor="text1"/>
          <w:szCs w:val="22"/>
        </w:rPr>
        <w:instrText>ADDIN CSL_CITATION {"citationItems":[{"id":"ITEM-1","itemData":{"DOI":"10.3791/62852","ISSN":"1940087X","abstract":"Engineering cellular metabolism for targeted biosynthesis can require extensive design-build-test-learn (DBTL) cycles as the engineer works around the cell's survival requirements. Alternatively, carrying out DBTL cycles in cell-free environments can accelerate this process and alleviate concerns with host compatibility. A promising approach to cell-free metabolic engineering (CFME) leverages metabolically active crude cell extracts as platforms for biomanufacturing and for rapidly discovering and prototyping modified proteins and pathways. Realizing these capabilities and optimizing CFME performance requires methods to characterize the metabolome of lysate-based cell-free platforms. That is, analytical tools are necessary for monitoring improvements in targeted metabolite conversions and in elucidating alterations to metabolite flux when manipulating lysate metabolism. Here, metabolite analyses using high-performance liquid chromatography (HPLC) coupled with either optical or mass spectrometric detection were applied to characterize metabolite production and flux in E. coli S30 lysates. Specifically, this report describes the preparation of samples from CFME lysates for HPLC analyses using refractive index detection (RID) to quantify the generation of central metabolic intermediates and by-products in the conversion of low-cost substrates (i.e., glucose) to various high-value products. The analysis of metabolite conversion in CFME reactions fed with13 C-labeled glucose through reversed-phase liquid chromatography coupled to tandem mass spectrometry (MS/ MS), a powerful tool for characterizing specific metabolite yields and lysate metabolic flux from starting materials, is also presented. Altogether, applying these analytical methods to CFME lysate metabolism enables the advancement of these systems as alternative platforms for executing faster or novel metabolic engineering tasks.","author":[{"dropping-particle":"","family":"Dinglasan","given":"Jaime Lorenzo N.","non-dropping-particle":"","parse-names":false,"suffix":""},{"dropping-particle":"","family":"Reeves","given":"David T.","non-dropping-particle":"","parse-names":false,"suffix":""},{"dropping-particle":"","family":"Hettich","given":"Robert L.","non-dropping-particle":"","parse-names":false,"suffix":""},{"dropping-particle":"","family":"Doktycz","given":"Mitchel J.","non-dropping-particle":"","parse-names":false,"suffix":""}],"container-title":"Journal of Visualized Experiments","id":"ITEM-1","issue":"175","issued":{"date-parts":[["2021"]]},"title":"Liquid chromatography coupled to refractive index or mass spectrometric detection for metabolite profiling in lysate-based cell-free systems","type":"article-journal","volume":"2021"},"uris":["http://www.mendeley.com/documents/?uuid=7ea0affb-ee39-3abd-8eb2-d52c093f6376"]}],"mendeley":{"formattedCitation":"&lt;sup&gt;154&lt;/sup&gt;","plainTextFormattedCitation":"154","previouslyFormattedCitation":"&lt;sup&gt;154&lt;/sup&gt;"},"properties":{"noteIndex":0},"schema":"https://github.com/citation-style-language/schema/raw/master/csl-citation.json"}</w:instrText>
      </w:r>
      <w:r w:rsidRPr="002C0A3B">
        <w:rPr>
          <w:rFonts w:ascii="Arial" w:hAnsi="Arial" w:cs="Arial"/>
          <w:color w:val="000000" w:themeColor="text1"/>
          <w:szCs w:val="22"/>
        </w:rPr>
        <w:fldChar w:fldCharType="separate"/>
      </w:r>
      <w:r w:rsidR="00A91591" w:rsidRPr="00A91591">
        <w:rPr>
          <w:rFonts w:ascii="Arial" w:hAnsi="Arial" w:cs="Arial"/>
          <w:noProof/>
          <w:color w:val="000000" w:themeColor="text1"/>
          <w:szCs w:val="22"/>
          <w:vertAlign w:val="superscript"/>
        </w:rPr>
        <w:t>154</w:t>
      </w:r>
      <w:r w:rsidRPr="002C0A3B">
        <w:rPr>
          <w:rFonts w:ascii="Arial" w:hAnsi="Arial" w:cs="Arial"/>
          <w:color w:val="000000" w:themeColor="text1"/>
          <w:szCs w:val="22"/>
        </w:rPr>
        <w:fldChar w:fldCharType="end"/>
      </w:r>
      <w:r w:rsidRPr="002C0A3B">
        <w:rPr>
          <w:rFonts w:ascii="Arial" w:hAnsi="Arial" w:cs="Arial"/>
          <w:color w:val="000000" w:themeColor="text1"/>
          <w:szCs w:val="22"/>
        </w:rPr>
        <w:t xml:space="preserve">. Briefly, lysate metabolic activity was terminated with 5% TCA prior to the addition of glucose to prepare controls. </w:t>
      </w:r>
    </w:p>
    <w:p w14:paraId="36FFFE48" w14:textId="77777777" w:rsidR="00F534D3" w:rsidRDefault="00F534D3" w:rsidP="00F534D3"/>
    <w:p w14:paraId="02BB9BC4" w14:textId="283FE9FB" w:rsidR="004E2DE7" w:rsidRPr="00F534D3" w:rsidRDefault="002C0A3B" w:rsidP="00F534D3">
      <w:pPr>
        <w:pStyle w:val="ChapterSub-heading"/>
      </w:pPr>
      <w:bookmarkStart w:id="97" w:name="_Toc129701049"/>
      <w:r w:rsidRPr="00F534D3">
        <w:t>4.3</w:t>
      </w:r>
      <w:r w:rsidR="004E2DE7" w:rsidRPr="00F534D3">
        <w:t>.5. Metabolite Analyses</w:t>
      </w:r>
      <w:bookmarkEnd w:id="97"/>
    </w:p>
    <w:p w14:paraId="72535610" w14:textId="77777777" w:rsidR="004E2DE7" w:rsidRPr="002C0A3B" w:rsidRDefault="004E2DE7" w:rsidP="004E2DE7">
      <w:pPr>
        <w:ind w:firstLine="720"/>
        <w:rPr>
          <w:rFonts w:cs="Arial"/>
          <w:color w:val="000000" w:themeColor="text1"/>
          <w:szCs w:val="22"/>
        </w:rPr>
      </w:pPr>
      <w:r w:rsidRPr="002C0A3B">
        <w:rPr>
          <w:rFonts w:cs="Arial"/>
          <w:color w:val="000000" w:themeColor="text1"/>
          <w:szCs w:val="22"/>
        </w:rPr>
        <w:t xml:space="preserve">CFME reactions were quenched with an equivalent volume of 5% TCA and then diluted with an equal volume of ultrapure water. High-performance liquid chromatography (HPLC) was used to measure changes in glucose, ethanol, lactate, and acetate concentrations between time zero and endpoint reactions. Measurements were taken with an Agilent 1260 Infinity system (Agilent, Santa Clara, CA) equipped with an </w:t>
      </w:r>
      <w:proofErr w:type="spellStart"/>
      <w:r w:rsidRPr="002C0A3B">
        <w:rPr>
          <w:rFonts w:cs="Arial"/>
          <w:color w:val="000000" w:themeColor="text1"/>
          <w:szCs w:val="22"/>
        </w:rPr>
        <w:t>Aminex</w:t>
      </w:r>
      <w:proofErr w:type="spellEnd"/>
      <w:r w:rsidRPr="002C0A3B">
        <w:rPr>
          <w:rFonts w:cs="Arial"/>
          <w:color w:val="000000" w:themeColor="text1"/>
          <w:szCs w:val="22"/>
        </w:rPr>
        <w:t xml:space="preserve"> HPX 87-H column (Bio-Rad, Hercules, CA) for carbohydrate, organic acid, and alcohol analyses. An isocratic method using 5 mM sulfuric acid was used to elute target metabolites from the column at a 0.55 mL min</w:t>
      </w:r>
      <w:r w:rsidRPr="002C0A3B">
        <w:rPr>
          <w:rFonts w:cs="Arial"/>
          <w:color w:val="000000" w:themeColor="text1"/>
          <w:szCs w:val="22"/>
          <w:vertAlign w:val="superscript"/>
        </w:rPr>
        <w:t>-1</w:t>
      </w:r>
      <w:r w:rsidRPr="002C0A3B">
        <w:rPr>
          <w:rFonts w:cs="Arial"/>
          <w:color w:val="000000" w:themeColor="text1"/>
          <w:szCs w:val="22"/>
        </w:rPr>
        <w:t xml:space="preserve"> flow rate for 30 min at 35˚C. Metabolites were detected with a refractive index detector (Agilent, Santa Clara, CA). Peak areas were extracted using manual integration for glucose peaks and automatic integration for lactate, acetate, and ethanol peaks in the HPLC system’s companion software. Concentrations were calculated using standard calibration. Reported values for metabolite consumption and production are changes in concentrations between endpoint and time zero reactions. Student’s t-tests were used to evaluate statistical significance (</w:t>
      </w:r>
      <w:proofErr w:type="spellStart"/>
      <w:r w:rsidRPr="002C0A3B">
        <w:rPr>
          <w:rFonts w:cs="Arial"/>
          <w:color w:val="000000" w:themeColor="text1"/>
          <w:szCs w:val="22"/>
        </w:rPr>
        <w:t>pval</w:t>
      </w:r>
      <w:proofErr w:type="spellEnd"/>
      <w:r w:rsidRPr="002C0A3B">
        <w:rPr>
          <w:rFonts w:cs="Arial"/>
          <w:color w:val="000000" w:themeColor="text1"/>
          <w:szCs w:val="22"/>
        </w:rPr>
        <w:t xml:space="preserve"> &lt; 0.05). Percent ethanol yield from </w:t>
      </w:r>
      <w:r w:rsidRPr="002C0A3B">
        <w:rPr>
          <w:rFonts w:cs="Arial"/>
          <w:color w:val="000000" w:themeColor="text1"/>
          <w:szCs w:val="22"/>
        </w:rPr>
        <w:lastRenderedPageBreak/>
        <w:t xml:space="preserve">glucose was calculated as follows, given that 1 mole glucose can theoretically be converted to 2 moles ethanol in </w:t>
      </w:r>
      <w:r w:rsidRPr="002C0A3B">
        <w:rPr>
          <w:rFonts w:cs="Arial"/>
          <w:i/>
          <w:iCs/>
          <w:color w:val="000000" w:themeColor="text1"/>
          <w:szCs w:val="22"/>
        </w:rPr>
        <w:t xml:space="preserve">E. coli </w:t>
      </w:r>
      <w:r w:rsidRPr="002C0A3B">
        <w:rPr>
          <w:rFonts w:cs="Arial"/>
          <w:color w:val="000000" w:themeColor="text1"/>
          <w:szCs w:val="22"/>
        </w:rPr>
        <w:t>lysates:</w:t>
      </w:r>
    </w:p>
    <w:p w14:paraId="021995EF" w14:textId="77777777" w:rsidR="004E2DE7" w:rsidRPr="002C0A3B" w:rsidRDefault="004E2DE7" w:rsidP="004E2DE7">
      <w:pPr>
        <w:rPr>
          <w:rFonts w:cs="Arial"/>
          <w:color w:val="000000" w:themeColor="text1"/>
          <w:szCs w:val="22"/>
        </w:rPr>
      </w:pPr>
    </w:p>
    <w:p w14:paraId="2A99AE71" w14:textId="42621B13" w:rsidR="004E2DE7" w:rsidRDefault="004E2DE7" w:rsidP="0039202C">
      <w:pPr>
        <w:jc w:val="center"/>
        <w:rPr>
          <w:rFonts w:eastAsiaTheme="minorEastAsia" w:cs="Arial"/>
          <w:color w:val="000000" w:themeColor="text1"/>
          <w:szCs w:val="22"/>
        </w:rPr>
      </w:pPr>
      <m:oMath>
        <m:r>
          <w:rPr>
            <w:rFonts w:ascii="Cambria Math" w:hAnsi="Cambria Math" w:cs="Arial"/>
            <w:color w:val="000000" w:themeColor="text1"/>
            <w:szCs w:val="22"/>
          </w:rPr>
          <m:t xml:space="preserve">% </m:t>
        </m:r>
        <m:sSub>
          <m:sSubPr>
            <m:ctrlPr>
              <w:rPr>
                <w:rFonts w:ascii="Cambria Math" w:hAnsi="Cambria Math" w:cs="Arial"/>
                <w:i/>
                <w:color w:val="000000" w:themeColor="text1"/>
                <w:szCs w:val="22"/>
              </w:rPr>
            </m:ctrlPr>
          </m:sSubPr>
          <m:e>
            <m:r>
              <w:rPr>
                <w:rFonts w:ascii="Cambria Math" w:hAnsi="Cambria Math" w:cs="Arial"/>
                <w:color w:val="000000" w:themeColor="text1"/>
                <w:szCs w:val="22"/>
              </w:rPr>
              <m:t>Yield</m:t>
            </m:r>
          </m:e>
          <m:sub>
            <m:r>
              <w:rPr>
                <w:rFonts w:ascii="Cambria Math" w:hAnsi="Cambria Math" w:cs="Arial"/>
                <w:color w:val="000000" w:themeColor="text1"/>
                <w:szCs w:val="22"/>
              </w:rPr>
              <m:t>(</m:t>
            </m:r>
            <m:f>
              <m:fPr>
                <m:ctrlPr>
                  <w:rPr>
                    <w:rFonts w:ascii="Cambria Math" w:hAnsi="Cambria Math" w:cs="Arial"/>
                    <w:i/>
                    <w:color w:val="000000" w:themeColor="text1"/>
                    <w:szCs w:val="22"/>
                  </w:rPr>
                </m:ctrlPr>
              </m:fPr>
              <m:num>
                <m:r>
                  <w:rPr>
                    <w:rFonts w:ascii="Cambria Math" w:hAnsi="Cambria Math" w:cs="Arial"/>
                    <w:color w:val="000000" w:themeColor="text1"/>
                    <w:szCs w:val="22"/>
                  </w:rPr>
                  <m:t>EtOH</m:t>
                </m:r>
              </m:num>
              <m:den>
                <m:r>
                  <w:rPr>
                    <w:rFonts w:ascii="Cambria Math" w:hAnsi="Cambria Math" w:cs="Arial"/>
                    <w:color w:val="000000" w:themeColor="text1"/>
                    <w:szCs w:val="22"/>
                  </w:rPr>
                  <m:t>Glc</m:t>
                </m:r>
              </m:den>
            </m:f>
            <m:r>
              <w:rPr>
                <w:rFonts w:ascii="Cambria Math" w:hAnsi="Cambria Math" w:cs="Arial"/>
                <w:color w:val="000000" w:themeColor="text1"/>
                <w:szCs w:val="22"/>
              </w:rPr>
              <m:t>)</m:t>
            </m:r>
          </m:sub>
        </m:sSub>
        <m:r>
          <w:rPr>
            <w:rFonts w:ascii="Cambria Math" w:hAnsi="Cambria Math" w:cs="Arial"/>
            <w:color w:val="000000" w:themeColor="text1"/>
            <w:szCs w:val="22"/>
          </w:rPr>
          <m:t xml:space="preserve">= </m:t>
        </m:r>
        <m:f>
          <m:fPr>
            <m:ctrlPr>
              <w:rPr>
                <w:rFonts w:ascii="Cambria Math" w:hAnsi="Cambria Math" w:cs="Arial"/>
                <w:i/>
                <w:color w:val="000000" w:themeColor="text1"/>
                <w:szCs w:val="22"/>
              </w:rPr>
            </m:ctrlPr>
          </m:fPr>
          <m:num>
            <m:sSub>
              <m:sSubPr>
                <m:ctrlPr>
                  <w:rPr>
                    <w:rFonts w:ascii="Cambria Math" w:hAnsi="Cambria Math" w:cs="Arial"/>
                    <w:i/>
                    <w:color w:val="000000" w:themeColor="text1"/>
                    <w:szCs w:val="22"/>
                  </w:rPr>
                </m:ctrlPr>
              </m:sSubPr>
              <m:e>
                <m:r>
                  <w:rPr>
                    <w:rFonts w:ascii="Cambria Math" w:hAnsi="Cambria Math" w:cs="Arial"/>
                    <w:color w:val="000000" w:themeColor="text1"/>
                    <w:szCs w:val="22"/>
                  </w:rPr>
                  <m:t>Actual Yield</m:t>
                </m:r>
              </m:e>
              <m:sub>
                <m:r>
                  <w:rPr>
                    <w:rFonts w:ascii="Cambria Math" w:hAnsi="Cambria Math" w:cs="Arial"/>
                    <w:color w:val="000000" w:themeColor="text1"/>
                    <w:szCs w:val="22"/>
                  </w:rPr>
                  <m:t>(</m:t>
                </m:r>
                <m:f>
                  <m:fPr>
                    <m:ctrlPr>
                      <w:rPr>
                        <w:rFonts w:ascii="Cambria Math" w:hAnsi="Cambria Math" w:cs="Arial"/>
                        <w:i/>
                        <w:color w:val="000000" w:themeColor="text1"/>
                        <w:szCs w:val="22"/>
                      </w:rPr>
                    </m:ctrlPr>
                  </m:fPr>
                  <m:num>
                    <m:r>
                      <w:rPr>
                        <w:rFonts w:ascii="Cambria Math" w:hAnsi="Cambria Math" w:cs="Arial"/>
                        <w:color w:val="000000" w:themeColor="text1"/>
                        <w:szCs w:val="22"/>
                      </w:rPr>
                      <m:t>EtOH</m:t>
                    </m:r>
                  </m:num>
                  <m:den>
                    <m:r>
                      <w:rPr>
                        <w:rFonts w:ascii="Cambria Math" w:hAnsi="Cambria Math" w:cs="Arial"/>
                        <w:color w:val="000000" w:themeColor="text1"/>
                        <w:szCs w:val="22"/>
                      </w:rPr>
                      <m:t>Glc</m:t>
                    </m:r>
                  </m:den>
                </m:f>
                <m:r>
                  <w:rPr>
                    <w:rFonts w:ascii="Cambria Math" w:hAnsi="Cambria Math" w:cs="Arial"/>
                    <w:color w:val="000000" w:themeColor="text1"/>
                    <w:szCs w:val="22"/>
                  </w:rPr>
                  <m:t>)</m:t>
                </m:r>
              </m:sub>
            </m:sSub>
          </m:num>
          <m:den>
            <m:sSub>
              <m:sSubPr>
                <m:ctrlPr>
                  <w:rPr>
                    <w:rFonts w:ascii="Cambria Math" w:hAnsi="Cambria Math" w:cs="Arial"/>
                    <w:i/>
                    <w:color w:val="000000" w:themeColor="text1"/>
                    <w:szCs w:val="22"/>
                  </w:rPr>
                </m:ctrlPr>
              </m:sSubPr>
              <m:e>
                <m:r>
                  <w:rPr>
                    <w:rFonts w:ascii="Cambria Math" w:hAnsi="Cambria Math" w:cs="Arial"/>
                    <w:color w:val="000000" w:themeColor="text1"/>
                    <w:szCs w:val="22"/>
                  </w:rPr>
                  <m:t>Theoretical Yield</m:t>
                </m:r>
              </m:e>
              <m:sub>
                <m:r>
                  <w:rPr>
                    <w:rFonts w:ascii="Cambria Math" w:hAnsi="Cambria Math" w:cs="Arial"/>
                    <w:color w:val="000000" w:themeColor="text1"/>
                    <w:szCs w:val="22"/>
                  </w:rPr>
                  <m:t>(</m:t>
                </m:r>
                <m:f>
                  <m:fPr>
                    <m:ctrlPr>
                      <w:rPr>
                        <w:rFonts w:ascii="Cambria Math" w:hAnsi="Cambria Math" w:cs="Arial"/>
                        <w:i/>
                        <w:color w:val="000000" w:themeColor="text1"/>
                        <w:szCs w:val="22"/>
                      </w:rPr>
                    </m:ctrlPr>
                  </m:fPr>
                  <m:num>
                    <m:r>
                      <w:rPr>
                        <w:rFonts w:ascii="Cambria Math" w:hAnsi="Cambria Math" w:cs="Arial"/>
                        <w:color w:val="000000" w:themeColor="text1"/>
                        <w:szCs w:val="22"/>
                      </w:rPr>
                      <m:t>EtOH</m:t>
                    </m:r>
                  </m:num>
                  <m:den>
                    <m:r>
                      <w:rPr>
                        <w:rFonts w:ascii="Cambria Math" w:hAnsi="Cambria Math" w:cs="Arial"/>
                        <w:color w:val="000000" w:themeColor="text1"/>
                        <w:szCs w:val="22"/>
                      </w:rPr>
                      <m:t>Glc</m:t>
                    </m:r>
                  </m:den>
                </m:f>
                <m:r>
                  <w:rPr>
                    <w:rFonts w:ascii="Cambria Math" w:hAnsi="Cambria Math" w:cs="Arial"/>
                    <w:color w:val="000000" w:themeColor="text1"/>
                    <w:szCs w:val="22"/>
                  </w:rPr>
                  <m:t>)</m:t>
                </m:r>
              </m:sub>
            </m:sSub>
          </m:den>
        </m:f>
        <m:r>
          <w:rPr>
            <w:rFonts w:ascii="Cambria Math" w:hAnsi="Cambria Math" w:cs="Arial"/>
            <w:color w:val="000000" w:themeColor="text1"/>
            <w:szCs w:val="22"/>
          </w:rPr>
          <m:t xml:space="preserve"> x 100</m:t>
        </m:r>
      </m:oMath>
      <w:r w:rsidRPr="002C0A3B">
        <w:rPr>
          <w:rFonts w:eastAsiaTheme="minorEastAsia" w:cs="Arial"/>
          <w:color w:val="000000" w:themeColor="text1"/>
          <w:szCs w:val="22"/>
        </w:rPr>
        <w:t xml:space="preserve"> (1)</w:t>
      </w:r>
    </w:p>
    <w:p w14:paraId="48B590F4" w14:textId="77777777" w:rsidR="0039202C" w:rsidRPr="002C0A3B" w:rsidRDefault="0039202C" w:rsidP="0039202C">
      <w:pPr>
        <w:jc w:val="center"/>
        <w:rPr>
          <w:rFonts w:eastAsiaTheme="minorEastAsia" w:cs="Arial"/>
          <w:color w:val="000000" w:themeColor="text1"/>
          <w:szCs w:val="22"/>
        </w:rPr>
      </w:pPr>
    </w:p>
    <w:p w14:paraId="64C5FCDE" w14:textId="77777777" w:rsidR="004E2DE7" w:rsidRPr="002C0A3B" w:rsidRDefault="00176F3F" w:rsidP="0039202C">
      <w:pPr>
        <w:jc w:val="center"/>
        <w:rPr>
          <w:rFonts w:eastAsiaTheme="minorEastAsia" w:cs="Arial"/>
          <w:color w:val="000000" w:themeColor="text1"/>
          <w:szCs w:val="22"/>
        </w:rPr>
      </w:pPr>
      <m:oMath>
        <m:sSub>
          <m:sSubPr>
            <m:ctrlPr>
              <w:rPr>
                <w:rFonts w:ascii="Cambria Math" w:hAnsi="Cambria Math" w:cs="Arial"/>
                <w:i/>
                <w:color w:val="000000" w:themeColor="text1"/>
                <w:szCs w:val="22"/>
              </w:rPr>
            </m:ctrlPr>
          </m:sSubPr>
          <m:e>
            <m:r>
              <w:rPr>
                <w:rFonts w:ascii="Cambria Math" w:hAnsi="Cambria Math" w:cs="Arial"/>
                <w:color w:val="000000" w:themeColor="text1"/>
                <w:szCs w:val="22"/>
              </w:rPr>
              <m:t>Actual yield</m:t>
            </m:r>
          </m:e>
          <m:sub>
            <m:r>
              <w:rPr>
                <w:rFonts w:ascii="Cambria Math" w:hAnsi="Cambria Math" w:cs="Arial"/>
                <w:color w:val="000000" w:themeColor="text1"/>
                <w:szCs w:val="22"/>
              </w:rPr>
              <m:t>(</m:t>
            </m:r>
            <m:f>
              <m:fPr>
                <m:ctrlPr>
                  <w:rPr>
                    <w:rFonts w:ascii="Cambria Math" w:hAnsi="Cambria Math" w:cs="Arial"/>
                    <w:i/>
                    <w:color w:val="000000" w:themeColor="text1"/>
                    <w:szCs w:val="22"/>
                  </w:rPr>
                </m:ctrlPr>
              </m:fPr>
              <m:num>
                <m:r>
                  <w:rPr>
                    <w:rFonts w:ascii="Cambria Math" w:hAnsi="Cambria Math" w:cs="Arial"/>
                    <w:color w:val="000000" w:themeColor="text1"/>
                    <w:szCs w:val="22"/>
                  </w:rPr>
                  <m:t>EtOH</m:t>
                </m:r>
              </m:num>
              <m:den>
                <m:r>
                  <w:rPr>
                    <w:rFonts w:ascii="Cambria Math" w:hAnsi="Cambria Math" w:cs="Arial"/>
                    <w:color w:val="000000" w:themeColor="text1"/>
                    <w:szCs w:val="22"/>
                  </w:rPr>
                  <m:t>Glc</m:t>
                </m:r>
              </m:den>
            </m:f>
            <m:r>
              <w:rPr>
                <w:rFonts w:ascii="Cambria Math" w:hAnsi="Cambria Math" w:cs="Arial"/>
                <w:color w:val="000000" w:themeColor="text1"/>
                <w:szCs w:val="22"/>
              </w:rPr>
              <m:t>)</m:t>
            </m:r>
          </m:sub>
        </m:sSub>
        <m:r>
          <w:rPr>
            <w:rFonts w:ascii="Cambria Math" w:hAnsi="Cambria Math" w:cs="Arial"/>
            <w:color w:val="000000" w:themeColor="text1"/>
            <w:szCs w:val="22"/>
          </w:rPr>
          <m:t xml:space="preserve">= </m:t>
        </m:r>
        <m:f>
          <m:fPr>
            <m:ctrlPr>
              <w:rPr>
                <w:rFonts w:ascii="Cambria Math" w:hAnsi="Cambria Math" w:cs="Arial"/>
                <w:i/>
                <w:color w:val="000000" w:themeColor="text1"/>
                <w:szCs w:val="22"/>
              </w:rPr>
            </m:ctrlPr>
          </m:fPr>
          <m:num>
            <m:r>
              <w:rPr>
                <w:rFonts w:ascii="Cambria Math" w:hAnsi="Cambria Math" w:cs="Arial"/>
                <w:color w:val="000000" w:themeColor="text1"/>
                <w:szCs w:val="22"/>
              </w:rPr>
              <m:t>moles EtOH produced</m:t>
            </m:r>
          </m:num>
          <m:den>
            <m:r>
              <w:rPr>
                <w:rFonts w:ascii="Cambria Math" w:hAnsi="Cambria Math" w:cs="Arial"/>
                <w:color w:val="000000" w:themeColor="text1"/>
                <w:szCs w:val="22"/>
              </w:rPr>
              <m:t>moles Glc consumed</m:t>
            </m:r>
          </m:den>
        </m:f>
      </m:oMath>
      <w:r w:rsidR="004E2DE7" w:rsidRPr="002C0A3B">
        <w:rPr>
          <w:rFonts w:eastAsiaTheme="minorEastAsia" w:cs="Arial"/>
          <w:color w:val="000000" w:themeColor="text1"/>
          <w:szCs w:val="22"/>
        </w:rPr>
        <w:t xml:space="preserve"> (2)</w:t>
      </w:r>
    </w:p>
    <w:p w14:paraId="61B8A8DB" w14:textId="77777777" w:rsidR="0039202C" w:rsidRPr="002C0A3B" w:rsidRDefault="0039202C" w:rsidP="0039202C">
      <w:pPr>
        <w:jc w:val="left"/>
        <w:rPr>
          <w:rFonts w:eastAsiaTheme="minorEastAsia" w:cs="Arial"/>
          <w:color w:val="000000" w:themeColor="text1"/>
          <w:szCs w:val="22"/>
        </w:rPr>
      </w:pPr>
    </w:p>
    <w:p w14:paraId="24994F24" w14:textId="77777777" w:rsidR="004E2DE7" w:rsidRPr="002C0A3B" w:rsidRDefault="00176F3F" w:rsidP="0039202C">
      <w:pPr>
        <w:jc w:val="center"/>
        <w:rPr>
          <w:rFonts w:cs="Arial"/>
          <w:color w:val="000000" w:themeColor="text1"/>
          <w:szCs w:val="22"/>
        </w:rPr>
      </w:pPr>
      <m:oMath>
        <m:sSub>
          <m:sSubPr>
            <m:ctrlPr>
              <w:rPr>
                <w:rFonts w:ascii="Cambria Math" w:hAnsi="Cambria Math" w:cs="Arial"/>
                <w:i/>
                <w:color w:val="000000" w:themeColor="text1"/>
                <w:szCs w:val="22"/>
              </w:rPr>
            </m:ctrlPr>
          </m:sSubPr>
          <m:e>
            <m:r>
              <w:rPr>
                <w:rFonts w:ascii="Cambria Math" w:hAnsi="Cambria Math" w:cs="Arial"/>
                <w:color w:val="000000" w:themeColor="text1"/>
                <w:szCs w:val="22"/>
              </w:rPr>
              <m:t>Theoretical yield</m:t>
            </m:r>
          </m:e>
          <m:sub>
            <m:r>
              <w:rPr>
                <w:rFonts w:ascii="Cambria Math" w:hAnsi="Cambria Math" w:cs="Arial"/>
                <w:color w:val="000000" w:themeColor="text1"/>
                <w:szCs w:val="22"/>
              </w:rPr>
              <m:t>(</m:t>
            </m:r>
            <m:f>
              <m:fPr>
                <m:ctrlPr>
                  <w:rPr>
                    <w:rFonts w:ascii="Cambria Math" w:hAnsi="Cambria Math" w:cs="Arial"/>
                    <w:i/>
                    <w:color w:val="000000" w:themeColor="text1"/>
                    <w:szCs w:val="22"/>
                  </w:rPr>
                </m:ctrlPr>
              </m:fPr>
              <m:num>
                <m:r>
                  <w:rPr>
                    <w:rFonts w:ascii="Cambria Math" w:hAnsi="Cambria Math" w:cs="Arial"/>
                    <w:color w:val="000000" w:themeColor="text1"/>
                    <w:szCs w:val="22"/>
                  </w:rPr>
                  <m:t>EtOH</m:t>
                </m:r>
              </m:num>
              <m:den>
                <m:r>
                  <w:rPr>
                    <w:rFonts w:ascii="Cambria Math" w:hAnsi="Cambria Math" w:cs="Arial"/>
                    <w:color w:val="000000" w:themeColor="text1"/>
                    <w:szCs w:val="22"/>
                  </w:rPr>
                  <m:t>Glc</m:t>
                </m:r>
              </m:den>
            </m:f>
            <m:r>
              <w:rPr>
                <w:rFonts w:ascii="Cambria Math" w:hAnsi="Cambria Math" w:cs="Arial"/>
                <w:color w:val="000000" w:themeColor="text1"/>
                <w:szCs w:val="22"/>
              </w:rPr>
              <m:t>)</m:t>
            </m:r>
          </m:sub>
        </m:sSub>
        <m:r>
          <w:rPr>
            <w:rFonts w:ascii="Cambria Math" w:hAnsi="Cambria Math" w:cs="Arial"/>
            <w:color w:val="000000" w:themeColor="text1"/>
            <w:szCs w:val="22"/>
          </w:rPr>
          <m:t xml:space="preserve">= </m:t>
        </m:r>
        <m:f>
          <m:fPr>
            <m:ctrlPr>
              <w:rPr>
                <w:rFonts w:ascii="Cambria Math" w:hAnsi="Cambria Math" w:cs="Arial"/>
                <w:i/>
                <w:color w:val="000000" w:themeColor="text1"/>
                <w:szCs w:val="22"/>
              </w:rPr>
            </m:ctrlPr>
          </m:fPr>
          <m:num>
            <m:r>
              <w:rPr>
                <w:rFonts w:ascii="Cambria Math" w:hAnsi="Cambria Math" w:cs="Arial"/>
                <w:color w:val="000000" w:themeColor="text1"/>
                <w:szCs w:val="22"/>
              </w:rPr>
              <m:t>2 moles EtOH</m:t>
            </m:r>
          </m:num>
          <m:den>
            <m:r>
              <w:rPr>
                <w:rFonts w:ascii="Cambria Math" w:hAnsi="Cambria Math" w:cs="Arial"/>
                <w:color w:val="000000" w:themeColor="text1"/>
                <w:szCs w:val="22"/>
              </w:rPr>
              <m:t>1 mole Glc</m:t>
            </m:r>
          </m:den>
        </m:f>
      </m:oMath>
      <w:r w:rsidR="004E2DE7" w:rsidRPr="002C0A3B">
        <w:rPr>
          <w:rFonts w:cs="Arial"/>
          <w:color w:val="000000" w:themeColor="text1"/>
          <w:szCs w:val="22"/>
        </w:rPr>
        <w:t xml:space="preserve"> (3)</w:t>
      </w:r>
    </w:p>
    <w:p w14:paraId="287DDD04" w14:textId="3CBBDDB2" w:rsidR="004E2DE7" w:rsidRDefault="004E2DE7" w:rsidP="004E2DE7">
      <w:pPr>
        <w:pStyle w:val="NormalWeb"/>
        <w:spacing w:before="0" w:beforeAutospacing="0" w:after="0" w:afterAutospacing="0"/>
      </w:pPr>
    </w:p>
    <w:p w14:paraId="0E34CB29" w14:textId="77777777" w:rsidR="00F534D3" w:rsidRPr="00974F13" w:rsidRDefault="00F534D3" w:rsidP="004E2DE7">
      <w:pPr>
        <w:pStyle w:val="NormalWeb"/>
        <w:spacing w:before="0" w:beforeAutospacing="0" w:after="0" w:afterAutospacing="0"/>
      </w:pPr>
    </w:p>
    <w:p w14:paraId="562824C4" w14:textId="38A8BF33" w:rsidR="004E2DE7" w:rsidRPr="00F534D3" w:rsidRDefault="002C0A3B" w:rsidP="00F534D3">
      <w:pPr>
        <w:pStyle w:val="ChapterHeading"/>
      </w:pPr>
      <w:bookmarkStart w:id="98" w:name="_Toc129701050"/>
      <w:r w:rsidRPr="00E033D4">
        <w:t>4.4. Results and Discussion</w:t>
      </w:r>
      <w:bookmarkEnd w:id="98"/>
    </w:p>
    <w:p w14:paraId="65717F73" w14:textId="27513E7D" w:rsidR="004E2DE7" w:rsidRPr="00E033D4" w:rsidRDefault="002C0A3B" w:rsidP="00E033D4">
      <w:pPr>
        <w:pStyle w:val="ChapterSub-heading"/>
      </w:pPr>
      <w:bookmarkStart w:id="99" w:name="_Toc129701051"/>
      <w:r w:rsidRPr="00E033D4">
        <w:t>4.4</w:t>
      </w:r>
      <w:r w:rsidR="004E2DE7" w:rsidRPr="00E033D4">
        <w:t xml:space="preserve">.1. Blocking flux-competing pathways via selective depletion of </w:t>
      </w:r>
      <w:proofErr w:type="spellStart"/>
      <w:r w:rsidR="004E2DE7" w:rsidRPr="00E033D4">
        <w:t>LdhA</w:t>
      </w:r>
      <w:proofErr w:type="spellEnd"/>
      <w:r w:rsidR="004E2DE7" w:rsidRPr="00E033D4">
        <w:t xml:space="preserve"> and </w:t>
      </w:r>
      <w:proofErr w:type="spellStart"/>
      <w:r w:rsidR="004E2DE7" w:rsidRPr="00E033D4">
        <w:t>PflB</w:t>
      </w:r>
      <w:proofErr w:type="spellEnd"/>
      <w:r w:rsidR="004E2DE7" w:rsidRPr="00E033D4">
        <w:t xml:space="preserve"> proteins in lysates redirects carbon flow to ethanol.</w:t>
      </w:r>
      <w:bookmarkEnd w:id="99"/>
    </w:p>
    <w:p w14:paraId="2009C050" w14:textId="635CF52B" w:rsidR="004E2DE7" w:rsidRPr="002C0A3B" w:rsidRDefault="004E2DE7" w:rsidP="002C0A3B">
      <w:pPr>
        <w:ind w:firstLine="720"/>
        <w:rPr>
          <w:rFonts w:cs="Arial"/>
          <w:color w:val="000000" w:themeColor="text1"/>
          <w:szCs w:val="22"/>
        </w:rPr>
      </w:pPr>
      <w:r w:rsidRPr="002C0A3B">
        <w:rPr>
          <w:rFonts w:cs="Arial"/>
          <w:color w:val="000000" w:themeColor="text1"/>
          <w:szCs w:val="22"/>
        </w:rPr>
        <w:t xml:space="preserve">Glucose derived carbon flow could theoretically be diverted towards ethanol by removing </w:t>
      </w:r>
      <w:proofErr w:type="spellStart"/>
      <w:r w:rsidRPr="002C0A3B">
        <w:rPr>
          <w:rFonts w:cs="Arial"/>
          <w:color w:val="000000" w:themeColor="text1"/>
          <w:szCs w:val="22"/>
        </w:rPr>
        <w:t>PflB</w:t>
      </w:r>
      <w:proofErr w:type="spellEnd"/>
      <w:r w:rsidRPr="002C0A3B">
        <w:rPr>
          <w:rFonts w:cs="Arial"/>
          <w:color w:val="000000" w:themeColor="text1"/>
          <w:szCs w:val="22"/>
        </w:rPr>
        <w:t xml:space="preserve"> and </w:t>
      </w:r>
      <w:proofErr w:type="spellStart"/>
      <w:r w:rsidRPr="002C0A3B">
        <w:rPr>
          <w:rFonts w:cs="Arial"/>
          <w:color w:val="000000" w:themeColor="text1"/>
          <w:szCs w:val="22"/>
        </w:rPr>
        <w:t>LdhA</w:t>
      </w:r>
      <w:proofErr w:type="spellEnd"/>
      <w:r w:rsidRPr="002C0A3B">
        <w:rPr>
          <w:rFonts w:cs="Arial"/>
          <w:color w:val="000000" w:themeColor="text1"/>
          <w:szCs w:val="22"/>
        </w:rPr>
        <w:t xml:space="preserve"> and associated flux towards </w:t>
      </w:r>
      <w:proofErr w:type="spellStart"/>
      <w:r w:rsidRPr="002C0A3B">
        <w:rPr>
          <w:rFonts w:cs="Arial"/>
          <w:color w:val="000000" w:themeColor="text1"/>
          <w:szCs w:val="22"/>
        </w:rPr>
        <w:t>formate</w:t>
      </w:r>
      <w:proofErr w:type="spellEnd"/>
      <w:r w:rsidRPr="002C0A3B">
        <w:rPr>
          <w:rFonts w:cs="Arial"/>
          <w:color w:val="000000" w:themeColor="text1"/>
          <w:szCs w:val="22"/>
        </w:rPr>
        <w:t xml:space="preserve"> and lactate. However, the [NAD</w:t>
      </w:r>
      <w:r w:rsidRPr="002C0A3B">
        <w:rPr>
          <w:rFonts w:cs="Arial"/>
          <w:color w:val="000000" w:themeColor="text1"/>
          <w:szCs w:val="22"/>
          <w:vertAlign w:val="superscript"/>
        </w:rPr>
        <w:t>+</w:t>
      </w:r>
      <w:r w:rsidRPr="002C0A3B">
        <w:rPr>
          <w:rFonts w:cs="Arial"/>
          <w:color w:val="000000" w:themeColor="text1"/>
          <w:szCs w:val="22"/>
        </w:rPr>
        <w:t>] to [NADH] ratio must be balanced to sustain flux towards ethanol. Conventionally, per mole glucose consumed, glycolysis generates 2 moles NADH that are primarily recycled to NAD</w:t>
      </w:r>
      <w:r w:rsidRPr="002C0A3B">
        <w:rPr>
          <w:rFonts w:cs="Arial"/>
          <w:color w:val="000000" w:themeColor="text1"/>
          <w:szCs w:val="22"/>
          <w:vertAlign w:val="superscript"/>
        </w:rPr>
        <w:t>+</w:t>
      </w:r>
      <w:r w:rsidRPr="002C0A3B">
        <w:rPr>
          <w:rFonts w:cs="Arial"/>
          <w:color w:val="000000" w:themeColor="text1"/>
          <w:szCs w:val="22"/>
        </w:rPr>
        <w:t xml:space="preserve"> via the lactate forming </w:t>
      </w:r>
      <w:proofErr w:type="spellStart"/>
      <w:r w:rsidRPr="002C0A3B">
        <w:rPr>
          <w:rFonts w:cs="Arial"/>
          <w:color w:val="000000" w:themeColor="text1"/>
          <w:szCs w:val="22"/>
        </w:rPr>
        <w:t>LdhA</w:t>
      </w:r>
      <w:proofErr w:type="spellEnd"/>
      <w:r w:rsidRPr="002C0A3B">
        <w:rPr>
          <w:rFonts w:cs="Arial"/>
          <w:color w:val="000000" w:themeColor="text1"/>
          <w:szCs w:val="22"/>
        </w:rPr>
        <w:t xml:space="preserve"> enzyme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1A</w:t>
      </w:r>
      <w:r w:rsidRPr="002C0A3B">
        <w:rPr>
          <w:rFonts w:cs="Arial"/>
          <w:color w:val="000000" w:themeColor="text1"/>
          <w:szCs w:val="22"/>
        </w:rPr>
        <w:t>). Because this reaction sustains glycolysis by providing NAD</w:t>
      </w:r>
      <w:r w:rsidRPr="002C0A3B">
        <w:rPr>
          <w:rFonts w:cs="Arial"/>
          <w:color w:val="000000" w:themeColor="text1"/>
          <w:szCs w:val="22"/>
          <w:vertAlign w:val="superscript"/>
        </w:rPr>
        <w:t>+</w:t>
      </w:r>
      <w:r w:rsidRPr="002C0A3B">
        <w:rPr>
          <w:rFonts w:cs="Arial"/>
          <w:color w:val="000000" w:themeColor="text1"/>
          <w:szCs w:val="22"/>
        </w:rPr>
        <w:t>, lactate has been observed as a major fermentation product in lysate metabolism of glucose.</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{"citationItems":[{"id":"ITEM-1","itemData":{"DOI":"10.3791/62852","ISSN":"1940087X","abstract":"Engineering cellular metabolism for targeted biosynthesis can require extensive design-build-test-learn (DBTL) cycles as the engineer works around the cell's survival requirements. Alternatively, carrying out DBTL cycles in cell-free environments can accelerate this process and alleviate concerns with host compatibility. A promising approach to cell-free metabolic engineering (CFME) leverages metabolically active crude cell extracts as platforms for biomanufacturing and for rapidly discovering and prototyping modified proteins and pathways. Realizing these capabilities and optimizing CFME performance requires methods to characterize the metabolome of lysate-based cell-free platforms. That is, analytical tools are necessary for monitoring improvements in targeted metabolite conversions and in elucidating alterations to metabolite flux when manipulating lysate metabolism. Here, metabolite analyses using high-performance liquid chromatography (HPLC) coupled with either optical or mass spectrometric detection were applied to characterize metabolite production and flux in E. coli S30 lysates. Specifically, this report describes the preparation of samples from CFME lysates for HPLC analyses using refractive index detection (RID) to quantify the generation of central metabolic intermediates and by-products in the conversion of low-cost substrates (i.e., glucose) to various high-value products. The analysis of metabolite conversion in CFME reactions fed with13 C-labeled glucose through reversed-phase liquid chromatography coupled to tandem mass spectrometry (MS/ MS), a powerful tool for characterizing specific metabolite yields and lysate metabolic flux from starting materials, is also presented. Altogether, applying these analytical methods to CFME lysate metabolism enables the advancement of these systems as alternative platforms for executing faster or novel metabolic engineering tasks.","author":[{"dropping-particle":"","family":"Dinglasan","given":"Jaime Lorenzo N.","non-dropping-particle":"","parse-names":false,"suffix":""},{"dropping-particle":"","family":"Reeves","given":"David T.","non-dropping-particle":"","parse-names":false,"suffix":""},{"dropping-particle":"","family":"Hettich","given":"Robert L.","non-dropping-particle":"","parse-names":false,"suffix":""},{"dropping-particle":"","family":"Doktycz","given":"Mitchel J.","non-dropping-particle":"","parse-names":false,"suffix":""}],"container-title":"Journal of Visualized Experiments","id":"ITEM-1","issue":"175","issued":{"date-parts":[["2021"]]},"title":"Liquid chromatography coupled to refractive index or mass spectrometric detection for metabolite profiling in lysate-based cell-free systems","type":"article-journal","volume":"2021"},"uris":["http://www.mendeley.com/documents/?uuid=7ea0affb-ee39-3abd-8eb2-d52c093f6376"]}],"mendeley":{"formattedCitation":"&lt;sup&gt;154&lt;/sup&gt;","plainTextFormattedCitation":"154","previouslyFormattedCitation":"&lt;sup&gt;154&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154</w:t>
      </w:r>
      <w:r w:rsidRPr="002C0A3B">
        <w:rPr>
          <w:rFonts w:cs="Arial"/>
          <w:color w:val="000000" w:themeColor="text1"/>
          <w:szCs w:val="22"/>
        </w:rPr>
        <w:fldChar w:fldCharType="end"/>
      </w:r>
      <w:r w:rsidRPr="002C0A3B">
        <w:rPr>
          <w:rFonts w:cs="Arial"/>
          <w:color w:val="000000" w:themeColor="text1"/>
          <w:szCs w:val="22"/>
        </w:rPr>
        <w:t xml:space="preserve"> To redirect flux towards ethanol, an alternative ethanol forming, [NAD</w:t>
      </w:r>
      <w:r w:rsidRPr="002C0A3B">
        <w:rPr>
          <w:rFonts w:cs="Arial"/>
          <w:color w:val="000000" w:themeColor="text1"/>
          <w:szCs w:val="22"/>
          <w:vertAlign w:val="superscript"/>
        </w:rPr>
        <w:t>+</w:t>
      </w:r>
      <w:r w:rsidRPr="002C0A3B">
        <w:rPr>
          <w:rFonts w:cs="Arial"/>
          <w:color w:val="000000" w:themeColor="text1"/>
          <w:szCs w:val="22"/>
        </w:rPr>
        <w:t>]/[NADH] balancing pathway can be activated through the PDHC-</w:t>
      </w:r>
      <w:proofErr w:type="spellStart"/>
      <w:r w:rsidRPr="002C0A3B">
        <w:rPr>
          <w:rFonts w:cs="Arial"/>
          <w:color w:val="000000" w:themeColor="text1"/>
          <w:szCs w:val="22"/>
        </w:rPr>
        <w:t>AdhE</w:t>
      </w:r>
      <w:proofErr w:type="spellEnd"/>
      <w:r w:rsidRPr="002C0A3B">
        <w:rPr>
          <w:rFonts w:cs="Arial"/>
          <w:color w:val="000000" w:themeColor="text1"/>
          <w:szCs w:val="22"/>
        </w:rPr>
        <w:t xml:space="preserve"> pathway module</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Communications","id":"ITEM-1","issued":{"date-parts":[["2021","6","1"]]},"page":"e00162","publisher":"Elsevier B.V.","title":"A lysate proteome engineering strategy for enhancing cell-free metabolite production","type":"article-journal","volume":"12"},"uris":["http://www.mendeley.com/documents/?uuid=babcd1d7-dd2c-32bc-b636-c7ebdf6b2dd4"]},{"id":"ITEM-2","itemData":{"DOI":"10.1128/AEM.02456-06","ISSN":"00992240","PMID":"17259366","abstract":"Conversion of lignocellulosic feedstocks to ethanol requires microorganisms that effectively ferment both hexose and pentose sugars. Towards this goal, recombinant organisms have been developed in which heterologous genes were added to platform organisms such as Saccharomyces cerevisiae, Zymomonas mobilis, and Escherichia coli. Using a novel approach that relies only on native enzymes, we have developed a homoethanologenic alternative, Escherichia coli strain SE2378. This mutant ferments glucose or xylose to ethanol with a yield of 82% under anaerobic conditions. An essential mutation in this mutant was mapped within the pdh operon (pdhR aceEF lpd), which encodes components of the pyruvate dehydrogenase complex. Anaerobic ethanol production by this mutant is apparently the result of a novel pathway that combines the activities of pyruvate dehydrogenase (typically active during aerobic, oxidative metabolism) with the fermentative alcohol dehydrogenase. Copyright © 2007, American Society for Microbiology. All Rights Reserved.","author":[{"dropping-particle":"","family":"Kim","given":"Youngnyun","non-dropping-particle":"","parse-names":false,"suffix":""},{"dropping-particle":"","family":"Ingram","given":"L. O.","non-dropping-particle":"","parse-names":false,"suffix":""},{"dropping-particle":"","family":"Shanmugam","given":"K. T.","non-dropping-particle":"","parse-names":false,"suffix":""}],"container-title":"Applied and Environmental Microbiology","id":"ITEM-2","issue":"6","issued":{"date-parts":[["2007","3"]]},"page":"1766","publisher":"American Society for Microbiology (ASM)","title":"Construction of an Escherichia coli K-12 Mutant for Homoethanologenic Fermentation of Glucose or Xylose without Foreign Genes","type":"article-journal","volume":"73"},"uris":["http://www.mendeley.com/documents/?uuid=5bb1c555-5270-3a80-9d59-4ea3c49b6162"]}],"mendeley":{"formattedCitation":"&lt;sup&gt;74,155&lt;/sup&gt;","plainTextFormattedCitation":"74,155","previouslyFormattedCitation":"&lt;sup&gt;74,155&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74,155</w:t>
      </w:r>
      <w:r w:rsidRPr="002C0A3B">
        <w:rPr>
          <w:rFonts w:cs="Arial"/>
          <w:color w:val="000000" w:themeColor="text1"/>
          <w:szCs w:val="22"/>
        </w:rPr>
        <w:fldChar w:fldCharType="end"/>
      </w:r>
      <w:r w:rsidRPr="002C0A3B">
        <w:rPr>
          <w:rFonts w:cs="Arial"/>
          <w:color w:val="000000" w:themeColor="text1"/>
          <w:szCs w:val="22"/>
        </w:rPr>
        <w:t>. Briefly, PDHC generates 2 moles acetyl-CoA and 2 moles NADH from 2 moles pyruvate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1A</w:t>
      </w:r>
      <w:r w:rsidRPr="002C0A3B">
        <w:rPr>
          <w:rFonts w:cs="Arial"/>
          <w:color w:val="000000" w:themeColor="text1"/>
          <w:szCs w:val="22"/>
        </w:rPr>
        <w:t xml:space="preserve">). The net output of glycolysis and PDHC is thus 4 moles NADH per mole glucose. </w:t>
      </w:r>
      <w:proofErr w:type="spellStart"/>
      <w:r w:rsidRPr="002C0A3B">
        <w:rPr>
          <w:rFonts w:cs="Arial"/>
          <w:color w:val="000000" w:themeColor="text1"/>
          <w:szCs w:val="22"/>
        </w:rPr>
        <w:t>AdhE</w:t>
      </w:r>
      <w:proofErr w:type="spellEnd"/>
      <w:r w:rsidRPr="002C0A3B">
        <w:rPr>
          <w:rFonts w:cs="Arial"/>
          <w:color w:val="000000" w:themeColor="text1"/>
          <w:szCs w:val="22"/>
        </w:rPr>
        <w:t xml:space="preserve"> can recycle the </w:t>
      </w:r>
      <w:r w:rsidRPr="002C0A3B">
        <w:rPr>
          <w:rFonts w:cs="Arial"/>
          <w:color w:val="000000" w:themeColor="text1"/>
          <w:szCs w:val="22"/>
        </w:rPr>
        <w:lastRenderedPageBreak/>
        <w:t>equivalent amount of NAD</w:t>
      </w:r>
      <w:r w:rsidRPr="002C0A3B">
        <w:rPr>
          <w:rFonts w:cs="Arial"/>
          <w:color w:val="000000" w:themeColor="text1"/>
          <w:szCs w:val="22"/>
          <w:vertAlign w:val="superscript"/>
        </w:rPr>
        <w:t>+</w:t>
      </w:r>
      <w:r w:rsidRPr="002C0A3B">
        <w:rPr>
          <w:rFonts w:cs="Arial"/>
          <w:color w:val="000000" w:themeColor="text1"/>
          <w:szCs w:val="22"/>
        </w:rPr>
        <w:t xml:space="preserve"> from 4 moles NADH when transforming 2 moles acetyl-CoA to 2 moles ethanol, sustaining glycolytic flux</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{"citationItems":[{"id":"ITEM-1","itemData":{"DOI":"10.1128/AEM.02456-06","ISSN":"00992240","PMID":"17259366","abstract":"Conversion of lignocellulosic feedstocks to ethanol requires microorganisms that effectively ferment both hexose and pentose sugars. Towards this goal, recombinant organisms have been developed in which heterologous genes were added to platform organisms such as Saccharomyces cerevisiae, Zymomonas mobilis, and Escherichia coli. Using a novel approach that relies only on native enzymes, we have developed a homoethanologenic alternative, Escherichia coli strain SE2378. This mutant ferments glucose or xylose to ethanol with a yield of 82% under anaerobic conditions. An essential mutation in this mutant was mapped within the pdh operon (pdhR aceEF lpd), which encodes components of the pyruvate dehydrogenase complex. Anaerobic ethanol production by this mutant is apparently the result of a novel pathway that combines the activities of pyruvate dehydrogenase (typically active during aerobic, oxidative metabolism) with the fermentative alcohol dehydrogenase. Copyright © 2007, American Society for Microbiology. All Rights Reserved.","author":[{"dropping-particle":"","family":"Kim","given":"Youngnyun","non-dropping-particle":"","parse-names":false,"suffix":""},{"dropping-particle":"","family":"Ingram","given":"L. O.","non-dropping-particle":"","parse-names":false,"suffix":""},{"dropping-particle":"","family":"Shanmugam","given":"K. T.","non-dropping-particle":"","parse-names":false,"suffix":""}],"container-title":"Applied and Environmental Microbiology","id":"ITEM-1","issue":"6","issued":{"date-parts":[["2007","3"]]},"page":"1766","publisher":"American Society for Microbiology (ASM)","title":"Construction of an Escherichia coli K-12 Mutant for Homoethanologenic Fermentation of Glucose or Xylose without Foreign Genes","type":"article-journal","volume":"73"},"uris":["http://www.mendeley.com/documents/?uuid=5bb1c555-5270-3a80-9d59-4ea3c49b6162"]}],"mendeley":{"formattedCitation":"&lt;sup&gt;155&lt;/sup&gt;","plainTextFormattedCitation":"155","previouslyFormattedCitation":"&lt;sup&gt;155&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155</w:t>
      </w:r>
      <w:r w:rsidRPr="002C0A3B">
        <w:rPr>
          <w:rFonts w:cs="Arial"/>
          <w:color w:val="000000" w:themeColor="text1"/>
          <w:szCs w:val="22"/>
        </w:rPr>
        <w:fldChar w:fldCharType="end"/>
      </w:r>
      <w:r w:rsidRPr="002C0A3B">
        <w:rPr>
          <w:rFonts w:cs="Arial"/>
          <w:color w:val="000000" w:themeColor="text1"/>
          <w:szCs w:val="22"/>
        </w:rPr>
        <w:t>. A prerequisite for PDHC-</w:t>
      </w:r>
      <w:proofErr w:type="spellStart"/>
      <w:r w:rsidRPr="002C0A3B">
        <w:rPr>
          <w:rFonts w:cs="Arial"/>
          <w:color w:val="000000" w:themeColor="text1"/>
          <w:szCs w:val="22"/>
        </w:rPr>
        <w:t>AdhE</w:t>
      </w:r>
      <w:proofErr w:type="spellEnd"/>
      <w:r w:rsidRPr="002C0A3B">
        <w:rPr>
          <w:rFonts w:cs="Arial"/>
          <w:color w:val="000000" w:themeColor="text1"/>
          <w:szCs w:val="22"/>
        </w:rPr>
        <w:t xml:space="preserve"> activation is the inactivation of the </w:t>
      </w:r>
      <w:proofErr w:type="spellStart"/>
      <w:r w:rsidRPr="002C0A3B">
        <w:rPr>
          <w:rFonts w:cs="Arial"/>
          <w:color w:val="000000" w:themeColor="text1"/>
          <w:szCs w:val="22"/>
        </w:rPr>
        <w:t>PflB</w:t>
      </w:r>
      <w:proofErr w:type="spellEnd"/>
      <w:r w:rsidRPr="002C0A3B">
        <w:rPr>
          <w:rFonts w:cs="Arial"/>
          <w:color w:val="000000" w:themeColor="text1"/>
          <w:szCs w:val="22"/>
        </w:rPr>
        <w:t xml:space="preserve"> reaction. Although </w:t>
      </w:r>
      <w:proofErr w:type="spellStart"/>
      <w:r w:rsidRPr="002C0A3B">
        <w:rPr>
          <w:rFonts w:cs="Arial"/>
          <w:color w:val="000000" w:themeColor="text1"/>
          <w:szCs w:val="22"/>
        </w:rPr>
        <w:t>PflB</w:t>
      </w:r>
      <w:proofErr w:type="spellEnd"/>
      <w:r w:rsidRPr="002C0A3B">
        <w:rPr>
          <w:rFonts w:cs="Arial"/>
          <w:color w:val="000000" w:themeColor="text1"/>
          <w:szCs w:val="22"/>
        </w:rPr>
        <w:t xml:space="preserve"> is oxygen-sensitive, its activity in lysates and aerobic environments has been reported</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{"citationItems":[{"id":"ITEM-1","itemData":{"DOI":"10.1016/J.JBC.2021.101423","ISSN":"0021-9258","PMID":"34801558","abstract":"Pyruvate formate-lyase (PFL) is a glycyl radical enzyme (GRE) that converts pyruvate and coenzyme A into acetyl-CoA and formate in a reaction that is crucial to the primary metabolism of many anaerobic bacteria. The glycyl radical cofactor, which is posttranslationally installed by a radical S-adenosyl-Lmethionine (SAM) activase, is a simple and effective catalyst, but is also susceptible to oxidative damage in microaerobic environments. Such damage occurs at the glycyl radical cofactor, resulting in cleaved PFL (cPFL). Bacteria have evolved a spare part protein termed YfiD that can be used to repair cPFL. Previously, we obtained a structure of YfiD by NMR spectroscopy and found that the N-terminus of YfiD was disordered and that the C-terminus of YfiD duplicates the structure of the C-terminus of PFL, including a β-strand that is not removed by the oxygen-induced cleavage. We also showed that cPFL is highly susceptible to proteolysis, suggesting that YfiD rescue of cPFL competes with protein degradation. Here, we probe the mechanism by which YfiD can bind and restore activity to cPFL through enzymatic and spectroscopic studies. Our data show that the disordered N-terminal region of YfiD is important for YfiD glycyl radical installation but not for catalysis, and that the duplicate β-strand does not need to be cleaved from cPFL for YfiD to bind. In fact, truncation of this PFL region prevents YfiD rescue. Collectively our data suggest the molecular mechanisms by which YfiD activation is precluded both when PFL is not damaged and when it is highly damaged.","author":[{"dropping-particle":"","family":"Andorfer","given":"Mary C.","non-dropping-particle":"","parse-names":false,"suffix":""},{"dropping-particle":"","family":"Backman","given":"Lindsey R.F.","non-dropping-particle":"","parse-names":false,"suffix":""},{"dropping-particle":"","family":"Li","given":"Phoebe L.","non-dropping-particle":"","parse-names":false,"suffix":""},{"dropping-particle":"","family":"Ulrich","given":"Emily C.","non-dropping-particle":"","parse-names":false,"suffix":""},{"dropping-particle":"","family":"Drennan","given":"Catherine L.","non-dropping-particle":"","parse-names":false,"suffix":""}],"container-title":"Journal of Biological Chemistry","id":"ITEM-1","issue":"6","issued":{"date-parts":[["2021","12","1"]]},"page":"101423","publisher":"Elsevier","title":"Rescuing activity of oxygen-damaged pyruvate formate-lyase by a spare part protein","type":"article-journal","volume":"297"},"uris":["http://www.mendeley.com/documents/?uuid=c3824c87-cc4e-386e-90a8-cb04c420baaa"]},{"id":"ITEM-2","itemData":{"DOI":"10.1093/FEMSYR/FOV024","ISSN":"1567-1364","PMID":"25979691","abstract":"Pyruvate formate lyase (PFL) is characterized as an enzyme functional at anaerobic conditions, since the radical in the enzyme's active form is sensitive to oxygen. In this study, PFL and its activating enzyme from Escherichia coli were expressed in a Saccharomyces cerevisiae strain lacking pyruvate decarboxylase and having a reduced glucose uptake rate due to a mutation in the transcriptional regulator Mth1, IMI076 (Pdc- MTH1-ΔT ura3-52). PFL was expressed with two different electron donors, reduced ferredoxin or reduced flavodoxin, respectively, and it was found that the coexpression of either of these electron donors had a positive effect on growth under aerobic conditions, indicating increased activity of PFL. The positive effect on growth was manifested as a higher final biomass concentration and a significant increase in transcription of formate dehydrogenases. Among the two electron donors reduced flavodoxin was found to be a better electron donor than reduced ferredoxin.","author":[{"dropping-particle":"","family":"Zhang","given":"Yiming","non-dropping-particle":"","parse-names":false,"suffix":""},{"dropping-particle":"","family":"Dai","given":"Zongjie","non-dropping-particle":"","parse-names":false,"suffix":""},{"dropping-particle":"","family":"Krivoruchko","given":"Anastasia","non-dropping-particle":"","parse-names":false,"suffix":""},{"dropping-particle":"","family":"Chen","given":"Yun","non-dropping-particle":"","parse-names":false,"suffix":""},{"dropping-particle":"","family":"Siewers","given":"Verena","non-dropping-particle":"","parse-names":false,"suffix":""},{"dropping-particle":"","family":"Nielsen","given":"Jens","non-dropping-particle":"","parse-names":false,"suffix":""}],"container-title":"FEMS yeast research","id":"ITEM-2","issue":"4","issued":{"date-parts":[["2015","6","1"]]},"publisher":"FEMS Yeast Res","title":"Functional pyruvate formate lyase pathway expressed with two different electron donors in Saccharomyces cerevisiae at aerobic growth","type":"article-journal","volume":"15"},"uris":["http://www.mendeley.com/documents/?uuid=e3a94c96-2f92-359b-81af-f352b02e6396"]},{"id":"ITEM-3","itemData":{"DOI":"10.1016/j.mec.2021.e00162","ISSN":"22140301","abstract":"Cell-free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Communications","id":"ITEM-3","issued":{"date-parts":[["2021","6","1"]]},"page":"e00162","publisher":"Elsevier B.V.","title":"A lysate proteome engineering strategy for enhancing cell-free metabolite production","type":"article-journal","volume":"12"},"uris":["http://www.mendeley.com/documents/?uuid=babcd1d7-dd2c-32bc-b636-c7ebdf6b2dd4"]}],"mendeley":{"formattedCitation":"&lt;sup&gt;74,156,157&lt;/sup&gt;","plainTextFormattedCitation":"74,156,157","previouslyFormattedCitation":"&lt;sup&gt;74,156,157&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74,156,157</w:t>
      </w:r>
      <w:r w:rsidRPr="002C0A3B">
        <w:rPr>
          <w:rFonts w:cs="Arial"/>
          <w:color w:val="000000" w:themeColor="text1"/>
          <w:szCs w:val="22"/>
        </w:rPr>
        <w:fldChar w:fldCharType="end"/>
      </w:r>
      <w:r w:rsidRPr="002C0A3B">
        <w:rPr>
          <w:rFonts w:cs="Arial"/>
          <w:color w:val="000000" w:themeColor="text1"/>
          <w:szCs w:val="22"/>
        </w:rPr>
        <w:t xml:space="preserve">.  Active </w:t>
      </w:r>
      <w:proofErr w:type="spellStart"/>
      <w:r w:rsidRPr="002C0A3B">
        <w:rPr>
          <w:rFonts w:cs="Arial"/>
          <w:color w:val="000000" w:themeColor="text1"/>
          <w:szCs w:val="22"/>
        </w:rPr>
        <w:t>PflB</w:t>
      </w:r>
      <w:proofErr w:type="spellEnd"/>
      <w:r w:rsidRPr="002C0A3B">
        <w:rPr>
          <w:rFonts w:cs="Arial"/>
          <w:color w:val="000000" w:themeColor="text1"/>
          <w:szCs w:val="22"/>
        </w:rPr>
        <w:t xml:space="preserve"> converts 1 mole pyruvate and 1 mole CoA to 1 mole acetyl-CoA, forming 1 mole </w:t>
      </w:r>
      <w:proofErr w:type="spellStart"/>
      <w:r w:rsidRPr="002C0A3B">
        <w:rPr>
          <w:rFonts w:cs="Arial"/>
          <w:color w:val="000000" w:themeColor="text1"/>
          <w:szCs w:val="22"/>
        </w:rPr>
        <w:t>formate</w:t>
      </w:r>
      <w:proofErr w:type="spellEnd"/>
      <w:r w:rsidRPr="002C0A3B">
        <w:rPr>
          <w:rFonts w:cs="Arial"/>
          <w:color w:val="000000" w:themeColor="text1"/>
          <w:szCs w:val="22"/>
        </w:rPr>
        <w:t xml:space="preserve"> in the process.  Because this reaction does not generate NADH, subsequent ethanol formation via NADH-dependent </w:t>
      </w:r>
      <w:proofErr w:type="spellStart"/>
      <w:r w:rsidRPr="002C0A3B">
        <w:rPr>
          <w:rFonts w:cs="Arial"/>
          <w:color w:val="000000" w:themeColor="text1"/>
          <w:szCs w:val="22"/>
        </w:rPr>
        <w:t>AdhE</w:t>
      </w:r>
      <w:proofErr w:type="spellEnd"/>
      <w:r w:rsidRPr="002C0A3B">
        <w:rPr>
          <w:rFonts w:cs="Arial"/>
          <w:color w:val="000000" w:themeColor="text1"/>
          <w:szCs w:val="22"/>
        </w:rPr>
        <w:t xml:space="preserve"> is imbalanced with glycolysis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1A</w:t>
      </w:r>
      <w:r w:rsidRPr="002C0A3B">
        <w:rPr>
          <w:rFonts w:cs="Arial"/>
          <w:color w:val="000000" w:themeColor="text1"/>
          <w:szCs w:val="22"/>
        </w:rPr>
        <w:t>)</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{"citationItems":[{"id":"ITEM-1","itemData":{"DOI":"10.1128/AEM.02545-09","ISSN":"00992240","PMID":"20118372","abstract":"During anaerobic growth of Escherichia coli, pyruvate formate-lyase (PFL) and lactate dehydrogenase (LDH) channel pyruvate toward a mixture of fermentation products. We have introduced a third branch at the pyruvate node in a mutant of E. coli with a mutation in pyruvate dehydrogenase (PDH*) that renders the enzyme less sensitive to inhibition by NADH. The key starting enzymes of the three branches at the pyruvate node in such a mutant, PDH*, PFL, and LDH, have different metabolic potentials and kinetic properties. In such a mutant (strain QZ2), pyruvate flux through LDH was about 30%, with the remainder of the flux occurring through PFL, indicating that LDH is a preferred route of pyruvate conversion over PDH*. In a pfl mutant (strain YKl67) with both PDH* and LDH activities, flux through PDH* was about 33% of the total, confirming the ability of LDH to outcompete the PDH pathway for pyruvate in vivo. Only in the absence of LDH (strain QZ3) was pyruvate carbon equally distributed between the PDH* and PFL pathways. Apfl mutant with LDH and PDH* activities, as well as a pfl ldh double mutant with PDH* activity, had a surprisingly low cell yield per mole of ATP (Y ATP) (about 7.0 g of cells per mol of ATP) compared to 10.9 g of cells per mol of ATP for the wild type. The lower YATP suggests the operation of a futile energy cycle in the absence of PFL in this strain. An understanding of the controls at the pyruvate node during anaerobic growth is expected to provide unique insights into rational metabolic engineering of E. coli and related bacteria for the production of various biobased products at high rates and yields. Copyright © 2010, American Society for Microbiology. All Rights Reserved.","author":[{"dropping-particle":"","family":"Wang","given":"Qingzhao","non-dropping-particle":"","parse-names":false,"suffix":""},{"dropping-particle":"","family":"Ou","given":"Mark S.","non-dropping-particle":"","parse-names":false,"suffix":""},{"dropping-particle":"","family":"Kim","given":"Y.","non-dropping-particle":"","parse-names":false,"suffix":""},{"dropping-particle":"","family":"Ingram","given":"L. O.","non-dropping-particle":"","parse-names":false,"suffix":""},{"dropping-particle":"","family":"Shanmugam","given":"K. T.","non-dropping-particle":"","parse-names":false,"suffix":""}],"container-title":"Applied and Environmental Microbiology","id":"ITEM-1","issue":"7","issued":{"date-parts":[["2010","4","1"]]},"page":"2107-2114","publisher":"American Society for Microbiology","title":"Metabolie flux control at the pyruvate node in an anaerobic escherichia coli strain with an active pyruvate dehydrogenase","type":"article-journal","volume":"76"},"uris":["http://www.mendeley.com/documents/?uuid=6ffafc4d-2eb8-3b2f-8291-5d17baba9fe9"]},{"id":"ITEM-2","itemData":{"DOI":"10.1128/AEM.02456-06","ISSN":"00992240","PMID":"17259366","abstract":"Conversion of lignocellulosic feedstocks to ethanol requires microorganisms that effectively ferment both hexose and pentose sugars. Towards this goal, recombinant organisms have been developed in which heterologous genes were added to platform organisms such as Saccharomyces cerevisiae, Zymomonas mobilis, and Escherichia coli. Using a novel approach that relies only on native enzymes, we have developed a homoethanologenic alternative, Escherichia coli strain SE2378. This mutant ferments glucose or xylose to ethanol with a yield of 82% under anaerobic conditions. An essential mutation in this mutant was mapped within the pdh operon (pdhR aceEF lpd), which encodes components of the pyruvate dehydrogenase complex. Anaerobic ethanol production by this mutant is apparently the result of a novel pathway that combines the activities of pyruvate dehydrogenase (typically active during aerobic, oxidative metabolism) with the fermentative alcohol dehydrogenase. Copyright © 2007, American Society for Microbiology. All Rights Reserved.","author":[{"dropping-particle":"","family":"Kim","given":"Youngnyun","non-dropping-particle":"","parse-names":false,"suffix":""},{"dropping-particle":"","family":"Ingram","given":"L. O.","non-dropping-particle":"","parse-names":false,"suffix":""},{"dropping-particle":"","family":"Shanmugam","given":"K. T.","non-dropping-particle":"","parse-names":false,"suffix":""}],"container-title":"Applied and Environmental Microbiology","id":"ITEM-2","issue":"6","issued":{"date-parts":[["2007","3"]]},"page":"1766","publisher":"American Society for Microbiology (ASM)","title":"Construction of an Escherichia coli K-12 Mutant for Homoethanologenic Fermentation of Glucose or Xylose without Foreign Genes","type":"article-journal","volume":"73"},"uris":["http://www.mendeley.com/documents/?uuid=5bb1c555-5270-3a80-9d59-4ea3c49b6162"]},{"id":"ITEM-3","itemData":{"DOI":"10.1016/j.mec.2021.e00162","ISSN":"22140301","abstract":"Cell-free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Communications","id":"ITEM-3","issued":{"date-parts":[["2021","6","1"]]},"page":"e00162","publisher":"Elsevier B.V.","title":"A lysate proteome engineering strategy for enhancing cell-free metabolite production","type":"article-journal","volume":"12"},"uris":["http://www.mendeley.com/documents/?uuid=babcd1d7-dd2c-32bc-b636-c7ebdf6b2dd4"]}],"mendeley":{"formattedCitation":"&lt;sup&gt;74,109,155&lt;/sup&gt;","plainTextFormattedCitation":"74,109,155","previouslyFormattedCitation":"&lt;sup&gt;74,109,155&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74,109,155</w:t>
      </w:r>
      <w:r w:rsidRPr="002C0A3B">
        <w:rPr>
          <w:rFonts w:cs="Arial"/>
          <w:color w:val="000000" w:themeColor="text1"/>
          <w:szCs w:val="22"/>
        </w:rPr>
        <w:fldChar w:fldCharType="end"/>
      </w:r>
      <w:r w:rsidRPr="002C0A3B">
        <w:rPr>
          <w:rFonts w:cs="Arial"/>
          <w:color w:val="000000" w:themeColor="text1"/>
          <w:szCs w:val="22"/>
        </w:rPr>
        <w:t xml:space="preserve">. </w:t>
      </w:r>
    </w:p>
    <w:p w14:paraId="3819EA60" w14:textId="4861EFE2" w:rsidR="004E2DE7" w:rsidRPr="002C0A3B" w:rsidRDefault="004E2DE7" w:rsidP="002C0A3B">
      <w:pPr>
        <w:ind w:firstLine="720"/>
        <w:rPr>
          <w:rFonts w:cs="Arial"/>
          <w:color w:val="000000" w:themeColor="text1"/>
          <w:szCs w:val="22"/>
        </w:rPr>
      </w:pPr>
      <w:r w:rsidRPr="002C0A3B">
        <w:rPr>
          <w:rFonts w:cs="Arial"/>
          <w:color w:val="000000" w:themeColor="text1"/>
          <w:szCs w:val="22"/>
        </w:rPr>
        <w:t xml:space="preserve">The post-lysis affinity-based enzyme depletion method was optimized to remove 6xHis-tagged </w:t>
      </w:r>
      <w:proofErr w:type="spellStart"/>
      <w:r w:rsidRPr="002C0A3B">
        <w:rPr>
          <w:rFonts w:cs="Arial"/>
          <w:color w:val="000000" w:themeColor="text1"/>
          <w:szCs w:val="22"/>
        </w:rPr>
        <w:t>PflB</w:t>
      </w:r>
      <w:proofErr w:type="spellEnd"/>
      <w:r w:rsidRPr="002C0A3B">
        <w:rPr>
          <w:rFonts w:cs="Arial"/>
          <w:color w:val="000000" w:themeColor="text1"/>
          <w:szCs w:val="22"/>
        </w:rPr>
        <w:t xml:space="preserve"> and </w:t>
      </w:r>
      <w:proofErr w:type="spellStart"/>
      <w:r w:rsidRPr="002C0A3B">
        <w:rPr>
          <w:rFonts w:cs="Arial"/>
          <w:color w:val="000000" w:themeColor="text1"/>
          <w:szCs w:val="22"/>
        </w:rPr>
        <w:t>LdhA</w:t>
      </w:r>
      <w:proofErr w:type="spellEnd"/>
      <w:r w:rsidRPr="002C0A3B">
        <w:rPr>
          <w:rFonts w:cs="Arial"/>
          <w:color w:val="000000" w:themeColor="text1"/>
          <w:szCs w:val="22"/>
        </w:rPr>
        <w:t xml:space="preserve"> proteins from derived lysates to the point of inactivating these reactions, ensuring flux redistribution towards the PDHC-</w:t>
      </w:r>
      <w:proofErr w:type="spellStart"/>
      <w:r w:rsidRPr="002C0A3B">
        <w:rPr>
          <w:rFonts w:cs="Arial"/>
          <w:color w:val="000000" w:themeColor="text1"/>
          <w:szCs w:val="22"/>
        </w:rPr>
        <w:t>AdhE</w:t>
      </w:r>
      <w:proofErr w:type="spellEnd"/>
      <w:r w:rsidRPr="002C0A3B">
        <w:rPr>
          <w:rFonts w:cs="Arial"/>
          <w:color w:val="000000" w:themeColor="text1"/>
          <w:szCs w:val="22"/>
        </w:rPr>
        <w:t xml:space="preserve"> route of ethanol formation. In prior work, lysates were incubated with beads washed from a volume of His-</w:t>
      </w:r>
      <w:proofErr w:type="spellStart"/>
      <w:r w:rsidRPr="002C0A3B">
        <w:rPr>
          <w:rFonts w:cs="Arial"/>
          <w:color w:val="000000" w:themeColor="text1"/>
          <w:szCs w:val="22"/>
        </w:rPr>
        <w:t>Pur</w:t>
      </w:r>
      <w:proofErr w:type="spellEnd"/>
      <w:r w:rsidRPr="002C0A3B">
        <w:rPr>
          <w:rFonts w:cs="Arial"/>
          <w:color w:val="000000" w:themeColor="text1"/>
          <w:szCs w:val="22"/>
        </w:rPr>
        <w:t xml:space="preserve"> Cobalt resin suspension that was 1/5th the lysate volume</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Communications","id":"ITEM-1","issued":{"date-parts":[["2021","6","1"]]},"page":"e00162","publisher":"Elsevier B.V.","title":"A lysate proteome engineering strategy for enhancing cell-free metabolite production","type":"article-journal","volume":"12"},"uris":["http://www.mendeley.com/documents/?uuid=babcd1d7-dd2c-32bc-b636-c7ebdf6b2dd4"]}],"mendeley":{"formattedCitation":"&lt;sup&gt;74&lt;/sup&gt;","plainTextFormattedCitation":"74","previouslyFormattedCitation":"&lt;sup&gt;74&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74</w:t>
      </w:r>
      <w:r w:rsidRPr="002C0A3B">
        <w:rPr>
          <w:rFonts w:cs="Arial"/>
          <w:color w:val="000000" w:themeColor="text1"/>
          <w:szCs w:val="22"/>
        </w:rPr>
        <w:fldChar w:fldCharType="end"/>
      </w:r>
      <w:r w:rsidRPr="002C0A3B">
        <w:rPr>
          <w:rFonts w:cs="Arial"/>
          <w:color w:val="000000" w:themeColor="text1"/>
          <w:szCs w:val="22"/>
        </w:rPr>
        <w:t xml:space="preserve">. This method however still resulted in some </w:t>
      </w:r>
      <w:proofErr w:type="spellStart"/>
      <w:r w:rsidRPr="002C0A3B">
        <w:rPr>
          <w:rFonts w:cs="Arial"/>
          <w:color w:val="000000" w:themeColor="text1"/>
          <w:szCs w:val="22"/>
        </w:rPr>
        <w:t>formate</w:t>
      </w:r>
      <w:proofErr w:type="spellEnd"/>
      <w:r w:rsidRPr="002C0A3B">
        <w:rPr>
          <w:rFonts w:cs="Arial"/>
          <w:color w:val="000000" w:themeColor="text1"/>
          <w:szCs w:val="22"/>
        </w:rPr>
        <w:t xml:space="preserve"> production and significant lactate accumulation after 24 hrs. Utilizing more Co</w:t>
      </w:r>
      <w:r w:rsidRPr="002C0A3B">
        <w:rPr>
          <w:rFonts w:cs="Arial"/>
          <w:color w:val="000000" w:themeColor="text1"/>
          <w:szCs w:val="22"/>
          <w:vertAlign w:val="superscript"/>
        </w:rPr>
        <w:t>2+</w:t>
      </w:r>
      <w:r w:rsidRPr="002C0A3B">
        <w:rPr>
          <w:rFonts w:cs="Arial"/>
          <w:color w:val="000000" w:themeColor="text1"/>
          <w:szCs w:val="22"/>
        </w:rPr>
        <w:t xml:space="preserve"> beads to bind 6xHis-tagged proteins in the lysate should help eliminate flux-competing reactions. To this end, Co</w:t>
      </w:r>
      <w:r w:rsidRPr="002C0A3B">
        <w:rPr>
          <w:rFonts w:cs="Arial"/>
          <w:color w:val="000000" w:themeColor="text1"/>
          <w:szCs w:val="22"/>
          <w:vertAlign w:val="superscript"/>
        </w:rPr>
        <w:t>2+</w:t>
      </w:r>
      <w:r w:rsidRPr="002C0A3B">
        <w:rPr>
          <w:rFonts w:cs="Arial"/>
          <w:color w:val="000000" w:themeColor="text1"/>
          <w:szCs w:val="22"/>
        </w:rPr>
        <w:t xml:space="preserve"> beads washed from varying volumes of resin suspension were mixed with a fixed volume of lysate derived from the genome engineered strain, and mixtures were incubated for 1 hour at 4˚C under shaking conditions. The resulting supernatants (i.e., depleted lysates) were normalized to the same protein concentration and used to prepare CFME reactions that were fed with a glucose substrate. All metabolite concentrations quantified in incubated reactions were normalized against time-zero controls, which were prepared as previously described</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{"citationItems":[{"id":"ITEM-1","itemData":{"DOI":"10.3791/62852","ISSN":"1940087X","abstract":"Engineering cellular metabolism for targeted biosynthesis can require extensive design-build-test-learn (DBTL) cycles as the engineer works around the cell's survival requirements. Alternatively, carrying out DBTL cycles in cell-free environments can accelerate this process and alleviate concerns with host compatibility. A promising approach to cell-free metabolic engineering (CFME) leverages metabolically active crude cell extracts as platforms for biomanufacturing and for rapidly discovering and prototyping modified proteins and pathways. Realizing these capabilities and optimizing CFME performance requires methods to characterize the metabolome of lysate-based cell-free platforms. That is, analytical tools are necessary for monitoring improvements in targeted metabolite conversions and in elucidating alterations to metabolite flux when manipulating lysate metabolism. Here, metabolite analyses using high-performance liquid chromatography (HPLC) coupled with either optical or mass spectrometric detection were applied to characterize metabolite production and flux in E. coli S30 lysates. Specifically, this report describes the preparation of samples from CFME lysates for HPLC analyses using refractive index detection (RID) to quantify the generation of central metabolic intermediates and by-products in the conversion of low-cost substrates (i.e., glucose) to various high-value products. The analysis of metabolite conversion in CFME reactions fed with13 C-labeled glucose through reversed-phase liquid chromatography coupled to tandem mass spectrometry (MS/ MS), a powerful tool for characterizing specific metabolite yields and lysate metabolic flux from starting materials, is also presented. Altogether, applying these analytical methods to CFME lysate metabolism enables the advancement of these systems as alternative platforms for executing faster or novel metabolic engineering tasks.","author":[{"dropping-particle":"","family":"Dinglasan","given":"Jaime Lorenzo N.","non-dropping-particle":"","parse-names":false,"suffix":""},{"dropping-particle":"","family":"Reeves","given":"David T.","non-dropping-particle":"","parse-names":false,"suffix":""},{"dropping-particle":"","family":"Hettich","given":"Robert L.","non-dropping-particle":"","parse-names":false,"suffix":""},{"dropping-particle":"","family":"Doktycz","given":"Mitchel J.","non-dropping-particle":"","parse-names":false,"suffix":""}],"container-title":"Journal of Visualized Experiments","id":"ITEM-1","issue":"175","issued":{"date-parts":[["2021"]]},"title":"Liquid chromatography coupled to refractive index or mass spectrometric detection for metabolite profiling in lysate-based cell-free systems","type":"article-journal","volume":"2021"},"uris":["http://www.mendeley.com/documents/?uuid=7ea0affb-ee39-3abd-8eb2-d52c093f6376"]}],"mendeley":{"formattedCitation":"&lt;sup&gt;154&lt;/sup&gt;","plainTextFormattedCitation":"154","previouslyFormattedCitation":"&lt;sup&gt;154&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154</w:t>
      </w:r>
      <w:r w:rsidRPr="002C0A3B">
        <w:rPr>
          <w:rFonts w:cs="Arial"/>
          <w:color w:val="000000" w:themeColor="text1"/>
          <w:szCs w:val="22"/>
        </w:rPr>
        <w:fldChar w:fldCharType="end"/>
      </w:r>
      <w:r w:rsidRPr="002C0A3B">
        <w:rPr>
          <w:rFonts w:cs="Arial"/>
          <w:color w:val="000000" w:themeColor="text1"/>
          <w:szCs w:val="22"/>
        </w:rPr>
        <w:t>. Further, the variability of the depletion approach was assessed by performing this method in triplicate from the same batch of lysate, then using the resulting “depletion replicates” to prepare replicate cell-free reactions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2</w:t>
      </w:r>
      <w:r w:rsidRPr="002C0A3B">
        <w:rPr>
          <w:rFonts w:cs="Arial"/>
          <w:color w:val="000000" w:themeColor="text1"/>
          <w:szCs w:val="22"/>
        </w:rPr>
        <w:t>). Despite batch variability being an issue in other lysate-based applications (e.g., protein expression)</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{"citationItems":[{"id":"ITEM-1","itemData":{"DOI":"10.1016/j.synbio.2019.10.003","ISSN":"2405805X","abstract":"Cell-free protein synthesis (CFPS) is an established biotechnology tool that has shown great utility in many applications such as prototyping proteins, building genetic circuits, designing biosensors, and expressing cytotoxic proteins. Although CFPS has been widely deployed, the many, varied methods presented in the literature can be challenging for new users to adopt. From our experience and others who newly enter the field, one of the most frustrating aspects of applying CFPS as a laboratory can be the large levels of variability that are present within experimental replicates. Herein we provide a retrospective summary of CFPS methods that reduce variability significantly. These methods include optimized extract preparation, fully solubilizing the master mix components, and careful mixing of the reaction. These have reduced our coefficient of variation from 97.3% to 1.2%. Moreover, these methods allow complete novices (e.g. semester rotation undergraduate students) to provide data that is comparable to experienced users, thus allowing broader participation in this exciting research area.","author":[{"dropping-particle":"","family":"Dopp","given":"Jared L.","non-dropping-particle":"","parse-names":false,"suffix":""},{"dropping-particle":"","family":"Jo","given":"Yeong Ran","non-dropping-particle":"","parse-names":false,"suffix":""},{"dropping-particle":"","family":"Reuel","given":"Nigel F.","non-dropping-particle":"","parse-names":false,"suffix":""}],"container-title":"Synthetic and Systems Biotechnology","id":"ITEM-1","issue":"4","issued":{"date-parts":[["2019","12","1"]]},"page":"204-211","publisher":"KeAi Communications Co.","title":"Methods to reduce variability in E. Coli-based cell-free protein expression experiments","type":"article-journal","volume":"4"},"uris":["http://www.mendeley.com/documents/?uuid=ff732608-a90a-33d2-be25-e36b85741e78"]}],"mendeley":{"formattedCitation":"&lt;sup&gt;158&lt;/sup&gt;","plainTextFormattedCitation":"158","previouslyFormattedCitation":"&lt;sup&gt;158&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158</w:t>
      </w:r>
      <w:r w:rsidRPr="002C0A3B">
        <w:rPr>
          <w:rFonts w:cs="Arial"/>
          <w:color w:val="000000" w:themeColor="text1"/>
          <w:szCs w:val="22"/>
        </w:rPr>
        <w:fldChar w:fldCharType="end"/>
      </w:r>
      <w:r w:rsidRPr="002C0A3B">
        <w:rPr>
          <w:rFonts w:cs="Arial"/>
          <w:color w:val="000000" w:themeColor="text1"/>
          <w:szCs w:val="22"/>
        </w:rPr>
        <w:t>, metabolic performances of extracts prepared from biological replicates (i.e., different cell cultures) do not significantly vary</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{"citationItems":[{"id":"ITEM-1","itemData":{"DOI":"10.1093/synbio/ysy006","ISSN":"2397-7000","author":[{"dropping-particle":"","family":"Garcia","given":"David C","non-dropping-particle":"","parse-names":false,"suffix":""},{"dropping-particle":"","family":"Mohr","given":"Benjamin P","non-dropping-particle":"","parse-names":false,"suffix":""},{"dropping-particle":"","family":"Dovgan","given":"Jakob T","non-dropping-particle":"","parse-names":false,"suffix":""},{"dropping-particle":"","family":"Hurst","given":"Gregory B","non-dropping-particle":"","parse-names":false,"suffix":""},{"dropping-particle":"","family":"Standaert","given":"Robert F","non-dropping-particle":"","parse-names":false,"suffix":""},{"dropping-particle":"","family":"Doktycz","given":"Mitchel J","non-dropping-particle":"","parse-names":false,"suffix":""}],"container-title":"Synthetic Biology","id":"ITEM-1","issue":"1","issued":{"date-parts":[["2018","1"]]},"title":"Elucidating the potential of crude cell extracts for producing pyruvate from glucose","type":"article-journal","volume":"3"},"uris":["http://www.mendeley.com/documents/?uuid=93e10a3d-9076-4efb-9000-4a5595e16d6a"]},{"id":"ITEM-2","itemData":{"DOI":"10.1016/j.mec.2021.e00162","ISSN":"22140301","abstract":"Cell-free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Communications","id":"ITEM-2","issued":{"date-parts":[["2021","6","1"]]},"page":"e00162","publisher":"Elsevier B.V.","title":"A lysate proteome engineering strategy for enhancing cell-free metabolite production","type":"article-journal","volume":"12"},"uris":["http://www.mendeley.com/documents/?uuid=babcd1d7-dd2c-32bc-b636-c7ebdf6b2dd4"]}],"mendeley":{"formattedCitation":"&lt;sup&gt;72,74&lt;/sup&gt;","plainTextFormattedCitation":"72,74","previouslyFormattedCitation":"&lt;sup&gt;72,74&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72,74</w:t>
      </w:r>
      <w:r w:rsidRPr="002C0A3B">
        <w:rPr>
          <w:rFonts w:cs="Arial"/>
          <w:color w:val="000000" w:themeColor="text1"/>
          <w:szCs w:val="22"/>
        </w:rPr>
        <w:fldChar w:fldCharType="end"/>
      </w:r>
      <w:r w:rsidRPr="002C0A3B">
        <w:rPr>
          <w:rFonts w:cs="Arial"/>
          <w:color w:val="000000" w:themeColor="text1"/>
          <w:szCs w:val="22"/>
        </w:rPr>
        <w:t>.</w:t>
      </w:r>
    </w:p>
    <w:p w14:paraId="3025A2DC" w14:textId="4D73EEAA" w:rsidR="00F534D3" w:rsidRDefault="004E2DE7" w:rsidP="00F534D3">
      <w:pPr>
        <w:rPr>
          <w:rFonts w:cs="Arial"/>
          <w:color w:val="000000" w:themeColor="text1"/>
          <w:szCs w:val="22"/>
        </w:rPr>
      </w:pPr>
      <w:r w:rsidRPr="002C0A3B">
        <w:rPr>
          <w:rFonts w:cs="Arial"/>
          <w:color w:val="000000" w:themeColor="text1"/>
          <w:szCs w:val="22"/>
        </w:rPr>
        <w:lastRenderedPageBreak/>
        <w:t>Contrary to the previous report</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Communications","id":"ITEM-1","issued":{"date-parts":[["2021","6","1"]]},"page":"e00162","publisher":"Elsevier B.V.","title":"A lysate proteome engineering strategy for enhancing cell-free metabolite production","type":"article-journal","volume":"12"},"uris":["http://www.mendeley.com/documents/?uuid=babcd1d7-dd2c-32bc-b636-c7ebdf6b2dd4"]}],"mendeley":{"formattedCitation":"&lt;sup&gt;74&lt;/sup&gt;","plainTextFormattedCitation":"74","previouslyFormattedCitation":"&lt;sup&gt;74&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74</w:t>
      </w:r>
      <w:r w:rsidRPr="002C0A3B">
        <w:rPr>
          <w:rFonts w:cs="Arial"/>
          <w:color w:val="000000" w:themeColor="text1"/>
          <w:szCs w:val="22"/>
        </w:rPr>
        <w:fldChar w:fldCharType="end"/>
      </w:r>
      <w:r w:rsidRPr="002C0A3B">
        <w:rPr>
          <w:rFonts w:cs="Arial"/>
          <w:color w:val="000000" w:themeColor="text1"/>
          <w:szCs w:val="22"/>
        </w:rPr>
        <w:t xml:space="preserve">, no </w:t>
      </w:r>
      <w:proofErr w:type="spellStart"/>
      <w:r w:rsidRPr="002C0A3B">
        <w:rPr>
          <w:rFonts w:cs="Arial"/>
          <w:color w:val="000000" w:themeColor="text1"/>
          <w:szCs w:val="22"/>
        </w:rPr>
        <w:t>formate</w:t>
      </w:r>
      <w:proofErr w:type="spellEnd"/>
      <w:r w:rsidRPr="002C0A3B">
        <w:rPr>
          <w:rFonts w:cs="Arial"/>
          <w:color w:val="000000" w:themeColor="text1"/>
          <w:szCs w:val="22"/>
        </w:rPr>
        <w:t xml:space="preserve"> was detected in any of the modified extracts nor in the unmodified extract. </w:t>
      </w:r>
      <w:proofErr w:type="spellStart"/>
      <w:r w:rsidRPr="002C0A3B">
        <w:rPr>
          <w:rFonts w:cs="Arial"/>
          <w:color w:val="000000" w:themeColor="text1"/>
          <w:szCs w:val="22"/>
        </w:rPr>
        <w:t>PflB</w:t>
      </w:r>
      <w:proofErr w:type="spellEnd"/>
      <w:r w:rsidRPr="002C0A3B">
        <w:rPr>
          <w:rFonts w:cs="Arial"/>
          <w:color w:val="000000" w:themeColor="text1"/>
          <w:szCs w:val="22"/>
        </w:rPr>
        <w:t xml:space="preserve"> activity in lysates has been described in the past, so it is likely that </w:t>
      </w:r>
      <w:proofErr w:type="spellStart"/>
      <w:r w:rsidRPr="002C0A3B">
        <w:rPr>
          <w:rFonts w:cs="Arial"/>
          <w:color w:val="000000" w:themeColor="text1"/>
          <w:szCs w:val="22"/>
        </w:rPr>
        <w:t>formate</w:t>
      </w:r>
      <w:proofErr w:type="spellEnd"/>
      <w:r w:rsidRPr="002C0A3B">
        <w:rPr>
          <w:rFonts w:cs="Arial"/>
          <w:color w:val="000000" w:themeColor="text1"/>
          <w:szCs w:val="22"/>
        </w:rPr>
        <w:t xml:space="preserve"> was only accumulated here at undetectable levels or was actively consumed by </w:t>
      </w:r>
      <w:proofErr w:type="spellStart"/>
      <w:r w:rsidRPr="002C0A3B">
        <w:rPr>
          <w:rFonts w:cs="Arial"/>
          <w:color w:val="000000" w:themeColor="text1"/>
          <w:szCs w:val="22"/>
        </w:rPr>
        <w:t>formate</w:t>
      </w:r>
      <w:proofErr w:type="spellEnd"/>
      <w:r w:rsidRPr="002C0A3B">
        <w:rPr>
          <w:rFonts w:cs="Arial"/>
          <w:color w:val="000000" w:themeColor="text1"/>
          <w:szCs w:val="22"/>
        </w:rPr>
        <w:t xml:space="preserve"> dehydrogenases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{"citationItems":[{"id":"ITEM-1","itemData":{"DOI":"10.1007/s00775-006-0129-2","ISSN":"09498257","PMID":"16830149","abstract":"Re-evaluation of the crystallographic data of the molybdenum-containing E. coli formate dehydrogenase H (Boyington et al. Science 275:1305-1308, 1997), reported in two redox states, reveals important structural differences for the formate-reduced form, with large implications for the reaction mechanism proposed in that work. We have re-refined the reduced structure with revised protocols and found substantial rearrangement in some parts of it. The original model is essentially correct but an important loop close to the molybdenum active site was mistraced, and, therefore, catalytic relevant residues were located in wrong positions. In particular selenocysteine-140, a ligand of molybdenum in the original work, and essential for catalysis, is no longer bound to the metal after reduction of the enzyme with formate. These results are incompatible with the originally proposed reaction mechanism. On the basis of our new interpretation, we have revised and proposed a new reaction mechanism, which reconciles the new X-ray model with previous biochemical and extended X-ray absorption fine structure data. © SBIC 2006.","author":[{"dropping-particle":"","family":"Raaijmakers","given":"Hans C.A.","non-dropping-particle":"","parse-names":false,"suffix":""},{"dropping-particle":"","family":"Romão","given":"Maria João","non-dropping-particle":"","parse-names":false,"suffix":""}],"container-title":"Journal of Biological Inorganic Chemistry","id":"ITEM-1","issue":"7","issued":{"date-parts":[["2006","10"]]},"page":"849-854","publisher":"J Biol Inorg Chem","title":"Formate-reduced E. coli formate dehydrogenase H: The reinterpretation of the crystal structure suggests a new reaction mechanism","type":"article-journal","volume":"11"},"uris":["http://www.mendeley.com/documents/?uuid=416cab1e-9c45-3274-a583-da06ecccd4b1"]},{"id":"ITEM-2","itemData":{"DOI":"10.1016/j.mec.2021.e00162","ISSN":"22140301","abstract":"Cell-free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Communications","id":"ITEM-2","issued":{"date-parts":[["2021","6","1"]]},"page":"e00162","publisher":"Elsevier B.V.","title":"A lysate proteome engineering strategy for enhancing cell-free metabolite production","type":"article-journal","volume":"12"},"uris":["http://www.mendeley.com/documents/?uuid=babcd1d7-dd2c-32bc-b636-c7ebdf6b2dd4"]},{"id":"ITEM-3","itemData":{"DOI":"10.3791/62852","ISSN":"1940087X","abstract":"Engineering cellular metabolism for targeted biosynthesis can require extensive design-build-test-learn (DBTL) cycles as the engineer works around the cell's survival requirements. Alternatively, carrying out DBTL cycles in cell-free environments can accelerate this process and alleviate concerns with host compatibility. A promising approach to cell-free metabolic engineering (CFME) leverages metabolically active crude cell extracts as platforms for biomanufacturing and for rapidly discovering and prototyping modified proteins and pathways. Realizing these capabilities and optimizing CFME performance requires methods to characterize the metabolome of lysate-based cell-free platforms. That is, analytical tools are necessary for monitoring improvements in targeted metabolite conversions and in elucidating alterations to metabolite flux when manipulating lysate metabolism. Here, metabolite analyses using high-performance liquid chromatography (HPLC) coupled with either optical or mass spectrometric detection were applied to characterize metabolite production and flux in E. coli S30 lysates. Specifically, this report describes the preparation of samples from CFME lysates for HPLC analyses using refractive index detection (RID) to quantify the generation of central metabolic intermediates and by-products in the conversion of low-cost substrates (i.e., glucose) to various high-value products. The analysis of metabolite conversion in CFME reactions fed with13 C-labeled glucose through reversed-phase liquid chromatography coupled to tandem mass spectrometry (MS/ MS), a powerful tool for characterizing specific metabolite yields and lysate metabolic flux from starting materials, is also presented. Altogether, applying these analytical methods to CFME lysate metabolism enables the advancement of these systems as alternative platforms for executing faster or novel metabolic engineering tasks.","author":[{"dropping-particle":"","family":"Dinglasan","given":"Jaime Lorenzo N.","non-dropping-particle":"","parse-names":false,"suffix":""},{"dropping-particle":"","family":"Reeves","given":"David T.","non-dropping-particle":"","parse-names":false,"suffix":""},{"dropping-particle":"","family":"Hettich","given":"Robert L.","non-dropping-particle":"","parse-names":false,"suffix":""},{"dropping-particle":"","family":"Doktycz","given":"Mitchel J.","non-dropping-particle":"","parse-names":false,"suffix":""}],"container-title":"Journal of Visualized Experiments","id":"ITEM-3","issue":"175","issued":{"date-parts":[["2021"]]},"title":"Liquid chromatography coupled to refractive index or mass spectrometric detection for metabolite profiling in lysate-based cell-free systems","type":"article-journal","volume":"2021"},"uris":["http://www.mendeley.com/documents/?uuid=7ea0affb-ee39-3abd-8eb2-d52c093f6376"]}],"mendeley":{"formattedCitation":"&lt;sup&gt;74,121,154&lt;/sup&gt;","plainTextFormattedCitation":"74,121,154","previouslyFormattedCitation":"&lt;sup&gt;74,121,154&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74,121,154</w:t>
      </w:r>
      <w:r w:rsidRPr="002C0A3B">
        <w:rPr>
          <w:rFonts w:cs="Arial"/>
          <w:color w:val="000000" w:themeColor="text1"/>
          <w:szCs w:val="22"/>
        </w:rPr>
        <w:fldChar w:fldCharType="end"/>
      </w:r>
      <w:r w:rsidRPr="002C0A3B">
        <w:rPr>
          <w:rFonts w:cs="Arial"/>
          <w:color w:val="000000" w:themeColor="text1"/>
          <w:szCs w:val="22"/>
        </w:rPr>
        <w:t xml:space="preserve">. Since it has been previously shown that </w:t>
      </w:r>
      <w:proofErr w:type="spellStart"/>
      <w:r w:rsidRPr="002C0A3B">
        <w:rPr>
          <w:rFonts w:cs="Arial"/>
          <w:color w:val="000000" w:themeColor="text1"/>
          <w:szCs w:val="22"/>
        </w:rPr>
        <w:t>LdhA</w:t>
      </w:r>
      <w:proofErr w:type="spellEnd"/>
      <w:r w:rsidRPr="002C0A3B">
        <w:rPr>
          <w:rFonts w:cs="Arial"/>
          <w:color w:val="000000" w:themeColor="text1"/>
          <w:szCs w:val="22"/>
        </w:rPr>
        <w:t xml:space="preserve"> and </w:t>
      </w:r>
      <w:proofErr w:type="spellStart"/>
      <w:r w:rsidRPr="002C0A3B">
        <w:rPr>
          <w:rFonts w:cs="Arial"/>
          <w:color w:val="000000" w:themeColor="text1"/>
          <w:szCs w:val="22"/>
        </w:rPr>
        <w:t>PflB</w:t>
      </w:r>
      <w:proofErr w:type="spellEnd"/>
      <w:r w:rsidRPr="002C0A3B">
        <w:rPr>
          <w:rFonts w:cs="Arial"/>
          <w:color w:val="000000" w:themeColor="text1"/>
          <w:szCs w:val="22"/>
        </w:rPr>
        <w:t xml:space="preserve"> can be simultaneously purified from the lysate by this procedure, decreasing lactate build-up was used as a proxy for evaluating the purification of both proteins</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Communications","id":"ITEM-1","issued":{"date-parts":[["2021","6","1"]]},"page":"e00162","publisher":"Elsevier B.V.","title":"A lysate proteome engineering strategy for enhancing cell-free metabolite production","type":"article-journal","volume":"12"},"uris":["http://www.mendeley.com/documents/?uuid=babcd1d7-dd2c-32bc-b636-c7ebdf6b2dd4"]}],"mendeley":{"formattedCitation":"&lt;sup&gt;74&lt;/sup&gt;","plainTextFormattedCitation":"74","previouslyFormattedCitation":"&lt;sup&gt;74&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74</w:t>
      </w:r>
      <w:r w:rsidRPr="002C0A3B">
        <w:rPr>
          <w:rFonts w:cs="Arial"/>
          <w:color w:val="000000" w:themeColor="text1"/>
          <w:szCs w:val="22"/>
        </w:rPr>
        <w:fldChar w:fldCharType="end"/>
      </w:r>
      <w:r w:rsidRPr="002C0A3B">
        <w:rPr>
          <w:rFonts w:cs="Arial"/>
          <w:color w:val="000000" w:themeColor="text1"/>
          <w:szCs w:val="22"/>
        </w:rPr>
        <w:t>. Reactions prepared with lysates exposed to an equivalent volume of bead suspension resulted in no lactate accumulation and the highest % ethanol yield from glucose (</w:t>
      </w:r>
      <w:r w:rsidRPr="002C0A3B">
        <w:rPr>
          <w:rFonts w:cs="Arial"/>
          <w:i/>
          <w:iCs/>
          <w:color w:val="000000" w:themeColor="text1"/>
          <w:szCs w:val="22"/>
        </w:rPr>
        <w:t xml:space="preserve">31.2% </w:t>
      </w:r>
      <w:r w:rsidRPr="002C0A3B">
        <w:rPr>
          <w:rFonts w:cs="Arial"/>
          <w:i/>
          <w:iCs/>
          <w:color w:val="000000" w:themeColor="text1"/>
          <w:szCs w:val="22"/>
        </w:rPr>
        <w:sym w:font="Symbol" w:char="F0B1"/>
      </w:r>
      <w:r w:rsidRPr="002C0A3B">
        <w:rPr>
          <w:rFonts w:cs="Arial"/>
          <w:i/>
          <w:iCs/>
          <w:color w:val="000000" w:themeColor="text1"/>
          <w:szCs w:val="22"/>
        </w:rPr>
        <w:t xml:space="preserve"> 1.4%</w:t>
      </w:r>
      <w:r w:rsidRPr="002C0A3B">
        <w:rPr>
          <w:rFonts w:cs="Arial"/>
          <w:color w:val="000000" w:themeColor="text1"/>
          <w:szCs w:val="22"/>
        </w:rPr>
        <w:t>). This is a significant 2-fold improvement (</w:t>
      </w:r>
      <w:proofErr w:type="spellStart"/>
      <w:r w:rsidRPr="002C0A3B">
        <w:rPr>
          <w:rFonts w:cs="Arial"/>
          <w:i/>
          <w:iCs/>
          <w:color w:val="000000" w:themeColor="text1"/>
          <w:szCs w:val="22"/>
        </w:rPr>
        <w:t>pval</w:t>
      </w:r>
      <w:proofErr w:type="spellEnd"/>
      <w:r w:rsidRPr="002C0A3B">
        <w:rPr>
          <w:rFonts w:cs="Arial"/>
          <w:i/>
          <w:iCs/>
          <w:color w:val="000000" w:themeColor="text1"/>
          <w:szCs w:val="22"/>
        </w:rPr>
        <w:t xml:space="preserve"> &lt; 0.01</w:t>
      </w:r>
      <w:r w:rsidRPr="002C0A3B">
        <w:rPr>
          <w:rFonts w:cs="Arial"/>
          <w:color w:val="000000" w:themeColor="text1"/>
          <w:szCs w:val="22"/>
        </w:rPr>
        <w:t>) compared to the % yield in the 1:5 volume ratio condition (</w:t>
      </w:r>
      <w:r w:rsidRPr="002C0A3B">
        <w:rPr>
          <w:rFonts w:cs="Arial"/>
          <w:i/>
          <w:iCs/>
          <w:color w:val="000000" w:themeColor="text1"/>
          <w:szCs w:val="22"/>
        </w:rPr>
        <w:t xml:space="preserve">12.9% </w:t>
      </w:r>
      <w:r w:rsidRPr="002C0A3B">
        <w:rPr>
          <w:rFonts w:cs="Arial"/>
          <w:i/>
          <w:iCs/>
          <w:color w:val="000000" w:themeColor="text1"/>
          <w:szCs w:val="22"/>
        </w:rPr>
        <w:sym w:font="Symbol" w:char="F0B1"/>
      </w:r>
      <w:r w:rsidRPr="002C0A3B">
        <w:rPr>
          <w:rFonts w:cs="Arial"/>
          <w:i/>
          <w:iCs/>
          <w:color w:val="000000" w:themeColor="text1"/>
          <w:szCs w:val="22"/>
        </w:rPr>
        <w:t xml:space="preserve"> 0.7%</w:t>
      </w:r>
      <w:r w:rsidRPr="002C0A3B">
        <w:rPr>
          <w:rFonts w:cs="Arial"/>
          <w:color w:val="000000" w:themeColor="text1"/>
          <w:szCs w:val="22"/>
        </w:rPr>
        <w:t>), which was the only ratio tested in the previous study</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Communications","id":"ITEM-1","issued":{"date-parts":[["2021","6","1"]]},"page":"e00162","publisher":"Elsevier B.V.","title":"A lysate proteome engineering strategy for enhancing cell-free metabolite production","type":"article-journal","volume":"12"},"uris":["http://www.mendeley.com/documents/?uuid=babcd1d7-dd2c-32bc-b636-c7ebdf6b2dd4"]}],"mendeley":{"formattedCitation":"&lt;sup&gt;74&lt;/sup&gt;","plainTextFormattedCitation":"74","previouslyFormattedCitation":"&lt;sup&gt;74&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74</w:t>
      </w:r>
      <w:r w:rsidRPr="002C0A3B">
        <w:rPr>
          <w:rFonts w:cs="Arial"/>
          <w:color w:val="000000" w:themeColor="text1"/>
          <w:szCs w:val="22"/>
        </w:rPr>
        <w:fldChar w:fldCharType="end"/>
      </w:r>
      <w:r w:rsidRPr="002C0A3B">
        <w:rPr>
          <w:rFonts w:cs="Arial"/>
          <w:color w:val="000000" w:themeColor="text1"/>
          <w:szCs w:val="22"/>
        </w:rPr>
        <w:t xml:space="preserve">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2A</w:t>
      </w:r>
      <w:r w:rsidRPr="002C0A3B">
        <w:rPr>
          <w:rFonts w:cs="Arial"/>
          <w:color w:val="000000" w:themeColor="text1"/>
          <w:szCs w:val="22"/>
        </w:rPr>
        <w:t xml:space="preserve">). This condition optimally enabled the removal of byproduct forming activity while increasing flux through the PDHC route of acetyl-CoA formation. Notably, exposure to even more beads (7:5 and 9:5 volume ratios) lowered </w:t>
      </w:r>
      <w:r w:rsidR="00F534D3" w:rsidRPr="002C0A3B">
        <w:rPr>
          <w:rFonts w:cs="Arial"/>
          <w:color w:val="000000" w:themeColor="text1"/>
          <w:szCs w:val="22"/>
        </w:rPr>
        <w:t>glucose consumption, ethanol production, and % ethanol yield relative to the 5:5 condition (</w:t>
      </w:r>
      <w:r w:rsidR="00F534D3">
        <w:rPr>
          <w:rFonts w:cs="Arial"/>
          <w:b/>
          <w:bCs/>
          <w:color w:val="000000" w:themeColor="text1"/>
          <w:szCs w:val="22"/>
        </w:rPr>
        <w:t>Figure</w:t>
      </w:r>
      <w:r w:rsidR="00F534D3" w:rsidRPr="002C0A3B">
        <w:rPr>
          <w:rFonts w:cs="Arial"/>
          <w:b/>
          <w:bCs/>
          <w:color w:val="000000" w:themeColor="text1"/>
          <w:szCs w:val="22"/>
        </w:rPr>
        <w:t xml:space="preserve"> </w:t>
      </w:r>
      <w:r w:rsidR="00F534D3">
        <w:rPr>
          <w:rFonts w:cs="Arial"/>
          <w:b/>
          <w:bCs/>
          <w:color w:val="000000" w:themeColor="text1"/>
          <w:szCs w:val="22"/>
        </w:rPr>
        <w:t>4.</w:t>
      </w:r>
      <w:r w:rsidR="00F534D3" w:rsidRPr="002C0A3B">
        <w:rPr>
          <w:rFonts w:cs="Arial"/>
          <w:b/>
          <w:bCs/>
          <w:color w:val="000000" w:themeColor="text1"/>
          <w:szCs w:val="22"/>
        </w:rPr>
        <w:t>2A</w:t>
      </w:r>
      <w:r w:rsidR="00F534D3" w:rsidRPr="002C0A3B">
        <w:rPr>
          <w:rFonts w:cs="Arial"/>
          <w:color w:val="000000" w:themeColor="text1"/>
          <w:szCs w:val="22"/>
        </w:rPr>
        <w:t>). This is possibly because of increased binding of background proteins in the lysate to the Co</w:t>
      </w:r>
      <w:r w:rsidR="00F534D3" w:rsidRPr="002C0A3B">
        <w:rPr>
          <w:rFonts w:cs="Arial"/>
          <w:color w:val="000000" w:themeColor="text1"/>
          <w:szCs w:val="22"/>
          <w:vertAlign w:val="superscript"/>
        </w:rPr>
        <w:t>2+</w:t>
      </w:r>
      <w:r w:rsidR="00F534D3" w:rsidRPr="002C0A3B">
        <w:rPr>
          <w:rFonts w:cs="Arial"/>
          <w:color w:val="000000" w:themeColor="text1"/>
          <w:szCs w:val="22"/>
        </w:rPr>
        <w:t xml:space="preserve"> beads</w:t>
      </w:r>
      <w:r w:rsidR="00F534D3"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Communications","id":"ITEM-1","issued":{"date-parts":[["2021","6","1"]]},"page":"e00162","publisher":"Elsevier B.V.","title":"A lysate proteome engineering strategy for enhancing cell-free metabolite production","type":"article-journal","volume":"12"},"uris":["http://www.mendeley.com/documents/?uuid=babcd1d7-dd2c-32bc-b636-c7ebdf6b2dd4"]}],"mendeley":{"formattedCitation":"&lt;sup&gt;74&lt;/sup&gt;","plainTextFormattedCitation":"74","previouslyFormattedCitation":"&lt;sup&gt;74&lt;/sup&gt;"},"properties":{"noteIndex":0},"schema":"https://github.com/citation-style-language/schema/raw/master/csl-citation.json"}</w:instrText>
      </w:r>
      <w:r w:rsidR="00F534D3" w:rsidRPr="002C0A3B">
        <w:rPr>
          <w:rFonts w:cs="Arial"/>
          <w:color w:val="000000" w:themeColor="text1"/>
          <w:szCs w:val="22"/>
        </w:rPr>
        <w:fldChar w:fldCharType="separate"/>
      </w:r>
      <w:r w:rsidR="00567FF4" w:rsidRPr="00567FF4">
        <w:rPr>
          <w:rFonts w:cs="Arial"/>
          <w:noProof/>
          <w:color w:val="000000" w:themeColor="text1"/>
          <w:szCs w:val="22"/>
          <w:vertAlign w:val="superscript"/>
        </w:rPr>
        <w:t>74</w:t>
      </w:r>
      <w:r w:rsidR="00F534D3" w:rsidRPr="002C0A3B">
        <w:rPr>
          <w:rFonts w:cs="Arial"/>
          <w:color w:val="000000" w:themeColor="text1"/>
          <w:szCs w:val="22"/>
        </w:rPr>
        <w:fldChar w:fldCharType="end"/>
      </w:r>
      <w:r w:rsidR="00F534D3" w:rsidRPr="002C0A3B">
        <w:rPr>
          <w:rFonts w:cs="Arial"/>
          <w:color w:val="000000" w:themeColor="text1"/>
          <w:szCs w:val="22"/>
        </w:rPr>
        <w:t>. Nonetheless, all lysates processed using the 6xHis-tag purification strategy consumed more glucose and produced more ethanol when compared against a non-depleted (ND) lysate (</w:t>
      </w:r>
      <w:r w:rsidR="00F534D3">
        <w:rPr>
          <w:rFonts w:cs="Arial"/>
          <w:b/>
          <w:bCs/>
          <w:color w:val="000000" w:themeColor="text1"/>
          <w:szCs w:val="22"/>
        </w:rPr>
        <w:t>Figure</w:t>
      </w:r>
      <w:r w:rsidR="00F534D3" w:rsidRPr="002C0A3B">
        <w:rPr>
          <w:rFonts w:cs="Arial"/>
          <w:b/>
          <w:bCs/>
          <w:color w:val="000000" w:themeColor="text1"/>
          <w:szCs w:val="22"/>
        </w:rPr>
        <w:t xml:space="preserve"> </w:t>
      </w:r>
      <w:r w:rsidR="00F534D3">
        <w:rPr>
          <w:rFonts w:cs="Arial"/>
          <w:b/>
          <w:bCs/>
          <w:color w:val="000000" w:themeColor="text1"/>
          <w:szCs w:val="22"/>
        </w:rPr>
        <w:t>4.</w:t>
      </w:r>
      <w:r w:rsidR="00F534D3" w:rsidRPr="002C0A3B">
        <w:rPr>
          <w:rFonts w:cs="Arial"/>
          <w:b/>
          <w:bCs/>
          <w:color w:val="000000" w:themeColor="text1"/>
          <w:szCs w:val="22"/>
        </w:rPr>
        <w:t>2A</w:t>
      </w:r>
      <w:r w:rsidR="00F534D3" w:rsidRPr="002C0A3B">
        <w:rPr>
          <w:rFonts w:cs="Arial"/>
          <w:color w:val="000000" w:themeColor="text1"/>
          <w:szCs w:val="22"/>
        </w:rPr>
        <w:t xml:space="preserve">). The effect of removing lactate-forming activity on the target yield increase is obvious in these data. To confirm the contribution of </w:t>
      </w:r>
      <w:proofErr w:type="spellStart"/>
      <w:r w:rsidR="00F534D3" w:rsidRPr="002C0A3B">
        <w:rPr>
          <w:rFonts w:cs="Arial"/>
          <w:color w:val="000000" w:themeColor="text1"/>
          <w:szCs w:val="22"/>
        </w:rPr>
        <w:t>PflB</w:t>
      </w:r>
      <w:proofErr w:type="spellEnd"/>
      <w:r w:rsidR="00F534D3" w:rsidRPr="002C0A3B">
        <w:rPr>
          <w:rFonts w:cs="Arial"/>
          <w:color w:val="000000" w:themeColor="text1"/>
          <w:szCs w:val="22"/>
        </w:rPr>
        <w:t xml:space="preserve"> depletion, the 5:5 volume ratio condition was also applied to lysates derived from a strain that endogenously expresses 6xHis-tagged </w:t>
      </w:r>
      <w:proofErr w:type="spellStart"/>
      <w:r w:rsidR="00F534D3" w:rsidRPr="002C0A3B">
        <w:rPr>
          <w:rFonts w:cs="Arial"/>
          <w:color w:val="000000" w:themeColor="text1"/>
          <w:szCs w:val="22"/>
        </w:rPr>
        <w:t>LdhA</w:t>
      </w:r>
      <w:proofErr w:type="spellEnd"/>
      <w:r w:rsidR="00F534D3" w:rsidRPr="002C0A3B">
        <w:rPr>
          <w:rFonts w:cs="Arial"/>
          <w:color w:val="000000" w:themeColor="text1"/>
          <w:szCs w:val="22"/>
        </w:rPr>
        <w:t xml:space="preserve"> only. Evidently, depleting both </w:t>
      </w:r>
      <w:proofErr w:type="spellStart"/>
      <w:r w:rsidR="00F534D3" w:rsidRPr="002C0A3B">
        <w:rPr>
          <w:rFonts w:cs="Arial"/>
          <w:color w:val="000000" w:themeColor="text1"/>
          <w:szCs w:val="22"/>
        </w:rPr>
        <w:t>PflB</w:t>
      </w:r>
      <w:proofErr w:type="spellEnd"/>
      <w:r w:rsidR="00F534D3" w:rsidRPr="002C0A3B">
        <w:rPr>
          <w:rFonts w:cs="Arial"/>
          <w:color w:val="000000" w:themeColor="text1"/>
          <w:szCs w:val="22"/>
        </w:rPr>
        <w:t xml:space="preserve"> and </w:t>
      </w:r>
      <w:proofErr w:type="spellStart"/>
      <w:r w:rsidR="00F534D3" w:rsidRPr="002C0A3B">
        <w:rPr>
          <w:rFonts w:cs="Arial"/>
          <w:color w:val="000000" w:themeColor="text1"/>
          <w:szCs w:val="22"/>
        </w:rPr>
        <w:t>LdhA</w:t>
      </w:r>
      <w:proofErr w:type="spellEnd"/>
      <w:r w:rsidR="00F534D3" w:rsidRPr="002C0A3B">
        <w:rPr>
          <w:rFonts w:cs="Arial"/>
          <w:color w:val="000000" w:themeColor="text1"/>
          <w:szCs w:val="22"/>
        </w:rPr>
        <w:t xml:space="preserve"> has a more positive impact on ethanol yield compared to </w:t>
      </w:r>
      <w:proofErr w:type="spellStart"/>
      <w:r w:rsidR="00F534D3" w:rsidRPr="002C0A3B">
        <w:rPr>
          <w:rFonts w:cs="Arial"/>
          <w:color w:val="000000" w:themeColor="text1"/>
          <w:szCs w:val="22"/>
        </w:rPr>
        <w:t>LdhA</w:t>
      </w:r>
      <w:proofErr w:type="spellEnd"/>
      <w:r w:rsidR="00F534D3" w:rsidRPr="002C0A3B">
        <w:rPr>
          <w:rFonts w:cs="Arial"/>
          <w:color w:val="000000" w:themeColor="text1"/>
          <w:szCs w:val="22"/>
        </w:rPr>
        <w:t xml:space="preserve"> depletion alone (</w:t>
      </w:r>
      <w:r w:rsidR="00F534D3">
        <w:rPr>
          <w:rFonts w:cs="Arial"/>
          <w:b/>
          <w:bCs/>
          <w:color w:val="000000" w:themeColor="text1"/>
          <w:szCs w:val="22"/>
        </w:rPr>
        <w:t>Appendix Figure</w:t>
      </w:r>
      <w:r w:rsidR="00F534D3" w:rsidRPr="002C0A3B">
        <w:rPr>
          <w:rFonts w:cs="Arial"/>
          <w:b/>
          <w:bCs/>
          <w:color w:val="000000" w:themeColor="text1"/>
          <w:szCs w:val="22"/>
        </w:rPr>
        <w:t xml:space="preserve"> </w:t>
      </w:r>
      <w:r w:rsidR="00F534D3">
        <w:rPr>
          <w:rFonts w:cs="Arial"/>
          <w:b/>
          <w:bCs/>
          <w:color w:val="000000" w:themeColor="text1"/>
          <w:szCs w:val="22"/>
        </w:rPr>
        <w:t>4.9</w:t>
      </w:r>
      <w:r w:rsidR="00F534D3" w:rsidRPr="002C0A3B">
        <w:rPr>
          <w:rFonts w:cs="Arial"/>
          <w:color w:val="000000" w:themeColor="text1"/>
          <w:szCs w:val="22"/>
        </w:rPr>
        <w:t>).</w:t>
      </w:r>
    </w:p>
    <w:p w14:paraId="633F34D1" w14:textId="5F4BCC75" w:rsidR="0039202C" w:rsidRPr="002C0A3B" w:rsidRDefault="00F534D3" w:rsidP="00F534D3">
      <w:pPr>
        <w:ind w:firstLine="720"/>
        <w:rPr>
          <w:rFonts w:cs="Arial"/>
          <w:color w:val="000000" w:themeColor="text1"/>
          <w:szCs w:val="22"/>
        </w:rPr>
      </w:pPr>
      <w:r w:rsidRPr="002C0A3B">
        <w:rPr>
          <w:rFonts w:cs="Arial"/>
          <w:color w:val="000000" w:themeColor="text1"/>
          <w:szCs w:val="22"/>
        </w:rPr>
        <w:t>To determine whether increasing the exposure period of lysates to beads would improve selective enzyme depletion, lysates were mixed for varying durations with beads washed from an equivalent His-</w:t>
      </w:r>
      <w:proofErr w:type="spellStart"/>
      <w:r w:rsidRPr="002C0A3B">
        <w:rPr>
          <w:rFonts w:cs="Arial"/>
          <w:color w:val="000000" w:themeColor="text1"/>
          <w:szCs w:val="22"/>
        </w:rPr>
        <w:t>Pur</w:t>
      </w:r>
      <w:proofErr w:type="spellEnd"/>
      <w:r w:rsidRPr="002C0A3B">
        <w:rPr>
          <w:rFonts w:cs="Arial"/>
          <w:color w:val="000000" w:themeColor="text1"/>
          <w:szCs w:val="22"/>
        </w:rPr>
        <w:t xml:space="preserve"> Co</w:t>
      </w:r>
      <w:r w:rsidRPr="002C0A3B">
        <w:rPr>
          <w:rFonts w:cs="Arial"/>
          <w:color w:val="000000" w:themeColor="text1"/>
          <w:szCs w:val="22"/>
          <w:vertAlign w:val="superscript"/>
        </w:rPr>
        <w:t>2+</w:t>
      </w:r>
      <w:r w:rsidRPr="002C0A3B">
        <w:rPr>
          <w:rFonts w:cs="Arial"/>
          <w:color w:val="000000" w:themeColor="text1"/>
          <w:szCs w:val="22"/>
        </w:rPr>
        <w:t xml:space="preserve"> resin suspension and then used to prepare CFME reactions (</w:t>
      </w:r>
      <w:r>
        <w:rPr>
          <w:rFonts w:cs="Arial"/>
          <w:b/>
          <w:bCs/>
          <w:color w:val="000000" w:themeColor="text1"/>
          <w:szCs w:val="22"/>
        </w:rPr>
        <w:t>Figure</w:t>
      </w:r>
      <w:r w:rsidRPr="002C0A3B">
        <w:rPr>
          <w:rFonts w:cs="Arial"/>
          <w:b/>
          <w:bCs/>
          <w:color w:val="000000" w:themeColor="text1"/>
          <w:szCs w:val="22"/>
        </w:rPr>
        <w:t xml:space="preserve"> </w:t>
      </w:r>
      <w:r>
        <w:rPr>
          <w:rFonts w:cs="Arial"/>
          <w:b/>
          <w:bCs/>
          <w:color w:val="000000" w:themeColor="text1"/>
          <w:szCs w:val="22"/>
        </w:rPr>
        <w:t>4.</w:t>
      </w:r>
      <w:r w:rsidRPr="002C0A3B">
        <w:rPr>
          <w:rFonts w:cs="Arial"/>
          <w:b/>
          <w:bCs/>
          <w:color w:val="000000" w:themeColor="text1"/>
          <w:szCs w:val="22"/>
        </w:rPr>
        <w:t>2B</w:t>
      </w:r>
      <w:r>
        <w:rPr>
          <w:rFonts w:cs="Arial"/>
          <w:color w:val="000000" w:themeColor="text1"/>
          <w:szCs w:val="22"/>
        </w:rPr>
        <w:t>).</w:t>
      </w:r>
    </w:p>
    <w:p w14:paraId="0ADA31C9" w14:textId="77777777" w:rsidR="0039202C" w:rsidRPr="002C0A3B" w:rsidRDefault="0039202C" w:rsidP="0039202C">
      <w:pPr>
        <w:jc w:val="center"/>
        <w:rPr>
          <w:rFonts w:cs="Arial"/>
          <w:b/>
          <w:bCs/>
          <w:color w:val="000000" w:themeColor="text1"/>
          <w:szCs w:val="22"/>
        </w:rPr>
      </w:pPr>
      <w:r w:rsidRPr="002C0A3B">
        <w:rPr>
          <w:rFonts w:cs="Arial"/>
          <w:b/>
          <w:bCs/>
          <w:noProof/>
          <w:color w:val="000000" w:themeColor="text1"/>
          <w:szCs w:val="22"/>
        </w:rPr>
        <w:lastRenderedPageBreak/>
        <w:drawing>
          <wp:inline distT="0" distB="0" distL="0" distR="0" wp14:anchorId="00CA6C21" wp14:editId="70A2E68E">
            <wp:extent cx="3832860" cy="4651028"/>
            <wp:effectExtent l="0" t="0" r="0" b="0"/>
            <wp:docPr id="14" name="Picture 1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33" cstate="screen">
                      <a:extLst>
                        <a:ext uri="{28A0092B-C50C-407E-A947-70E740481C1C}">
                          <a14:useLocalDpi xmlns:a14="http://schemas.microsoft.com/office/drawing/2010/main"/>
                        </a:ext>
                      </a:extLst>
                    </a:blip>
                    <a:stretch>
                      <a:fillRect/>
                    </a:stretch>
                  </pic:blipFill>
                  <pic:spPr>
                    <a:xfrm>
                      <a:off x="0" y="0"/>
                      <a:ext cx="3844594" cy="4665267"/>
                    </a:xfrm>
                    <a:prstGeom prst="rect">
                      <a:avLst/>
                    </a:prstGeom>
                  </pic:spPr>
                </pic:pic>
              </a:graphicData>
            </a:graphic>
          </wp:inline>
        </w:drawing>
      </w:r>
    </w:p>
    <w:p w14:paraId="6FB4A929" w14:textId="77777777" w:rsidR="0039202C" w:rsidRPr="002C0A3B" w:rsidRDefault="0039202C" w:rsidP="0039202C">
      <w:pPr>
        <w:rPr>
          <w:rFonts w:cs="Arial"/>
          <w:color w:val="000000" w:themeColor="text1"/>
          <w:szCs w:val="22"/>
        </w:rPr>
      </w:pPr>
      <w:bookmarkStart w:id="100" w:name="_Toc129701156"/>
      <w:r w:rsidRPr="00F534D3">
        <w:rPr>
          <w:rStyle w:val="FigurecaptionChar"/>
        </w:rPr>
        <w:t xml:space="preserve">Figure 4.2. Optimization of the post-lysis lysate depletion method to selectively remove 6xHis-tagged </w:t>
      </w:r>
      <w:proofErr w:type="spellStart"/>
      <w:r w:rsidRPr="00F534D3">
        <w:rPr>
          <w:rStyle w:val="FigurecaptionChar"/>
        </w:rPr>
        <w:t>PflB</w:t>
      </w:r>
      <w:proofErr w:type="spellEnd"/>
      <w:r w:rsidRPr="00F534D3">
        <w:rPr>
          <w:rStyle w:val="FigurecaptionChar"/>
        </w:rPr>
        <w:t xml:space="preserve"> and </w:t>
      </w:r>
      <w:proofErr w:type="spellStart"/>
      <w:r w:rsidRPr="00F534D3">
        <w:rPr>
          <w:rStyle w:val="FigurecaptionChar"/>
        </w:rPr>
        <w:t>LdhA</w:t>
      </w:r>
      <w:proofErr w:type="spellEnd"/>
      <w:r w:rsidRPr="00F534D3">
        <w:rPr>
          <w:rStyle w:val="FigurecaptionChar"/>
        </w:rPr>
        <w:t xml:space="preserve"> and redirect lysate metabolic flux to ethanol.</w:t>
      </w:r>
      <w:bookmarkEnd w:id="100"/>
      <w:r w:rsidRPr="002C0A3B">
        <w:rPr>
          <w:rFonts w:cs="Arial"/>
          <w:color w:val="000000" w:themeColor="text1"/>
          <w:szCs w:val="22"/>
        </w:rPr>
        <w:t xml:space="preserve"> Normalized metabolite concentrations and calculated % ethanol yields in reactions made with </w:t>
      </w:r>
      <w:r w:rsidRPr="002C0A3B">
        <w:rPr>
          <w:rFonts w:cs="Arial"/>
          <w:b/>
          <w:bCs/>
          <w:color w:val="000000" w:themeColor="text1"/>
          <w:szCs w:val="22"/>
        </w:rPr>
        <w:t>A)</w:t>
      </w:r>
      <w:r w:rsidRPr="002C0A3B">
        <w:rPr>
          <w:rFonts w:cs="Arial"/>
          <w:color w:val="000000" w:themeColor="text1"/>
          <w:szCs w:val="22"/>
        </w:rPr>
        <w:t xml:space="preserve"> lysates that were exposed to varying amounts of Co</w:t>
      </w:r>
      <w:r w:rsidRPr="002C0A3B">
        <w:rPr>
          <w:rFonts w:cs="Arial"/>
          <w:color w:val="000000" w:themeColor="text1"/>
          <w:szCs w:val="22"/>
          <w:vertAlign w:val="superscript"/>
        </w:rPr>
        <w:t>2+</w:t>
      </w:r>
      <w:r w:rsidRPr="002C0A3B">
        <w:rPr>
          <w:rFonts w:cs="Arial"/>
          <w:color w:val="000000" w:themeColor="text1"/>
          <w:szCs w:val="22"/>
        </w:rPr>
        <w:t xml:space="preserve"> beads for 1 hour, and </w:t>
      </w:r>
      <w:r w:rsidRPr="002C0A3B">
        <w:rPr>
          <w:rFonts w:cs="Arial"/>
          <w:b/>
          <w:bCs/>
          <w:color w:val="000000" w:themeColor="text1"/>
          <w:szCs w:val="22"/>
        </w:rPr>
        <w:t xml:space="preserve">B) </w:t>
      </w:r>
      <w:r w:rsidRPr="002C0A3B">
        <w:rPr>
          <w:rFonts w:cs="Arial"/>
          <w:color w:val="000000" w:themeColor="text1"/>
          <w:szCs w:val="22"/>
        </w:rPr>
        <w:t>lysates depleted with Co</w:t>
      </w:r>
      <w:r w:rsidRPr="002C0A3B">
        <w:rPr>
          <w:rFonts w:cs="Arial"/>
          <w:color w:val="000000" w:themeColor="text1"/>
          <w:szCs w:val="22"/>
          <w:vertAlign w:val="superscript"/>
        </w:rPr>
        <w:t>2+</w:t>
      </w:r>
      <w:r w:rsidRPr="002C0A3B">
        <w:rPr>
          <w:rFonts w:cs="Arial"/>
          <w:color w:val="000000" w:themeColor="text1"/>
          <w:szCs w:val="22"/>
        </w:rPr>
        <w:t xml:space="preserve"> beads washed from an equivalent suspension volume for different incubation times. All</w:t>
      </w:r>
      <w:r w:rsidRPr="002C0A3B">
        <w:rPr>
          <w:rFonts w:cs="Arial"/>
          <w:b/>
          <w:bCs/>
          <w:color w:val="000000" w:themeColor="text1"/>
          <w:szCs w:val="22"/>
        </w:rPr>
        <w:t xml:space="preserve"> </w:t>
      </w:r>
      <w:r w:rsidRPr="002C0A3B">
        <w:rPr>
          <w:rFonts w:cs="Arial"/>
          <w:color w:val="000000" w:themeColor="text1"/>
          <w:szCs w:val="22"/>
        </w:rPr>
        <w:t>reactions were set up using 1 mM of NAD</w:t>
      </w:r>
      <w:r w:rsidRPr="002C0A3B">
        <w:rPr>
          <w:rFonts w:cs="Arial"/>
          <w:color w:val="000000" w:themeColor="text1"/>
          <w:szCs w:val="22"/>
          <w:vertAlign w:val="superscript"/>
        </w:rPr>
        <w:t>+</w:t>
      </w:r>
      <w:r w:rsidRPr="002C0A3B">
        <w:rPr>
          <w:rFonts w:cs="Arial"/>
          <w:color w:val="000000" w:themeColor="text1"/>
          <w:szCs w:val="22"/>
        </w:rPr>
        <w:t>, CoA, and ATP and 100 mM glucose. Reactions were incubated at 37˚C for 20 hrs. Replicates of the depletion method (i.e., “depletion replicates”) were used to prepare triplicate reactions for all conditions and error bars represent standard errors. “BS:L vol. ratio” = bead suspension to lysate volume ratio. “ND” = non-depleted control.</w:t>
      </w:r>
    </w:p>
    <w:p w14:paraId="65A0C1FF" w14:textId="77777777" w:rsidR="0039202C" w:rsidRDefault="0039202C" w:rsidP="0039202C">
      <w:pPr>
        <w:rPr>
          <w:rFonts w:cs="Arial"/>
          <w:color w:val="000000" w:themeColor="text1"/>
          <w:szCs w:val="22"/>
        </w:rPr>
      </w:pPr>
    </w:p>
    <w:p w14:paraId="4A6376D5" w14:textId="7251940E" w:rsidR="004E2DE7" w:rsidRPr="002C0A3B" w:rsidRDefault="00F534D3" w:rsidP="00F534D3">
      <w:pPr>
        <w:rPr>
          <w:rFonts w:cs="Arial"/>
          <w:color w:val="000000" w:themeColor="text1"/>
          <w:szCs w:val="22"/>
        </w:rPr>
      </w:pPr>
      <w:r w:rsidRPr="002C0A3B">
        <w:rPr>
          <w:rFonts w:cs="Arial"/>
          <w:color w:val="000000" w:themeColor="text1"/>
          <w:szCs w:val="22"/>
        </w:rPr>
        <w:lastRenderedPageBreak/>
        <w:t xml:space="preserve"> No significant improvement in % yield beyond 20 min of incubation was observed (</w:t>
      </w:r>
      <w:r>
        <w:rPr>
          <w:rFonts w:cs="Arial"/>
          <w:b/>
          <w:bCs/>
          <w:color w:val="000000" w:themeColor="text1"/>
          <w:szCs w:val="22"/>
        </w:rPr>
        <w:t>Figure</w:t>
      </w:r>
      <w:r w:rsidRPr="002C0A3B">
        <w:rPr>
          <w:rFonts w:cs="Arial"/>
          <w:b/>
          <w:bCs/>
          <w:color w:val="000000" w:themeColor="text1"/>
          <w:szCs w:val="22"/>
        </w:rPr>
        <w:t xml:space="preserve"> </w:t>
      </w:r>
      <w:r>
        <w:rPr>
          <w:rFonts w:cs="Arial"/>
          <w:b/>
          <w:bCs/>
          <w:color w:val="000000" w:themeColor="text1"/>
          <w:szCs w:val="22"/>
        </w:rPr>
        <w:t>4.</w:t>
      </w:r>
      <w:r w:rsidRPr="002C0A3B">
        <w:rPr>
          <w:rFonts w:cs="Arial"/>
          <w:b/>
          <w:bCs/>
          <w:color w:val="000000" w:themeColor="text1"/>
          <w:szCs w:val="22"/>
        </w:rPr>
        <w:t>2B</w:t>
      </w:r>
      <w:r w:rsidRPr="002C0A3B">
        <w:rPr>
          <w:rFonts w:cs="Arial"/>
          <w:color w:val="000000" w:themeColor="text1"/>
          <w:szCs w:val="22"/>
        </w:rPr>
        <w:t>)</w:t>
      </w:r>
      <w:r w:rsidR="004E2DE7" w:rsidRPr="002C0A3B">
        <w:rPr>
          <w:rFonts w:cs="Arial"/>
          <w:color w:val="000000" w:themeColor="text1"/>
          <w:szCs w:val="22"/>
        </w:rPr>
        <w:t>. The results also suggest that potential shear forces from shaking the beads vigorously in lysates have no effect on glucose metabolism or % ethanol yield, otherwise lysate performance could be expected to decrease with time (</w:t>
      </w:r>
      <w:r w:rsidR="00405F98">
        <w:rPr>
          <w:rFonts w:cs="Arial"/>
          <w:b/>
          <w:bCs/>
          <w:color w:val="000000" w:themeColor="text1"/>
          <w:szCs w:val="22"/>
        </w:rPr>
        <w:t>Figure</w:t>
      </w:r>
      <w:r w:rsidR="004E2DE7" w:rsidRPr="002C0A3B">
        <w:rPr>
          <w:rFonts w:cs="Arial"/>
          <w:b/>
          <w:bCs/>
          <w:color w:val="000000" w:themeColor="text1"/>
          <w:szCs w:val="22"/>
        </w:rPr>
        <w:t xml:space="preserve"> </w:t>
      </w:r>
      <w:r w:rsidR="007B7C75">
        <w:rPr>
          <w:rFonts w:cs="Arial"/>
          <w:b/>
          <w:bCs/>
          <w:color w:val="000000" w:themeColor="text1"/>
          <w:szCs w:val="22"/>
        </w:rPr>
        <w:t>4.</w:t>
      </w:r>
      <w:r w:rsidR="004E2DE7" w:rsidRPr="002C0A3B">
        <w:rPr>
          <w:rFonts w:cs="Arial"/>
          <w:b/>
          <w:bCs/>
          <w:color w:val="000000" w:themeColor="text1"/>
          <w:szCs w:val="22"/>
        </w:rPr>
        <w:t>2B</w:t>
      </w:r>
      <w:r w:rsidR="004E2DE7" w:rsidRPr="002C0A3B">
        <w:rPr>
          <w:rFonts w:cs="Arial"/>
          <w:color w:val="000000" w:themeColor="text1"/>
          <w:szCs w:val="22"/>
        </w:rPr>
        <w:t>). Moving forward, a standard 30 min incubation period of lysates with beads from an equivalent volume of Co</w:t>
      </w:r>
      <w:r w:rsidR="004E2DE7" w:rsidRPr="002C0A3B">
        <w:rPr>
          <w:rFonts w:cs="Arial"/>
          <w:color w:val="000000" w:themeColor="text1"/>
          <w:szCs w:val="22"/>
          <w:vertAlign w:val="superscript"/>
        </w:rPr>
        <w:t>2+</w:t>
      </w:r>
      <w:r w:rsidR="004E2DE7" w:rsidRPr="002C0A3B">
        <w:rPr>
          <w:rFonts w:cs="Arial"/>
          <w:color w:val="000000" w:themeColor="text1"/>
          <w:szCs w:val="22"/>
        </w:rPr>
        <w:t xml:space="preserve"> resin suspension was used to prepare modified lysates. Extracts depleted under these conditions are henceforth referred to as </w:t>
      </w:r>
      <w:r w:rsidR="004E2DE7" w:rsidRPr="002C0A3B">
        <w:rPr>
          <w:rFonts w:cs="Arial"/>
          <w:i/>
          <w:iCs/>
          <w:color w:val="000000" w:themeColor="text1"/>
          <w:szCs w:val="22"/>
        </w:rPr>
        <w:t xml:space="preserve">blocked </w:t>
      </w:r>
      <w:r w:rsidR="004E2DE7" w:rsidRPr="002C0A3B">
        <w:rPr>
          <w:rFonts w:cs="Arial"/>
          <w:color w:val="000000" w:themeColor="text1"/>
          <w:szCs w:val="22"/>
        </w:rPr>
        <w:t xml:space="preserve">lysates. </w:t>
      </w:r>
    </w:p>
    <w:p w14:paraId="64D2AC35" w14:textId="564E579D" w:rsidR="004E2DE7" w:rsidRDefault="004E2DE7" w:rsidP="004E2DE7">
      <w:pPr>
        <w:ind w:firstLine="720"/>
        <w:rPr>
          <w:rFonts w:cs="Arial"/>
          <w:color w:val="000000" w:themeColor="text1"/>
          <w:szCs w:val="22"/>
        </w:rPr>
      </w:pPr>
      <w:r w:rsidRPr="002C0A3B">
        <w:rPr>
          <w:rFonts w:cs="Arial"/>
          <w:color w:val="000000" w:themeColor="text1"/>
          <w:szCs w:val="22"/>
        </w:rPr>
        <w:t>The reaction blocking strategy described here has several advantages over other tactics to rewire lysate metabolic flux. Gene knockouts can have unpredictable effects on harvested lysate metabolism, presumably because the source strain reconstructs its proteome to accommodate the deletion(s)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{"citationItems":[{"id":"ITEM-1","itemData":{"DOI":"10.1002/bit.22666","ISSN":"00063592","PMID":"20091765","abstract":"The orchestration of a multitude of enzyme catalysts allows cells to carry out complex and thermodynamically unfavorable chemical conversions. In an effort to recruit these advantages for in vitro biotransformations, we have assembled a 10-step catalytic system - a system of biotransformations (SBT) - for the synthesis of unnatural monosaccharides based on the versatile building block dihydroxyacetone phosphate (DHAP). To facilitate the assembly of such a network, we have insulated a production pathway from Escherichia coli's central carbon metabolism. This pathway consists of the endogenous glycolysis without triose-phosphate isomerase to enable accumulation of DHAP and was completed with lactate dehydrogenase to regenerate NAD+. It could be readily extended for the synthesis of unnatural sugar molecules, such as the unnatural monosaccharide phosphate 5,6,7-trideoxy-D-threoheptulose-1-phosphate from DHAP and butanal. Insulation required in particular inactivation of the amn gene encoding the AMP nucleosidase, which otherwise led to glucoseindependent DHAP production from adenosine phosphates. The work demonstrates that a sufficiently insulated in vitro multi-step enzymatic system can be readily assembled from central carbon metabolism pathways. © 2010 Wiley Periodicals, Inc.","author":[{"dropping-particle":"","family":"Bujara","given":"Matthias","non-dropping-particle":"","parse-names":false,"suffix":""},{"dropping-particle":"","family":"Schümperli","given":"Michael","non-dropping-particle":"","parse-names":false,"suffix":""},{"dropping-particle":"","family":"Billerbeck","given":"Sonja","non-dropping-particle":"","parse-names":false,"suffix":""},{"dropping-particle":"","family":"Heinemann","given":"Matthias","non-dropping-particle":"","parse-names":false,"suffix":""},{"dropping-particle":"","family":"Panke","given":"Sven","non-dropping-particle":"","parse-names":false,"suffix":""}],"container-title":"Biotechnology and Bioengineering","id":"ITEM-1","issue":"3","issued":{"date-parts":[["2010","6","15"]]},"page":"376-389","publisher":"Biotechnol Bioeng","title":"Exploiting cell-free systems: Implementation and debugging of a system of biotransformations","type":"article-journal","volume":"106"},"uris":["http://www.mendeley.com/documents/?uuid=dcf05f7d-a050-3deb-b73b-d5fe4b460eed"]},{"id":"ITEM-2","itemData":{"DOI":"10.1021/acssynbio.6b00154","author":[{"dropping-particle":"","family":"Dudley","given":"Quentin M","non-dropping-particle":"","parse-names":false,"suffix":""},{"dropping-particle":"","family":"Anderson","given":"Kim C","non-dropping-particle":"","parse-names":false,"suffix":""},{"dropping-particle":"","family":"Jewett","given":"Michael C","non-dropping-particle":"","parse-names":false,"suffix":""}],"id":"ITEM-2","issued":{"date-parts":[["2016"]]},"title":"Cell-Free Mixing of Escherichia coli Crude Extracts to Prototype and Rationally Engineer High-Titer Mevalonate Synthesis","type":"article-journal"},"uris":["http://www.mendeley.com/documents/?uuid=99336352-fabf-4121-855f-c8567c91a0c0"]},{"id":"ITEM-3","itemData":{"DOI":"10.1016/J.YMBEN.2004.10.004","ISSN":"1096-7176","PMID":"15781419","abstract":"The effects of several single-gene knockout mutants (pykF, ppc, pflA, pta, and adhE mutants) on the metabolic flux distribution in Escherichia coli were investigated under microaerobic condition. The intracellular metabolite concentrations and enzyme activities were measured, and the metabolic flux distribution was computed to study the metabolic regulation in the cell. The pflA, pta and ppc mutants produced large amount of lactate when using glucose as a carbon source under microaerobic condition. Comparing the flux distribution and the enzyme activities in the mutants, it was shown that the lactate production was promoted by the inactivation of pyruvate formate lyase and the resulting overexpression of lactate dehydrogenase. The flux through Pta-Ack pathways and the ethanol production were limited by the available acetyl coenzyme A. It was shown that the glycolysis was activated in pykF mutant in microaerobic culture. The glycolytic flux was related with Pyk activity except for pykF mutant. The cell growth rate was shown to be affected by the flux through phosphoenolpyruvate carboxylase. The quantitative regulation analysis was made based on the deviation indexes. © 2004 Elsevier Inc. All rights reserved.","author":[{"dropping-particle":"","family":"Zhu","given":"Jiangfeng","non-dropping-particle":"","parse-names":false,"suffix":""},{"dropping-particle":"","family":"Shimizu","given":"Kazuyuki","non-dropping-particle":"","parse-names":false,"suffix":""}],"container-title":"Metabolic engineering","id":"ITEM-3","issue":"2","issued":{"date-parts":[["2005","3"]]},"page":"104-115","publisher":"Metab Eng","title":"Effect of a single-gene knockout on the metabolic regulation in Escherichia coli for D-lactate production under microaerobic condition","type":"article-journal","volume":"7"},"uris":["http://www.mendeley.com/documents/?uuid=d4f28bae-3b2f-3b5b-85aa-b3a1e1e4ff33"]},{"id":"ITEM-4","itemData":{"DOI":"10.1016/j.bej.2005.05.010","ISSN":"1369703X","abstract":"To investigate how the central metabolism of Escherichia coli changes with the deletion of ldhA (lactate dehydrogenase gene), an integrated study was made by combining the information of cultivation characteristics, gene expressions, enzyme activities, intracellular metabolite concentrations, and metabolic flux distribution. The deletion of ldhA gene reduced the specific growth rate and the specific glucose consumption rate. The production rates of acetate, ethanol, and formate were all higher for the ldhA mutant as compared with those of the parent strain. The anaplerotic enzyme phosphoenol pyruvate carboxylase (Ppc), which is also known to be contributed to catabolic succinate formation under anaerobic condition, was downregulated in the ldhA mutant compared to the parent strain. On the other hand, phosphoenol pyruvate carboxykinase (Pck) that catalyzes the opposite reaction to Ppc was upregulated significantly in the mutant. This was mainly due to the shortage of phosphoenol pyruvate (PEP) in the ldhA mutant as was evidenced by the measurement of intracellular PEP concentration. Interestingly, two other catabolic enzymes, NAD+- and NADP+-specific malic enzymes, were both shown to be present in the parent E. coli but regulated differently in ldhA mutant. The activity of NADP+-specific malic enzyme encoded by maeB remained unchanged, whereas NAD+-specific malic enzyme encoded by sfcA was found to be upregulated significantly in the ldhA mutant compared to those in the parent strain implying that the inactivation of ldhA gene leads to the production of malate from pyruvate. Moreover, it was found that ldhA gene deletion induced a stress response as was evidenced by the significant upregulation of the genes dnaJ, grpE, groS, and fkpA involved in the heat shock response. © 2005 Elsevier B.V. All rights reserved.","author":[{"dropping-particle":"","family":"Kabir","given":"Md Mohiuddin","non-dropping-particle":"","parse-names":false,"suffix":""},{"dropping-particle":"","family":"Pei","given":"Yee Ho","non-dropping-particle":"","parse-names":false,"suffix":""},{"dropping-particle":"","family":"Shimizu","given":"Kazuyuki","non-dropping-particle":"","parse-names":false,"suffix":""}],"container-title":"Biochemical Engineering Journal","id":"ITEM-4","issue":"1","issued":{"date-parts":[["2005","11","1"]]},"page":"1-11","title":"Effect of ldhA gene deletion on the metabolism of Escherichia coli based on gene expression, enzyme activities, intracellular metabolite concentrations, and metabolic flux distribution","type":"article-journal","volume":"26"},"uris":["http://www.mendeley.com/documents/?uuid=5a9dad68-5e65-3ed4-9811-061c3ef1704f"]}],"mendeley":{"formattedCitation":"&lt;sup&gt;47,53,159,160&lt;/sup&gt;","plainTextFormattedCitation":"47,53,159,160","previouslyFormattedCitation":"&lt;sup&gt;47,53,159,160&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47,53,159,160</w:t>
      </w:r>
      <w:r w:rsidRPr="002C0A3B">
        <w:rPr>
          <w:rFonts w:cs="Arial"/>
          <w:color w:val="000000" w:themeColor="text1"/>
          <w:szCs w:val="22"/>
        </w:rPr>
        <w:fldChar w:fldCharType="end"/>
      </w:r>
      <w:r w:rsidRPr="002C0A3B">
        <w:rPr>
          <w:rFonts w:cs="Arial"/>
          <w:color w:val="000000" w:themeColor="text1"/>
          <w:szCs w:val="22"/>
        </w:rPr>
        <w:t>. These mutant lines would result in lysate proteomes that differ on a global scale when compared to the wild-type</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{"citationItems":[{"id":"ITEM-1","itemData":{"DOI":"10.1016/j.bej.2005.05.010","ISSN":"1369703X","abstract":"To investigate how the central metabolism of Escherichia coli changes with the deletion of ldhA (lactate dehydrogenase gene), an integrated study was made by combining the information of cultivation characteristics, gene expressions, enzyme activities, intracellular metabolite concentrations, and metabolic flux distribution. The deletion of ldhA gene reduced the specific growth rate and the specific glucose consumption rate. The production rates of acetate, ethanol, and formate were all higher for the ldhA mutant as compared with those of the parent strain. The anaplerotic enzyme phosphoenol pyruvate carboxylase (Ppc), which is also known to be contributed to catabolic succinate formation under anaerobic condition, was downregulated in the ldhA mutant compared to the parent strain. On the other hand, phosphoenol pyruvate carboxykinase (Pck) that catalyzes the opposite reaction to Ppc was upregulated significantly in the mutant. This was mainly due to the shortage of phosphoenol pyruvate (PEP) in the ldhA mutant as was evidenced by the measurement of intracellular PEP concentration. Interestingly, two other catabolic enzymes, NAD+- and NADP+-specific malic enzymes, were both shown to be present in the parent E. coli but regulated differently in ldhA mutant. The activity of NADP+-specific malic enzyme encoded by maeB remained unchanged, whereas NAD+-specific malic enzyme encoded by sfcA was found to be upregulated significantly in the ldhA mutant compared to those in the parent strain implying that the inactivation of ldhA gene leads to the production of malate from pyruvate. Moreover, it was found that ldhA gene deletion induced a stress response as was evidenced by the significant upregulation of the genes dnaJ, grpE, groS, and fkpA involved in the heat shock response. © 2005 Elsevier B.V. All rights reserved.","author":[{"dropping-particle":"","family":"Kabir","given":"Md Mohiuddin","non-dropping-particle":"","parse-names":false,"suffix":""},{"dropping-particle":"","family":"Pei","given":"Yee Ho","non-dropping-particle":"","parse-names":false,"suffix":""},{"dropping-particle":"","family":"Shimizu","given":"Kazuyuki","non-dropping-particle":"","parse-names":false,"suffix":""}],"container-title":"Biochemical Engineering Journal","id":"ITEM-1","issue":"1","issued":{"date-parts":[["2005","11","1"]]},"page":"1-11","title":"Effect of ldhA gene deletion on the metabolism of Escherichia coli based on gene expression, enzyme activities, intracellular metabolite concentrations, and metabolic flux distribution","type":"article-journal","volume":"26"},"uris":["http://www.mendeley.com/documents/?uuid=5a9dad68-5e65-3ed4-9811-061c3ef1704f"]}],"mendeley":{"formattedCitation":"&lt;sup&gt;160&lt;/sup&gt;","plainTextFormattedCitation":"160","previouslyFormattedCitation":"&lt;sup&gt;160&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160</w:t>
      </w:r>
      <w:r w:rsidRPr="002C0A3B">
        <w:rPr>
          <w:rFonts w:cs="Arial"/>
          <w:color w:val="000000" w:themeColor="text1"/>
          <w:szCs w:val="22"/>
        </w:rPr>
        <w:fldChar w:fldCharType="end"/>
      </w:r>
      <w:r w:rsidRPr="002C0A3B">
        <w:rPr>
          <w:rFonts w:cs="Arial"/>
          <w:color w:val="000000" w:themeColor="text1"/>
          <w:szCs w:val="22"/>
        </w:rPr>
        <w:t>. Intuitively, tractable changes to the “static” lysate proteome can be made by selectively removing enzymes post-lysis, enabling engineering designs with predictable outcomes and significantly simplifying the integration of lysate metabolic models. Displaying 6xHis-tags on endogenously expressed enzymes does not impact cell growth, whereas the number of gene knockouts that can be introduced without strain optimization is limited</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{"citationItems":[{"id":"ITEM-1","itemData":{"DOI":"10.1002/bit.22666","ISSN":"00063592","PMID":"20091765","abstract":"The orchestration of a multitude of enzyme catalysts allows cells to carry out complex and thermodynamically unfavorable chemical conversions. In an effort to recruit these advantages for in vitro biotransformations, we have assembled a 10-step catalytic system - a system of biotransformations (SBT) - for the synthesis of unnatural monosaccharides based on the versatile building block dihydroxyacetone phosphate (DHAP). To facilitate the assembly of such a network, we have insulated a production pathway from Escherichia coli's central carbon metabolism. This pathway consists of the endogenous glycolysis without triose-phosphate isomerase to enable accumulation of DHAP and was completed with lactate dehydrogenase to regenerate NAD+. It could be readily extended for the synthesis of unnatural sugar molecules, such as the unnatural monosaccharide phosphate 5,6,7-trideoxy-D-threoheptulose-1-phosphate from DHAP and butanal. Insulation required in particular inactivation of the amn gene encoding the AMP nucleosidase, which otherwise led to glucoseindependent DHAP production from adenosine phosphates. The work demonstrates that a sufficiently insulated in vitro multi-step enzymatic system can be readily assembled from central carbon metabolism pathways. © 2010 Wiley Periodicals, Inc.","author":[{"dropping-particle":"","family":"Bujara","given":"Matthias","non-dropping-particle":"","parse-names":false,"suffix":""},{"dropping-particle":"","family":"Schümperli","given":"Michael","non-dropping-particle":"","parse-names":false,"suffix":""},{"dropping-particle":"","family":"Billerbeck","given":"Sonja","non-dropping-particle":"","parse-names":false,"suffix":""},{"dropping-particle":"","family":"Heinemann","given":"Matthias","non-dropping-particle":"","parse-names":false,"suffix":""},{"dropping-particle":"","family":"Panke","given":"Sven","non-dropping-particle":"","parse-names":false,"suffix":""}],"container-title":"Biotechnology and Bioengineering","id":"ITEM-1","issue":"3","issued":{"date-parts":[["2010","6","15"]]},"page":"376-389","publisher":"Biotechnol Bioeng","title":"Exploiting cell-free systems: Implementation and debugging of a system of biotransformations","type":"article-journal","volume":"106"},"uris":["http://www.mendeley.com/documents/?uuid=dcf05f7d-a050-3deb-b73b-d5fe4b460eed"]}],"mendeley":{"formattedCitation":"&lt;sup&gt;47&lt;/sup&gt;","plainTextFormattedCitation":"47","previouslyFormattedCitation":"&lt;sup&gt;47&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47</w:t>
      </w:r>
      <w:r w:rsidRPr="002C0A3B">
        <w:rPr>
          <w:rFonts w:cs="Arial"/>
          <w:color w:val="000000" w:themeColor="text1"/>
          <w:szCs w:val="22"/>
        </w:rPr>
        <w:fldChar w:fldCharType="end"/>
      </w:r>
      <w:r w:rsidRPr="002C0A3B">
        <w:rPr>
          <w:rFonts w:cs="Arial"/>
          <w:color w:val="000000" w:themeColor="text1"/>
          <w:szCs w:val="22"/>
        </w:rPr>
        <w:t>. Additionally, simply reducing the concentrations of flux-competing enzymes by down-regulating gene expression does not eliminate unwanted reactions in lysates</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{"citationItems":[{"id":"ITEM-1","itemData":{"DOI":"10.1038/s41467-021-25233-y","ISSN":"20411723","abstract":"Cell-free systems using crude cell extracts present appealing opportunities for designing biosynthetic pathways and enabling sustainable chemical synthesis. However, the lack of tools to effectively manipulate the underlying host metabolism in vitro limits the potential of these systems. Here, we create an integrated framework to address this gap that leverages cell extracts from host strains genetically rewired by multiplexed CRISPR-dCas9 modulation and other metabolic engineering techniques. As a model, we explore conversion of glucose to 2,3-butanediol in extracts from flux-enhanced Saccharomyces cerevisiae strains. We show that cellular flux rewiring in several strains of S. cerevisiae combined with systematic optimization of the cell-free reaction environment significantly increases 2,3-butanediol titers and volumetric productivities, reaching productivities greater than 0.9 g/L-h. We then show the generalizability of the framework by improving cell-free itaconic acid and glycerol biosynthesis. Our coupled in vivo/in vitro metabolic engineering approach opens opportunities for synthetic biology prototyping efforts and cell-free biomanufacturing.","author":[{"dropping-particle":"","family":"Rasor","given":"Blake J.","non-dropping-particle":"","parse-names":false,"suffix":""},{"dropping-particle":"","family":"Yi","given":"Xiunan","non-dropping-particle":"","parse-names":false,"suffix":""},{"dropping-particle":"","family":"Brown","given":"Hunter","non-dropping-particle":"","parse-names":false,"suffix":""},{"dropping-particle":"","family":"Alper","given":"Hal S.","non-dropping-particle":"","parse-names":false,"suffix":""},{"dropping-particle":"","family":"Jewett","given":"Michael C.","non-dropping-particle":"","parse-names":false,"suffix":""}],"container-title":"Nature Communications","id":"ITEM-1","issue":"1","issued":{"date-parts":[["2021"]]},"title":"An integrated in vivo/in vitro framework to enhance cell-free biosynthesis with metabolically rewired yeast extracts","type":"article-journal","volume":"12"},"uris":["http://www.mendeley.com/documents/?uuid=de3655a6-6de6-3969-b0d9-b134deac4cdc"]},{"id":"ITEM-2","itemData":{"DOI":"10.1016/j.mec.2021.e00162","ISSN":"22140301","abstract":"Cell-free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Communications","id":"ITEM-2","issued":{"date-parts":[["2021","6","1"]]},"page":"e00162","publisher":"Elsevier B.V.","title":"A lysate proteome engineering strategy for enhancing cell-free metabolite production","type":"article-journal","volume":"12"},"uris":["http://www.mendeley.com/documents/?uuid=babcd1d7-dd2c-32bc-b636-c7ebdf6b2dd4"]}],"mendeley":{"formattedCitation":"&lt;sup&gt;62,74&lt;/sup&gt;","plainTextFormattedCitation":"62,74","previouslyFormattedCitation":"&lt;sup&gt;62,74&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62,74</w:t>
      </w:r>
      <w:r w:rsidRPr="002C0A3B">
        <w:rPr>
          <w:rFonts w:cs="Arial"/>
          <w:color w:val="000000" w:themeColor="text1"/>
          <w:szCs w:val="22"/>
        </w:rPr>
        <w:fldChar w:fldCharType="end"/>
      </w:r>
      <w:r w:rsidRPr="002C0A3B">
        <w:rPr>
          <w:rFonts w:cs="Arial"/>
          <w:color w:val="000000" w:themeColor="text1"/>
          <w:szCs w:val="22"/>
        </w:rPr>
        <w:t>. The strategy presented here already provides &gt; 3-fold improvements in both titer and % yield compared against the unmodified extract even without optimization of the reaction environment or heterologous enzyme expression, both of which were necessary for achieving a similar improvement in BDO titer via a knockdown strategy</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{"citationItems":[{"id":"ITEM-1","itemData":{"DOI":"10.1038/s41467-021-25233-y","ISSN":"20411723","abstract":"Cell-free systems using crude cell extracts present appealing opportunities for designing biosynthetic pathways and enabling sustainable chemical synthesis. However, the lack of tools to effectively manipulate the underlying host metabolism in vitro limits the potential of these systems. Here, we create an integrated framework to address this gap that leverages cell extracts from host strains genetically rewired by multiplexed CRISPR-dCas9 modulation and other metabolic engineering techniques. As a model, we explore conversion of glucose to 2,3-butanediol in extracts from flux-enhanced Saccharomyces cerevisiae strains. We show that cellular flux rewiring in several strains of S. cerevisiae combined with systematic optimization of the cell-free reaction environment significantly increases 2,3-butanediol titers and volumetric productivities, reaching productivities greater than 0.9 g/L-h. We then show the generalizability of the framework by improving cell-free itaconic acid and glycerol biosynthesis. Our coupled in vivo/in vitro metabolic engineering approach opens opportunities for synthetic biology prototyping efforts and cell-free biomanufacturing.","author":[{"dropping-particle":"","family":"Rasor","given":"Blake J.","non-dropping-particle":"","parse-names":false,"suffix":""},{"dropping-particle":"","family":"Yi","given":"Xiunan","non-dropping-particle":"","parse-names":false,"suffix":""},{"dropping-particle":"","family":"Brown","given":"Hunter","non-dropping-particle":"","parse-names":false,"suffix":""},{"dropping-particle":"","family":"Alper","given":"Hal S.","non-dropping-particle":"","parse-names":false,"suffix":""},{"dropping-particle":"","family":"Jewett","given":"Michael C.","non-dropping-particle":"","parse-names":false,"suffix":""}],"container-title":"Nature Communications","id":"ITEM-1","issue":"1","issued":{"date-parts":[["2021"]]},"title":"An integrated in vivo/in vitro framework to enhance cell-free biosynthesis with metabolically rewired yeast extracts","type":"article-journal","volume":"12"},"uris":["http://www.mendeley.com/documents/?uuid=de3655a6-6de6-3969-b0d9-b134deac4cdc"]}],"mendeley":{"formattedCitation":"&lt;sup&gt;62&lt;/sup&gt;","plainTextFormattedCitation":"62","previouslyFormattedCitation":"&lt;sup&gt;62&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62</w:t>
      </w:r>
      <w:r w:rsidRPr="002C0A3B">
        <w:rPr>
          <w:rFonts w:cs="Arial"/>
          <w:color w:val="000000" w:themeColor="text1"/>
          <w:szCs w:val="22"/>
        </w:rPr>
        <w:fldChar w:fldCharType="end"/>
      </w:r>
      <w:r w:rsidRPr="002C0A3B">
        <w:rPr>
          <w:rFonts w:cs="Arial"/>
          <w:color w:val="000000" w:themeColor="text1"/>
          <w:szCs w:val="22"/>
        </w:rPr>
        <w:t xml:space="preserve">. </w:t>
      </w:r>
    </w:p>
    <w:p w14:paraId="10BBC408" w14:textId="77777777" w:rsidR="004E2DE7" w:rsidRPr="002C0A3B" w:rsidRDefault="004E2DE7" w:rsidP="004E2DE7">
      <w:pPr>
        <w:rPr>
          <w:rFonts w:cs="Arial"/>
          <w:b/>
          <w:bCs/>
          <w:color w:val="000000" w:themeColor="text1"/>
          <w:szCs w:val="22"/>
        </w:rPr>
      </w:pPr>
    </w:p>
    <w:p w14:paraId="13118EDC" w14:textId="77777777" w:rsidR="00F534D3" w:rsidRDefault="00F534D3">
      <w:pPr>
        <w:spacing w:line="240" w:lineRule="auto"/>
        <w:jc w:val="left"/>
        <w:rPr>
          <w:rFonts w:cs="Arial"/>
          <w:b/>
          <w:bCs/>
          <w:color w:val="000000" w:themeColor="text1"/>
          <w:szCs w:val="22"/>
        </w:rPr>
      </w:pPr>
      <w:r>
        <w:br w:type="page"/>
      </w:r>
    </w:p>
    <w:p w14:paraId="7DF2C8C4" w14:textId="3EA9CC5B" w:rsidR="004E2DE7" w:rsidRPr="00E033D4" w:rsidRDefault="007B7C75" w:rsidP="00E033D4">
      <w:pPr>
        <w:pStyle w:val="ChapterSub-heading"/>
      </w:pPr>
      <w:bookmarkStart w:id="101" w:name="_Toc129701052"/>
      <w:r w:rsidRPr="00E033D4">
        <w:lastRenderedPageBreak/>
        <w:t>4.4</w:t>
      </w:r>
      <w:r w:rsidR="004E2DE7" w:rsidRPr="00E033D4">
        <w:t>.2. Optimized reaction and cultivation conditions push and pull flux through the insulated pathway and improve ethanol yield in blocked lysates</w:t>
      </w:r>
      <w:bookmarkEnd w:id="101"/>
    </w:p>
    <w:p w14:paraId="1D30FF03" w14:textId="35C62328" w:rsidR="004E2DE7" w:rsidRPr="002C0A3B" w:rsidRDefault="004E2DE7" w:rsidP="002C0A3B">
      <w:pPr>
        <w:ind w:firstLine="720"/>
        <w:rPr>
          <w:rFonts w:cs="Arial"/>
          <w:color w:val="000000" w:themeColor="text1"/>
          <w:szCs w:val="22"/>
        </w:rPr>
      </w:pPr>
      <w:r w:rsidRPr="002C0A3B">
        <w:rPr>
          <w:rFonts w:cs="Arial"/>
          <w:color w:val="000000" w:themeColor="text1"/>
          <w:szCs w:val="22"/>
        </w:rPr>
        <w:t>Removing enzymes alone can be insufficient for achieving high conversion yields. Given the complexity of lysate metabolism, glucose-derived carbon can be trapped in metabolic intermediates or incorporated into less obvious end-products of central metabolism</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{"citationItems":[{"id":"ITEM-1","itemData":{"DOI":"10.3791/62852","ISSN":"1940087X","abstract":"Engineering cellular metabolism for targeted biosynthesis can require extensive design-build-test-learn (DBTL) cycles as the engineer works around the cell's survival requirements. Alternatively, carrying out DBTL cycles in cell-free environments can accelerate this process and alleviate concerns with host compatibility. A promising approach to cell-free metabolic engineering (CFME) leverages metabolically active crude cell extracts as platforms for biomanufacturing and for rapidly discovering and prototyping modified proteins and pathways. Realizing these capabilities and optimizing CFME performance requires methods to characterize the metabolome of lysate-based cell-free platforms. That is, analytical tools are necessary for monitoring improvements in targeted metabolite conversions and in elucidating alterations to metabolite flux when manipulating lysate metabolism. Here, metabolite analyses using high-performance liquid chromatography (HPLC) coupled with either optical or mass spectrometric detection were applied to characterize metabolite production and flux in E. coli S30 lysates. Specifically, this report describes the preparation of samples from CFME lysates for HPLC analyses using refractive index detection (RID) to quantify the generation of central metabolic intermediates and by-products in the conversion of low-cost substrates (i.e., glucose) to various high-value products. The analysis of metabolite conversion in CFME reactions fed with13 C-labeled glucose through reversed-phase liquid chromatography coupled to tandem mass spectrometry (MS/ MS), a powerful tool for characterizing specific metabolite yields and lysate metabolic flux from starting materials, is also presented. Altogether, applying these analytical methods to CFME lysate metabolism enables the advancement of these systems as alternative platforms for executing faster or novel metabolic engineering tasks.","author":[{"dropping-particle":"","family":"Dinglasan","given":"Jaime Lorenzo N.","non-dropping-particle":"","parse-names":false,"suffix":""},{"dropping-particle":"","family":"Reeves","given":"David T.","non-dropping-particle":"","parse-names":false,"suffix":""},{"dropping-particle":"","family":"Hettich","given":"Robert L.","non-dropping-particle":"","parse-names":false,"suffix":""},{"dropping-particle":"","family":"Doktycz","given":"Mitchel J.","non-dropping-particle":"","parse-names":false,"suffix":""}],"container-title":"Journal of Visualized Experiments","id":"ITEM-1","issue":"175","issued":{"date-parts":[["2021"]]},"title":"Liquid chromatography coupled to refractive index or mass spectrometric detection for metabolite profiling in lysate-based cell-free systems","type":"article-journal","volume":"2021"},"uris":["http://www.mendeley.com/documents/?uuid=7ea0affb-ee39-3abd-8eb2-d52c093f6376"]}],"mendeley":{"formattedCitation":"&lt;sup&gt;154&lt;/sup&gt;","plainTextFormattedCitation":"154","previouslyFormattedCitation":"&lt;sup&gt;154&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154</w:t>
      </w:r>
      <w:r w:rsidRPr="002C0A3B">
        <w:rPr>
          <w:rFonts w:cs="Arial"/>
          <w:color w:val="000000" w:themeColor="text1"/>
          <w:szCs w:val="22"/>
        </w:rPr>
        <w:fldChar w:fldCharType="end"/>
      </w:r>
      <w:r w:rsidRPr="002C0A3B">
        <w:rPr>
          <w:rFonts w:cs="Arial"/>
          <w:color w:val="000000" w:themeColor="text1"/>
          <w:szCs w:val="22"/>
        </w:rPr>
        <w:t>. Push and pull metabolic engineering strategies are typically implemented to improve pathway yields by overcoming bottleneck reactions while increasing carbon flow towards a target metabolite</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{"citationItems":[{"id":"ITEM-1","itemData":{"DOI":"10.1016/j.ymben.2012.11.002","ISSN":"10967176","abstract":"Production of fuels and chemicals by industrial biotechnology requires efficient, safe and flexible cell factory platforms that can be used for production of a wide range of compounds. Here we developed a platform yeast cell factory for efficient provision of acetyl-CoA that serves as precursor metabolite for a wide range of industrially interesting products. We demonstrate that the platform cell factory can be used to improve the production of α-santalene, a plant sesquiterpene that can be used as a perfume by four-fold. This strain would be a useful tool to produce a wide range of acetyl-CoA-derived products. © 2012 Elsevier Inc.","author":[{"dropping-particle":"","family":"Chen","given":"Yun","non-dropping-particle":"","parse-names":false,"suffix":""},{"dropping-particle":"","family":"Daviet","given":"Laurent","non-dropping-particle":"","parse-names":false,"suffix":""},{"dropping-particle":"","family":"Schalk","given":"Michel","non-dropping-particle":"","parse-names":false,"suffix":""},{"dropping-particle":"","family":"Siewers","given":"Verena","non-dropping-particle":"","parse-names":false,"suffix":""},{"dropping-particle":"","family":"Nielsen","given":"Jens","non-dropping-particle":"","parse-names":false,"suffix":""}],"container-title":"Metabolic Engineering","id":"ITEM-1","issue":"1","issued":{"date-parts":[["2013"]]},"title":"Establishing a platform cell factory through engineering of yeast acetyl-CoA metabolism","type":"article-journal","volume":"15"},"uris":["http://www.mendeley.com/documents/?uuid=9b68af71-b48c-339b-b8e6-d174b19ac21e"]}],"mendeley":{"formattedCitation":"&lt;sup&gt;148&lt;/sup&gt;","plainTextFormattedCitation":"148","previouslyFormattedCitation":"&lt;sup&gt;148&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148</w:t>
      </w:r>
      <w:r w:rsidRPr="002C0A3B">
        <w:rPr>
          <w:rFonts w:cs="Arial"/>
          <w:color w:val="000000" w:themeColor="text1"/>
          <w:szCs w:val="22"/>
        </w:rPr>
        <w:fldChar w:fldCharType="end"/>
      </w:r>
      <w:r w:rsidRPr="002C0A3B">
        <w:rPr>
          <w:rFonts w:cs="Arial"/>
          <w:color w:val="000000" w:themeColor="text1"/>
          <w:szCs w:val="22"/>
        </w:rPr>
        <w:t>. Previous CFME efforts have shown that optimal reaction and source strain cultivation conditions can enrich the concentrations or activities of desirable enzymes in lysate-based systems, increasing flux through a pathway of interest</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{"citationItems":[{"id":"ITEM-1","itemData":{"DOI":"10.1016/j.ymben.2018.09.011","ISSN":"10967184","abstract":"Expanding the concept of cell-free biology, implemented both with purified components and crude extracts, is continuing to deepen our appreciation of biological fundamentals while enlarging the range of applications. We are no longer intimidated by the complexity of crude extracts and complicated reaction systems with hundreds of active components, and, instead, coordinately activate and inactivate metabolic processes to focus and expand the capabilities of natural biological processes. This, in turn, dramatically increases the range of benefits offered by new products, both natural and supernatural, that were previously infeasible and/or unimaginable. This overview of cell-free metabolic engineering provides a broad range of examples and insights to guide and motivate continued research that will further expand fundamental understanding and beneficial applications. However, this survey also reveals how far we are from fully unlocking the potential offered by natural and engineered biological components and systems. This is an exciting conclusion, but metabolic engineering by itself is not sufficient. Going forward, innovative metabolic engineering must be intimately combined with creative process engineering to fully realize potential contributions toward a sustainable global civilization.","author":[{"dropping-particle":"","family":"Swartz","given":"James R.","non-dropping-particle":"","parse-names":false,"suffix":""}],"container-title":"Metabolic Engineering","id":"ITEM-1","issued":{"date-parts":[["2018"]]},"title":"Expanding biological applications using cell-free metabolic engineering: An overview","type":"article","volume":"50"},"uris":["http://www.mendeley.com/documents/?uuid=3d7b36e7-9d5b-3968-a2f9-9724c9ff971e"]},{"id":"ITEM-2","itemData":{"DOI":"10.3390/MPS2020033","ISSN":"2409-9279","abstract":"Due to the ongoing crises of fossil fuel depletion, climate change, and environmental pollution, microbial processes are increasingly considered as a potential alternative for cleaner and more efficient production of the diverse chemicals required for modern civilization. However, many issues, including low efficiency of raw material conversion and unintended release of genetically modified microorganisms into the environment, have limited the use of bioprocesses that rely on recombinant microorganisms. Cell-free metabolic engineering is emerging as a new approach that overcomes the limitations of existing cell-based systems. Instead of relying on metabolic processes carried out by living cells, cell-free metabolic engineering harnesses the metabolic activities of cell lysates in vitro. Such approaches offer several potential benefits, including operational simplicity, high conversion yield and productivity, and prevention of environmental release of microorganisms. In this article, we review the recent progress in this field and discuss the prospects of this technique as a next-generation bioconversion platform for the chemical industry.","author":[{"dropping-particle":"","family":"Lim","given":"Hye Jin","non-dropping-particle":"","parse-names":false,"suffix":""},{"dropping-particle":"","family":"Kim","given":"Dong Myung","non-dropping-particle":"","parse-names":false,"suffix":""}],"container-title":"Methods and Protocols 2019, Vol. 2, Page 33","id":"ITEM-2","issue":"2","issued":{"date-parts":[["2019","4","30"]]},"page":"33","publisher":"Multidisciplinary Digital Publishing Institute","title":"Cell-Free Metabolic Engineering: Recent Developments and Future Prospects","type":"article-journal","volume":"2"},"uris":["http://www.mendeley.com/documents/?uuid=ba4f51c7-f7a4-3531-be0e-7634b4d1a798"]},{"id":"ITEM-3","itemData":{"DOI":"10.1093/synbio/ysz027","abstract":"Engineering metabolism for the synthesis of bio-based products in non-model organisms can be challenging. One specific challenge is that biosynthetic pathways are often built from enzyme candidates sourced from diverse organisms, which can prove difficult to implement in recombinant hosts due to differences in their cellular environments (e.g. pH, cofactor balance). To address this problem, we report a cell-free synthetic biology approach for understanding metabolism in a range of environmental conditions, specifically under varied pH. The key idea is to control the pH of Escherichia coli-based cell-free systems for assessing pathway performance using enzymes sourced from organisms other than E. coli. As a model, we apply this approach to study the impact of pH on the n-butanol biosynthesis pathway derived from clostridia in E. coli lysates. Specifically, we exploit the open, cell-free reaction environment to explore pH outside the habitable range of E. coli, revealing insights into how chemical context impacts the interaction between native metabolism and heterologous enzymes. We find that the pH optimum for butanol production from acetyl-CoA is substantially lower than the optimal pH of glycolysis in E. coli-based crude lysates. In addition, pH is an essential factor to consider when activating metabolic pathways in the cell-free environment due to its effect on reaction yield or enzyme activity, the latter of which is demonstrated in this work for alcohol dehydrogenases from a range of extremophiles. Ultimately, altering metabolism through pH control will allow cell-free systems to be used in studying the metabolic state of organisms and identify suitable enzymes for pathway engineering.","author":[{"dropping-particle":"","family":"Karim","given":"Ashty S","non-dropping-particle":"","parse-names":false,"suffix":""},{"dropping-particle":"","family":"Rasor","given":"Blake J","non-dropping-particle":"","parse-names":false,"suffix":""},{"dropping-particle":"","family":"Jewett","given":"Michael C","non-dropping-particle":"","parse-names":false,"suffix":""}],"container-title":"Synthetic Biology","id":"ITEM-3","issue":"1","issued":{"date-parts":[["2020","1","1"]]},"publisher":"Oxford Academic","title":"Enhancing control of cell-free metabolism through pH modulation","type":"article-journal","volume":"5"},"uris":["http://www.mendeley.com/documents/?uuid=8088fefb-6e17-3ff6-91fc-9aaecbaf8f13"]},{"id":"ITEM-4","itemData":{"DOI":"10.1021/acssynbio.9b00524","ISSN":"21615063","PMID":"33044063","abstract":"Progress in cell-free protein synthesis (CFPS) has spurred resurgent interest in engineering complex biological metabolism outside of the cell. Unlike purified enzyme systems, crude cell-free systems can be prepared for a fraction of the cost and contain endogenous cellular pathways that can be activated for biosynthesis. Endogenous activity performs essential functions in cell-free systems including substrate biosynthesis and energy regeneration; however, use of crude cell-free systems for bioproduction has been hampered by the under-described complexity of the metabolic networks inherent to a crude lysate. Physical and chemical cultivation parameters influence the endogenous activity of the resulting lysate, but targeted efforts to engineer this activity by manipulation of these nongenetic factors has been limited. Here growth medium composition was manipulated to improve the one-pot in vitro biosynthesis of phenol from glucose via the expression of Pasteurella multocida phenol-tyrosine lyase in crude E. coli lysates. Crude cell lysate metabolic activity was focused toward the limiting precursor tyrosine by targeted growth medium dropouts guided by proteomics. The result is the activation of a 25-step enzymatic reaction cascade involving at least three endogenous E. coli metabolic pathways. Additional modification of this system, through CFPS of feedback intolerant AroG improves yield. This effort demonstrates the ability to activate a long, complex pathway in vitro and provides a framework for harnessing the metabolic potential of diverse organisms for cell-free metabolic engineering. The more than 6-fold increase in phenol yield with limited genetic manipulation demonstrates the benefits of optimizing growth medium for crude cell-free extract production and illustrates the advantages of a systems approach to cell-free metabolic engineering.","author":[{"dropping-particle":"","family":"Mohr","given":"Benjamin","non-dropping-particle":"","parse-names":false,"suffix":""},{"dropping-particle":"","family":"Giannone","given":"Richard J.","non-dropping-particle":"","parse-names":false,"suffix":""},{"dropping-particle":"","family":"Hettich","given":"Robert L.","non-dropping-particle":"","parse-names":false,"suffix":""},{"dropping-particle":"","family":"Doktycz","given":"Mitchel J.","non-dropping-particle":"","parse-names":false,"suffix":""}],"container-title":"ACS Synthetic Biology","id":"ITEM-4","issue":"11","issued":{"date-parts":[["2020","11","20"]]},"page":"2986-2997","publisher":"American Chemical Society","title":"Targeted growth medium dropouts promote aromatic compound synthesis in crude E. Coli cell-free systems","type":"article-journal","volume":"9"},"uris":["http://www.mendeley.com/documents/?uuid=5056c735-c966-306b-80ed-9bbc3ce44183"]},{"id":"ITEM-5","itemData":{"DOI":"10.1021/acssynbio.6b00154","author":[{"dropping-particle":"","family":"Dudley","given":"Quentin M","non-dropping-particle":"","parse-names":false,"suffix":""},{"dropping-particle":"","family":"Anderson","given":"Kim C","non-dropping-particle":"","parse-names":false,"suffix":""},{"dropping-particle":"","family":"Jewett","given":"Michael C","non-dropping-particle":"","parse-names":false,"suffix":""}],"id":"ITEM-5","issued":{"date-parts":[["2016"]]},"title":"Cell-Free Mixing of Escherichia coli Crude Extracts to Prototype and Rationally Engineer High-Titer Mevalonate Synthesis","type":"article-journal"},"uris":["http://www.mendeley.com/documents/?uuid=99336352-fabf-4121-855f-c8567c91a0c0"]},{"id":"ITEM-6","itemData":{"DOI":"10.1038/s41467-021-25233-y","ISSN":"20411723","abstract":"Cell-free systems using crude cell extracts present appealing opportunities for designing biosynthetic pathways and enabling sustainable chemical synthesis. However, the lack of tools to effectively manipulate the underlying host metabolism in vitro limits the potential of these systems. Here, we create an integrated framework to address this gap that leverages cell extracts from host strains genetically rewired by multiplexed CRISPR-dCas9 modulation and other metabolic engineering techniques. As a model, we explore conversion of glucose to 2,3-butanediol in extracts from flux-enhanced Saccharomyces cerevisiae strains. We show that cellular flux rewiring in several strains of S. cerevisiae combined with systematic optimization of the cell-free reaction environment significantly increases 2,3-butanediol titers and volumetric productivities, reaching productivities greater than 0.9 g/L-h. We then show the generalizability of the framework by improving cell-free itaconic acid and glycerol biosynthesis. Our coupled in vivo/in vitro metabolic engineering approach opens opportunities for synthetic biology prototyping efforts and cell-free biomanufacturing.","author":[{"dropping-particle":"","family":"Rasor","given":"Blake J.","non-dropping-particle":"","parse-names":false,"suffix":""},{"dropping-particle":"","family":"Yi","given":"Xiunan","non-dropping-particle":"","parse-names":false,"suffix":""},{"dropping-particle":"","family":"Brown","given":"Hunter","non-dropping-particle":"","parse-names":false,"suffix":""},{"dropping-particle":"","family":"Alper","given":"Hal S.","non-dropping-particle":"","parse-names":false,"suffix":""},{"dropping-particle":"","family":"Jewett","given":"Michael C.","non-dropping-particle":"","parse-names":false,"suffix":""}],"container-title":"Nature Communications","id":"ITEM-6","issue":"1","issued":{"date-parts":[["2021"]]},"title":"An integrated in vivo/in vitro framework to enhance cell-free biosynthesis with metabolically rewired yeast extracts","type":"article-journal","volume":"12"},"uris":["http://www.mendeley.com/documents/?uuid=de3655a6-6de6-3969-b0d9-b134deac4cdc"]}],"mendeley":{"formattedCitation":"&lt;sup&gt;17,19,53,62,73,78&lt;/sup&gt;","plainTextFormattedCitation":"17,19,53,62,73,78","previouslyFormattedCitation":"&lt;sup&gt;17,19,53,62,73,78&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17,19,53,62,73,78</w:t>
      </w:r>
      <w:r w:rsidRPr="002C0A3B">
        <w:rPr>
          <w:rFonts w:cs="Arial"/>
          <w:color w:val="000000" w:themeColor="text1"/>
          <w:szCs w:val="22"/>
        </w:rPr>
        <w:fldChar w:fldCharType="end"/>
      </w:r>
      <w:r w:rsidRPr="002C0A3B">
        <w:rPr>
          <w:rFonts w:cs="Arial"/>
          <w:color w:val="000000" w:themeColor="text1"/>
          <w:szCs w:val="22"/>
        </w:rPr>
        <w:t>. Some of these tactics were thus applied sequentially to increase flux through the insulated ethanol biosynthesis pathway in the blocked lysate, using % yield of ethanol from glucose as a parameter for optimization.</w:t>
      </w:r>
    </w:p>
    <w:p w14:paraId="7BB3D553" w14:textId="11AC1E92" w:rsidR="004E2DE7" w:rsidRDefault="004E2DE7" w:rsidP="004E2DE7">
      <w:pPr>
        <w:ind w:firstLine="720"/>
        <w:rPr>
          <w:rFonts w:cs="Arial"/>
          <w:color w:val="000000" w:themeColor="text1"/>
          <w:szCs w:val="22"/>
        </w:rPr>
      </w:pPr>
      <w:r w:rsidRPr="002C0A3B">
        <w:rPr>
          <w:rFonts w:cs="Arial"/>
          <w:color w:val="000000" w:themeColor="text1"/>
          <w:szCs w:val="22"/>
        </w:rPr>
        <w:t>First, different combinations of starting cofactor concentrations were sampled in reactions prepared with glucose fed, blocked extracts. The cofactors NAD</w:t>
      </w:r>
      <w:r w:rsidRPr="002C0A3B">
        <w:rPr>
          <w:rFonts w:cs="Arial"/>
          <w:color w:val="000000" w:themeColor="text1"/>
          <w:szCs w:val="22"/>
          <w:vertAlign w:val="superscript"/>
        </w:rPr>
        <w:t>+</w:t>
      </w:r>
      <w:r w:rsidRPr="002C0A3B">
        <w:rPr>
          <w:rFonts w:cs="Arial"/>
          <w:color w:val="000000" w:themeColor="text1"/>
          <w:szCs w:val="22"/>
        </w:rPr>
        <w:t>, ATP, and CoA are all responsible for driving past flux restricting steps in the glycolysis module of the target pathway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1A</w:t>
      </w:r>
      <w:r w:rsidRPr="002C0A3B">
        <w:rPr>
          <w:rFonts w:cs="Arial"/>
          <w:color w:val="000000" w:themeColor="text1"/>
          <w:szCs w:val="22"/>
        </w:rPr>
        <w:t>), hence the initial supplementation of 1 mM of each of these reagents to the reactions. Interestingly, ~ 40% (</w:t>
      </w:r>
      <w:r w:rsidRPr="002C0A3B">
        <w:rPr>
          <w:rFonts w:cs="Arial"/>
          <w:i/>
          <w:iCs/>
          <w:color w:val="000000" w:themeColor="text1"/>
          <w:szCs w:val="22"/>
        </w:rPr>
        <w:t xml:space="preserve">39.1% </w:t>
      </w:r>
      <w:r w:rsidRPr="002C0A3B">
        <w:rPr>
          <w:rFonts w:cs="Arial"/>
          <w:i/>
          <w:iCs/>
          <w:color w:val="000000" w:themeColor="text1"/>
          <w:szCs w:val="22"/>
        </w:rPr>
        <w:sym w:font="Symbol" w:char="F0B1"/>
      </w:r>
      <w:r w:rsidRPr="002C0A3B">
        <w:rPr>
          <w:rFonts w:cs="Arial"/>
          <w:i/>
          <w:iCs/>
          <w:color w:val="000000" w:themeColor="text1"/>
          <w:szCs w:val="22"/>
        </w:rPr>
        <w:t xml:space="preserve"> 3.2%</w:t>
      </w:r>
      <w:r w:rsidRPr="002C0A3B">
        <w:rPr>
          <w:rFonts w:cs="Arial"/>
          <w:color w:val="000000" w:themeColor="text1"/>
          <w:szCs w:val="22"/>
        </w:rPr>
        <w:t>) of the maximum theoretical ethanol yield can be achieved when the reactions are started with 2 mM NAD</w:t>
      </w:r>
      <w:r w:rsidRPr="002C0A3B">
        <w:rPr>
          <w:rFonts w:cs="Arial"/>
          <w:color w:val="000000" w:themeColor="text1"/>
          <w:szCs w:val="22"/>
          <w:vertAlign w:val="superscript"/>
        </w:rPr>
        <w:t>+</w:t>
      </w:r>
      <w:r w:rsidRPr="002C0A3B">
        <w:rPr>
          <w:rFonts w:cs="Arial"/>
          <w:color w:val="000000" w:themeColor="text1"/>
          <w:szCs w:val="22"/>
        </w:rPr>
        <w:t xml:space="preserve">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3A</w:t>
      </w:r>
      <w:r w:rsidRPr="002C0A3B">
        <w:rPr>
          <w:rFonts w:cs="Arial"/>
          <w:color w:val="000000" w:themeColor="text1"/>
          <w:szCs w:val="22"/>
        </w:rPr>
        <w:t>); supplementation with ATP or CoA are unnecessary for improving yield. These conditions result in a % yield that is significantly higher (</w:t>
      </w:r>
      <w:proofErr w:type="spellStart"/>
      <w:r w:rsidRPr="002C0A3B">
        <w:rPr>
          <w:rFonts w:cs="Arial"/>
          <w:i/>
          <w:iCs/>
          <w:color w:val="000000" w:themeColor="text1"/>
          <w:szCs w:val="22"/>
        </w:rPr>
        <w:t>pval</w:t>
      </w:r>
      <w:proofErr w:type="spellEnd"/>
      <w:r w:rsidRPr="002C0A3B">
        <w:rPr>
          <w:rFonts w:cs="Arial"/>
          <w:i/>
          <w:iCs/>
          <w:color w:val="000000" w:themeColor="text1"/>
          <w:szCs w:val="22"/>
        </w:rPr>
        <w:t xml:space="preserve"> = 0.03</w:t>
      </w:r>
      <w:r w:rsidRPr="002C0A3B">
        <w:rPr>
          <w:rFonts w:cs="Arial"/>
          <w:color w:val="000000" w:themeColor="text1"/>
          <w:szCs w:val="22"/>
        </w:rPr>
        <w:t>) than that of the initial condition (</w:t>
      </w:r>
      <w:r w:rsidRPr="002C0A3B">
        <w:rPr>
          <w:rFonts w:cs="Arial"/>
          <w:i/>
          <w:iCs/>
          <w:color w:val="000000" w:themeColor="text1"/>
          <w:szCs w:val="22"/>
        </w:rPr>
        <w:t xml:space="preserve">27.2% </w:t>
      </w:r>
      <w:r w:rsidRPr="002C0A3B">
        <w:rPr>
          <w:rFonts w:cs="Arial"/>
          <w:i/>
          <w:iCs/>
          <w:color w:val="000000" w:themeColor="text1"/>
          <w:szCs w:val="22"/>
        </w:rPr>
        <w:sym w:font="Symbol" w:char="F0B1"/>
      </w:r>
      <w:r w:rsidRPr="002C0A3B">
        <w:rPr>
          <w:rFonts w:cs="Arial"/>
          <w:i/>
          <w:iCs/>
          <w:color w:val="000000" w:themeColor="text1"/>
          <w:szCs w:val="22"/>
        </w:rPr>
        <w:t xml:space="preserve"> 3.5%</w:t>
      </w:r>
      <w:r w:rsidRPr="002C0A3B">
        <w:rPr>
          <w:rFonts w:cs="Arial"/>
          <w:color w:val="000000" w:themeColor="text1"/>
          <w:szCs w:val="22"/>
        </w:rPr>
        <w:t>)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3B</w:t>
      </w:r>
      <w:r w:rsidRPr="002C0A3B">
        <w:rPr>
          <w:rFonts w:cs="Arial"/>
          <w:color w:val="000000" w:themeColor="text1"/>
          <w:szCs w:val="22"/>
        </w:rPr>
        <w:t>). NAD</w:t>
      </w:r>
      <w:r w:rsidRPr="002C0A3B">
        <w:rPr>
          <w:rFonts w:cs="Arial"/>
          <w:color w:val="000000" w:themeColor="text1"/>
          <w:szCs w:val="22"/>
          <w:vertAlign w:val="superscript"/>
        </w:rPr>
        <w:t>+</w:t>
      </w:r>
      <w:r w:rsidRPr="002C0A3B">
        <w:rPr>
          <w:rFonts w:cs="Arial"/>
          <w:color w:val="000000" w:themeColor="text1"/>
          <w:szCs w:val="22"/>
        </w:rPr>
        <w:t xml:space="preserve"> concentrations beyond 2 mM had no positive effect on ethanol yield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00E84CA7">
        <w:rPr>
          <w:rFonts w:cs="Arial"/>
          <w:b/>
          <w:bCs/>
          <w:color w:val="000000" w:themeColor="text1"/>
          <w:szCs w:val="22"/>
        </w:rPr>
        <w:t>10</w:t>
      </w:r>
      <w:r w:rsidRPr="002C0A3B">
        <w:rPr>
          <w:rFonts w:cs="Arial"/>
          <w:color w:val="000000" w:themeColor="text1"/>
          <w:szCs w:val="22"/>
        </w:rPr>
        <w:t>). Approximately 40% yield could also be realized if 1 mM ATP and 1 mM NAD</w:t>
      </w:r>
      <w:r w:rsidRPr="002C0A3B">
        <w:rPr>
          <w:rFonts w:cs="Arial"/>
          <w:color w:val="000000" w:themeColor="text1"/>
          <w:szCs w:val="22"/>
          <w:vertAlign w:val="superscript"/>
        </w:rPr>
        <w:t>+</w:t>
      </w:r>
      <w:r w:rsidRPr="002C0A3B">
        <w:rPr>
          <w:rFonts w:cs="Arial"/>
          <w:color w:val="000000" w:themeColor="text1"/>
          <w:szCs w:val="22"/>
        </w:rPr>
        <w:t xml:space="preserve"> were added to reactions without CoA, suggesting a complex interplay between ATP and NAD</w:t>
      </w:r>
      <w:r w:rsidRPr="002C0A3B">
        <w:rPr>
          <w:rFonts w:cs="Arial"/>
          <w:color w:val="000000" w:themeColor="text1"/>
          <w:szCs w:val="22"/>
          <w:vertAlign w:val="superscript"/>
        </w:rPr>
        <w:t>+</w:t>
      </w:r>
      <w:r w:rsidRPr="002C0A3B">
        <w:rPr>
          <w:rFonts w:cs="Arial"/>
          <w:color w:val="000000" w:themeColor="text1"/>
          <w:szCs w:val="22"/>
        </w:rPr>
        <w:t xml:space="preserve"> availability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3B</w:t>
      </w:r>
      <w:r w:rsidRPr="002C0A3B">
        <w:rPr>
          <w:rFonts w:cs="Arial"/>
          <w:color w:val="000000" w:themeColor="text1"/>
          <w:szCs w:val="22"/>
        </w:rPr>
        <w:t>). Regardless of starting ATP or NAD</w:t>
      </w:r>
      <w:r w:rsidRPr="002C0A3B">
        <w:rPr>
          <w:rFonts w:cs="Arial"/>
          <w:color w:val="000000" w:themeColor="text1"/>
          <w:szCs w:val="22"/>
          <w:vertAlign w:val="superscript"/>
        </w:rPr>
        <w:t>+</w:t>
      </w:r>
      <w:r w:rsidRPr="002C0A3B">
        <w:rPr>
          <w:rFonts w:cs="Arial"/>
          <w:color w:val="000000" w:themeColor="text1"/>
          <w:szCs w:val="22"/>
        </w:rPr>
        <w:t xml:space="preserve"> concentrations, decreasing CoA concentrations consistently improved % ethanol yields (</w:t>
      </w:r>
      <w:r w:rsidR="00405F98">
        <w:rPr>
          <w:rFonts w:cs="Arial"/>
          <w:b/>
          <w:bCs/>
          <w:color w:val="000000" w:themeColor="text1"/>
          <w:szCs w:val="22"/>
        </w:rPr>
        <w:t>Figures</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3A and B</w:t>
      </w:r>
      <w:r w:rsidRPr="002C0A3B">
        <w:rPr>
          <w:rFonts w:cs="Arial"/>
          <w:color w:val="000000" w:themeColor="text1"/>
          <w:szCs w:val="22"/>
        </w:rPr>
        <w:t xml:space="preserve">). This can be </w:t>
      </w:r>
      <w:r w:rsidRPr="002C0A3B">
        <w:rPr>
          <w:rFonts w:cs="Arial"/>
          <w:color w:val="000000" w:themeColor="text1"/>
          <w:szCs w:val="22"/>
        </w:rPr>
        <w:lastRenderedPageBreak/>
        <w:t>attributed to the regulatory role of CoA-derived moieties which can bottleneck flux through glycolysis to ethanol. When accumulated, succinyl-CoA and acetyl-CoA inhibit the pyruvate forming enzyme pyruvate kinase and PDHC, respectively</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{"citationItems":[{"id":"ITEM-1","itemData":{"DOI":"10.1016/s0021-9258(19)43120-7","ISSN":"00219258","author":[{"dropping-particle":"","family":"Waygood","given":"E. Bruce","non-dropping-particle":"","parse-names":false,"suffix":""},{"dropping-particle":"","family":"Sanwal","given":"B.D.","non-dropping-particle":"","parse-names":false,"suffix":""}],"container-title":"Journal of Biological Chemistry","id":"ITEM-1","issue":"1","issued":{"date-parts":[["1974"]]},"title":"The Control of Pyruvate Kinases of Escherichia coli","type":"article-journal","volume":"249"},"uris":["http://www.mendeley.com/documents/?uuid=2240dc29-4384-3d0f-95be-fb4fb634a1ee"]},{"id":"ITEM-2","itemData":{"DOI":"10.1128/AEM.02545-09","ISSN":"00992240","PMID":"20118372","abstract":"During anaerobic growth of Escherichia coli, pyruvate formate-lyase (PFL) and lactate dehydrogenase (LDH) channel pyruvate toward a mixture of fermentation products. We have introduced a third branch at the pyruvate node in a mutant of E. coli with a mutation in pyruvate dehydrogenase (PDH*) that renders the enzyme less sensitive to inhibition by NADH. The key starting enzymes of the three branches at the pyruvate node in such a mutant, PDH*, PFL, and LDH, have different metabolic potentials and kinetic properties. In such a mutant (strain QZ2), pyruvate flux through LDH was about 30%, with the remainder of the flux occurring through PFL, indicating that LDH is a preferred route of pyruvate conversion over PDH*. In a pfl mutant (strain YKl67) with both PDH* and LDH activities, flux through PDH* was about 33% of the total, confirming the ability of LDH to outcompete the PDH pathway for pyruvate in vivo. Only in the absence of LDH (strain QZ3) was pyruvate carbon equally distributed between the PDH* and PFL pathways. Apfl mutant with LDH and PDH* activities, as well as a pfl ldh double mutant with PDH* activity, had a surprisingly low cell yield per mole of ATP (Y ATP) (about 7.0 g of cells per mol of ATP) compared to 10.9 g of cells per mol of ATP for the wild type. The lower YATP suggests the operation of a futile energy cycle in the absence of PFL in this strain. An understanding of the controls at the pyruvate node during anaerobic growth is expected to provide unique insights into rational metabolic engineering of E. coli and related bacteria for the production of various biobased products at high rates and yields. Copyright © 2010, American Society for Microbiology. All Rights Reserved.","author":[{"dropping-particle":"","family":"Wang","given":"Qingzhao","non-dropping-particle":"","parse-names":false,"suffix":""},{"dropping-particle":"","family":"Ou","given":"Mark S.","non-dropping-particle":"","parse-names":false,"suffix":""},{"dropping-particle":"","family":"Kim","given":"Y.","non-dropping-particle":"","parse-names":false,"suffix":""},{"dropping-particle":"","family":"Ingram","given":"L. O.","non-dropping-particle":"","parse-names":false,"suffix":""},{"dropping-particle":"","family":"Shanmugam","given":"K. T.","non-dropping-particle":"","parse-names":false,"suffix":""}],"container-title":"Applied and Environmental Microbiology","id":"ITEM-2","issue":"7","issued":{"date-parts":[["2010","4","1"]]},"page":"2107-2114","publisher":"American Society for Microbiology","title":"Metabolie flux control at the pyruvate node in an anaerobic escherichia coli strain with an active pyruvate dehydrogenase","type":"article-journal","volume":"76"},"uris":["http://www.mendeley.com/documents/?uuid=6ffafc4d-2eb8-3b2f-8291-5d17baba9fe9"]},{"id":"ITEM-3","itemData":{"DOI":"10.1016/S0378-1097(97)00587-9","ISSN":"03781097","abstract":"The effects or changing environmental conditions on expression of the pdh operon were studied in strains containing pyruvate dehydrogenase (PDH) complexes having either one or three lipoyl domains per lipoate acetyltransferase chain. The expression of the pdh operon was lowered during growth on reduced carbon sources and when the mode of energy generation was changed from aerobic respiration to anaerobic respiration and fermentation. In contrast, growth at non-optimal pH increased expression. Operon expression was generally higher in the 1 lip strain compared to the 3 lip strain. Expression of the pdh operon was shown to be tightly controlled in response to environmental stimuli, consistent with its importance in defining metabolic flux.","author":[{"dropping-particle":"","family":"Cassey","given":"Barrie","non-dropping-particle":"","parse-names":false,"suffix":""},{"dropping-particle":"","family":"Guest","given":"John R.","non-dropping-particle":"","parse-names":false,"suffix":""},{"dropping-particle":"","family":"Attwood","given":"Margaret M.","non-dropping-particle":"","parse-names":false,"suffix":""}],"container-title":"FEMS Microbiology Letters","id":"ITEM-3","issue":"2","issued":{"date-parts":[["1998"]]},"title":"Environmental control of pyruvate dehydrogenase complex expression in Escherichia coli","type":"article-journal","volume":"159"},"uris":["http://www.mendeley.com/documents/?uuid=490918b8-4ae0-3e3d-a323-b62de27793e9"]}],"mendeley":{"formattedCitation":"&lt;sup&gt;109,161,162&lt;/sup&gt;","plainTextFormattedCitation":"109,161,162","previouslyFormattedCitation":"&lt;sup&gt;109,161,162&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109,161,162</w:t>
      </w:r>
      <w:r w:rsidRPr="002C0A3B">
        <w:rPr>
          <w:rFonts w:cs="Arial"/>
          <w:color w:val="000000" w:themeColor="text1"/>
          <w:szCs w:val="22"/>
        </w:rPr>
        <w:fldChar w:fldCharType="end"/>
      </w:r>
      <w:r w:rsidRPr="002C0A3B">
        <w:rPr>
          <w:rFonts w:cs="Arial"/>
          <w:color w:val="000000" w:themeColor="text1"/>
          <w:szCs w:val="22"/>
        </w:rPr>
        <w:t>. These intermediates can become excessive when there is high CoA availability at the start of the reaction and result in lower glucose consumption and ethanol production, thereby lowering % ethanol yields (</w:t>
      </w:r>
      <w:r w:rsidR="00405F98">
        <w:rPr>
          <w:rFonts w:cs="Arial"/>
          <w:b/>
          <w:bCs/>
          <w:color w:val="000000" w:themeColor="text1"/>
          <w:szCs w:val="22"/>
        </w:rPr>
        <w:t>Figures</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3A and B</w:t>
      </w:r>
      <w:r w:rsidRPr="002C0A3B">
        <w:rPr>
          <w:rFonts w:cs="Arial"/>
          <w:color w:val="000000" w:themeColor="text1"/>
          <w:szCs w:val="22"/>
        </w:rPr>
        <w:t xml:space="preserve">). Another possibility is that free CoA inhibits the forward reaction catalyzed by the acetaldehyde dehydrogenase component of </w:t>
      </w:r>
      <w:proofErr w:type="spellStart"/>
      <w:r w:rsidRPr="002C0A3B">
        <w:rPr>
          <w:rFonts w:cs="Arial"/>
          <w:color w:val="000000" w:themeColor="text1"/>
          <w:szCs w:val="22"/>
        </w:rPr>
        <w:t>AdhE</w:t>
      </w:r>
      <w:proofErr w:type="spellEnd"/>
      <w:r w:rsidRPr="002C0A3B">
        <w:rPr>
          <w:rFonts w:cs="Arial"/>
          <w:color w:val="000000" w:themeColor="text1"/>
          <w:szCs w:val="22"/>
        </w:rPr>
        <w:t>, stalling ethanol synthesis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{"citationItems":[{"id":"ITEM-1","itemData":{"DOI":"10.1016/0014-5793(91)80358-A","ISSN":"1873-3468","PMID":"2015910","abstract":"A 4.8 kb DNA-fragment was cloned and sequenced encompassing the structural gene of PFL-deactivase (2.7 kb) and 2 kb of the 5 flanking region that contains the elements for anaerobic induction. A mutant lacking deactivase was shown to require exogenous electron acceptors for anaecrobic growth with glucose. This revealed the identity of PFL-deactivase with the alcohol and acetaldehyde dehydrogenases of E. coli. The multienzyme represents a homopolymeric protein (</w:instrText>
      </w:r>
      <w:r w:rsidR="004F3109">
        <w:rPr>
          <w:rFonts w:ascii="Cambria Math" w:hAnsi="Cambria Math" w:cs="Cambria Math"/>
          <w:color w:val="000000" w:themeColor="text1"/>
          <w:szCs w:val="22"/>
        </w:rPr>
        <w:instrText>∼</w:instrText>
      </w:r>
      <w:r w:rsidR="004F3109">
        <w:rPr>
          <w:rFonts w:cs="Arial"/>
          <w:color w:val="000000" w:themeColor="text1"/>
          <w:szCs w:val="22"/>
        </w:rPr>
        <w:instrText xml:space="preserve"> 40 × 96 kDa) requiring Fe2+ for all functions. © 1991.","author":[{"dropping-particle":"","family":"Kessler","given":"Dorothea","non-dropping-particle":"","parse-names":false,"suffix":""},{"dropping-particle":"","family":"Leibrecht","given":"Iris","non-dropping-particle":"","parse-names":false,"suffix":""},{"dropping-particle":"","family":"Knappe","given":"Joachim","non-dropping-particle":"","parse-names":false,"suffix":""}],"container-title":"FEBS Letters","id":"ITEM-1","issue":"1-2","issued":{"date-parts":[["1991","4","9"]]},"page":"59-63","publisher":"John Wiley &amp; Sons, Ltd","title":"Pyruvate-formate-lyase-deactivase and acetyl-CoA reductase activities of Escherichia coli reside on a polymeric protein particle encoded by adhE","type":"article-journal","volume":"281"},"uris":["http://www.mendeley.com/documents/?uuid=a4fd0505-2805-30a2-90b1-d1957b619650"]}],"mendeley":{"formattedCitation":"&lt;sup&gt;163&lt;/sup&gt;","plainTextFormattedCitation":"163","previouslyFormattedCitation":"&lt;sup&gt;163&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163</w:t>
      </w:r>
      <w:r w:rsidRPr="002C0A3B">
        <w:rPr>
          <w:rFonts w:cs="Arial"/>
          <w:color w:val="000000" w:themeColor="text1"/>
          <w:szCs w:val="22"/>
        </w:rPr>
        <w:fldChar w:fldCharType="end"/>
      </w:r>
      <w:r w:rsidRPr="002C0A3B">
        <w:rPr>
          <w:rFonts w:cs="Arial"/>
          <w:color w:val="000000" w:themeColor="text1"/>
          <w:szCs w:val="22"/>
        </w:rPr>
        <w:t>.</w:t>
      </w:r>
    </w:p>
    <w:p w14:paraId="0898ECED" w14:textId="0F91E5D1" w:rsidR="00F534D3" w:rsidRDefault="0039202C" w:rsidP="00F534D3">
      <w:pPr>
        <w:rPr>
          <w:rFonts w:cs="Arial"/>
          <w:color w:val="000000" w:themeColor="text1"/>
          <w:szCs w:val="22"/>
        </w:rPr>
      </w:pPr>
      <w:r w:rsidRPr="002C0A3B">
        <w:rPr>
          <w:rFonts w:cs="Arial"/>
          <w:color w:val="000000" w:themeColor="text1"/>
          <w:szCs w:val="22"/>
        </w:rPr>
        <w:t>Next, different reaction vessels were tested to determine whether smaller sized reactors would benefit the system’s conversion efficiency. Decreasing the size of the vessel reduces the air/liquid surface area to reaction volume ratio as well as the reaction headspace, both of which reportedly limit the oxygenation of cell-free reactions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{"citationItems":[{"id":"ITEM-1","itemData":{"DOI":"10.1038/MSB.2008.57","ISSN":"17444292","PMID":"18854819","abstract":"Cell-free systems offer a unique platform for expanding the capabilities of natural biological systems for useful purposes, i.e. synthetic biology. They reduce complexity, remove structural barriers, and do not require the maintenance of cell viability. Cell-free systems, however, have been limited by their inability to co-activate multiple biochemical networks in a single integrated platform. Here, we report the assessment of biochemical reactions in an Escherichia coli cell-free platform designed to activate natural metabolism, the Cytomim system. We reveal that central catabolism, oxidative phosphorylation, and protein synthesis can be co-activated in a single reaction system. Never before have these complex systems been shown to be simultaneously activated without living cells. The Cytomim system therefore promises to provide the metabolic foundation for diverse ab initio cell-free synthetic biology projects. In addition, we describe an improved Cytomim system with enhanced protein synthesis yields (up to 1200 mg/l in 2 h) and lower costs to facilitate production of protein therapeutics and biochemicals that are difficult to make in vivo because of their toxicity, complexity, or unusual cofactor requirements. © 2008 EMBO and Macmillan Publishers Limited All rights reserved.","author":[{"dropping-particle":"","family":"Jewett","given":"Michael C.","non-dropping-particle":"","parse-names":false,"suffix":""},{"dropping-particle":"","family":"Calhoun","given":"Kara A.","non-dropping-particle":"","parse-names":false,"suffix":""},{"dropping-particle":"","family":"Voloshin","given":"Alexei","non-dropping-particle":"","parse-names":false,"suffix":""},{"dropping-particle":"","family":"Wuu","given":"Jessica J.","non-dropping-particle":"","parse-names":false,"suffix":""},{"dropping-particle":"","family":"Swartz","given":"James R.","non-dropping-particle":"","parse-names":false,"suffix":""}],"container-title":"Molecular Systems Biology","id":"ITEM-1","issued":{"date-parts":[["2008"]]},"page":"220","publisher":"European Molecular Biology Organization","title":"An integrated cell-free metabolic platform for protein production and synthetic biology","type":"article-journal","volume":"4"},"uris":["http://www.mendeley.com/documents/?uuid=79f4b57e-11d3-358c-acee-c93676b0c5bb"]},{"id":"ITEM-2","itemData":{"DOI":"10.1038/s43586-021-00046-x","ISBN":"0123456789","ISSN":"2662-8449","abstract":"Cell-free gene expression (CFE) emerged as an alternative approach to living cells for specific applications in protein synthesis and labelling for structural biology and proteomics studies. CFE has since been repurposed as a versatile technology for synthetic biology and bioengineering. However, taking full advantage of this technology requires in-depth understanding of its fundamental workflow beyond existing protocols. This Primer provides new practitioners with a comprehensive, detailed and actionable guide to best practices in CFE, to inform research in the laboratory at the state of the art. We focus on Escherichia coli-based CFE systems, which remain the primary platform for efficient CFE. Producing proteins, biomanufacturing therapeutics, developing sensors and prototyping genetic circuits illustrate the broader utility and opportunities provided by this practical introduction to CFE. With its extensive functionality and portability, CFE is becoming a powerful and enabling research tool for biotechnology. Cell-free gene expression is useful for expressing proteins with post-translational modifications, with special folding requirements and whose expression is difficult in prokaryotic systems. Garenne et al. outline the best practices for the expression of proteins in a cell-free environment.","author":[{"dropping-particle":"","family":"Garenne","given":"David","non-dropping-particle":"","parse-names":false,"suffix":""},{"dropping-particle":"","family":"Haines","given":"Matthew C.","non-dropping-particle":"","parse-names":false,"suffix":""},{"dropping-particle":"","family":"Romantseva","given":"Eugenia F.","non-dropping-particle":"","parse-names":false,"suffix":""},{"dropping-particle":"","family":"Freemont","given":"Paul","non-dropping-particle":"","parse-names":false,"suffix":""},{"dropping-particle":"","family":"Strychalski","given":"Elizabeth A.","non-dropping-particle":"","parse-names":false,"suffix":""},{"dropping-particle":"","family":"Noireaux","given":"Vincent","non-dropping-particle":"","parse-names":false,"suffix":""}],"container-title":"Nature Reviews Methods Primers 2021 1:1","id":"ITEM-2","issue":"1","issued":{"date-parts":[["2021","7","15"]]},"page":"1-18","publisher":"Nature Publishing Group","title":"Cell-free gene expression","type":"article-journal","volume":"1"},"uris":["http://www.mendeley.com/documents/?uuid=233a9f58-3e3a-39fe-aa83-d99d82236343"]}],"mendeley":{"formattedCitation":"&lt;sup&gt;164,165&lt;/sup&gt;","plainTextFormattedCitation":"164,165","previouslyFormattedCitation":"&lt;sup&gt;164,165&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164,165</w:t>
      </w:r>
      <w:r w:rsidRPr="002C0A3B">
        <w:rPr>
          <w:rFonts w:cs="Arial"/>
          <w:color w:val="000000" w:themeColor="text1"/>
          <w:szCs w:val="22"/>
        </w:rPr>
        <w:fldChar w:fldCharType="end"/>
      </w:r>
      <w:r w:rsidRPr="002C0A3B">
        <w:rPr>
          <w:rFonts w:cs="Arial"/>
          <w:color w:val="000000" w:themeColor="text1"/>
          <w:szCs w:val="22"/>
        </w:rPr>
        <w:t xml:space="preserve">. In </w:t>
      </w:r>
      <w:r w:rsidRPr="002C0A3B">
        <w:rPr>
          <w:rFonts w:cs="Arial"/>
          <w:i/>
          <w:iCs/>
          <w:color w:val="000000" w:themeColor="text1"/>
          <w:szCs w:val="22"/>
        </w:rPr>
        <w:t xml:space="preserve">E. coli </w:t>
      </w:r>
      <w:r w:rsidRPr="002C0A3B">
        <w:rPr>
          <w:rFonts w:cs="Arial"/>
          <w:color w:val="000000" w:themeColor="text1"/>
          <w:szCs w:val="22"/>
        </w:rPr>
        <w:t>cells, the electron transport chain and component oxygen-dependent enzymes that regenerate NAD</w:t>
      </w:r>
      <w:r w:rsidRPr="002C0A3B">
        <w:rPr>
          <w:rFonts w:cs="Arial"/>
          <w:color w:val="000000" w:themeColor="text1"/>
          <w:szCs w:val="22"/>
          <w:vertAlign w:val="superscript"/>
        </w:rPr>
        <w:t>+</w:t>
      </w:r>
      <w:r w:rsidRPr="002C0A3B">
        <w:rPr>
          <w:rFonts w:cs="Arial"/>
          <w:color w:val="000000" w:themeColor="text1"/>
          <w:szCs w:val="22"/>
        </w:rPr>
        <w:t xml:space="preserve"> from NADH are inactivated when oxygen is limited</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{"citationItems":[{"id":"ITEM-1","itemData":{"DOI":"10.1128/AEM.02545-09","ISSN":"00992240","PMID":"20118372","abstract":"During anaerobic growth of Escherichia coli, pyruvate formate-lyase (PFL) and lactate dehydrogenase (LDH) channel pyruvate toward a mixture of fermentation products. We have introduced a third branch at the pyruvate node in a mutant of E. coli with a mutation in pyruvate dehydrogenase (PDH*) that renders the enzyme less sensitive to inhibition by NADH. The key starting enzymes of the three branches at the pyruvate node in such a mutant, PDH*, PFL, and LDH, have different metabolic potentials and kinetic properties. In such a mutant (strain QZ2), pyruvate flux through LDH was about 30%, with the remainder of the flux occurring through PFL, indicating that LDH is a preferred route of pyruvate conversion over PDH*. In a pfl mutant (strain YKl67) with both PDH* and LDH activities, flux through PDH* was about 33% of the total, confirming the ability of LDH to outcompete the PDH pathway for pyruvate in vivo. Only in the absence of LDH (strain QZ3) was pyruvate carbon equally distributed between the PDH* and PFL pathways. Apfl mutant with LDH and PDH* activities, as well as a pfl ldh double mutant with PDH* activity, had a surprisingly low cell yield per mole of ATP (Y ATP) (about 7.0 g of cells per mol of ATP) compared to 10.9 g of cells per mol of ATP for the wild type. The lower YATP suggests the operation of a futile energy cycle in the absence of PFL in this strain. An understanding of the controls at the pyruvate node during anaerobic growth is expected to provide unique insights into rational metabolic engineering of E. coli and related bacteria for the production of various biobased products at high rates and yields. Copyright © 2010, American Society for Microbiology. All Rights Reserved.","author":[{"dropping-particle":"","family":"Wang","given":"Qingzhao","non-dropping-particle":"","parse-names":false,"suffix":""},{"dropping-particle":"","family":"Ou","given":"Mark S.","non-dropping-particle":"","parse-names":false,"suffix":""},{"dropping-particle":"","family":"Kim","given":"Y.","non-dropping-particle":"","parse-names":false,"suffix":""},{"dropping-particle":"","family":"Ingram","given":"L. O.","non-dropping-particle":"","parse-names":false,"suffix":""},{"dropping-particle":"","family":"Shanmugam","given":"K. T.","non-dropping-particle":"","parse-names":false,"suffix":""}],"container-title":"Applied and Environmental Microbiology","id":"ITEM-1","issue":"7","issued":{"date-parts":[["2010","4","1"]]},"page":"2107-2114","publisher":"American Society for Microbiology","title":"Metabolie flux control at the pyruvate node in an anaerobic escherichia coli strain with an active pyruvate dehydrogenase","type":"article-journal","volume":"76"},"uris":["http://www.mendeley.com/documents/?uuid=6ffafc4d-2eb8-3b2f-8291-5d17baba9fe9"]},{"id":"ITEM-2","itemData":{"DOI":"10.3389/FBIOE.2014.00016","ISSN":"22964185","PMID":"25152889","abstract":"Mixed-acid fermentation end products have numerous applications in biotechnology. This is probably the main driving force for the development of multiple strains that are supposed to produce individual end products with high yields. The process of engineering Escherichia coli strains for applied production of ethanol, lactate, succinate, or acetate was initiated several decades ago and is still ongoing. This review follows the path of strain development from the general characteristics of aerobic versus anaerobic metabolism over the regulatory machinery that enables the different metabolic routes. Thereafter, major improvements for broadening the substrate spectrum of E. coli toward cheap carbon sources like molasses or lignocellulose are highlighted before major routes of strain development for the production of ethanol, acetate, lactate, and succinate are presented.","author":[{"dropping-particle":"","family":"Förster","given":"Andreas H.","non-dropping-particle":"","parse-names":false,"suffix":""},{"dropping-particle":"","family":"Gescher","given":"Johannes","non-dropping-particle":"","parse-names":false,"suffix":""}],"container-title":"Frontiers in Bioengineering and Biotechnology","id":"ITEM-2","issue":"MAY","issued":{"date-parts":[["2014"]]},"publisher":"Frontiers Media SA","title":"Metabolic Engineering of Escherichia coli for Production of Mixed-Acid Fermentation End Products","type":"article-journal","volume":"2"},"uris":["http://www.mendeley.com/documents/?uuid=f7253449-68b6-39d9-bd37-a246ca6c1dcf"]},{"id":"ITEM-3","itemData":{"DOI":"10.1016/0378-1097(89)90132-8","ISSN":"15746968","abstract":"Under anaerobic conditions and in the absence of alternative electron acceptors Escherichia coli converts sugars to a mixture of products by fermentation. The major soluble products are acetate, ethanol, lactate and formate with smaller amounts of succinate. In addition the gaseous products hydrogen and carbon dioxide are produced in substantial amounts. The pathway generating fermentation products is branched and the flow down each branch is varied in response both the pH of the culture medium and the nature of the fermentation substrate. In particular, the ratio of the various fermentation products is manipulated in order to balance the number of reducing equivalents generated during glycolytic breakdown of the substrate. The enzymes and corresponding genes involved in these fermentation pathways are described. The regulatory responses of these genes and enzymes are known but the details of the underlying regulatory mechanisms are still obscure. © 1989.","author":[{"dropping-particle":"","family":"Clark","given":"David P.","non-dropping-particle":"","parse-names":false,"suffix":""}],"container-title":"FEMS Microbiology Letters","id":"ITEM-3","issue":"3","issued":{"date-parts":[["1989"]]},"title":"The fermentation pathways of Escherichia coli","type":"article-journal","volume":"63"},"uris":["http://www.mendeley.com/documents/?uuid=34453d0f-9079-3eb7-b879-bcf064835095"]},{"id":"ITEM-4","itemData":{"DOI":"10.1128/JB.178.20.6013-6018.1996","ISSN":"0021-9193","PMID":"8830700","abstract":"The fermentative alcohol dehydrogenase of Escherichia coli is encoded by the adhE gene, which is induced under anaerobic conditions but repressed in air. Previous work suggested that induction of adhE might depend on NADH levels. We therefore directly measured the NAD+ and NADH levels for cultures growing aerobically and anaerobically on a series of carbon sources whose metabolism generates different relative amounts of NADH. Expression of adhE was monitored both by assay of alcohol dehydrogenase activity and by expression of φ(adhE'-lacZ) gene fusions. The expression of the adhE gene correlated with the ratio of NADH to NAD+. The role of NADH in eliciting adhE induction was supported by a variety of treatments known to change the ratio of NADH to NAD+ or alter the total NAD+-plus-NADH pool. Blocking the electron transport chain, either by mutation or by chemical inhibitors, resulted in the artificial induction of the adhE gene under aerobic conditions. Conversely, limiting NAD synthesis, by introducing mutational blocks into the biosynthetic pathway for nicotinic acid, decreased the expression of adhE under anaerobic conditions. This, in turn, was reversed by supplementation with exogenous NAD or nicotinic acid. In merodiploid strains carrying deletion or insertion mutations abolishing the synthesis of AdhE protein, an adhE-lacZ fusion was expressed at nearly 10-fold the level observed in an adhE+ background. Introduction of mutant adhE alleles producing high levels of inactive AdhE protein gave results equivalent to those seen in absence of the AdhE protein. This finding implies that it is the buildup of NADH due to lack of enzyme activity, rather than the absence of the AdhE protein per se, which causes increased induction of the φ(adhE'- lacZ) fusion. Moreover, mutations giving elevated levels of active AdhE protein decreased the induction of the φ(adhE'-lacZ) fusion. This finding suggests that the enzymatic activity of the AdhE protein modulates the level of NADH under anaerobic conditions, thus indirectly regulating its own expression.","author":[{"dropping-particle":"","family":"Leonardo","given":"Michael R.","non-dropping-particle":"","parse-names":false,"suffix":""},{"dropping-particle":"","family":"Dailly","given":"Yves","non-dropping-particle":"","parse-names":false,"suffix":""},{"dropping-particle":"","family":"Clark","given":"David P.","non-dropping-particle":"","parse-names":false,"suffix":""}],"container-title":"Journal of bacteriology","id":"ITEM-4","issue":"20","issued":{"date-parts":[["1996"]]},"page":"6013-6018","publisher":"J Bacteriol","title":"Role of NAD in regulating the adhE gene of Escherichia coli","type":"article-journal","volume":"178"},"uris":["http://www.mendeley.com/documents/?uuid=0ad4a472-fbca-34fa-8d51-25184caf89b4"]}],"mendeley":{"formattedCitation":"&lt;sup&gt;109,166–168&lt;/sup&gt;","plainTextFormattedCitation":"109,166–168","previouslyFormattedCitation":"&lt;sup&gt;109,166–168&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109,166–168</w:t>
      </w:r>
      <w:r w:rsidRPr="002C0A3B">
        <w:rPr>
          <w:rFonts w:cs="Arial"/>
          <w:color w:val="000000" w:themeColor="text1"/>
          <w:szCs w:val="22"/>
        </w:rPr>
        <w:fldChar w:fldCharType="end"/>
      </w:r>
      <w:r w:rsidRPr="002C0A3B">
        <w:rPr>
          <w:rFonts w:cs="Arial"/>
          <w:color w:val="000000" w:themeColor="text1"/>
          <w:szCs w:val="22"/>
        </w:rPr>
        <w:t>. Increased [NADH]/[NAD</w:t>
      </w:r>
      <w:r w:rsidRPr="002C0A3B">
        <w:rPr>
          <w:rFonts w:cs="Arial"/>
          <w:color w:val="000000" w:themeColor="text1"/>
          <w:szCs w:val="22"/>
          <w:vertAlign w:val="superscript"/>
        </w:rPr>
        <w:t>+</w:t>
      </w:r>
      <w:r w:rsidRPr="002C0A3B">
        <w:rPr>
          <w:rFonts w:cs="Arial"/>
          <w:color w:val="000000" w:themeColor="text1"/>
          <w:szCs w:val="22"/>
        </w:rPr>
        <w:t xml:space="preserve">] in the cytosol is consequently regulated by the increased activity of endogenous </w:t>
      </w:r>
      <w:proofErr w:type="spellStart"/>
      <w:r w:rsidRPr="002C0A3B">
        <w:rPr>
          <w:rFonts w:cs="Arial"/>
          <w:color w:val="000000" w:themeColor="text1"/>
          <w:szCs w:val="22"/>
        </w:rPr>
        <w:t>AdhE</w:t>
      </w:r>
      <w:proofErr w:type="spellEnd"/>
      <w:r w:rsidRPr="002C0A3B">
        <w:rPr>
          <w:rFonts w:cs="Arial"/>
          <w:color w:val="000000" w:themeColor="text1"/>
          <w:szCs w:val="22"/>
        </w:rPr>
        <w:t xml:space="preserve"> enzymes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{"citationItems":[{"id":"ITEM-1","itemData":{"DOI":"10.3389/FBIOE.2014.00016","ISSN":"22964185","PMID":"25152889","abstract":"Mixed-acid fermentation end products have numerous applications in biotechnology. This is probably the main driving force for the development of multiple strains that are supposed to produce individual end products with high yields. The process of engineering Escherichia coli strains for applied production of ethanol, lactate, succinate, or acetate was initiated several decades ago and is still ongoing. This review follows the path of strain development from the general characteristics of aerobic versus anaerobic metabolism over the regulatory machinery that enables the different metabolic routes. Thereafter, major improvements for broadening the substrate spectrum of E. coli toward cheap carbon sources like molasses or lignocellulose are highlighted before major routes of strain development for the production of ethanol, acetate, lactate, and succinate are presented.","author":[{"dropping-particle":"","family":"Förster","given":"Andreas H.","non-dropping-particle":"","parse-names":false,"suffix":""},{"dropping-particle":"","family":"Gescher","given":"Johannes","non-dropping-particle":"","parse-names":false,"suffix":""}],"container-title":"Frontiers in Bioengineering and Biotechnology","id":"ITEM-1","issue":"MAY","issued":{"date-parts":[["2014"]]},"publisher":"Frontiers Media SA","title":"Metabolic Engineering of Escherichia coli for Production of Mixed-Acid Fermentation End Products","type":"article-journal","volume":"2"},"uris":["http://www.mendeley.com/documents/?uuid=f7253449-68b6-39d9-bd37-a246ca6c1dcf"]},{"id":"ITEM-2","itemData":{"DOI":"10.1128/JB.178.20.6013-6018.1996","ISSN":"0021-9193","PMID":"8830700","abstract":"The fermentative alcohol dehydrogenase of Escherichia coli is encoded by the adhE gene, which is induced under anaerobic conditions but repressed in air. Previous work suggested that induction of adhE might depend on NADH levels. We therefore directly measured the NAD+ and NADH levels for cultures growing aerobically and anaerobically on a series of carbon sources whose metabolism generates different relative amounts of NADH. Expression of adhE was monitored both by assay of alcohol dehydrogenase activity and by expression of φ(adhE'-lacZ) gene fusions. The expression of the adhE gene correlated with the ratio of NADH to NAD+. The role of NADH in eliciting adhE induction was supported by a variety of treatments known to change the ratio of NADH to NAD+ or alter the total NAD+-plus-NADH pool. Blocking the electron transport chain, either by mutation or by chemical inhibitors, resulted in the artificial induction of the adhE gene under aerobic conditions. Conversely, limiting NAD synthesis, by introducing mutational blocks into the biosynthetic pathway for nicotinic acid, decreased the expression of adhE under anaerobic conditions. This, in turn, was reversed by supplementation with exogenous NAD or nicotinic acid. In merodiploid strains carrying deletion or insertion mutations abolishing the synthesis of AdhE protein, an adhE-lacZ fusion was expressed at nearly 10-fold the level observed in an adhE+ background. Introduction of mutant adhE alleles producing high levels of inactive AdhE protein gave results equivalent to those seen in absence of the AdhE protein. This finding implies that it is the buildup of NADH due to lack of enzyme activity, rather than the absence of the AdhE protein per se, which causes increased induction of the φ(adhE'- lacZ) fusion. Moreover, mutations giving elevated levels of active AdhE protein decreased the induction of the φ(adhE'-lacZ) fusion. This finding suggests that the enzymatic activity of the AdhE protein modulates the level of NADH under anaerobic conditions, thus indirectly regulating its own expression.","author":[{"dropping-particle":"","family":"Leonardo","given":"Michael R.","non-dropping-particle":"","parse-names":false,"suffix":""},{"dropping-particle":"","family":"Dailly","given":"Yves","non-dropping-particle":"","parse-names":false,"suffix":""},{"dropping-particle":"","family":"Clark","given":"David P.","non-dropping-particle":"","parse-names":false,"suffix":""}],"container-title":"Journal of bacteriology","id":"ITEM-2","issue":"20","issued":{"date-parts":[["1996"]]},"page":"6013-6018","publisher":"J Bacteriol","title":"Role of NAD in regulating the adhE gene of Escherichia coli","type":"article-journal","volume":"178"},"uris":["http://www.mendeley.com/documents/?uuid=0ad4a472-fbca-34fa-8d51-25184caf89b4"]}],"mendeley":{"formattedCitation":"&lt;sup&gt;166,168&lt;/sup&gt;","plainTextFormattedCitation":"166,168","previouslyFormattedCitation":"&lt;sup&gt;166,168&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166,168</w:t>
      </w:r>
      <w:r w:rsidRPr="002C0A3B">
        <w:rPr>
          <w:rFonts w:cs="Arial"/>
          <w:color w:val="000000" w:themeColor="text1"/>
          <w:szCs w:val="22"/>
        </w:rPr>
        <w:fldChar w:fldCharType="end"/>
      </w:r>
      <w:r w:rsidRPr="002C0A3B">
        <w:rPr>
          <w:rFonts w:cs="Arial"/>
          <w:color w:val="000000" w:themeColor="text1"/>
          <w:szCs w:val="22"/>
        </w:rPr>
        <w:t xml:space="preserve">, a phenomenon that also likely occurs in oxygen-limited </w:t>
      </w:r>
      <w:r w:rsidRPr="002C0A3B">
        <w:rPr>
          <w:rFonts w:cs="Arial"/>
          <w:i/>
          <w:iCs/>
          <w:color w:val="000000" w:themeColor="text1"/>
          <w:szCs w:val="22"/>
        </w:rPr>
        <w:t xml:space="preserve">E. coli </w:t>
      </w:r>
      <w:r w:rsidRPr="002C0A3B">
        <w:rPr>
          <w:rFonts w:cs="Arial"/>
          <w:color w:val="000000" w:themeColor="text1"/>
          <w:szCs w:val="22"/>
        </w:rPr>
        <w:t>lysates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{"citationItems":[{"id":"ITEM-1","itemData":{"DOI":"10.1021/ACSSYNBIO.0C00501","ISSN":"21615063","PMID":"33760595","abstract":"Cell-free protein expression (CFPS) from E. coli cell lysate is an established chemical biology technique. Common efforts to improve synthesis capacity, such as strain engineering and process improvements, have overlooked the opportunity to increase productivity by reducing the dependence on limited, dissolved oxygen. Here we demonstrate conditioning E. coli cells for anaerobic respiration which increases the initial protein expression rate up to 4-fold and increases titer by 50% as compared to traditional aerobic cell lysate when using sfGFP as a reporter protein in CFPS reactions run at atmospheric conditions. This enhancement is even more significant when run in an oxygen-depleted environment, where anaerobic respiration preconditioned cells increase yield when supplemented with nitrite as a terminal electron acceptor (TEA). Furthermore, we test knockout mutants to determine key proteins responsible for enhancing the anaerobically prepared CFPS lysate. Further improvements could be made in preconditioning cells by increasing expression levels of critical pathway enzymes or by screening other TEA.","author":[{"dropping-particle":"","family":"Tamiev","given":"By Denis","non-dropping-particle":"","parse-names":false,"suffix":""},{"dropping-particle":"","family":"Dopp","given":"Jared L.","non-dropping-particle":"","parse-names":false,"suffix":""},{"dropping-particle":"","family":"Reuel","given":"Nigel F.","non-dropping-particle":"","parse-names":false,"suffix":""}],"container-title":"ACS synthetic biology","id":"ITEM-1","issue":"4","issued":{"date-parts":[["2021","4","4"]]},"page":"716","publisher":"NIH Public Access","title":"Anaerobic conditioning of E. Coli Cell Lysate for Enhanced In vitro Protein Synthesis","type":"article-journal","volume":"10"},"uris":["http://www.mendeley.com/documents/?uuid=6e8ea6fc-7f2a-3e77-a93c-f36eea1ff964"]}],"mendeley":{"formattedCitation":"&lt;sup&gt;169&lt;/sup&gt;","plainTextFormattedCitation":"169","previouslyFormattedCitation":"&lt;sup&gt;169&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169</w:t>
      </w:r>
      <w:r w:rsidRPr="002C0A3B">
        <w:rPr>
          <w:rFonts w:cs="Arial"/>
          <w:color w:val="000000" w:themeColor="text1"/>
          <w:szCs w:val="22"/>
        </w:rPr>
        <w:fldChar w:fldCharType="end"/>
      </w:r>
      <w:r w:rsidRPr="002C0A3B">
        <w:rPr>
          <w:rFonts w:cs="Arial"/>
          <w:color w:val="000000" w:themeColor="text1"/>
          <w:szCs w:val="22"/>
        </w:rPr>
        <w:t>. Additionally, a smaller air/liquid surface area and reaction headspace could better prevent ethanol evaporation from the reaction volume. Hence, 30 µL glucose-fed reactions prepared with blocked lysates and optimized cofactor concentrations were incubated in reaction vessels of varying sizes: 1.5 mL</w:t>
      </w:r>
      <w:r>
        <w:rPr>
          <w:rFonts w:cs="Arial"/>
          <w:color w:val="000000" w:themeColor="text1"/>
          <w:szCs w:val="22"/>
        </w:rPr>
        <w:t xml:space="preserve"> </w:t>
      </w:r>
      <w:r w:rsidR="00F534D3" w:rsidRPr="002C0A3B">
        <w:rPr>
          <w:rFonts w:cs="Arial"/>
          <w:color w:val="000000" w:themeColor="text1"/>
          <w:szCs w:val="22"/>
        </w:rPr>
        <w:t>microcentrifuge tubes, 0.2 mL PCR tubes, and 50 µL non-binding surface wells in a 384-well plate sealed with film. The air/liquid surface area to volume ratios of the 30 µL reactions in these vessels were approximately 0.65 mm, 0.42 mm, and 0.32 mm, respectively. Expectedly, 30 µL reactions in 50 µL wells had a significantly higher mean % yield (</w:t>
      </w:r>
      <w:r w:rsidR="00F534D3" w:rsidRPr="002C0A3B">
        <w:rPr>
          <w:rFonts w:cs="Arial"/>
          <w:i/>
          <w:iCs/>
          <w:color w:val="000000" w:themeColor="text1"/>
          <w:szCs w:val="22"/>
        </w:rPr>
        <w:t xml:space="preserve">59.1% </w:t>
      </w:r>
      <w:r w:rsidR="00F534D3" w:rsidRPr="002C0A3B">
        <w:rPr>
          <w:rFonts w:cs="Arial"/>
          <w:i/>
          <w:iCs/>
          <w:color w:val="000000" w:themeColor="text1"/>
          <w:szCs w:val="22"/>
        </w:rPr>
        <w:sym w:font="Symbol" w:char="F0B1"/>
      </w:r>
      <w:r w:rsidR="00F534D3" w:rsidRPr="002C0A3B">
        <w:rPr>
          <w:rFonts w:cs="Arial"/>
          <w:i/>
          <w:iCs/>
          <w:color w:val="000000" w:themeColor="text1"/>
          <w:szCs w:val="22"/>
        </w:rPr>
        <w:t xml:space="preserve"> 1.4%</w:t>
      </w:r>
      <w:r w:rsidR="00F534D3" w:rsidRPr="002C0A3B">
        <w:rPr>
          <w:rFonts w:cs="Arial"/>
          <w:color w:val="000000" w:themeColor="text1"/>
          <w:szCs w:val="22"/>
        </w:rPr>
        <w:t>) compared to the average ~ 40% yield of reactions in 1.5 mL microcentrifuge tubes (</w:t>
      </w:r>
      <w:proofErr w:type="spellStart"/>
      <w:r w:rsidR="00F534D3" w:rsidRPr="002C0A3B">
        <w:rPr>
          <w:rFonts w:cs="Arial"/>
          <w:i/>
          <w:iCs/>
          <w:color w:val="000000" w:themeColor="text1"/>
          <w:szCs w:val="22"/>
        </w:rPr>
        <w:t>pval</w:t>
      </w:r>
      <w:proofErr w:type="spellEnd"/>
      <w:r w:rsidR="00F534D3" w:rsidRPr="002C0A3B">
        <w:rPr>
          <w:rFonts w:cs="Arial"/>
          <w:i/>
          <w:iCs/>
          <w:color w:val="000000" w:themeColor="text1"/>
          <w:szCs w:val="22"/>
        </w:rPr>
        <w:t xml:space="preserve"> &lt; 0.01</w:t>
      </w:r>
      <w:r w:rsidR="00F534D3" w:rsidRPr="002C0A3B">
        <w:rPr>
          <w:rFonts w:cs="Arial"/>
          <w:color w:val="000000" w:themeColor="text1"/>
          <w:szCs w:val="22"/>
        </w:rPr>
        <w:t>) (</w:t>
      </w:r>
      <w:r w:rsidR="00F534D3">
        <w:rPr>
          <w:rFonts w:cs="Arial"/>
          <w:b/>
          <w:bCs/>
          <w:color w:val="000000" w:themeColor="text1"/>
          <w:szCs w:val="22"/>
        </w:rPr>
        <w:t>Figure</w:t>
      </w:r>
      <w:r w:rsidR="00F534D3" w:rsidRPr="002C0A3B">
        <w:rPr>
          <w:rFonts w:cs="Arial"/>
          <w:b/>
          <w:bCs/>
          <w:color w:val="000000" w:themeColor="text1"/>
          <w:szCs w:val="22"/>
        </w:rPr>
        <w:t xml:space="preserve"> 4</w:t>
      </w:r>
      <w:r w:rsidR="00F534D3">
        <w:rPr>
          <w:rFonts w:cs="Arial"/>
          <w:b/>
          <w:bCs/>
          <w:color w:val="000000" w:themeColor="text1"/>
          <w:szCs w:val="22"/>
        </w:rPr>
        <w:t>.4</w:t>
      </w:r>
      <w:r w:rsidR="00F534D3" w:rsidRPr="002C0A3B">
        <w:rPr>
          <w:rFonts w:cs="Arial"/>
          <w:b/>
          <w:bCs/>
          <w:color w:val="000000" w:themeColor="text1"/>
          <w:szCs w:val="22"/>
        </w:rPr>
        <w:t>A</w:t>
      </w:r>
      <w:r w:rsidR="00F534D3" w:rsidRPr="002C0A3B">
        <w:rPr>
          <w:rFonts w:cs="Arial"/>
          <w:color w:val="000000" w:themeColor="text1"/>
          <w:szCs w:val="22"/>
        </w:rPr>
        <w:t xml:space="preserve">). </w:t>
      </w:r>
    </w:p>
    <w:p w14:paraId="0673B42B" w14:textId="3BD176BF" w:rsidR="00F534D3" w:rsidRPr="002C0A3B" w:rsidRDefault="00F534D3" w:rsidP="00F534D3">
      <w:pPr>
        <w:ind w:firstLine="720"/>
        <w:rPr>
          <w:rFonts w:cs="Arial"/>
          <w:color w:val="000000" w:themeColor="text1"/>
          <w:szCs w:val="22"/>
        </w:rPr>
      </w:pPr>
      <w:r w:rsidRPr="002C0A3B">
        <w:rPr>
          <w:rFonts w:cs="Arial"/>
          <w:color w:val="000000" w:themeColor="text1"/>
          <w:szCs w:val="22"/>
        </w:rPr>
        <w:t xml:space="preserve">Next, different reaction vessels were tested to determine whether smaller sized reactors would benefit the system’s conversion efficiency. </w:t>
      </w:r>
    </w:p>
    <w:p w14:paraId="5083CFDD" w14:textId="6DC5F106" w:rsidR="0039202C" w:rsidRDefault="0039202C" w:rsidP="0039202C">
      <w:pPr>
        <w:ind w:firstLine="720"/>
        <w:rPr>
          <w:rFonts w:cs="Arial"/>
          <w:color w:val="000000" w:themeColor="text1"/>
          <w:szCs w:val="22"/>
        </w:rPr>
      </w:pPr>
    </w:p>
    <w:p w14:paraId="38E8A208" w14:textId="77777777" w:rsidR="0039202C" w:rsidRPr="002C0A3B" w:rsidRDefault="0039202C" w:rsidP="0039202C">
      <w:pPr>
        <w:jc w:val="center"/>
        <w:rPr>
          <w:rFonts w:cs="Arial"/>
          <w:color w:val="000000" w:themeColor="text1"/>
          <w:szCs w:val="22"/>
        </w:rPr>
      </w:pPr>
      <w:r w:rsidRPr="002C0A3B">
        <w:rPr>
          <w:rFonts w:cs="Arial"/>
          <w:noProof/>
          <w:color w:val="000000" w:themeColor="text1"/>
          <w:szCs w:val="22"/>
        </w:rPr>
        <w:lastRenderedPageBreak/>
        <w:drawing>
          <wp:inline distT="0" distB="0" distL="0" distR="0" wp14:anchorId="4EA3BDB5" wp14:editId="01FC10F4">
            <wp:extent cx="5317013" cy="6042991"/>
            <wp:effectExtent l="0" t="0" r="0" b="0"/>
            <wp:docPr id="5" name="Picture 5"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with low confidence"/>
                    <pic:cNvPicPr/>
                  </pic:nvPicPr>
                  <pic:blipFill>
                    <a:blip r:embed="rId34" cstate="screen">
                      <a:extLst>
                        <a:ext uri="{28A0092B-C50C-407E-A947-70E740481C1C}">
                          <a14:useLocalDpi xmlns:a14="http://schemas.microsoft.com/office/drawing/2010/main"/>
                        </a:ext>
                      </a:extLst>
                    </a:blip>
                    <a:stretch>
                      <a:fillRect/>
                    </a:stretch>
                  </pic:blipFill>
                  <pic:spPr>
                    <a:xfrm>
                      <a:off x="0" y="0"/>
                      <a:ext cx="5342047" cy="6071444"/>
                    </a:xfrm>
                    <a:prstGeom prst="rect">
                      <a:avLst/>
                    </a:prstGeom>
                  </pic:spPr>
                </pic:pic>
              </a:graphicData>
            </a:graphic>
          </wp:inline>
        </w:drawing>
      </w:r>
    </w:p>
    <w:p w14:paraId="4F9CD4FD" w14:textId="77777777" w:rsidR="0039202C" w:rsidRPr="002C0A3B" w:rsidRDefault="0039202C" w:rsidP="0039202C">
      <w:pPr>
        <w:rPr>
          <w:rFonts w:cs="Arial"/>
          <w:color w:val="000000" w:themeColor="text1"/>
          <w:szCs w:val="22"/>
        </w:rPr>
      </w:pPr>
      <w:bookmarkStart w:id="102" w:name="_Toc129701157"/>
      <w:r w:rsidRPr="00F534D3">
        <w:rPr>
          <w:rStyle w:val="FigurecaptionChar"/>
        </w:rPr>
        <w:t>Figure 4.3. Optimization of cofactor concentrations in reactions prepared with blocked lysate to drive carbon flux towards ethanol.</w:t>
      </w:r>
      <w:bookmarkEnd w:id="102"/>
      <w:r w:rsidRPr="002C0A3B">
        <w:rPr>
          <w:rFonts w:cs="Arial"/>
          <w:b/>
          <w:bCs/>
          <w:color w:val="000000" w:themeColor="text1"/>
          <w:szCs w:val="22"/>
        </w:rPr>
        <w:t xml:space="preserve"> </w:t>
      </w:r>
      <w:r w:rsidRPr="002C0A3B">
        <w:rPr>
          <w:rFonts w:cs="Arial"/>
          <w:color w:val="000000" w:themeColor="text1"/>
          <w:szCs w:val="22"/>
        </w:rPr>
        <w:t>Normalized metabolite concentrations and calculated % ethanol yields in reactions of blocked lysates prepared with 100 mM Glucose, different combinations of 0, 1, or 2 mM of NAD</w:t>
      </w:r>
      <w:r w:rsidRPr="002C0A3B">
        <w:rPr>
          <w:rFonts w:cs="Arial"/>
          <w:color w:val="000000" w:themeColor="text1"/>
          <w:szCs w:val="22"/>
          <w:vertAlign w:val="superscript"/>
        </w:rPr>
        <w:t>+</w:t>
      </w:r>
      <w:r w:rsidRPr="002C0A3B">
        <w:rPr>
          <w:rFonts w:cs="Arial"/>
          <w:color w:val="000000" w:themeColor="text1"/>
          <w:szCs w:val="22"/>
        </w:rPr>
        <w:t xml:space="preserve"> and CoA, and </w:t>
      </w:r>
      <w:r w:rsidRPr="002C0A3B">
        <w:rPr>
          <w:rFonts w:cs="Arial"/>
          <w:b/>
          <w:bCs/>
          <w:color w:val="000000" w:themeColor="text1"/>
          <w:szCs w:val="22"/>
        </w:rPr>
        <w:t xml:space="preserve">A) </w:t>
      </w:r>
      <w:r w:rsidRPr="002C0A3B">
        <w:rPr>
          <w:rFonts w:cs="Arial"/>
          <w:color w:val="000000" w:themeColor="text1"/>
          <w:szCs w:val="22"/>
        </w:rPr>
        <w:t xml:space="preserve">0 mM or </w:t>
      </w:r>
      <w:r w:rsidRPr="002C0A3B">
        <w:rPr>
          <w:rFonts w:cs="Arial"/>
          <w:b/>
          <w:bCs/>
          <w:color w:val="000000" w:themeColor="text1"/>
          <w:szCs w:val="22"/>
        </w:rPr>
        <w:t xml:space="preserve">B) </w:t>
      </w:r>
      <w:r w:rsidRPr="002C0A3B">
        <w:rPr>
          <w:rFonts w:cs="Arial"/>
          <w:color w:val="000000" w:themeColor="text1"/>
          <w:szCs w:val="22"/>
        </w:rPr>
        <w:t>1 mM ATP.</w:t>
      </w:r>
      <w:r w:rsidRPr="002C0A3B">
        <w:rPr>
          <w:rFonts w:cs="Arial"/>
          <w:b/>
          <w:bCs/>
          <w:color w:val="000000" w:themeColor="text1"/>
          <w:szCs w:val="22"/>
        </w:rPr>
        <w:t xml:space="preserve"> </w:t>
      </w:r>
      <w:r w:rsidRPr="002C0A3B">
        <w:rPr>
          <w:rFonts w:cs="Arial"/>
          <w:color w:val="000000" w:themeColor="text1"/>
          <w:szCs w:val="22"/>
        </w:rPr>
        <w:t xml:space="preserve">Reactions were incubated at 37˚C for 20 hrs. Reactions for all conditions were prepared using depletion replicates and error bars represent standard errors (n=3). </w:t>
      </w:r>
    </w:p>
    <w:p w14:paraId="39A81612" w14:textId="4A444D56" w:rsidR="004E2DE7" w:rsidRPr="002C0A3B" w:rsidRDefault="00F534D3" w:rsidP="00F534D3">
      <w:pPr>
        <w:rPr>
          <w:rFonts w:cs="Arial"/>
          <w:color w:val="000000" w:themeColor="text1"/>
          <w:szCs w:val="22"/>
        </w:rPr>
      </w:pPr>
      <w:r w:rsidRPr="002C0A3B">
        <w:rPr>
          <w:rFonts w:cs="Arial"/>
          <w:color w:val="000000" w:themeColor="text1"/>
          <w:szCs w:val="22"/>
        </w:rPr>
        <w:lastRenderedPageBreak/>
        <w:t>Decreasing the size of the vessel reduces the air/liquid surface area to reaction volume ratio as well as the reaction headspace, both of which reportedly limit the oxygenation of cell-free reactions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{"citationItems":[{"id":"ITEM-1","itemData":{"DOI":"10.1038/MSB.2008.57","ISSN":"17444292","PMID":"18854819","abstract":"Cell-free systems offer a unique platform for expanding the capabilities of natural biological systems for useful purposes, i.e. synthetic biology. They reduce complexity, remove structural barriers, and do not require the maintenance of cell viability. Cell-free systems, however, have been limited by their inability to co-activate multiple biochemical networks in a single integrated platform. Here, we report the assessment of biochemical reactions in an Escherichia coli cell-free platform designed to activate natural metabolism, the Cytomim system. We reveal that central catabolism, oxidative phosphorylation, and protein synthesis can be co-activated in a single reaction system. Never before have these complex systems been shown to be simultaneously activated without living cells. The Cytomim system therefore promises to provide the metabolic foundation for diverse ab initio cell-free synthetic biology projects. In addition, we describe an improved Cytomim system with enhanced protein synthesis yields (up to 1200 mg/l in 2 h) and lower costs to facilitate production of protein therapeutics and biochemicals that are difficult to make in vivo because of their toxicity, complexity, or unusual cofactor requirements. © 2008 EMBO and Macmillan Publishers Limited All rights reserved.","author":[{"dropping-particle":"","family":"Jewett","given":"Michael C.","non-dropping-particle":"","parse-names":false,"suffix":""},{"dropping-particle":"","family":"Calhoun","given":"Kara A.","non-dropping-particle":"","parse-names":false,"suffix":""},{"dropping-particle":"","family":"Voloshin","given":"Alexei","non-dropping-particle":"","parse-names":false,"suffix":""},{"dropping-particle":"","family":"Wuu","given":"Jessica J.","non-dropping-particle":"","parse-names":false,"suffix":""},{"dropping-particle":"","family":"Swartz","given":"James R.","non-dropping-particle":"","parse-names":false,"suffix":""}],"container-title":"Molecular Systems Biology","id":"ITEM-1","issued":{"date-parts":[["2008"]]},"page":"220","publisher":"European Molecular Biology Organization","title":"An integrated cell-free metabolic platform for protein production and synthetic biology","type":"article-journal","volume":"4"},"uris":["http://www.mendeley.com/documents/?uuid=79f4b57e-11d3-358c-acee-c93676b0c5bb"]},{"id":"ITEM-2","itemData":{"DOI":"10.1038/s43586-021-00046-x","ISBN":"0123456789","ISSN":"2662-8449","abstract":"Cell-free gene expression (CFE) emerged as an alternative approach to living cells for specific applications in protein synthesis and labelling for structural biology and proteomics studies. CFE has since been repurposed as a versatile technology for synthetic biology and bioengineering. However, taking full advantage of this technology requires in-depth understanding of its fundamental workflow beyond existing protocols. This Primer provides new practitioners with a comprehensive, detailed and actionable guide to best practices in CFE, to inform research in the laboratory at the state of the art. We focus on Escherichia coli-based CFE systems, which remain the primary platform for efficient CFE. Producing proteins, biomanufacturing therapeutics, developing sensors and prototyping genetic circuits illustrate the broader utility and opportunities provided by this practical introduction to CFE. With its extensive functionality and portability, CFE is becoming a powerful and enabling research tool for biotechnology. Cell-free gene expression is useful for expressing proteins with post-translational modifications, with special folding requirements and whose expression is difficult in prokaryotic systems. Garenne et al. outline the best practices for the expression of proteins in a cell-free environment.","author":[{"dropping-particle":"","family":"Garenne","given":"David","non-dropping-particle":"","parse-names":false,"suffix":""},{"dropping-particle":"","family":"Haines","given":"Matthew C.","non-dropping-particle":"","parse-names":false,"suffix":""},{"dropping-particle":"","family":"Romantseva","given":"Eugenia F.","non-dropping-particle":"","parse-names":false,"suffix":""},{"dropping-particle":"","family":"Freemont","given":"Paul","non-dropping-particle":"","parse-names":false,"suffix":""},{"dropping-particle":"","family":"Strychalski","given":"Elizabeth A.","non-dropping-particle":"","parse-names":false,"suffix":""},{"dropping-particle":"","family":"Noireaux","given":"Vincent","non-dropping-particle":"","parse-names":false,"suffix":""}],"container-title":"Nature Reviews Methods Primers 2021 1:1","id":"ITEM-2","issue":"1","issued":{"date-parts":[["2021","7","15"]]},"page":"1-18","publisher":"Nature Publishing Group","title":"Cell-free gene expression","type":"article-journal","volume":"1"},"uris":["http://www.mendeley.com/documents/?uuid=233a9f58-3e3a-39fe-aa83-d99d82236343"]}],"mendeley":{"formattedCitation":"&lt;sup&gt;164,165&lt;/sup&gt;","plainTextFormattedCitation":"164,165","previouslyFormattedCitation":"&lt;sup&gt;164,165&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164,165</w:t>
      </w:r>
      <w:r w:rsidRPr="002C0A3B">
        <w:rPr>
          <w:rFonts w:cs="Arial"/>
          <w:color w:val="000000" w:themeColor="text1"/>
          <w:szCs w:val="22"/>
        </w:rPr>
        <w:fldChar w:fldCharType="end"/>
      </w:r>
      <w:r w:rsidRPr="002C0A3B">
        <w:rPr>
          <w:rFonts w:cs="Arial"/>
          <w:color w:val="000000" w:themeColor="text1"/>
          <w:szCs w:val="22"/>
        </w:rPr>
        <w:t>.</w:t>
      </w:r>
      <w:r>
        <w:rPr>
          <w:rFonts w:cs="Arial"/>
          <w:color w:val="000000" w:themeColor="text1"/>
          <w:szCs w:val="22"/>
        </w:rPr>
        <w:t xml:space="preserve"> </w:t>
      </w:r>
      <w:r w:rsidR="004E2DE7" w:rsidRPr="002C0A3B">
        <w:rPr>
          <w:rFonts w:cs="Arial"/>
          <w:color w:val="000000" w:themeColor="text1"/>
          <w:szCs w:val="22"/>
        </w:rPr>
        <w:t xml:space="preserve">In </w:t>
      </w:r>
      <w:r w:rsidR="004E2DE7" w:rsidRPr="002C0A3B">
        <w:rPr>
          <w:rFonts w:cs="Arial"/>
          <w:i/>
          <w:iCs/>
          <w:color w:val="000000" w:themeColor="text1"/>
          <w:szCs w:val="22"/>
        </w:rPr>
        <w:t xml:space="preserve">E. coli </w:t>
      </w:r>
      <w:r w:rsidR="004E2DE7" w:rsidRPr="002C0A3B">
        <w:rPr>
          <w:rFonts w:cs="Arial"/>
          <w:color w:val="000000" w:themeColor="text1"/>
          <w:szCs w:val="22"/>
        </w:rPr>
        <w:t>cells, the electron transport chain and component oxygen-dependent enzymes that regenerate NAD</w:t>
      </w:r>
      <w:r w:rsidR="004E2DE7" w:rsidRPr="002C0A3B">
        <w:rPr>
          <w:rFonts w:cs="Arial"/>
          <w:color w:val="000000" w:themeColor="text1"/>
          <w:szCs w:val="22"/>
          <w:vertAlign w:val="superscript"/>
        </w:rPr>
        <w:t>+</w:t>
      </w:r>
      <w:r w:rsidR="004E2DE7" w:rsidRPr="002C0A3B">
        <w:rPr>
          <w:rFonts w:cs="Arial"/>
          <w:color w:val="000000" w:themeColor="text1"/>
          <w:szCs w:val="22"/>
        </w:rPr>
        <w:t xml:space="preserve"> from NADH are inactivated when oxygen is limited</w:t>
      </w:r>
      <w:r w:rsidR="004E2DE7"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{"citationItems":[{"id":"ITEM-1","itemData":{"DOI":"10.1128/AEM.02545-09","ISSN":"00992240","PMID":"20118372","abstract":"During anaerobic growth of Escherichia coli, pyruvate formate-lyase (PFL) and lactate dehydrogenase (LDH) channel pyruvate toward a mixture of fermentation products. We have introduced a third branch at the pyruvate node in a mutant of E. coli with a mutation in pyruvate dehydrogenase (PDH*) that renders the enzyme less sensitive to inhibition by NADH. The key starting enzymes of the three branches at the pyruvate node in such a mutant, PDH*, PFL, and LDH, have different metabolic potentials and kinetic properties. In such a mutant (strain QZ2), pyruvate flux through LDH was about 30%, with the remainder of the flux occurring through PFL, indicating that LDH is a preferred route of pyruvate conversion over PDH*. In a pfl mutant (strain YKl67) with both PDH* and LDH activities, flux through PDH* was about 33% of the total, confirming the ability of LDH to outcompete the PDH pathway for pyruvate in vivo. Only in the absence of LDH (strain QZ3) was pyruvate carbon equally distributed between the PDH* and PFL pathways. Apfl mutant with LDH and PDH* activities, as well as a pfl ldh double mutant with PDH* activity, had a surprisingly low cell yield per mole of ATP (Y ATP) (about 7.0 g of cells per mol of ATP) compared to 10.9 g of cells per mol of ATP for the wild type. The lower YATP suggests the operation of a futile energy cycle in the absence of PFL in this strain. An understanding of the controls at the pyruvate node during anaerobic growth is expected to provide unique insights into rational metabolic engineering of E. coli and related bacteria for the production of various biobased products at high rates and yields. Copyright © 2010, American Society for Microbiology. All Rights Reserved.","author":[{"dropping-particle":"","family":"Wang","given":"Qingzhao","non-dropping-particle":"","parse-names":false,"suffix":""},{"dropping-particle":"","family":"Ou","given":"Mark S.","non-dropping-particle":"","parse-names":false,"suffix":""},{"dropping-particle":"","family":"Kim","given":"Y.","non-dropping-particle":"","parse-names":false,"suffix":""},{"dropping-particle":"","family":"Ingram","given":"L. O.","non-dropping-particle":"","parse-names":false,"suffix":""},{"dropping-particle":"","family":"Shanmugam","given":"K. T.","non-dropping-particle":"","parse-names":false,"suffix":""}],"container-title":"Applied and Environmental Microbiology","id":"ITEM-1","issue":"7","issued":{"date-parts":[["2010","4","1"]]},"page":"2107-2114","publisher":"American Society for Microbiology","title":"Metabolie flux control at the pyruvate node in an anaerobic escherichia coli strain with an active pyruvate dehydrogenase","type":"article-journal","volume":"76"},"uris":["http://www.mendeley.com/documents/?uuid=6ffafc4d-2eb8-3b2f-8291-5d17baba9fe9"]},{"id":"ITEM-2","itemData":{"DOI":"10.3389/FBIOE.2014.00016","ISSN":"22964185","PMID":"25152889","abstract":"Mixed-acid fermentation end products have numerous applications in biotechnology. This is probably the main driving force for the development of multiple strains that are supposed to produce individual end products with high yields. The process of engineering Escherichia coli strains for applied production of ethanol, lactate, succinate, or acetate was initiated several decades ago and is still ongoing. This review follows the path of strain development from the general characteristics of aerobic versus anaerobic metabolism over the regulatory machinery that enables the different metabolic routes. Thereafter, major improvements for broadening the substrate spectrum of E. coli toward cheap carbon sources like molasses or lignocellulose are highlighted before major routes of strain development for the production of ethanol, acetate, lactate, and succinate are presented.","author":[{"dropping-particle":"","family":"Förster","given":"Andreas H.","non-dropping-particle":"","parse-names":false,"suffix":""},{"dropping-particle":"","family":"Gescher","given":"Johannes","non-dropping-particle":"","parse-names":false,"suffix":""}],"container-title":"Frontiers in Bioengineering and Biotechnology","id":"ITEM-2","issue":"MAY","issued":{"date-parts":[["2014"]]},"publisher":"Frontiers Media SA","title":"Metabolic Engineering of Escherichia coli for Production of Mixed-Acid Fermentation End Products","type":"article-journal","volume":"2"},"uris":["http://www.mendeley.com/documents/?uuid=f7253449-68b6-39d9-bd37-a246ca6c1dcf"]},{"id":"ITEM-3","itemData":{"DOI":"10.1016/0378-1097(89)90132-8","ISSN":"15746968","abstract":"Under anaerobic conditions and in the absence of alternative electron acceptors Escherichia coli converts sugars to a mixture of products by fermentation. The major soluble products are acetate, ethanol, lactate and formate with smaller amounts of succinate. In addition the gaseous products hydrogen and carbon dioxide are produced in substantial amounts. The pathway generating fermentation products is branched and the flow down each branch is varied in response both the pH of the culture medium and the nature of the fermentation substrate. In particular, the ratio of the various fermentation products is manipulated in order to balance the number of reducing equivalents generated during glycolytic breakdown of the substrate. The enzymes and corresponding genes involved in these fermentation pathways are described. The regulatory responses of these genes and enzymes are known but the details of the underlying regulatory mechanisms are still obscure. © 1989.","author":[{"dropping-particle":"","family":"Clark","given":"David P.","non-dropping-particle":"","parse-names":false,"suffix":""}],"container-title":"FEMS Microbiology Letters","id":"ITEM-3","issue":"3","issued":{"date-parts":[["1989"]]},"title":"The fermentation pathways of Escherichia coli","type":"article-journal","volume":"63"},"uris":["http://www.mendeley.com/documents/?uuid=34453d0f-9079-3eb7-b879-bcf064835095"]},{"id":"ITEM-4","itemData":{"DOI":"10.1128/JB.178.20.6013-6018.1996","ISSN":"0021-9193","PMID":"8830700","abstract":"The fermentative alcohol dehydrogenase of Escherichia coli is encoded by the adhE gene, which is induced under anaerobic conditions but repressed in air. Previous work suggested that induction of adhE might depend on NADH levels. We therefore directly measured the NAD+ and NADH levels for cultures growing aerobically and anaerobically on a series of carbon sources whose metabolism generates different relative amounts of NADH. Expression of adhE was monitored both by assay of alcohol dehydrogenase activity and by expression of φ(adhE'-lacZ) gene fusions. The expression of the adhE gene correlated with the ratio of NADH to NAD+. The role of NADH in eliciting adhE induction was supported by a variety of treatments known to change the ratio of NADH to NAD+ or alter the total NAD+-plus-NADH pool. Blocking the electron transport chain, either by mutation or by chemical inhibitors, resulted in the artificial induction of the adhE gene under aerobic conditions. Conversely, limiting NAD synthesis, by introducing mutational blocks into the biosynthetic pathway for nicotinic acid, decreased the expression of adhE under anaerobic conditions. This, in turn, was reversed by supplementation with exogenous NAD or nicotinic acid. In merodiploid strains carrying deletion or insertion mutations abolishing the synthesis of AdhE protein, an adhE-lacZ fusion was expressed at nearly 10-fold the level observed in an adhE+ background. Introduction of mutant adhE alleles producing high levels of inactive AdhE protein gave results equivalent to those seen in absence of the AdhE protein. This finding implies that it is the buildup of NADH due to lack of enzyme activity, rather than the absence of the AdhE protein per se, which causes increased induction of the φ(adhE'- lacZ) fusion. Moreover, mutations giving elevated levels of active AdhE protein decreased the induction of the φ(adhE'-lacZ) fusion. This finding suggests that the enzymatic activity of the AdhE protein modulates the level of NADH under anaerobic conditions, thus indirectly regulating its own expression.","author":[{"dropping-particle":"","family":"Leonardo","given":"Michael R.","non-dropping-particle":"","parse-names":false,"suffix":""},{"dropping-particle":"","family":"Dailly","given":"Yves","non-dropping-particle":"","parse-names":false,"suffix":""},{"dropping-particle":"","family":"Clark","given":"David P.","non-dropping-particle":"","parse-names":false,"suffix":""}],"container-title":"Journal of bacteriology","id":"ITEM-4","issue":"20","issued":{"date-parts":[["1996"]]},"page":"6013-6018","publisher":"J Bacteriol","title":"Role of NAD in regulating the adhE gene of Escherichia coli","type":"article-journal","volume":"178"},"uris":["http://www.mendeley.com/documents/?uuid=0ad4a472-fbca-34fa-8d51-25184caf89b4"]}],"mendeley":{"formattedCitation":"&lt;sup&gt;109,166–168&lt;/sup&gt;","plainTextFormattedCitation":"109,166–168","previouslyFormattedCitation":"&lt;sup&gt;109,166–168&lt;/sup&gt;"},"properties":{"noteIndex":0},"schema":"https://github.com/citation-style-language/schema/raw/master/csl-citation.json"}</w:instrText>
      </w:r>
      <w:r w:rsidR="004E2DE7" w:rsidRPr="002C0A3B">
        <w:rPr>
          <w:rFonts w:cs="Arial"/>
          <w:color w:val="000000" w:themeColor="text1"/>
          <w:szCs w:val="22"/>
        </w:rPr>
        <w:fldChar w:fldCharType="separate"/>
      </w:r>
      <w:r w:rsidR="00A91591" w:rsidRPr="00A91591">
        <w:rPr>
          <w:rFonts w:cs="Arial"/>
          <w:noProof/>
          <w:color w:val="000000" w:themeColor="text1"/>
          <w:szCs w:val="22"/>
          <w:vertAlign w:val="superscript"/>
        </w:rPr>
        <w:t>109,166–168</w:t>
      </w:r>
      <w:r w:rsidR="004E2DE7" w:rsidRPr="002C0A3B">
        <w:rPr>
          <w:rFonts w:cs="Arial"/>
          <w:color w:val="000000" w:themeColor="text1"/>
          <w:szCs w:val="22"/>
        </w:rPr>
        <w:fldChar w:fldCharType="end"/>
      </w:r>
      <w:r w:rsidR="004E2DE7" w:rsidRPr="002C0A3B">
        <w:rPr>
          <w:rFonts w:cs="Arial"/>
          <w:color w:val="000000" w:themeColor="text1"/>
          <w:szCs w:val="22"/>
        </w:rPr>
        <w:t>. Increased [NADH]/[NAD</w:t>
      </w:r>
      <w:r w:rsidR="004E2DE7" w:rsidRPr="002C0A3B">
        <w:rPr>
          <w:rFonts w:cs="Arial"/>
          <w:color w:val="000000" w:themeColor="text1"/>
          <w:szCs w:val="22"/>
          <w:vertAlign w:val="superscript"/>
        </w:rPr>
        <w:t>+</w:t>
      </w:r>
      <w:r w:rsidR="004E2DE7" w:rsidRPr="002C0A3B">
        <w:rPr>
          <w:rFonts w:cs="Arial"/>
          <w:color w:val="000000" w:themeColor="text1"/>
          <w:szCs w:val="22"/>
        </w:rPr>
        <w:t xml:space="preserve">] in the cytosol is consequently regulated by the increased activity of endogenous </w:t>
      </w:r>
      <w:proofErr w:type="spellStart"/>
      <w:r w:rsidR="004E2DE7" w:rsidRPr="002C0A3B">
        <w:rPr>
          <w:rFonts w:cs="Arial"/>
          <w:color w:val="000000" w:themeColor="text1"/>
          <w:szCs w:val="22"/>
        </w:rPr>
        <w:t>AdhE</w:t>
      </w:r>
      <w:proofErr w:type="spellEnd"/>
      <w:r w:rsidR="004E2DE7" w:rsidRPr="002C0A3B">
        <w:rPr>
          <w:rFonts w:cs="Arial"/>
          <w:color w:val="000000" w:themeColor="text1"/>
          <w:szCs w:val="22"/>
        </w:rPr>
        <w:t xml:space="preserve"> enzymes</w:t>
      </w:r>
      <w:r w:rsidR="004E2DE7"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{"citationItems":[{"id":"ITEM-1","itemData":{"DOI":"10.3389/FBIOE.2014.00016","ISSN":"22964185","PMID":"25152889","abstract":"Mixed-acid fermentation end products have numerous applications in biotechnology. This is probably the main driving force for the development of multiple strains that are supposed to produce individual end products with high yields. The process of engineering Escherichia coli strains for applied production of ethanol, lactate, succinate, or acetate was initiated several decades ago and is still ongoing. This review follows the path of strain development from the general characteristics of aerobic versus anaerobic metabolism over the regulatory machinery that enables the different metabolic routes. Thereafter, major improvements for broadening the substrate spectrum of E. coli toward cheap carbon sources like molasses or lignocellulose are highlighted before major routes of strain development for the production of ethanol, acetate, lactate, and succinate are presented.","author":[{"dropping-particle":"","family":"Förster","given":"Andreas H.","non-dropping-particle":"","parse-names":false,"suffix":""},{"dropping-particle":"","family":"Gescher","given":"Johannes","non-dropping-particle":"","parse-names":false,"suffix":""}],"container-title":"Frontiers in Bioengineering and Biotechnology","id":"ITEM-1","issue":"MAY","issued":{"date-parts":[["2014"]]},"publisher":"Frontiers Media SA","title":"Metabolic Engineering of Escherichia coli for Production of Mixed-Acid Fermentation End Products","type":"article-journal","volume":"2"},"uris":["http://www.mendeley.com/documents/?uuid=f7253449-68b6-39d9-bd37-a246ca6c1dcf"]},{"id":"ITEM-2","itemData":{"DOI":"10.1128/JB.178.20.6013-6018.1996","ISSN":"0021-9193","PMID":"8830700","abstract":"The fermentative alcohol dehydrogenase of Escherichia coli is encoded by the adhE gene, which is induced under anaerobic conditions but repressed in air. Previous work suggested that induction of adhE might depend on NADH levels. We therefore directly measured the NAD+ and NADH levels for cultures growing aerobically and anaerobically on a series of carbon sources whose metabolism generates different relative amounts of NADH. Expression of adhE was monitored both by assay of alcohol dehydrogenase activity and by expression of φ(adhE'-lacZ) gene fusions. The expression of the adhE gene correlated with the ratio of NADH to NAD+. The role of NADH in eliciting adhE induction was supported by a variety of treatments known to change the ratio of NADH to NAD+ or alter the total NAD+-plus-NADH pool. Blocking the electron transport chain, either by mutation or by chemical inhibitors, resulted in the artificial induction of the adhE gene under aerobic conditions. Conversely, limiting NAD synthesis, by introducing mutational blocks into the biosynthetic pathway for nicotinic acid, decreased the expression of adhE under anaerobic conditions. This, in turn, was reversed by supplementation with exogenous NAD or nicotinic acid. In merodiploid strains carrying deletion or insertion mutations abolishing the synthesis of AdhE protein, an adhE-lacZ fusion was expressed at nearly 10-fold the level observed in an adhE+ background. Introduction of mutant adhE alleles producing high levels of inactive AdhE protein gave results equivalent to those seen in absence of the AdhE protein. This finding implies that it is the buildup of NADH due to lack of enzyme activity, rather than the absence of the AdhE protein per se, which causes increased induction of the φ(adhE'- lacZ) fusion. Moreover, mutations giving elevated levels of active AdhE protein decreased the induction of the φ(adhE'-lacZ) fusion. This finding suggests that the enzymatic activity of the AdhE protein modulates the level of NADH under anaerobic conditions, thus indirectly regulating its own expression.","author":[{"dropping-particle":"","family":"Leonardo","given":"Michael R.","non-dropping-particle":"","parse-names":false,"suffix":""},{"dropping-particle":"","family":"Dailly","given":"Yves","non-dropping-particle":"","parse-names":false,"suffix":""},{"dropping-particle":"","family":"Clark","given":"David P.","non-dropping-particle":"","parse-names":false,"suffix":""}],"container-title":"Journal of bacteriology","id":"ITEM-2","issue":"20","issued":{"date-parts":[["1996"]]},"page":"6013-6018","publisher":"J Bacteriol","title":"Role of NAD in regulating the adhE gene of Escherichia coli","type":"article-journal","volume":"178"},"uris":["http://www.mendeley.com/documents/?uuid=0ad4a472-fbca-34fa-8d51-25184caf89b4"]}],"mendeley":{"formattedCitation":"&lt;sup&gt;166,168&lt;/sup&gt;","plainTextFormattedCitation":"166,168","previouslyFormattedCitation":"&lt;sup&gt;166,168&lt;/sup&gt;"},"properties":{"noteIndex":0},"schema":"https://github.com/citation-style-language/schema/raw/master/csl-citation.json"}</w:instrText>
      </w:r>
      <w:r w:rsidR="004E2DE7" w:rsidRPr="002C0A3B">
        <w:rPr>
          <w:rFonts w:cs="Arial"/>
          <w:color w:val="000000" w:themeColor="text1"/>
          <w:szCs w:val="22"/>
        </w:rPr>
        <w:fldChar w:fldCharType="separate"/>
      </w:r>
      <w:r w:rsidR="00A91591" w:rsidRPr="00A91591">
        <w:rPr>
          <w:rFonts w:cs="Arial"/>
          <w:noProof/>
          <w:color w:val="000000" w:themeColor="text1"/>
          <w:szCs w:val="22"/>
          <w:vertAlign w:val="superscript"/>
        </w:rPr>
        <w:t>166,168</w:t>
      </w:r>
      <w:r w:rsidR="004E2DE7" w:rsidRPr="002C0A3B">
        <w:rPr>
          <w:rFonts w:cs="Arial"/>
          <w:color w:val="000000" w:themeColor="text1"/>
          <w:szCs w:val="22"/>
        </w:rPr>
        <w:fldChar w:fldCharType="end"/>
      </w:r>
      <w:r w:rsidR="004E2DE7" w:rsidRPr="002C0A3B">
        <w:rPr>
          <w:rFonts w:cs="Arial"/>
          <w:color w:val="000000" w:themeColor="text1"/>
          <w:szCs w:val="22"/>
        </w:rPr>
        <w:t xml:space="preserve">, a phenomenon that also likely occurs in oxygen-limited </w:t>
      </w:r>
      <w:r w:rsidR="004E2DE7" w:rsidRPr="002C0A3B">
        <w:rPr>
          <w:rFonts w:cs="Arial"/>
          <w:i/>
          <w:iCs/>
          <w:color w:val="000000" w:themeColor="text1"/>
          <w:szCs w:val="22"/>
        </w:rPr>
        <w:t xml:space="preserve">E. coli </w:t>
      </w:r>
      <w:r w:rsidR="004E2DE7" w:rsidRPr="002C0A3B">
        <w:rPr>
          <w:rFonts w:cs="Arial"/>
          <w:color w:val="000000" w:themeColor="text1"/>
          <w:szCs w:val="22"/>
        </w:rPr>
        <w:t>lysates</w:t>
      </w:r>
      <w:r w:rsidR="004E2DE7"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{"citationItems":[{"id":"ITEM-1","itemData":{"DOI":"10.1021/ACSSYNBIO.0C00501","ISSN":"21615063","PMID":"33760595","abstract":"Cell-free protein expression (CFPS) from E. coli cell lysate is an established chemical biology technique. Common efforts to improve synthesis capacity, such as strain engineering and process improvements, have overlooked the opportunity to increase productivity by reducing the dependence on limited, dissolved oxygen. Here we demonstrate conditioning E. coli cells for anaerobic respiration which increases the initial protein expression rate up to 4-fold and increases titer by 50% as compared to traditional aerobic cell lysate when using sfGFP as a reporter protein in CFPS reactions run at atmospheric conditions. This enhancement is even more significant when run in an oxygen-depleted environment, where anaerobic respiration preconditioned cells increase yield when supplemented with nitrite as a terminal electron acceptor (TEA). Furthermore, we test knockout mutants to determine key proteins responsible for enhancing the anaerobically prepared CFPS lysate. Further improvements could be made in preconditioning cells by increasing expression levels of critical pathway enzymes or by screening other TEA.","author":[{"dropping-particle":"","family":"Tamiev","given":"By Denis","non-dropping-particle":"","parse-names":false,"suffix":""},{"dropping-particle":"","family":"Dopp","given":"Jared L.","non-dropping-particle":"","parse-names":false,"suffix":""},{"dropping-particle":"","family":"Reuel","given":"Nigel F.","non-dropping-particle":"","parse-names":false,"suffix":""}],"container-title":"ACS synthetic biology","id":"ITEM-1","issue":"4","issued":{"date-parts":[["2021","4","4"]]},"page":"716","publisher":"NIH Public Access","title":"Anaerobic conditioning of E. Coli Cell Lysate for Enhanced In vitro Protein Synthesis","type":"article-journal","volume":"10"},"uris":["http://www.mendeley.com/documents/?uuid=6e8ea6fc-7f2a-3e77-a93c-f36eea1ff964"]}],"mendeley":{"formattedCitation":"&lt;sup&gt;169&lt;/sup&gt;","plainTextFormattedCitation":"169","previouslyFormattedCitation":"&lt;sup&gt;169&lt;/sup&gt;"},"properties":{"noteIndex":0},"schema":"https://github.com/citation-style-language/schema/raw/master/csl-citation.json"}</w:instrText>
      </w:r>
      <w:r w:rsidR="004E2DE7" w:rsidRPr="002C0A3B">
        <w:rPr>
          <w:rFonts w:cs="Arial"/>
          <w:color w:val="000000" w:themeColor="text1"/>
          <w:szCs w:val="22"/>
        </w:rPr>
        <w:fldChar w:fldCharType="separate"/>
      </w:r>
      <w:r w:rsidR="00A91591" w:rsidRPr="00A91591">
        <w:rPr>
          <w:rFonts w:cs="Arial"/>
          <w:noProof/>
          <w:color w:val="000000" w:themeColor="text1"/>
          <w:szCs w:val="22"/>
          <w:vertAlign w:val="superscript"/>
        </w:rPr>
        <w:t>169</w:t>
      </w:r>
      <w:r w:rsidR="004E2DE7" w:rsidRPr="002C0A3B">
        <w:rPr>
          <w:rFonts w:cs="Arial"/>
          <w:color w:val="000000" w:themeColor="text1"/>
          <w:szCs w:val="22"/>
        </w:rPr>
        <w:fldChar w:fldCharType="end"/>
      </w:r>
      <w:r w:rsidR="004E2DE7" w:rsidRPr="002C0A3B">
        <w:rPr>
          <w:rFonts w:cs="Arial"/>
          <w:color w:val="000000" w:themeColor="text1"/>
          <w:szCs w:val="22"/>
        </w:rPr>
        <w:t>. Additionally, a smaller air/liquid surface area and reaction headspace could better prevent ethanol evaporation from the reaction volume. Hence, 30 µL glucose-fed reactions prepared with blocked lysates and optimized cofactor concentrations were incubated in reaction vessels of varying sizes: 1.5 mL microcentrifuge tubes, 0.2 mL PCR tubes, and 50 µL non-binding surface wells in a 384-well plate sealed with film. The air/liquid surface area to volume ratios of the 30 µL reactions in these vessels were approximately 0.65 mm, 0.42 mm, and 0.32 mm, respectively. Expectedly, 30 µL reactions in 50 µL wells had a significantly higher mean % yield (</w:t>
      </w:r>
      <w:r w:rsidR="004E2DE7" w:rsidRPr="002C0A3B">
        <w:rPr>
          <w:rFonts w:cs="Arial"/>
          <w:i/>
          <w:iCs/>
          <w:color w:val="000000" w:themeColor="text1"/>
          <w:szCs w:val="22"/>
        </w:rPr>
        <w:t xml:space="preserve">59.1% </w:t>
      </w:r>
      <w:r w:rsidR="004E2DE7" w:rsidRPr="002C0A3B">
        <w:rPr>
          <w:rFonts w:cs="Arial"/>
          <w:i/>
          <w:iCs/>
          <w:color w:val="000000" w:themeColor="text1"/>
          <w:szCs w:val="22"/>
        </w:rPr>
        <w:sym w:font="Symbol" w:char="F0B1"/>
      </w:r>
      <w:r w:rsidR="004E2DE7" w:rsidRPr="002C0A3B">
        <w:rPr>
          <w:rFonts w:cs="Arial"/>
          <w:i/>
          <w:iCs/>
          <w:color w:val="000000" w:themeColor="text1"/>
          <w:szCs w:val="22"/>
        </w:rPr>
        <w:t xml:space="preserve"> 1.4%</w:t>
      </w:r>
      <w:r w:rsidR="004E2DE7" w:rsidRPr="002C0A3B">
        <w:rPr>
          <w:rFonts w:cs="Arial"/>
          <w:color w:val="000000" w:themeColor="text1"/>
          <w:szCs w:val="22"/>
        </w:rPr>
        <w:t>) compared to the average ~ 40% yield of reactions in 1.5 mL microcentrifuge tubes (</w:t>
      </w:r>
      <w:proofErr w:type="spellStart"/>
      <w:r w:rsidR="004E2DE7" w:rsidRPr="002C0A3B">
        <w:rPr>
          <w:rFonts w:cs="Arial"/>
          <w:i/>
          <w:iCs/>
          <w:color w:val="000000" w:themeColor="text1"/>
          <w:szCs w:val="22"/>
        </w:rPr>
        <w:t>pval</w:t>
      </w:r>
      <w:proofErr w:type="spellEnd"/>
      <w:r w:rsidR="004E2DE7" w:rsidRPr="002C0A3B">
        <w:rPr>
          <w:rFonts w:cs="Arial"/>
          <w:i/>
          <w:iCs/>
          <w:color w:val="000000" w:themeColor="text1"/>
          <w:szCs w:val="22"/>
        </w:rPr>
        <w:t xml:space="preserve"> &lt; 0.01</w:t>
      </w:r>
      <w:r w:rsidR="004E2DE7" w:rsidRPr="002C0A3B">
        <w:rPr>
          <w:rFonts w:cs="Arial"/>
          <w:color w:val="000000" w:themeColor="text1"/>
          <w:szCs w:val="22"/>
        </w:rPr>
        <w:t>) (</w:t>
      </w:r>
      <w:r w:rsidR="00405F98">
        <w:rPr>
          <w:rFonts w:cs="Arial"/>
          <w:b/>
          <w:bCs/>
          <w:color w:val="000000" w:themeColor="text1"/>
          <w:szCs w:val="22"/>
        </w:rPr>
        <w:t>Figure</w:t>
      </w:r>
      <w:r w:rsidR="004E2DE7" w:rsidRPr="002C0A3B">
        <w:rPr>
          <w:rFonts w:cs="Arial"/>
          <w:b/>
          <w:bCs/>
          <w:color w:val="000000" w:themeColor="text1"/>
          <w:szCs w:val="22"/>
        </w:rPr>
        <w:t xml:space="preserve"> 4</w:t>
      </w:r>
      <w:r w:rsidR="007B7C75">
        <w:rPr>
          <w:rFonts w:cs="Arial"/>
          <w:b/>
          <w:bCs/>
          <w:color w:val="000000" w:themeColor="text1"/>
          <w:szCs w:val="22"/>
        </w:rPr>
        <w:t>.4</w:t>
      </w:r>
      <w:r w:rsidR="004E2DE7" w:rsidRPr="002C0A3B">
        <w:rPr>
          <w:rFonts w:cs="Arial"/>
          <w:b/>
          <w:bCs/>
          <w:color w:val="000000" w:themeColor="text1"/>
          <w:szCs w:val="22"/>
        </w:rPr>
        <w:t>A</w:t>
      </w:r>
      <w:r w:rsidR="004E2DE7" w:rsidRPr="002C0A3B">
        <w:rPr>
          <w:rFonts w:cs="Arial"/>
          <w:color w:val="000000" w:themeColor="text1"/>
          <w:szCs w:val="22"/>
        </w:rPr>
        <w:t xml:space="preserve">). </w:t>
      </w:r>
    </w:p>
    <w:p w14:paraId="07220D02" w14:textId="78A90B3C" w:rsidR="004E2DE7" w:rsidRPr="002C0A3B" w:rsidRDefault="004E2DE7" w:rsidP="002C0A3B">
      <w:pPr>
        <w:ind w:firstLine="720"/>
        <w:rPr>
          <w:rFonts w:cs="Arial"/>
          <w:color w:val="000000" w:themeColor="text1"/>
          <w:szCs w:val="22"/>
        </w:rPr>
      </w:pPr>
      <w:r w:rsidRPr="002C0A3B">
        <w:rPr>
          <w:rFonts w:cs="Arial"/>
          <w:color w:val="000000" w:themeColor="text1"/>
          <w:szCs w:val="22"/>
        </w:rPr>
        <w:t>Cell-free systems provide the advantage of directly altering the reaction environment’s pH, which can potentially improve activity of specific enzymes and therefore pathway performance. Sampling different initial reaction pH values has therefore become a common CFME strategy for improving product titers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{"citationItems":[{"id":"ITEM-1","itemData":{"DOI":"10.1002/BIT.20449","ISSN":"0006-3592","PMID":"15830344","abstract":"In traditional cell-free protein synthesis reactions, the energy source (typically phosphoenolpyruvate (PEP) or creatine phosphate) is the most expensive substrate. However, for most biotechnology applications glucose is the preferred commercial substrate. Previous attempts to use glucose in cell-free protein synthesis reactions have been unsuccessful. We have now developed a cell-free protein synthesis reaction where PEP is replaced by either glucose or glucose-6-phosphate (G6P) as the energy source, thus allowing these reactions to compete more effectively with in vivo protein production technologies. We demonstrate high protein yields in a simple batch-format reaction through pH control and alleviation of phosphate limitation. G6P reactions can produce high protein levels (</w:instrText>
      </w:r>
      <w:r w:rsidR="004F3109">
        <w:rPr>
          <w:rFonts w:ascii="Cambria Math" w:hAnsi="Cambria Math" w:cs="Cambria Math"/>
          <w:color w:val="000000" w:themeColor="text1"/>
          <w:szCs w:val="22"/>
        </w:rPr>
        <w:instrText>∼</w:instrText>
      </w:r>
      <w:r w:rsidR="004F3109">
        <w:rPr>
          <w:rFonts w:cs="Arial"/>
          <w:color w:val="000000" w:themeColor="text1"/>
          <w:szCs w:val="22"/>
        </w:rPr>
        <w:instrText xml:space="preserve">700 μg/mL of chloramphenical acetyl transferase (CAT)) when pH is stabilized through replacement of the HEPES buffer with Bis-Tris. Protein synthesis with glucose as an energy source is also possible, and CAT yields of </w:instrText>
      </w:r>
      <w:r w:rsidR="004F3109">
        <w:rPr>
          <w:rFonts w:ascii="Cambria Math" w:hAnsi="Cambria Math" w:cs="Cambria Math"/>
          <w:color w:val="000000" w:themeColor="text1"/>
          <w:szCs w:val="22"/>
        </w:rPr>
        <w:instrText>∼</w:instrText>
      </w:r>
      <w:r w:rsidR="004F3109">
        <w:rPr>
          <w:rFonts w:cs="Arial"/>
          <w:color w:val="000000" w:themeColor="text1"/>
          <w:szCs w:val="22"/>
        </w:rPr>
        <w:instrText>550 μg/mL are seen when both 10 mM phosphate is added to alleviate phosphate limitations and the Bis-Tris buffer concentration is increased to stabilize pH. By following radioactivity from [U- 14C]-glucose, we find that glucose is primarily metabolized to the anaerobic products, acetate and lactate. The ability to use glucose as an energy source in cell-free reactions is important not only for inexpensive ATP generation during protein synthesis, but also as an example of how complex biological systems can be understood and exploited through cell-free biology. © 2005 Wiley Periodicals, Inc.","author":[{"dropping-particle":"","family":"Calhoun","given":"Kara A.","non-dropping-particle":"","parse-names":false,"suffix":""},{"dropping-particle":"","family":"Swartz","given":"James R.","non-dropping-particle":"","parse-names":false,"suffix":""}],"container-title":"Biotechnology and bioengineering","id":"ITEM-1","issue":"5","issued":{"date-parts":[["2005","6","5"]]},"page":"606-613","publisher":"Biotechnol Bioeng","title":"Energizing cell-free protein synthesis with glucose metabolism","type":"article-journal","volume":"90"},"uris":["http://www.mendeley.com/documents/?uuid=afc24211-2028-31d0-8a77-4456a460a610"]},{"id":"ITEM-2","itemData":{"DOI":"10.1093/synbio/ysz027","abstract":"Engineering metabolism for the synthesis of bio-based products in non-model organisms can be challenging. One specific challenge is that biosynthetic pathways are often built from enzyme candidates sourced from diverse organisms, which can prove difficult to implement in recombinant hosts due to differences in their cellular environments (e.g. pH, cofactor balance). To address this problem, we report a cell-free synthetic biology approach for understanding metabolism in a range of environmental conditions, specifically under varied pH. The key idea is to control the pH of Escherichia coli-based cell-free systems for assessing pathway performance using enzymes sourced from organisms other than E. coli. As a model, we apply this approach to study the impact of pH on the n-butanol biosynthesis pathway derived from clostridia in E. coli lysates. Specifically, we exploit the open, cell-free reaction environment to explore pH outside the habitable range of E. coli, revealing insights into how chemical context impacts the interaction between native metabolism and heterologous enzymes. We find that the pH optimum for butanol production from acetyl-CoA is substantially lower than the optimal pH of glycolysis in E. coli-based crude lysates. In addition, pH is an essential factor to consider when activating metabolic pathways in the cell-free environment due to its effect on reaction yield or enzyme activity, the latter of which is demonstrated in this work for alcohol dehydrogenases from a range of extremophiles. Ultimately, altering metabolism through pH control will allow cell-free systems to be used in studying the metabolic state of organisms and identify suitable enzymes for pathway engineering.","author":[{"dropping-particle":"","family":"Karim","given":"Ashty S","non-dropping-particle":"","parse-names":false,"suffix":""},{"dropping-particle":"","family":"Rasor","given":"Blake J","non-dropping-particle":"","parse-names":false,"suffix":""},{"dropping-particle":"","family":"Jewett","given":"Michael C","non-dropping-particle":"","parse-names":false,"suffix":""}],"container-title":"Synthetic Biology","id":"ITEM-2","issue":"1","issued":{"date-parts":[["2020","1","1"]]},"publisher":"Oxford Academic","title":"Enhancing control of cell-free metabolism through pH modulation","type":"article-journal","volume":"5"},"uris":["http://www.mendeley.com/documents/?uuid=8088fefb-6e17-3ff6-91fc-9aaecbaf8f13"]},{"id":"ITEM-3","itemData":{"DOI":"10.1016/J.YMBEN.2020.05.009","ISSN":"1096-7176","PMID":"32502620","abstract":"Styrene is an important petroleum-derived molecule that is polymerized to make versatile plastics, including disposable silverware and foamed packaging materials. Finding more sustainable methods, such as biosynthesis, for producing styrene is essential due to the increasing severity of climate change as well as the limited supply of fossil fuels. Recent metabolic engineering efforts have enabled the biological production of styrene in Escherichia coli, but styrene toxicity and volatility limit biosynthesis in cells. To address these limitations, we have developed a cell-free styrene biosynthesis platform. The cell-free system provides an open reaction environment without cell viability constraints, which allows exquisite control over reaction conditions and greater carbon flux toward product formation rather than cell growth. The two biosynthetic enzymes required for styrene production were generated via cell-free protein synthesis and mixed in defined ratios with supplemented L-phenylalanine and buffer. By altering the time, temperature, pH, and enzyme concentrations in the reaction, this approach increased the cell-free titer of styrene from 5.36 ± 0.63 mM to 40.33 ± 1.03 mM, the highest amount achieved using biosynthesis without process modifications and product removal strategies. Cell-free systems offer a complimentary approach to cellular synthesis of small molecules, which can provide particular benefits for producing toxic molecules.","author":[{"dropping-particle":"","family":"Grubbe","given":"William S.","non-dropping-particle":"","parse-names":false,"suffix":""},{"dropping-particle":"","family":"Rasor","given":"Blake J.","non-dropping-particle":"","parse-names":false,"suffix":""},{"dropping-particle":"","family":"Krüger","given":"Antje","non-dropping-particle":"","parse-names":false,"suffix":""},{"dropping-particle":"","family":"Jewett","given":"Michael C.","non-dropping-particle":"","parse-names":false,"suffix":""},{"dropping-particle":"","family":"Karim","given":"Ashty S.","non-dropping-particle":"","parse-names":false,"suffix":""}],"container-title":"Metabolic Engineering","id":"ITEM-3","issued":{"date-parts":[["2020","9","1"]]},"page":"89-95","publisher":"Academic Press","title":"Cell-free styrene biosynthesis at high titers","type":"article-journal","volume":"61"},"uris":["http://www.mendeley.com/documents/?uuid=392ffd54-774c-3eee-bbde-70b91225bd34"]},{"id":"ITEM-4","itemData":{"DOI":"10.1038/s41467-021-25233-y","ISSN":"20411723","abstract":"Cell-free systems using crude cell extracts present appealing opportunities for designing biosynthetic pathways and enabling sustainable chemical synthesis. However, the lack of tools to effectively manipulate the underlying host metabolism in vitro limits the potential of these systems. Here, we create an integrated framework to address this gap that leverages cell extracts from host strains genetically rewired by multiplexed CRISPR-dCas9 modulation and other metabolic engineering techniques. As a model, we explore conversion of glucose to 2,3-butanediol in extracts from flux-enhanced Saccharomyces cerevisiae strains. We show that cellular flux rewiring in several strains of S. cerevisiae combined with systematic optimization of the cell-free reaction environment significantly increases 2,3-butanediol titers and volumetric productivities, reaching productivities greater than 0.9 g/L-h. We then show the generalizability of the framework by improving cell-free itaconic acid and glycerol biosynthesis. Our coupled in vivo/in vitro metabolic engineering approach opens opportunities for synthetic biology prototyping efforts and cell-free biomanufacturing.","author":[{"dropping-particle":"","family":"Rasor","given":"Blake J.","non-dropping-particle":"","parse-names":false,"suffix":""},{"dropping-particle":"","family":"Yi","given":"Xiunan","non-dropping-particle":"","parse-names":false,"suffix":""},{"dropping-particle":"","family":"Brown","given":"Hunter","non-dropping-particle":"","parse-names":false,"suffix":""},{"dropping-particle":"","family":"Alper","given":"Hal S.","non-dropping-particle":"","parse-names":false,"suffix":""},{"dropping-particle":"","family":"Jewett","given":"Michael C.","non-dropping-particle":"","parse-names":false,"suffix":""}],"container-title":"Nature Communications","id":"ITEM-4","issue":"1","issued":{"date-parts":[["2021"]]},"title":"An integrated in vivo/in vitro framework to enhance cell-free biosynthesis with metabolically rewired yeast extracts","type":"article-journal","volume":"12"},"uris":["http://www.mendeley.com/documents/?uuid=de3655a6-6de6-3969-b0d9-b134deac4cdc"]}],"mendeley":{"formattedCitation":"&lt;sup&gt;51,62,78,170&lt;/sup&gt;","plainTextFormattedCitation":"51,62,78,170","previouslyFormattedCitation":"&lt;sup&gt;51,62,78,170&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51,62,78,170</w:t>
      </w:r>
      <w:r w:rsidRPr="002C0A3B">
        <w:rPr>
          <w:rFonts w:cs="Arial"/>
          <w:color w:val="000000" w:themeColor="text1"/>
          <w:szCs w:val="22"/>
        </w:rPr>
        <w:fldChar w:fldCharType="end"/>
      </w:r>
      <w:r w:rsidRPr="002C0A3B">
        <w:rPr>
          <w:rFonts w:cs="Arial"/>
          <w:color w:val="000000" w:themeColor="text1"/>
          <w:szCs w:val="22"/>
        </w:rPr>
        <w:t xml:space="preserve">. This strategy was employed here specifically to improve ethanol yield in the blocked extract. </w:t>
      </w:r>
      <w:r w:rsidRPr="002C0A3B">
        <w:rPr>
          <w:rFonts w:cs="Arial"/>
          <w:i/>
          <w:iCs/>
          <w:color w:val="000000" w:themeColor="text1"/>
          <w:szCs w:val="22"/>
        </w:rPr>
        <w:t xml:space="preserve">E. coli </w:t>
      </w:r>
      <w:r w:rsidRPr="002C0A3B">
        <w:rPr>
          <w:rFonts w:cs="Arial"/>
          <w:color w:val="000000" w:themeColor="text1"/>
          <w:szCs w:val="22"/>
        </w:rPr>
        <w:t>cells regulate cytosolic pH within a range of 7.2 to 7.8, hence the use of pH 7.2 as the initial condition</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{"citationItems":[{"id":"ITEM-1","itemData":{"DOI":"10.1128/JB.00615-07/ASSET/1E5EA07A-1787-4D9A-8EE8-1085BCA294B7/ASSETS/GRAPHIC/ZJB0150770040008.JPEG","ISSN":"00219193","PMID":"17545292","abstract":"Cytoplasmic pH and periplasmic pH of Escherichia coli cells in suspension were observed with 4-s time resolution using fluorimetry of TorA-green fluorescent protein mutant 3* (TorA-GFPmut3*) and TetR-yellow fluorescent protein. Fluorescence intensity was correlated with pH using cell suspensions containing 20 mM benzoate, which equalizes the cytoplasmic pH with the external pH. When the external pH was lowered from pH 7.5 to 5.5, the cytoplasmic pH fell within 10 to 20 s to pH 5.6 to 6.5. Rapid recovery occurred until about 30 s after HCl addition and was followed by slower recovery over the next 5 min. As a control, KCl addition had no effect on fluorescence. In the presence of 5 to 10 mM acetate or benzoate, recovery from external acidification was diminished. Addition of benzoate at pH 7.0 resulted in cytoplasmic acidification with only slow recovery. Periplasmic pH was observed using TorA-GFPmut3* exported to the periplasm through the Tat system. The periplasmic location of the fusion protein was confirmed by the observation that osmotic shock greatly decreased the periplasmic fluorescence signal by loss of the protein but had no effect on the fluorescence of the cytoplasmic protein. Based on GFPmut3* fluorescence, the pH of the periplasm equaled the external pH under all conditions tested, including rapid acid shift. Benzoate addition had no effect on periplasmic pH. The cytoplasmic pH of E. coli was measured with 4-s time resolution using a method that can be applied to any strain construct, and the periplasmic pH was measured directly for the first time. Copyright © 2007, American Society for Microbiology. All Rights Reserved.","author":[{"dropping-particle":"","family":"Wilks","given":"Jessica C.","non-dropping-particle":"","parse-names":false,"suffix":""},{"dropping-particle":"","family":"Slonczewski","given":"Joan L.","non-dropping-particle":"","parse-names":false,"suffix":""}],"container-title":"Journal of Bacteriology","id":"ITEM-1","issue":"15","issued":{"date-parts":[["2007","8"]]},"page":"5601-5607","publisher":"\nAmerican Society for Microbiology\n","title":"pH of the cytoplasm and periplasm of Escherichia coli: Rapid measurement by green fluorescent protein fluorimetry","type":"article-journal","volume":"189"},"uris":["http://www.mendeley.com/documents/?uuid=74590327-979f-3d55-829c-d0e945476838"]}],"mendeley":{"formattedCitation":"&lt;sup&gt;171&lt;/sup&gt;","plainTextFormattedCitation":"171","previouslyFormattedCitation":"&lt;sup&gt;171&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171</w:t>
      </w:r>
      <w:r w:rsidRPr="002C0A3B">
        <w:rPr>
          <w:rFonts w:cs="Arial"/>
          <w:color w:val="000000" w:themeColor="text1"/>
          <w:szCs w:val="22"/>
        </w:rPr>
        <w:fldChar w:fldCharType="end"/>
      </w:r>
      <w:r w:rsidRPr="002C0A3B">
        <w:rPr>
          <w:rFonts w:cs="Arial"/>
          <w:color w:val="000000" w:themeColor="text1"/>
          <w:szCs w:val="22"/>
        </w:rPr>
        <w:t>. However, reducing the pH from 7.2 to 6.2 resulted in a significant % yield increase (</w:t>
      </w:r>
      <w:proofErr w:type="spellStart"/>
      <w:r w:rsidRPr="002C0A3B">
        <w:rPr>
          <w:rFonts w:cs="Arial"/>
          <w:i/>
          <w:iCs/>
          <w:color w:val="000000" w:themeColor="text1"/>
          <w:szCs w:val="22"/>
        </w:rPr>
        <w:t>pval</w:t>
      </w:r>
      <w:proofErr w:type="spellEnd"/>
      <w:r w:rsidRPr="002C0A3B">
        <w:rPr>
          <w:rFonts w:cs="Arial"/>
          <w:i/>
          <w:iCs/>
          <w:color w:val="000000" w:themeColor="text1"/>
          <w:szCs w:val="22"/>
        </w:rPr>
        <w:t xml:space="preserve"> &lt; 0.01</w:t>
      </w:r>
      <w:r w:rsidRPr="002C0A3B">
        <w:rPr>
          <w:rFonts w:cs="Arial"/>
          <w:color w:val="000000" w:themeColor="text1"/>
          <w:szCs w:val="22"/>
        </w:rPr>
        <w:t xml:space="preserve">) to 71.0% </w:t>
      </w:r>
      <w:r w:rsidRPr="002C0A3B">
        <w:rPr>
          <w:rFonts w:cs="Arial"/>
          <w:color w:val="000000" w:themeColor="text1"/>
          <w:szCs w:val="22"/>
        </w:rPr>
        <w:sym w:font="Symbol" w:char="F0B1"/>
      </w:r>
      <w:r w:rsidRPr="002C0A3B">
        <w:rPr>
          <w:rFonts w:cs="Arial"/>
          <w:color w:val="000000" w:themeColor="text1"/>
          <w:szCs w:val="22"/>
        </w:rPr>
        <w:t xml:space="preserve"> 1.9%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4B</w:t>
      </w:r>
      <w:r w:rsidRPr="002C0A3B">
        <w:rPr>
          <w:rFonts w:cs="Arial"/>
          <w:color w:val="000000" w:themeColor="text1"/>
          <w:szCs w:val="22"/>
        </w:rPr>
        <w:t>). This is attributed to a modest increase in ethanol concentration (</w:t>
      </w:r>
      <w:proofErr w:type="spellStart"/>
      <w:r w:rsidRPr="002C0A3B">
        <w:rPr>
          <w:rFonts w:cs="Arial"/>
          <w:i/>
          <w:iCs/>
          <w:color w:val="000000" w:themeColor="text1"/>
          <w:szCs w:val="22"/>
        </w:rPr>
        <w:t>pval</w:t>
      </w:r>
      <w:proofErr w:type="spellEnd"/>
      <w:r w:rsidRPr="002C0A3B">
        <w:rPr>
          <w:rFonts w:cs="Arial"/>
          <w:i/>
          <w:iCs/>
          <w:color w:val="000000" w:themeColor="text1"/>
          <w:szCs w:val="22"/>
        </w:rPr>
        <w:t xml:space="preserve"> &gt; 0.05</w:t>
      </w:r>
      <w:r w:rsidRPr="002C0A3B">
        <w:rPr>
          <w:rFonts w:cs="Arial"/>
          <w:color w:val="000000" w:themeColor="text1"/>
          <w:szCs w:val="22"/>
        </w:rPr>
        <w:t>) and a significant decrease in glucose consumption (</w:t>
      </w:r>
      <w:proofErr w:type="spellStart"/>
      <w:r w:rsidRPr="002C0A3B">
        <w:rPr>
          <w:rFonts w:cs="Arial"/>
          <w:i/>
          <w:iCs/>
          <w:color w:val="000000" w:themeColor="text1"/>
          <w:szCs w:val="22"/>
        </w:rPr>
        <w:t>pval</w:t>
      </w:r>
      <w:proofErr w:type="spellEnd"/>
      <w:r w:rsidRPr="002C0A3B">
        <w:rPr>
          <w:rFonts w:cs="Arial"/>
          <w:i/>
          <w:iCs/>
          <w:color w:val="000000" w:themeColor="text1"/>
          <w:szCs w:val="22"/>
        </w:rPr>
        <w:t xml:space="preserve"> &lt; 0.01</w:t>
      </w:r>
      <w:r w:rsidRPr="002C0A3B">
        <w:rPr>
          <w:rFonts w:cs="Arial"/>
          <w:color w:val="000000" w:themeColor="text1"/>
          <w:szCs w:val="22"/>
        </w:rPr>
        <w:t>)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4B</w:t>
      </w:r>
      <w:r w:rsidRPr="002C0A3B">
        <w:rPr>
          <w:rFonts w:cs="Arial"/>
          <w:color w:val="000000" w:themeColor="text1"/>
          <w:szCs w:val="22"/>
        </w:rPr>
        <w:t xml:space="preserve">). In </w:t>
      </w:r>
      <w:r w:rsidRPr="002C0A3B">
        <w:rPr>
          <w:rFonts w:cs="Arial"/>
          <w:i/>
          <w:iCs/>
          <w:color w:val="000000" w:themeColor="text1"/>
          <w:szCs w:val="22"/>
        </w:rPr>
        <w:t xml:space="preserve">E. coli </w:t>
      </w:r>
      <w:r w:rsidRPr="002C0A3B">
        <w:rPr>
          <w:rFonts w:cs="Arial"/>
          <w:color w:val="000000" w:themeColor="text1"/>
          <w:szCs w:val="22"/>
        </w:rPr>
        <w:t>cells, a reduction from cytosolic pH 7.0 to 6.0 leads to a 20% decrease in glycolytic flux</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{"citationItems":[{"id":"ITEM-1","itemData":{"abstract":"31P nuclear magnetic resonance spectra of glycolyzing, anaerobic Escherichia coli cells and their per-chloric acid extracts were obtained at 145.7 MHz. Time-dependent intracellular concentrations of nucleoside di-and tri-phosphates, Pi, and sugar phosphates were measured during glycolysis with 2-min resolution, while intracellular and extra-cellular pH values were monitored simultaneously. Upon glucose addition, anaerobic E. coil cells rapidly produce acids and develop a transmembrane pH gradient (ApH). Glycolysis rates were calculated from the changes in the external pH. It was found that glycolysis rates are strongly dependent on internal pH, sharply decreasing when the pH drops below 7.2. The ATPase inhibitor, dicyc ohexylcarbodiimide (DCCD), prevented NTP hydrolysis and inhibited ApH formation. The uncoupler, carbonyl cyanide p-triflouromethoxyphenyl hydrazone (FCCP), drastically reduced both the ApH andte level. When e cells were previously treated with DCCD, FCCP collapsed the ApH while the NTP levels remained high. It is concluded that ATP produced by glycolysis is hydrolyzed by the membrane ATPase to generate a ApH and that FCCP stimulates ATP hy-drolysis by ATPase and collapses the proton gradient. High-resolution nuclear magnetic resonance (NMR) of cellular suspensions and tissues can measure intracellular pH from the chemical shifts of metabolites such as inorganic phosphate (Pi), which titrate in the physiological pH range. In addition, resonances from numerous metabolites, including intracellular and extracellular Pi, intermediates of the glycolytic pathway, and nucleoside di-and triphosphates, have been identified and their concentrations in vivo followed as a function of stimulation and time (1-5). In microorgranisms a transmembrane proton gradient, ApH, and a membrane potential, AO, are important both for production of ATP during oxidative phosphorylation and for transport of various substrates (6, 7). It has been demonstrated that during respiration, Escherichia coli can maintain a large ApH and a AO. The magnitude and the direction of the ApH is a function of the external pH, effectively maintaining the internal pH constant at about 7.5 (8). During respiration, the source of the proton electrochemical gradient is proton trans-location, which is coupled to substrate oxidation. Under an-aerobic conditions, dimethyloxazolidinadione measurements on Streptococcus faecalis (9) and, more recently, 31P NMR measurements on E. coli (4) have show…","author":[{"dropping-particle":"","family":"Ugurbil","given":"K","non-dropping-particle":"","parse-names":false,"suffix":""},{"dropping-particle":"","family":"Rottenberg","given":"H","non-dropping-particle":"","parse-names":false,"suffix":""},{"dropping-particle":"","family":"Glynn","given":"P","non-dropping-particle":"","parse-names":false,"suffix":""},{"dropping-particle":"","family":"Shulman","given":"R G","non-dropping-particle":"","parse-names":false,"suffix":""}],"id":"ITEM-1","issue":"5","issued":{"date-parts":[["1978"]]},"page":"2244-2248","title":"Biochemistry 1p nuclear magnetic resonance studies of bioenergetics and glycolysis in anaerobic Escherichia coli cells (ApH/adenosine triphosphatase/dicyclohexylcarbodiimide)","type":"article-journal","volume":"75"},"uris":["http://www.mendeley.com/documents/?uuid=d18f2ddd-9f66-3181-bef2-b719fc568e01"]}],"mendeley":{"formattedCitation":"&lt;sup&gt;172&lt;/sup&gt;","plainTextFormattedCitation":"172","previouslyFormattedCitation":"&lt;sup&gt;172&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172</w:t>
      </w:r>
      <w:r w:rsidRPr="002C0A3B">
        <w:rPr>
          <w:rFonts w:cs="Arial"/>
          <w:color w:val="000000" w:themeColor="text1"/>
          <w:szCs w:val="22"/>
        </w:rPr>
        <w:fldChar w:fldCharType="end"/>
      </w:r>
      <w:r w:rsidRPr="002C0A3B">
        <w:rPr>
          <w:rFonts w:cs="Arial"/>
          <w:color w:val="000000" w:themeColor="text1"/>
          <w:szCs w:val="22"/>
        </w:rPr>
        <w:t xml:space="preserve">. Although the pH optima of enzymes </w:t>
      </w:r>
      <w:r w:rsidRPr="002C0A3B">
        <w:rPr>
          <w:rFonts w:cs="Arial"/>
          <w:i/>
          <w:iCs/>
          <w:color w:val="000000" w:themeColor="text1"/>
          <w:szCs w:val="22"/>
        </w:rPr>
        <w:t xml:space="preserve">in vitro </w:t>
      </w:r>
      <w:r w:rsidRPr="002C0A3B">
        <w:rPr>
          <w:rFonts w:cs="Arial"/>
          <w:color w:val="000000" w:themeColor="text1"/>
          <w:szCs w:val="22"/>
        </w:rPr>
        <w:t xml:space="preserve">are </w:t>
      </w:r>
      <w:r w:rsidRPr="002C0A3B">
        <w:rPr>
          <w:rFonts w:cs="Arial"/>
          <w:color w:val="000000" w:themeColor="text1"/>
          <w:szCs w:val="22"/>
        </w:rPr>
        <w:lastRenderedPageBreak/>
        <w:t xml:space="preserve">generally lower than that observed </w:t>
      </w:r>
      <w:r w:rsidRPr="002C0A3B">
        <w:rPr>
          <w:rFonts w:cs="Arial"/>
          <w:i/>
          <w:iCs/>
          <w:color w:val="000000" w:themeColor="text1"/>
          <w:szCs w:val="22"/>
        </w:rPr>
        <w:t>in vivo</w:t>
      </w:r>
      <w:r w:rsidRPr="002C0A3B">
        <w:rPr>
          <w:rFonts w:cs="Arial"/>
          <w:color w:val="000000" w:themeColor="text1"/>
          <w:szCs w:val="22"/>
        </w:rPr>
        <w:t>, it is conceivable that cell-free glycolytic enzymes are already slightly impaired at pH 6.2, leading to the reduced usage of glucose at this pH</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{"citationItems":[{"id":"ITEM-1","itemData":{"DOI":"10.1111/1574-6976.12076","ISSN":"0168-6445","PMID":"24898062","abstract":"As part of their life cycle, neutralophilic bacteria are often exposed to varying environmental stresses, among which fluctuations in pH are the most frequent. In particular, acid environments can be encountered in many situations from fermented food to the gastric compartment of the animal host. Herein, we review the current knowledge of the molecular mechanisms adopted by a range of Gram-positive and Gram-negative bacteria, mostly those affecting human health, for coping with acid stress. Because organic and inorganic acids have deleterious effects on the activity of the biological macromolecules to the point of significantly reducing growth and even threatening their viability, it is not unexpected that neutralophilic bacteria have evolved a number of different protective mechanisms, which provide them with an advantage in otherwise life-threatening conditions. The overall logic of these is to protect the cell from the deleterious effects of a harmful level of protons. Among the most favoured mechanisms are the pumping out of protons, production of ammonia and proton-consuming decarboxylation reactions, as well as modifications of the lipid content in the membrane. Several examples are provided to describe mechanisms adopted to sense the external acidic pH. Particular attention is paid to Escherichia coli extreme acid resistance mechanisms, the activity of which ensure survival and may be directly linked to virulence.","author":[{"dropping-particle":"","family":"Lund","given":"Peter","non-dropping-particle":"","parse-names":false,"suffix":""},{"dropping-particle":"","family":"Tramonti","given":"Angela","non-dropping-particle":"","parse-names":false,"suffix":""},{"dropping-particle":"","family":"Biase","given":"Daniela","non-dropping-particle":"De","parse-names":false,"suffix":""},{"dropping-particle":"","family":"Pasteur-Fondazione","given":"Istituto","non-dropping-particle":"","parse-names":false,"suffix":""},{"dropping-particle":"","family":"Bolognetti","given":"Cenci","non-dropping-particle":"","parse-names":false,"suffix":""}],"container-title":"FEMS Microbiology Reviews","id":"ITEM-1","issue":"6","issued":{"date-parts":[["2014","11","1"]]},"page":"1091-1125","publisher":"Oxford Academic","title":"Coping with low pH: molecular strategies in neutralophilic bacteria","type":"article-journal","volume":"38"},"uris":["http://www.mendeley.com/documents/?uuid=3be068b0-3d6e-3534-8697-d37668fd4e27"]}],"mendeley":{"formattedCitation":"&lt;sup&gt;173&lt;/sup&gt;","plainTextFormattedCitation":"173","previouslyFormattedCitation":"&lt;sup&gt;173&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173</w:t>
      </w:r>
      <w:r w:rsidRPr="002C0A3B">
        <w:rPr>
          <w:rFonts w:cs="Arial"/>
          <w:color w:val="000000" w:themeColor="text1"/>
          <w:szCs w:val="22"/>
        </w:rPr>
        <w:fldChar w:fldCharType="end"/>
      </w:r>
      <w:r w:rsidRPr="002C0A3B">
        <w:rPr>
          <w:rFonts w:cs="Arial"/>
          <w:color w:val="000000" w:themeColor="text1"/>
          <w:szCs w:val="22"/>
        </w:rPr>
        <w:t>. Intriguingly, however, the decrease in glucose consumption had no significant effect on ethanol concentration compared to the initial condition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4B</w:t>
      </w:r>
      <w:r w:rsidRPr="002C0A3B">
        <w:rPr>
          <w:rFonts w:cs="Arial"/>
          <w:color w:val="000000" w:themeColor="text1"/>
          <w:szCs w:val="22"/>
        </w:rPr>
        <w:t>). This suggests that carbon flux from consumed glucose is better directed towards ethanol in lysates with a slightly more acidic reaction environment. Further reducing the reaction pH results in a similar ethanol yield (</w:t>
      </w:r>
      <w:r w:rsidRPr="002C0A3B">
        <w:rPr>
          <w:rFonts w:cs="Arial"/>
          <w:i/>
          <w:iCs/>
          <w:color w:val="000000" w:themeColor="text1"/>
          <w:szCs w:val="22"/>
        </w:rPr>
        <w:t>68.6%</w:t>
      </w:r>
      <w:r w:rsidRPr="002C0A3B">
        <w:rPr>
          <w:rFonts w:cs="Arial"/>
          <w:color w:val="000000" w:themeColor="text1"/>
          <w:szCs w:val="22"/>
        </w:rPr>
        <w:t xml:space="preserve"> </w:t>
      </w:r>
      <w:r w:rsidRPr="002C0A3B">
        <w:rPr>
          <w:rFonts w:cs="Arial"/>
          <w:i/>
          <w:iCs/>
          <w:color w:val="000000" w:themeColor="text1"/>
          <w:szCs w:val="22"/>
        </w:rPr>
        <w:sym w:font="Symbol" w:char="F0B1"/>
      </w:r>
      <w:r w:rsidRPr="002C0A3B">
        <w:rPr>
          <w:rFonts w:cs="Arial"/>
          <w:i/>
          <w:iCs/>
          <w:color w:val="000000" w:themeColor="text1"/>
          <w:szCs w:val="22"/>
        </w:rPr>
        <w:t xml:space="preserve"> 9.8%</w:t>
      </w:r>
      <w:r w:rsidRPr="002C0A3B">
        <w:rPr>
          <w:rFonts w:cs="Arial"/>
          <w:color w:val="000000" w:themeColor="text1"/>
          <w:szCs w:val="22"/>
        </w:rPr>
        <w:t>) but compromises ethanol concentration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4B</w:t>
      </w:r>
      <w:r w:rsidRPr="002C0A3B">
        <w:rPr>
          <w:rFonts w:cs="Arial"/>
          <w:color w:val="000000" w:themeColor="text1"/>
          <w:szCs w:val="22"/>
        </w:rPr>
        <w:t>). For these reasons, pH 6.2 was considered the optimum for succeeding experiments.</w:t>
      </w:r>
    </w:p>
    <w:p w14:paraId="35F9DD6C" w14:textId="58B1D3A3" w:rsidR="0039202C" w:rsidRDefault="004E2DE7" w:rsidP="004E2DE7">
      <w:pPr>
        <w:ind w:firstLine="720"/>
        <w:rPr>
          <w:rFonts w:cs="Arial"/>
          <w:color w:val="000000" w:themeColor="text1"/>
          <w:szCs w:val="22"/>
        </w:rPr>
      </w:pPr>
      <w:r w:rsidRPr="002C0A3B">
        <w:rPr>
          <w:rFonts w:cs="Arial"/>
          <w:color w:val="000000" w:themeColor="text1"/>
          <w:szCs w:val="22"/>
        </w:rPr>
        <w:t>To further improve ethanol yield, different source strain growth conditions were evaluated for enriching throughput of the target pathway. As reported, the lysate’s endogenous metabolic proteome can be curated by growing cells under different nutritional conditions or by harvesting cells at different growth stages, improving CFME outcomes</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{"citationItems":[{"id":"ITEM-1","itemData":{"DOI":"10.1093/synbio/ysy006","ISSN":"2397-7000","author":[{"dropping-particle":"","family":"Garcia","given":"David C","non-dropping-particle":"","parse-names":false,"suffix":""},{"dropping-particle":"","family":"Mohr","given":"Benjamin P","non-dropping-particle":"","parse-names":false,"suffix":""},{"dropping-particle":"","family":"Dovgan","given":"Jakob T","non-dropping-particle":"","parse-names":false,"suffix":""},{"dropping-particle":"","family":"Hurst","given":"Gregory B","non-dropping-particle":"","parse-names":false,"suffix":""},{"dropping-particle":"","family":"Standaert","given":"Robert F","non-dropping-particle":"","parse-names":false,"suffix":""},{"dropping-particle":"","family":"Doktycz","given":"Mitchel J","non-dropping-particle":"","parse-names":false,"suffix":""}],"container-title":"Synthetic Biology","id":"ITEM-1","issue":"1","issued":{"date-parts":[["2018","1"]]},"title":"Elucidating the potential of crude cell extracts for producing pyruvate from glucose","type":"article-journal","volume":"3"},"uris":["http://www.mendeley.com/documents/?uuid=93e10a3d-9076-4efb-9000-4a5595e16d6a"]},{"id":"ITEM-2","itemData":{"DOI":"10.1021/acssynbio.9b00524","ISSN":"21615063","PMID":"33044063","abstract":"Progress in cell-free protein synthesis (CFPS) has spurred resurgent interest in engineering complex biological metabolism outside of the cell. Unlike purified enzyme systems, crude cell-free systems can be prepared for a fraction of the cost and contain endogenous cellular pathways that can be activated for biosynthesis. Endogenous activity performs essential functions in cell-free systems including substrate biosynthesis and energy regeneration; however, use of crude cell-free systems for bioproduction has been hampered by the under-described complexity of the metabolic networks inherent to a crude lysate. Physical and chemical cultivation parameters influence the endogenous activity of the resulting lysate, but targeted efforts to engineer this activity by manipulation of these nongenetic factors has been limited. Here growth medium composition was manipulated to improve the one-pot in vitro biosynthesis of phenol from glucose via the expression of Pasteurella multocida phenol-tyrosine lyase in crude E. coli lysates. Crude cell lysate metabolic activity was focused toward the limiting precursor tyrosine by targeted growth medium dropouts guided by proteomics. The result is the activation of a 25-step enzymatic reaction cascade involving at least three endogenous E. coli metabolic pathways. Additional modification of this system, through CFPS of feedback intolerant AroG improves yield. This effort demonstrates the ability to activate a long, complex pathway in vitro and provides a framework for harnessing the metabolic potential of diverse organisms for cell-free metabolic engineering. The more than 6-fold increase in phenol yield with limited genetic manipulation demonstrates the benefits of optimizing growth medium for crude cell-free extract production and illustrates the advantages of a systems approach to cell-free metabolic engineering.","author":[{"dropping-particle":"","family":"Mohr","given":"Benjamin","non-dropping-particle":"","parse-names":false,"suffix":""},{"dropping-particle":"","family":"Giannone","given":"Richard J.","non-dropping-particle":"","parse-names":false,"suffix":""},{"dropping-particle":"","family":"Hettich","given":"Robert L.","non-dropping-particle":"","parse-names":false,"suffix":""},{"dropping-particle":"","family":"Doktycz","given":"Mitchel J.","non-dropping-particle":"","parse-names":false,"suffix":""}],"container-title":"ACS Synthetic Biology","id":"ITEM-2","issue":"11","issued":{"date-parts":[["2020","11","20"]]},"page":"2986-2997","publisher":"American Chemical Society","title":"Targeted growth medium dropouts promote aromatic compound synthesis in crude E. Coli cell-free systems","type":"article-journal","volume":"9"},"uris":["http://www.mendeley.com/documents/?uuid=5056c735-c966-306b-80ed-9bbc3ce44183"]}],"mendeley":{"formattedCitation":"&lt;sup&gt;72,73&lt;/sup&gt;","plainTextFormattedCitation":"72,73","previouslyFormattedCitation":"&lt;sup&gt;72,73&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72,73</w:t>
      </w:r>
      <w:r w:rsidRPr="002C0A3B">
        <w:rPr>
          <w:rFonts w:cs="Arial"/>
          <w:color w:val="000000" w:themeColor="text1"/>
          <w:szCs w:val="22"/>
        </w:rPr>
        <w:fldChar w:fldCharType="end"/>
      </w:r>
      <w:r w:rsidRPr="002C0A3B">
        <w:rPr>
          <w:rFonts w:cs="Arial"/>
          <w:color w:val="000000" w:themeColor="text1"/>
          <w:szCs w:val="22"/>
        </w:rPr>
        <w:t xml:space="preserve">. Ethanologenic metabolism in </w:t>
      </w:r>
      <w:r w:rsidRPr="002C0A3B">
        <w:rPr>
          <w:rFonts w:cs="Arial"/>
          <w:i/>
          <w:iCs/>
          <w:color w:val="000000" w:themeColor="text1"/>
          <w:szCs w:val="22"/>
        </w:rPr>
        <w:t>E. coli</w:t>
      </w:r>
      <w:r w:rsidRPr="002C0A3B">
        <w:rPr>
          <w:rFonts w:cs="Arial"/>
          <w:color w:val="000000" w:themeColor="text1"/>
          <w:szCs w:val="22"/>
        </w:rPr>
        <w:t xml:space="preserve"> cells is differentially expressed in cultures with varying concentrations of carbon substrate and growth phase</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{"citationItems":[{"id":"ITEM-1","itemData":{"DOI":"10.3389/FMICB.2020.521368/BIBTEX","ISSN":"1664302X","abstract":"The metabolic shift between respiration and fermentation at high glucose concentration is a widespread phenomenon in microbial world, and it is relevant for the biotechnological exploitation of microbial cell factories, affecting the achievement of high-cell-densities in bioreactors. Starting from a model already developed for the yeast Saccharomyces cerevisiae, based on the System Dynamics approach, a general process-based model for two prokaryotic species of biotechnological interest, such as Escherichia coli and Bacillus subtilis, is proposed. The model is based on the main assumption that glycolytic intermediates act as central catabolic hub regulating the shift between respiratory and fermentative pathways. Furthermore, the description of a mixed fermentation with secondary by-products, characteristic of bacterial metabolism, is explicitly considered. The model also represents the inhibitory effect on growth and metabolism of self-produced toxic compounds relevant in assessing the late phases of high-cell density culture. Model simulations reproduced data from experiments reported in the literature with different strains of non-recombinant and recombinant E. coli and B. subtilis cultured in both batch and fed-batch reactors. The proposed model, based on simple biological assumptions, is able to describe the main dynamics of two microbial species of relevant biotechnological interest. It demonstrates that a reductionist System Dynamics approach to formulate simplified macro-kinetic models can provide a robust representation of cell growth and accumulation in the medium of fermentation by-products.","author":[{"dropping-particle":"","family":"Carteni","given":"Fabrizio","non-dropping-particle":"","parse-names":false,"suffix":""},{"dropping-particle":"","family":"Occhicone","given":"Alessio","non-dropping-particle":"","parse-names":false,"suffix":""},{"dropping-particle":"","family":"Giannino","given":"Francesco","non-dropping-particle":"","parse-names":false,"suffix":""},{"dropping-particle":"","family":"Vincenot","given":"Christian E.","non-dropping-particle":"","parse-names":false,"suffix":""},{"dropping-particle":"","family":"Alteriis","given":"Elisabetta","non-dropping-particle":"de","parse-names":false,"suffix":""},{"dropping-particle":"","family":"Palomba","given":"Emanuela","non-dropping-particle":"","parse-names":false,"suffix":""},{"dropping-particle":"","family":"Mazzoleni","given":"Stefano","non-dropping-particle":"","parse-names":false,"suffix":""}],"container-title":"Frontiers in Microbiology","id":"ITEM-1","issued":{"date-parts":[["2020","9","30"]]},"page":"2332","publisher":"Frontiers Media S.A.","title":"A General Process-Based Model for Describing the Metabolic Shift in Microbial Cell Cultures","type":"article-journal","volume":"11"},"uris":["http://www.mendeley.com/documents/?uuid=a8124739-acf3-301b-be30-f6d058717e43"]},{"id":"ITEM-2","itemData":{"DOI":"10.1038/s41598-017-12144-6","ISSN":"2045-2322","PMID":"28928483","abstract":"Overflow metabolism in the presence of oxygen occurs at fast growth rates in a wide range of organisms including bacteria, yeast and cancer cells and plays an important role in biotechnology during production of proteins or metabolic compounds. As recently suggested, overflow metabolism can be understood in terms of proteome allocation, since fermentation has lower proteome cost for energy production than respiration. Here, we demonstrate that ArcA overexpression in aerobic conditions, results in downregulation of respiratory pathways and enhanced growth rates on glycolytic substrates of E. coli, coinciding with acetate excretion and increased carbon uptake rates. These results suggest that fermentation enables faster growth and demonstrate that fermentation on many glycolytic carbon sources is not limited by carbon uptake. Hence, these findings are difficult to reconcile with many alternative hypotheses that have been proposed for the origin of overflow metabolism and the growth rate dependence of fermentation and respiration, which are based on limited capacity of respiration or limitations in uptake rates and catabolic pathways. Instead, as suggested by increased lag phases of ArcA overexpression strains, respiratory energy metabolism may be related to a general preparatory response, observed for decreasing growth rates, but with limited advantages for maximizing steady-state growth rate.","author":[{"dropping-particle":"","family":"Basan","given":"Markus","non-dropping-particle":"","parse-names":false,"suffix":""},{"dropping-particle":"","family":"Hui","given":"Sheng","non-dropping-particle":"","parse-names":false,"suffix":""},{"dropping-particle":"","family":"Williamson","given":"James R.","non-dropping-particle":"","parse-names":false,"suffix":""}],"container-title":"Scientific Reports 2017 7:1","id":"ITEM-2","issue":"1","issued":{"date-parts":[["2017","9","19"]]},"page":"1-7","publisher":"Nature Publishing Group","title":"ArcA overexpression induces fermentation and results in enhanced growth rates of E. coli","type":"article-journal","volume":"7"},"uris":["http://www.mendeley.com/documents/?uuid=57a1cb83-52d2-31ba-8fa2-0f6629955a8e"]},{"id":"ITEM-3","itemData":{"DOI":"10.1128/JB.181.24.7571-7579.1999","ISSN":"00219193","PMID":"10601216","abstract":"The adhE gene of Escherichia coli, located at min 27 on the chromosome, encodes the bifunctional NAD-linked oxidoreductase responsible for the conversion of acetyl-coenzyme A to ethanol during fermentative growth. The expression of adhE is dependent on both transcriptional and posttranscriptional controls and is about 10-fold higher during anaerobic than during aerobic growth. Two putative transcriptional start sites have been reported: one at position -292 and the other at -188 from the translational start codon ATG. In this study we show, by using several different transcriptional and translational fusions to the lacZ gene, that both putative transcriptional start sites can be functional and each site can be redox regulated. Although both start sites are NarL repressible in the presence of nitrate, Fnr activates only the -188 start site and Fis is required for the transcription of only the -292 start site. In addition, it was discovered that RpoS activates adhE transcription at both start sites. Under all experimental conditions tested, however, only the upstream start site is active. Available evidence indicates that under those conditions, the upstream promoter region acts as a silencer of the downstream transcriptional start site. Translation of the mRNA starting at -292, but not the one starting at -188, requires RNase III. The results support the previously postulated ribosomal binding site (RBS) occlusion model, according to which RNase III cleavage is required to release the RBS from a stem-loop structure in the long transcript.","author":[{"dropping-particle":"","family":"Membrillo-Hernández","given":"Jorge","non-dropping-particle":"","parse-names":false,"suffix":""},{"dropping-particle":"","family":"Lin","given":"E. C.C.","non-dropping-particle":"","parse-names":false,"suffix":""}],"container-title":"Journal of Bacteriology","id":"ITEM-3","issue":"24","issued":{"date-parts":[["1999"]]},"page":"7571","publisher":"American Society for Microbiology (ASM)","title":"Regulation of Expression of the adhE Gene, Encoding  Ethanol Oxidoreductase in Escherichia coli: Transcription from a Downstream Promoter and Regulation by Fnr and RpoS","type":"article-journal","volume":"181"},"uris":["http://www.mendeley.com/documents/?uuid=f04a2bf4-9a7f-312a-9024-3f70f3bcba54"]},{"id":"ITEM-4","itemData":{"DOI":"10.1016/0378-1097(89)90132-8","ISSN":"15746968","abstract":"Under anaerobic conditions and in the absence of alternative electron acceptors Escherichia coli converts sugars to a mixture of products by fermentation. The major soluble products are acetate, ethanol, lactate and formate with smaller amounts of succinate. In addition the gaseous products hydrogen and carbon dioxide are produced in substantial amounts. The pathway generating fermentation products is branched and the flow down each branch is varied in response both the pH of the culture medium and the nature of the fermentation substrate. In particular, the ratio of the various fermentation products is manipulated in order to balance the number of reducing equivalents generated during glycolytic breakdown of the substrate. The enzymes and corresponding genes involved in these fermentation pathways are described. The regulatory responses of these genes and enzymes are known but the details of the underlying regulatory mechanisms are still obscure. © 1989.","author":[{"dropping-particle":"","family":"Clark","given":"David P.","non-dropping-particle":"","parse-names":false,"suffix":""}],"container-title":"FEMS Microbiology Letters","id":"ITEM-4","issue":"3","issued":{"date-parts":[["1989"]]},"title":"The fermentation pathways of Escherichia coli","type":"article-journal","volume":"63"},"uris":["http://www.mendeley.com/documents/?uuid=34453d0f-9079-3eb7-b879-bcf064835095"]}],"mendeley":{"formattedCitation":"&lt;sup&gt;167,174–176&lt;/sup&gt;","plainTextFormattedCitation":"167,174–176","previouslyFormattedCitation":"&lt;sup&gt;167,174–176&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167,174–176</w:t>
      </w:r>
      <w:r w:rsidRPr="002C0A3B">
        <w:rPr>
          <w:rFonts w:cs="Arial"/>
          <w:color w:val="000000" w:themeColor="text1"/>
          <w:szCs w:val="22"/>
        </w:rPr>
        <w:fldChar w:fldCharType="end"/>
      </w:r>
      <w:r w:rsidRPr="002C0A3B">
        <w:rPr>
          <w:rFonts w:cs="Arial"/>
          <w:color w:val="000000" w:themeColor="text1"/>
          <w:szCs w:val="22"/>
        </w:rPr>
        <w:t>. Glucose rich media stimulate glycolysis, but substrate-derived carbon is primarily funneled to lactate generation instead of ethanol synthesis under high glucose concentrations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{"citationItems":[{"id":"ITEM-1","itemData":{"DOI":"10.3389/FMICB.2020.521368/BIBTEX","ISSN":"1664302X","abstract":"The metabolic shift between respiration and fermentation at high glucose concentration is a widespread phenomenon in microbial world, and it is relevant for the biotechnological exploitation of microbial cell factories, affecting the achievement of high-cell-densities in bioreactors. Starting from a model already developed for the yeast Saccharomyces cerevisiae, based on the System Dynamics approach, a general process-based model for two prokaryotic species of biotechnological interest, such as Escherichia coli and Bacillus subtilis, is proposed. The model is based on the main assumption that glycolytic intermediates act as central catabolic hub regulating the shift between respiratory and fermentative pathways. Furthermore, the description of a mixed fermentation with secondary by-products, characteristic of bacterial metabolism, is explicitly considered. The model also represents the inhibitory effect on growth and metabolism of self-produced toxic compounds relevant in assessing the late phases of high-cell density culture. Model simulations reproduced data from experiments reported in the literature with different strains of non-recombinant and recombinant E. coli and B. subtilis cultured in both batch and fed-batch reactors. The proposed model, based on simple biological assumptions, is able to describe the main dynamics of two microbial species of relevant biotechnological interest. It demonstrates that a reductionist System Dynamics approach to formulate simplified macro-kinetic models can provide a robust representation of cell growth and accumulation in the medium of fermentation by-products.","author":[{"dropping-particle":"","family":"Carteni","given":"Fabrizio","non-dropping-particle":"","parse-names":false,"suffix":""},{"dropping-particle":"","family":"Occhicone","given":"Alessio","non-dropping-particle":"","parse-names":false,"suffix":""},{"dropping-particle":"","family":"Giannino","given":"Francesco","non-dropping-particle":"","parse-names":false,"suffix":""},{"dropping-particle":"","family":"Vincenot","given":"Christian E.","non-dropping-particle":"","parse-names":false,"suffix":""},{"dropping-particle":"","family":"Alteriis","given":"Elisabetta","non-dropping-particle":"de","parse-names":false,"suffix":""},{"dropping-particle":"","family":"Palomba","given":"Emanuela","non-dropping-particle":"","parse-names":false,"suffix":""},{"dropping-particle":"","family":"Mazzoleni","given":"Stefano","non-dropping-particle":"","parse-names":false,"suffix":""}],"container-title":"Frontiers in Microbiology","id":"ITEM-1","issued":{"date-parts":[["2020","9","30"]]},"page":"2332","publisher":"Frontiers Media S.A.","title":"A General Process-Based Model for Describing the Metabolic Shift in Microbial Cell Cultures","type":"article-journal","volume":"11"},"uris":["http://www.mendeley.com/documents/?uuid=a8124739-acf3-301b-be30-f6d058717e43"]}],"mendeley":{"formattedCitation":"&lt;sup&gt;174&lt;/sup&gt;","plainTextFormattedCitation":"174","previouslyFormattedCitation":"&lt;sup&gt;174&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174</w:t>
      </w:r>
      <w:r w:rsidRPr="002C0A3B">
        <w:rPr>
          <w:rFonts w:cs="Arial"/>
          <w:color w:val="000000" w:themeColor="text1"/>
          <w:szCs w:val="22"/>
        </w:rPr>
        <w:fldChar w:fldCharType="end"/>
      </w:r>
      <w:r w:rsidRPr="002C0A3B">
        <w:rPr>
          <w:rFonts w:cs="Arial"/>
          <w:color w:val="000000" w:themeColor="text1"/>
          <w:szCs w:val="22"/>
        </w:rPr>
        <w:t xml:space="preserve">. </w:t>
      </w:r>
      <w:r w:rsidRPr="002C0A3B">
        <w:rPr>
          <w:rFonts w:cs="Arial"/>
          <w:i/>
          <w:iCs/>
          <w:color w:val="000000" w:themeColor="text1"/>
          <w:szCs w:val="22"/>
        </w:rPr>
        <w:t>E. coli</w:t>
      </w:r>
      <w:r w:rsidRPr="002C0A3B">
        <w:rPr>
          <w:rFonts w:cs="Arial"/>
          <w:color w:val="000000" w:themeColor="text1"/>
          <w:szCs w:val="22"/>
        </w:rPr>
        <w:t xml:space="preserve"> ethanol production is known to occur during fast growth on glucose even under aerobic conditions, but up-regulated </w:t>
      </w:r>
      <w:proofErr w:type="spellStart"/>
      <w:r w:rsidRPr="002C0A3B">
        <w:rPr>
          <w:rFonts w:cs="Arial"/>
          <w:color w:val="000000" w:themeColor="text1"/>
          <w:szCs w:val="22"/>
        </w:rPr>
        <w:t>AdhE</w:t>
      </w:r>
      <w:proofErr w:type="spellEnd"/>
      <w:r w:rsidRPr="002C0A3B">
        <w:rPr>
          <w:rFonts w:cs="Arial"/>
          <w:color w:val="000000" w:themeColor="text1"/>
          <w:szCs w:val="22"/>
        </w:rPr>
        <w:t xml:space="preserve"> expression has also been documented in </w:t>
      </w:r>
      <w:r w:rsidRPr="002C0A3B">
        <w:rPr>
          <w:rFonts w:cs="Arial"/>
          <w:i/>
          <w:iCs/>
          <w:color w:val="000000" w:themeColor="text1"/>
          <w:szCs w:val="22"/>
        </w:rPr>
        <w:t xml:space="preserve">E. coli </w:t>
      </w:r>
      <w:r w:rsidRPr="002C0A3B">
        <w:rPr>
          <w:rFonts w:cs="Arial"/>
          <w:color w:val="000000" w:themeColor="text1"/>
          <w:szCs w:val="22"/>
        </w:rPr>
        <w:t>cultures at the onset of stationary phase</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{"citationItems":[{"id":"ITEM-1","itemData":{"DOI":"10.1038/s41598-017-12144-6","ISSN":"2045-2322","PMID":"28928483","abstract":"Overflow metabolism in the presence of oxygen occurs at fast growth rates in a wide range of organisms including bacteria, yeast and cancer cells and plays an important role in biotechnology during production of proteins or metabolic compounds. As recently suggested, overflow metabolism can be understood in terms of proteome allocation, since fermentation has lower proteome cost for energy production than respiration. Here, we demonstrate that ArcA overexpression in aerobic conditions, results in downregulation of respiratory pathways and enhanced growth rates on glycolytic substrates of E. coli, coinciding with acetate excretion and increased carbon uptake rates. These results suggest that fermentation enables faster growth and demonstrate that fermentation on many glycolytic carbon sources is not limited by carbon uptake. Hence, these findings are difficult to reconcile with many alternative hypotheses that have been proposed for the origin of overflow metabolism and the growth rate dependence of fermentation and respiration, which are based on limited capacity of respiration or limitations in uptake rates and catabolic pathways. Instead, as suggested by increased lag phases of ArcA overexpression strains, respiratory energy metabolism may be related to a general preparatory response, observed for decreasing growth rates, but with limited advantages for maximizing steady-state growth rate.","author":[{"dropping-particle":"","family":"Basan","given":"Markus","non-dropping-particle":"","parse-names":false,"suffix":""},{"dropping-particle":"","family":"Hui","given":"Sheng","non-dropping-particle":"","parse-names":false,"suffix":""},{"dropping-particle":"","family":"Williamson","given":"James R.","non-dropping-particle":"","parse-names":false,"suffix":""}],"container-title":"Scientific Reports 2017 7:1","id":"ITEM-1","issue":"1","issued":{"date-parts":[["2017","9","19"]]},"page":"1-7","publisher":"Nature Publishing Group","title":"ArcA overexpression induces fermentation and results in enhanced growth rates of E. coli","type":"article-journal","volume":"7"},"uris":["http://www.mendeley.com/documents/?uuid=57a1cb83-52d2-31ba-8fa2-0f6629955a8e"]},{"id":"ITEM-2","itemData":{"DOI":"10.1128/JB.181.24.7571-7579.1999","ISSN":"00219193","PMID":"10601216","abstract":"The adhE gene of Escherichia coli, located at min 27 on the chromosome, encodes the bifunctional NAD-linked oxidoreductase responsible for the conversion of acetyl-coenzyme A to ethanol during fermentative growth. The expression of adhE is dependent on both transcriptional and posttranscriptional controls and is about 10-fold higher during anaerobic than during aerobic growth. Two putative transcriptional start sites have been reported: one at position -292 and the other at -188 from the translational start codon ATG. In this study we show, by using several different transcriptional and translational fusions to the lacZ gene, that both putative transcriptional start sites can be functional and each site can be redox regulated. Although both start sites are NarL repressible in the presence of nitrate, Fnr activates only the -188 start site and Fis is required for the transcription of only the -292 start site. In addition, it was discovered that RpoS activates adhE transcription at both start sites. Under all experimental conditions tested, however, only the upstream start site is active. Available evidence indicates that under those conditions, the upstream promoter region acts as a silencer of the downstream transcriptional start site. Translation of the mRNA starting at -292, but not the one starting at -188, requires RNase III. The results support the previously postulated ribosomal binding site (RBS) occlusion model, according to which RNase III cleavage is required to release the RBS from a stem-loop structure in the long transcript.","author":[{"dropping-particle":"","family":"Membrillo-Hernández","given":"Jorge","non-dropping-particle":"","parse-names":false,"suffix":""},{"dropping-particle":"","family":"Lin","given":"E. C.C.","non-dropping-particle":"","parse-names":false,"suffix":""}],"container-title":"Journal of Bacteriology","id":"ITEM-2","issue":"24","issued":{"date-parts":[["1999"]]},"page":"7571","publisher":"American Society for Microbiology (ASM)","title":"Regulation of Expression of the adhE Gene, Encoding  Ethanol Oxidoreductase in Escherichia coli: Transcription from a Downstream Promoter and Regulation by Fnr and RpoS","type":"article-journal","volume":"181"},"uris":["http://www.mendeley.com/documents/?uuid=f04a2bf4-9a7f-312a-9024-3f70f3bcba54"]}],"mendeley":{"formattedCitation":"&lt;sup&gt;175,176&lt;/sup&gt;","plainTextFormattedCitation":"175,176","previouslyFormattedCitation":"&lt;sup&gt;175,176&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175,176</w:t>
      </w:r>
      <w:r w:rsidRPr="002C0A3B">
        <w:rPr>
          <w:rFonts w:cs="Arial"/>
          <w:color w:val="000000" w:themeColor="text1"/>
          <w:szCs w:val="22"/>
        </w:rPr>
        <w:fldChar w:fldCharType="end"/>
      </w:r>
      <w:r w:rsidRPr="002C0A3B">
        <w:rPr>
          <w:rFonts w:cs="Arial"/>
          <w:color w:val="000000" w:themeColor="text1"/>
          <w:szCs w:val="22"/>
        </w:rPr>
        <w:t xml:space="preserve">. The glucose concentration for growth and harvesting time could thus theoretically be optimized to obtain lysates with enriched ethanologenic </w:t>
      </w:r>
      <w:r w:rsidR="00F534D3" w:rsidRPr="002C0A3B">
        <w:rPr>
          <w:rFonts w:cs="Arial"/>
          <w:color w:val="000000" w:themeColor="text1"/>
          <w:szCs w:val="22"/>
        </w:rPr>
        <w:t xml:space="preserve">activity. To this end, the strain with </w:t>
      </w:r>
      <w:proofErr w:type="spellStart"/>
      <w:r w:rsidR="00F534D3" w:rsidRPr="002C0A3B">
        <w:rPr>
          <w:rFonts w:cs="Arial"/>
          <w:color w:val="000000" w:themeColor="text1"/>
          <w:szCs w:val="22"/>
        </w:rPr>
        <w:t>genomically</w:t>
      </w:r>
      <w:proofErr w:type="spellEnd"/>
      <w:r w:rsidR="00F534D3" w:rsidRPr="002C0A3B">
        <w:rPr>
          <w:rFonts w:cs="Arial"/>
          <w:color w:val="000000" w:themeColor="text1"/>
          <w:szCs w:val="22"/>
        </w:rPr>
        <w:t xml:space="preserve"> integrated 6xHis-tags was grown in 2xYPT media containing different concentrations of glucose. Cells were then pelleted for lysis at mid-log growth (OD ~ 5.0) and the onset of the stationary phase (OD ~7.0). Blocked extracts were derived from these cells and were fed glucose in reactions using the optimized reaction conditions. A lysate with high ethanol yield from glucose (</w:t>
      </w:r>
      <w:r w:rsidR="00F534D3" w:rsidRPr="002C0A3B">
        <w:rPr>
          <w:rFonts w:cs="Arial"/>
          <w:i/>
          <w:iCs/>
          <w:color w:val="000000" w:themeColor="text1"/>
          <w:szCs w:val="22"/>
        </w:rPr>
        <w:t xml:space="preserve">90.8 </w:t>
      </w:r>
      <w:r w:rsidR="00F534D3" w:rsidRPr="002C0A3B">
        <w:rPr>
          <w:rFonts w:cs="Arial"/>
          <w:i/>
          <w:iCs/>
          <w:color w:val="000000" w:themeColor="text1"/>
          <w:szCs w:val="22"/>
        </w:rPr>
        <w:sym w:font="Symbol" w:char="F0B1"/>
      </w:r>
      <w:r w:rsidR="00F534D3" w:rsidRPr="002C0A3B">
        <w:rPr>
          <w:rFonts w:cs="Arial"/>
          <w:i/>
          <w:iCs/>
          <w:color w:val="000000" w:themeColor="text1"/>
          <w:szCs w:val="22"/>
        </w:rPr>
        <w:t xml:space="preserve"> 5.8%</w:t>
      </w:r>
      <w:r w:rsidR="00F534D3" w:rsidRPr="002C0A3B">
        <w:rPr>
          <w:rFonts w:cs="Arial"/>
          <w:color w:val="000000" w:themeColor="text1"/>
          <w:szCs w:val="22"/>
        </w:rPr>
        <w:t>) could be extracted from cells grown exponentially on 0.9% glucose (</w:t>
      </w:r>
      <w:r w:rsidR="00F534D3">
        <w:rPr>
          <w:rFonts w:cs="Arial"/>
          <w:b/>
          <w:bCs/>
          <w:color w:val="000000" w:themeColor="text1"/>
          <w:szCs w:val="22"/>
        </w:rPr>
        <w:t>Figure</w:t>
      </w:r>
      <w:r w:rsidR="00F534D3" w:rsidRPr="002C0A3B">
        <w:rPr>
          <w:rFonts w:cs="Arial"/>
          <w:b/>
          <w:bCs/>
          <w:color w:val="000000" w:themeColor="text1"/>
          <w:szCs w:val="22"/>
        </w:rPr>
        <w:t xml:space="preserve"> </w:t>
      </w:r>
      <w:r w:rsidR="00F534D3">
        <w:rPr>
          <w:rFonts w:cs="Arial"/>
          <w:b/>
          <w:bCs/>
          <w:color w:val="000000" w:themeColor="text1"/>
          <w:szCs w:val="22"/>
        </w:rPr>
        <w:t>4.</w:t>
      </w:r>
      <w:r w:rsidR="00F534D3" w:rsidRPr="002C0A3B">
        <w:rPr>
          <w:rFonts w:cs="Arial"/>
          <w:b/>
          <w:bCs/>
          <w:color w:val="000000" w:themeColor="text1"/>
          <w:szCs w:val="22"/>
        </w:rPr>
        <w:t>5</w:t>
      </w:r>
      <w:r w:rsidR="00F534D3" w:rsidRPr="002C0A3B">
        <w:rPr>
          <w:rFonts w:cs="Arial"/>
          <w:color w:val="000000" w:themeColor="text1"/>
          <w:szCs w:val="22"/>
        </w:rPr>
        <w:t>).</w:t>
      </w:r>
      <w:r w:rsidR="00F534D3">
        <w:rPr>
          <w:rFonts w:cs="Arial"/>
          <w:color w:val="000000" w:themeColor="text1"/>
          <w:szCs w:val="22"/>
        </w:rPr>
        <w:t xml:space="preserve"> </w:t>
      </w:r>
      <w:r w:rsidR="00F534D3" w:rsidRPr="002C0A3B">
        <w:rPr>
          <w:rFonts w:cs="Arial"/>
          <w:color w:val="000000" w:themeColor="text1"/>
          <w:szCs w:val="22"/>
        </w:rPr>
        <w:t xml:space="preserve">Compared to lysates that were initially harvested </w:t>
      </w:r>
    </w:p>
    <w:p w14:paraId="7BBBF6D9" w14:textId="77777777" w:rsidR="0039202C" w:rsidRPr="002C0A3B" w:rsidRDefault="0039202C" w:rsidP="0039202C">
      <w:pPr>
        <w:jc w:val="center"/>
        <w:rPr>
          <w:rFonts w:cs="Arial"/>
          <w:color w:val="000000" w:themeColor="text1"/>
          <w:szCs w:val="22"/>
        </w:rPr>
      </w:pPr>
      <w:r w:rsidRPr="002C0A3B">
        <w:rPr>
          <w:rFonts w:cs="Arial"/>
          <w:noProof/>
          <w:color w:val="000000" w:themeColor="text1"/>
          <w:szCs w:val="22"/>
        </w:rPr>
        <w:lastRenderedPageBreak/>
        <w:drawing>
          <wp:inline distT="0" distB="0" distL="0" distR="0" wp14:anchorId="30626F35" wp14:editId="48FC7091">
            <wp:extent cx="4520454" cy="5393635"/>
            <wp:effectExtent l="0" t="0" r="0" b="0"/>
            <wp:docPr id="17" name="Picture 17"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with low confidence"/>
                    <pic:cNvPicPr/>
                  </pic:nvPicPr>
                  <pic:blipFill>
                    <a:blip r:embed="rId35" cstate="screen">
                      <a:extLst>
                        <a:ext uri="{28A0092B-C50C-407E-A947-70E740481C1C}">
                          <a14:useLocalDpi xmlns:a14="http://schemas.microsoft.com/office/drawing/2010/main"/>
                        </a:ext>
                      </a:extLst>
                    </a:blip>
                    <a:stretch>
                      <a:fillRect/>
                    </a:stretch>
                  </pic:blipFill>
                  <pic:spPr>
                    <a:xfrm>
                      <a:off x="0" y="0"/>
                      <a:ext cx="4541122" cy="5418296"/>
                    </a:xfrm>
                    <a:prstGeom prst="rect">
                      <a:avLst/>
                    </a:prstGeom>
                  </pic:spPr>
                </pic:pic>
              </a:graphicData>
            </a:graphic>
          </wp:inline>
        </w:drawing>
      </w:r>
    </w:p>
    <w:p w14:paraId="74F9DB64" w14:textId="77777777" w:rsidR="0039202C" w:rsidRPr="002C0A3B" w:rsidRDefault="0039202C" w:rsidP="0039202C">
      <w:pPr>
        <w:rPr>
          <w:rFonts w:cs="Arial"/>
          <w:color w:val="000000" w:themeColor="text1"/>
          <w:szCs w:val="22"/>
        </w:rPr>
      </w:pPr>
      <w:bookmarkStart w:id="103" w:name="_Toc129701158"/>
      <w:r w:rsidRPr="00F534D3">
        <w:rPr>
          <w:rStyle w:val="FigurecaptionChar"/>
        </w:rPr>
        <w:t>Figure 4.4. Optimization of reaction vessel and initial reaction pH to drive carbon flux towards ethanol in blocked lysates.</w:t>
      </w:r>
      <w:bookmarkEnd w:id="103"/>
      <w:r w:rsidRPr="002C0A3B">
        <w:rPr>
          <w:rFonts w:cs="Arial"/>
          <w:color w:val="000000" w:themeColor="text1"/>
          <w:szCs w:val="22"/>
        </w:rPr>
        <w:t xml:space="preserve"> Normalized metabolite concentrations and calculated % ethanol yields in reactions incubated in </w:t>
      </w:r>
      <w:r w:rsidRPr="002C0A3B">
        <w:rPr>
          <w:rFonts w:cs="Arial"/>
          <w:b/>
          <w:bCs/>
          <w:color w:val="000000" w:themeColor="text1"/>
          <w:szCs w:val="22"/>
        </w:rPr>
        <w:t>A)</w:t>
      </w:r>
      <w:r w:rsidRPr="002C0A3B">
        <w:rPr>
          <w:rFonts w:cs="Arial"/>
          <w:color w:val="000000" w:themeColor="text1"/>
          <w:szCs w:val="22"/>
        </w:rPr>
        <w:t xml:space="preserve"> different enclosed reaction vessels with varying airspace volumes, and </w:t>
      </w:r>
      <w:r w:rsidRPr="002C0A3B">
        <w:rPr>
          <w:rFonts w:cs="Arial"/>
          <w:b/>
          <w:bCs/>
          <w:color w:val="000000" w:themeColor="text1"/>
          <w:szCs w:val="22"/>
        </w:rPr>
        <w:t>B)</w:t>
      </w:r>
      <w:r w:rsidRPr="002C0A3B">
        <w:rPr>
          <w:rFonts w:cs="Arial"/>
          <w:color w:val="000000" w:themeColor="text1"/>
          <w:szCs w:val="22"/>
        </w:rPr>
        <w:t xml:space="preserve"> sealed 50 µL wells with varying initial pH values. Reactions were supplemented with 2 mM NAD</w:t>
      </w:r>
      <w:r w:rsidRPr="002C0A3B">
        <w:rPr>
          <w:rFonts w:cs="Arial"/>
          <w:color w:val="000000" w:themeColor="text1"/>
          <w:szCs w:val="22"/>
          <w:vertAlign w:val="superscript"/>
        </w:rPr>
        <w:t>+</w:t>
      </w:r>
      <w:r w:rsidRPr="002C0A3B">
        <w:rPr>
          <w:rFonts w:cs="Arial"/>
          <w:color w:val="000000" w:themeColor="text1"/>
          <w:szCs w:val="22"/>
        </w:rPr>
        <w:t xml:space="preserve"> and 80 mM glucose then incubated at 37˚C for 20 hrs. Reactions for all conditions were prepared using depletion replicates and error bars represent standard errors (n=3). </w:t>
      </w:r>
    </w:p>
    <w:p w14:paraId="7F410078" w14:textId="77777777" w:rsidR="0039202C" w:rsidRDefault="0039202C" w:rsidP="0039202C">
      <w:pPr>
        <w:rPr>
          <w:rFonts w:cs="Arial"/>
          <w:color w:val="000000" w:themeColor="text1"/>
          <w:szCs w:val="22"/>
        </w:rPr>
      </w:pPr>
    </w:p>
    <w:p w14:paraId="68CFE3E9" w14:textId="6A1A0E76" w:rsidR="004E2DE7" w:rsidRPr="002C0A3B" w:rsidRDefault="004E2DE7" w:rsidP="0039202C">
      <w:pPr>
        <w:rPr>
          <w:rFonts w:cs="Arial"/>
          <w:color w:val="000000" w:themeColor="text1"/>
          <w:szCs w:val="22"/>
        </w:rPr>
      </w:pPr>
      <w:r w:rsidRPr="002C0A3B">
        <w:rPr>
          <w:rFonts w:cs="Arial"/>
          <w:color w:val="000000" w:themeColor="text1"/>
          <w:szCs w:val="22"/>
        </w:rPr>
        <w:lastRenderedPageBreak/>
        <w:t>from mid-log cells grown on 1.8% glucose, the optimized lysate produced ethanol at significantly higher concentrations (</w:t>
      </w:r>
      <w:proofErr w:type="spellStart"/>
      <w:r w:rsidRPr="002C0A3B">
        <w:rPr>
          <w:rFonts w:cs="Arial"/>
          <w:i/>
          <w:iCs/>
          <w:color w:val="000000" w:themeColor="text1"/>
          <w:szCs w:val="22"/>
        </w:rPr>
        <w:t>pval</w:t>
      </w:r>
      <w:proofErr w:type="spellEnd"/>
      <w:r w:rsidRPr="002C0A3B">
        <w:rPr>
          <w:rFonts w:cs="Arial"/>
          <w:i/>
          <w:iCs/>
          <w:color w:val="000000" w:themeColor="text1"/>
          <w:szCs w:val="22"/>
        </w:rPr>
        <w:t xml:space="preserve"> &lt; 0.01</w:t>
      </w:r>
      <w:r w:rsidRPr="002C0A3B">
        <w:rPr>
          <w:rFonts w:cs="Arial"/>
          <w:color w:val="000000" w:themeColor="text1"/>
          <w:szCs w:val="22"/>
        </w:rPr>
        <w:t>), leading to the significantly higher % ethanol yield from glucose (</w:t>
      </w:r>
      <w:proofErr w:type="spellStart"/>
      <w:r w:rsidRPr="002C0A3B">
        <w:rPr>
          <w:rFonts w:cs="Arial"/>
          <w:i/>
          <w:iCs/>
          <w:color w:val="000000" w:themeColor="text1"/>
          <w:szCs w:val="22"/>
        </w:rPr>
        <w:t>pval</w:t>
      </w:r>
      <w:proofErr w:type="spellEnd"/>
      <w:r w:rsidRPr="002C0A3B">
        <w:rPr>
          <w:rFonts w:cs="Arial"/>
          <w:i/>
          <w:iCs/>
          <w:color w:val="000000" w:themeColor="text1"/>
          <w:szCs w:val="22"/>
        </w:rPr>
        <w:t xml:space="preserve"> &lt; 0.01</w:t>
      </w:r>
      <w:r w:rsidRPr="002C0A3B">
        <w:rPr>
          <w:rFonts w:cs="Arial"/>
          <w:color w:val="000000" w:themeColor="text1"/>
          <w:szCs w:val="22"/>
        </w:rPr>
        <w:t>)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5</w:t>
      </w:r>
      <w:r w:rsidRPr="002C0A3B">
        <w:rPr>
          <w:rFonts w:cs="Arial"/>
          <w:color w:val="000000" w:themeColor="text1"/>
          <w:szCs w:val="22"/>
        </w:rPr>
        <w:t>). This &gt; 90% theoretical yield is considered industrially relevant for ethanol biosynthesis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{"citationItems":[{"id":"ITEM-1","itemData":{"DOI":"10.1016/j.rser.2017.05.052","ISSN":"18790690","abstract":"To address issues of energy security and greenhouse gas (GHG) mitigation, substantial amounts of corn-derived ethanol are being used in U.S. gasoline. Currently, ethanol comprises 10% of the U.S. gasoline pool (E10), but there is interest in increasing this – possibly doubling the amount currently used. Production of corn ethanol raises several concerns with respect to environmental and ecological impacts. This paper reviews the available literature regarding impacts on biodiversity, land use change (LUC), greenhouse gas (GHG) emissions, and overall sustainability. A companion paper addresses impacts on water, soil, and air quality. We emphasize recent information appearing since comprehensive reports on these topics were issued by the U.S. EPA and NRC/NAS in 2011. The principal environmental and ecological concerns arise from the intensive agricultural activities associated with corn cropping. Expansion of these activities promotes regional mono-culture, which is accompanied by reduced plant and animal biodiversity, and diminished ecosystem functions and services. Extensification of corn cropping into Conservation Reserve Program (CRP) lands is occurring, which raises concerns about erosion, nutrient runoff, and other adverse environmental impacts. Estimating the impacts of increased ethanol on GHG emissions requires sophisticated life cycle assessment (LCA) modeling approaches to account for emissions resulting from land use change (LUC). Although considerable uncertainty remains, recent regulatory modeling by EPA and CARB estimate modest GHG reductions of about 20% from corn ethanol as compared to gasoline. Being a major commodity in global food/feed markets, displacing large amounts of corn to produce ethanol strengthens demand and increases prices. To date, these effects have been small, but there are growing concerns about increased use of staple food products to produce fuels within the context of an expanding global population that faces severe calorie shortages. Tradeoffs regarding environmental, ecological, and social impacts raise questions about the overall sustainability of such an approach.","author":[{"dropping-particle":"","family":"Hoekman","given":"S. Kent","non-dropping-particle":"","parse-names":false,"suffix":""},{"dropping-particle":"","family":"Broch","given":"Amber","non-dropping-particle":"","parse-names":false,"suffix":""}],"container-title":"Renewable and Sustainable Energy Reviews","id":"ITEM-1","issued":{"date-parts":[["2018"]]},"title":"Environmental implications of higher ethanol production and use in the U.S.: A literature review. Part II – Biodiversity, land use change, GHG emissions, and sustainability","type":"article","volume":"81"},"uris":["http://www.mendeley.com/documents/?uuid=decea376-e20c-3683-9585-9d87d791ce33"]},{"id":"ITEM-2","itemData":{"DOI":"10.1016/j.tibtech.2019.12.024","ISSN":"18793096","abstract":"Metabolic engineering efforts that harness living organisms to produce natural products and other useful chemicals face inherent difficulties because the maintenance of life processes often runs counter to our desire to maximize important production metrics. These challenges are particularly problematic for commodity chemical manufacturing where cost is critical. A cell-free approach, where biochemical pathways are built by mixing desired enzyme activities outside of cells, can obviate problems associated with cell-based methods. Yet supplanting cell-based methods of chemical production will require the creation of self-sustaining, continuously operating systems where input biomass is converted into desired products at high yields, productivities, and titers. We call the field of designing and implementing reliable and efficient enzyme systems that replace cellular metabolism, synthetic biochemistry.","author":[{"dropping-particle":"","family":"Bowie","given":"James U.","non-dropping-particle":"","parse-names":false,"suffix":""},{"dropping-particle":"","family":"Sherkhanov","given":"Saken","non-dropping-particle":"","parse-names":false,"suffix":""},{"dropping-particle":"","family":"Korman","given":"Tyler P.","non-dropping-particle":"","parse-names":false,"suffix":""},{"dropping-particle":"","family":"Valliere","given":"Meaghan A.","non-dropping-particle":"","parse-names":false,"suffix":""},{"dropping-particle":"","family":"Opgenorth","given":"Paul H.","non-dropping-particle":"","parse-names":false,"suffix":""},{"dropping-particle":"","family":"Liu","given":"Hongjiang","non-dropping-particle":"","parse-names":false,"suffix":""}],"container-title":"Trends in Biotechnology","id":"ITEM-2","issued":{"date-parts":[["2020","1","23"]]},"publisher":"Elsevier Ltd","title":"Synthetic Biochemistry: The Bio-inspired Cell-Free Approach to Commodity Chemical Production","type":"article"},"uris":["http://www.mendeley.com/documents/?uuid=2e6836a8-603b-33f3-ac63-5bc4a65d2485"]}],"mendeley":{"formattedCitation":"&lt;sup&gt;20,146&lt;/sup&gt;","plainTextFormattedCitation":"20,146","previouslyFormattedCitation":"&lt;sup&gt;20,146&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20,146</w:t>
      </w:r>
      <w:r w:rsidRPr="002C0A3B">
        <w:rPr>
          <w:rFonts w:cs="Arial"/>
          <w:color w:val="000000" w:themeColor="text1"/>
          <w:szCs w:val="22"/>
        </w:rPr>
        <w:fldChar w:fldCharType="end"/>
      </w:r>
      <w:r w:rsidRPr="002C0A3B">
        <w:rPr>
          <w:rFonts w:cs="Arial"/>
          <w:color w:val="000000" w:themeColor="text1"/>
          <w:szCs w:val="22"/>
        </w:rPr>
        <w:t xml:space="preserve">. </w:t>
      </w:r>
    </w:p>
    <w:p w14:paraId="6343A738" w14:textId="63946B63" w:rsidR="0039202C" w:rsidRDefault="004E2DE7" w:rsidP="002C0A3B">
      <w:pPr>
        <w:ind w:firstLine="720"/>
        <w:rPr>
          <w:rFonts w:cs="Arial"/>
          <w:color w:val="000000" w:themeColor="text1"/>
          <w:szCs w:val="22"/>
        </w:rPr>
      </w:pPr>
      <w:r w:rsidRPr="002C0A3B">
        <w:rPr>
          <w:rFonts w:cs="Arial"/>
          <w:color w:val="000000" w:themeColor="text1"/>
          <w:szCs w:val="22"/>
        </w:rPr>
        <w:t xml:space="preserve">In efforts to maximize redirection of glucose-derived carbon flux towards ethanol synthesis in crude lysates, reaction conditions defined as optimal should yield high glucose-to-ethanol transformation while minimizing acetate formation or consumption. In addition to ethanol production, changes in the system’s acetate concentrations were analyzed throughout optimization experiments. Both the production and consumption of acetate in </w:t>
      </w:r>
      <w:r w:rsidRPr="002C0A3B">
        <w:rPr>
          <w:rFonts w:cs="Arial"/>
          <w:i/>
          <w:iCs/>
          <w:color w:val="000000" w:themeColor="text1"/>
          <w:szCs w:val="22"/>
        </w:rPr>
        <w:t xml:space="preserve">E. coli </w:t>
      </w:r>
      <w:r w:rsidRPr="002C0A3B">
        <w:rPr>
          <w:rFonts w:cs="Arial"/>
          <w:color w:val="000000" w:themeColor="text1"/>
          <w:szCs w:val="22"/>
        </w:rPr>
        <w:t>lysate-based cell-free systems have been reported</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Communications","id":"ITEM-1","issued":{"date-parts":[["2021","6","1"]]},"page":"e00162","publisher":"Elsevier B.V.","title":"A lysate proteome engineering strategy for enhancing cell-free metabolite production","type":"article-journal","volume":"12"},"uris":["http://www.mendeley.com/documents/?uuid=babcd1d7-dd2c-32bc-b636-c7ebdf6b2dd4"]},{"id":"ITEM-2","itemData":{"DOI":"10.3791/62852","ISSN":"1940087X","abstract":"Engineering cellular metabolism for targeted biosynthesis can require extensive design-build-test-learn (DBTL) cycles as the engineer works around the cell's survival requirements. Alternatively, carrying out DBTL cycles in cell-free environments can accelerate this process and alleviate concerns with host compatibility. A promising approach to cell-free metabolic engineering (CFME) leverages metabolically active crude cell extracts as platforms for biomanufacturing and for rapidly discovering and prototyping modified proteins and pathways. Realizing these capabilities and optimizing CFME performance requires methods to characterize the metabolome of lysate-based cell-free platforms. That is, analytical tools are necessary for monitoring improvements in targeted metabolite conversions and in elucidating alterations to metabolite flux when manipulating lysate metabolism. Here, metabolite analyses using high-performance liquid chromatography (HPLC) coupled with either optical or mass spectrometric detection were applied to characterize metabolite production and flux in E. coli S30 lysates. Specifically, this report describes the preparation of samples from CFME lysates for HPLC analyses using refractive index detection (RID) to quantify the generation of central metabolic intermediates and by-products in the conversion of low-cost substrates (i.e., glucose) to various high-value products. The analysis of metabolite conversion in CFME reactions fed with13 C-labeled glucose through reversed-phase liquid chromatography coupled to tandem mass spectrometry (MS/ MS), a powerful tool for characterizing specific metabolite yields and lysate metabolic flux from starting materials, is also presented. Altogether, applying these analytical methods to CFME lysate metabolism enables the advancement of these systems as alternative platforms for executing faster or novel metabolic engineering tasks.","author":[{"dropping-particle":"","family":"Dinglasan","given":"Jaime Lorenzo N.","non-dropping-particle":"","parse-names":false,"suffix":""},{"dropping-particle":"","family":"Reeves","given":"David T.","non-dropping-particle":"","parse-names":false,"suffix":""},{"dropping-particle":"","family":"Hettich","given":"Robert L.","non-dropping-particle":"","parse-names":false,"suffix":""},{"dropping-particle":"","family":"Doktycz","given":"Mitchel J.","non-dropping-particle":"","parse-names":false,"suffix":""}],"container-title":"Journal of Visualized Experiments","id":"ITEM-2","issue":"175","issued":{"date-parts":[["2021"]]},"title":"Liquid chromatography coupled to refractive index or mass spectrometric detection for metabolite profiling in lysate-based cell-free systems","type":"article-journal","volume":"2021"},"uris":["http://www.mendeley.com/documents/?uuid=7ea0affb-ee39-3abd-8eb2-d52c093f6376"]},{"id":"ITEM-3","itemData":{"DOI":"10.1021/acssynbio.6b00154","author":[{"dropping-particle":"","family":"Dudley","given":"Quentin M","non-dropping-particle":"","parse-names":false,"suffix":""},{"dropping-particle":"","family":"Anderson","given":"Kim C","non-dropping-particle":"","parse-names":false,"suffix":""},{"dropping-particle":"","family":"Jewett","given":"Michael C","non-dropping-particle":"","parse-names":false,"suffix":""}],"id":"ITEM-3","issued":{"date-parts":[["2016"]]},"title":"Cell-Free Mixing of Escherichia coli Crude Extracts to Prototype and Rationally Engineer High-Titer Mevalonate Synthesis","type":"article-journal"},"uris":["http://www.mendeley.com/documents/?uuid=99336352-fabf-4121-855f-c8567c91a0c0"]},{"id":"ITEM-4","itemData":{"DOI":"10.1016/j.ymben.2015.09.015","ISSN":"10967184","PMID":"26428449","abstract":"Cell-free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Engineering","id":"ITEM-4","issued":{"date-parts":[["2015"]]},"page":"133-142","title":"Lysate of engineered Escherichia coli supports high-level conversion of glucose to 2,3-butanediol","type":"article-journal","volume":"32"},"uris":["http://www.mendeley.com/documents/?uuid=cb5185b2-2e9e-42b5-808e-ce918d13a7be"]}],"mendeley":{"formattedCitation":"&lt;sup&gt;46,53,74,154&lt;/sup&gt;","plainTextFormattedCitation":"46,53,74,154","previouslyFormattedCitation":"&lt;sup&gt;46,53,74,154&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46,53,74,154</w:t>
      </w:r>
      <w:r w:rsidRPr="002C0A3B">
        <w:rPr>
          <w:rFonts w:cs="Arial"/>
          <w:color w:val="000000" w:themeColor="text1"/>
          <w:szCs w:val="22"/>
        </w:rPr>
        <w:fldChar w:fldCharType="end"/>
      </w:r>
      <w:r w:rsidRPr="002C0A3B">
        <w:rPr>
          <w:rFonts w:cs="Arial"/>
          <w:color w:val="000000" w:themeColor="text1"/>
          <w:szCs w:val="22"/>
        </w:rPr>
        <w:t>. Enzymes involved in the acetyl-CoA—acetate pathway can drive reactions in either direction depending on the lysate’s adenylate charge</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{"citationItems":[{"id":"ITEM-1","itemData":{"DOI":"10.3791/62852","ISSN":"1940087X","abstract":"Engineering cellular metabolism for targeted biosynthesis can require extensive design-build-test-learn (DBTL) cycles as the engineer works around the cell's survival requirements. Alternatively, carrying out DBTL cycles in cell-free environments can accelerate this process and alleviate concerns with host compatibility. A promising approach to cell-free metabolic engineering (CFME) leverages metabolically active crude cell extracts as platforms for biomanufacturing and for rapidly discovering and prototyping modified proteins and pathways. Realizing these capabilities and optimizing CFME performance requires methods to characterize the metabolome of lysate-based cell-free platforms. That is, analytical tools are necessary for monitoring improvements in targeted metabolite conversions and in elucidating alterations to metabolite flux when manipulating lysate metabolism. Here, metabolite analyses using high-performance liquid chromatography (HPLC) coupled with either optical or mass spectrometric detection were applied to characterize metabolite production and flux in E. coli S30 lysates. Specifically, this report describes the preparation of samples from CFME lysates for HPLC analyses using refractive index detection (RID) to quantify the generation of central metabolic intermediates and by-products in the conversion of low-cost substrates (i.e., glucose) to various high-value products. The analysis of metabolite conversion in CFME reactions fed with13 C-labeled glucose through reversed-phase liquid chromatography coupled to tandem mass spectrometry (MS/ MS), a powerful tool for characterizing specific metabolite yields and lysate metabolic flux from starting materials, is also presented. Altogether, applying these analytical methods to CFME lysate metabolism enables the advancement of these systems as alternative platforms for executing faster or novel metabolic engineering tasks.","author":[{"dropping-particle":"","family":"Dinglasan","given":"Jaime Lorenzo N.","non-dropping-particle":"","parse-names":false,"suffix":""},{"dropping-particle":"","family":"Reeves","given":"David T.","non-dropping-particle":"","parse-names":false,"suffix":""},{"dropping-particle":"","family":"Hettich","given":"Robert L.","non-dropping-particle":"","parse-names":false,"suffix":""},{"dropping-particle":"","family":"Doktycz","given":"Mitchel J.","non-dropping-particle":"","parse-names":false,"suffix":""}],"container-title":"Journal of Visualized Experiments","id":"ITEM-1","issue":"175","issued":{"date-parts":[["2021"]]},"title":"Liquid chromatography coupled to refractive index or mass spectrometric detection for metabolite profiling in lysate-based cell-free systems","type":"article-journal","volume":"2021"},"uris":["http://www.mendeley.com/documents/?uuid=7ea0affb-ee39-3abd-8eb2-d52c093f6376"]}],"mendeley":{"formattedCitation":"&lt;sup&gt;154&lt;/sup&gt;","plainTextFormattedCitation":"154","previouslyFormattedCitation":"&lt;sup&gt;154&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154</w:t>
      </w:r>
      <w:r w:rsidRPr="002C0A3B">
        <w:rPr>
          <w:rFonts w:cs="Arial"/>
          <w:color w:val="000000" w:themeColor="text1"/>
          <w:szCs w:val="22"/>
        </w:rPr>
        <w:fldChar w:fldCharType="end"/>
      </w:r>
      <w:r w:rsidRPr="002C0A3B">
        <w:rPr>
          <w:rFonts w:cs="Arial"/>
          <w:color w:val="000000" w:themeColor="text1"/>
          <w:szCs w:val="22"/>
        </w:rPr>
        <w:t>. That is, the pathway, which involves ATP/ADP exchange, can either form or deplete acetate depending on the availability of these adenosine cofactors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1A</w:t>
      </w:r>
      <w:r w:rsidRPr="002C0A3B">
        <w:rPr>
          <w:rFonts w:cs="Arial"/>
          <w:color w:val="000000" w:themeColor="text1"/>
          <w:szCs w:val="22"/>
        </w:rPr>
        <w:t>). When this pathway is driven forward, acetate is formed alongside ethanol since the two fermentative end-products share the same acetyl-CoA precursor. Consequently, acetate production is likely to compete with ethanol synthesis for glucose-derived carbon flux</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{"citationItems":[{"id":"ITEM-1","itemData":{"DOI":"10.1098/RSOS.160187","ISSN":"20545703","abstract":"We have developed a method for rapid quenching of samples taken from chemostat cultures of Escherichia coli that gives reproducible and reliable measurements of extracellular and intracellular meta...","author":[{"dropping-particle":"","family":"Yasid","given":"Nur Adeela","non-dropping-particle":"","parse-names":false,"suffix":""},{"dropping-particle":"","family":"Rolfe","given":"Matthew D.","non-dropping-particle":"","parse-names":false,"suffix":""},{"dropping-particle":"","family":"Green","given":"Jeffrey","non-dropping-particle":"","parse-names":false,"suffix":""},{"dropping-particle":"","family":"Williamson","given":"Mike P.","non-dropping-particle":"","parse-names":false,"suffix":""}],"container-title":"Royal Society Open Science","id":"ITEM-1","issue":"8","issued":{"date-parts":[["2016","8","24"]]},"publisher":"\nThe Royal Society\n","title":"Homeostasis of metabolites in Escherichia coli on transition from anaerobic to aerobic conditions and the transient secretion of pyruvate","type":"article-journal","volume":"3"},"uris":["http://www.mendeley.com/documents/?uuid=3cf84966-4639-37e7-9d57-1abc0878a06b"]}],"mendeley":{"formattedCitation":"&lt;sup&gt;177&lt;/sup&gt;","plainTextFormattedCitation":"177","previouslyFormattedCitation":"&lt;sup&gt;177&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177</w:t>
      </w:r>
      <w:r w:rsidRPr="002C0A3B">
        <w:rPr>
          <w:rFonts w:cs="Arial"/>
          <w:color w:val="000000" w:themeColor="text1"/>
          <w:szCs w:val="22"/>
        </w:rPr>
        <w:fldChar w:fldCharType="end"/>
      </w:r>
      <w:r w:rsidRPr="002C0A3B">
        <w:rPr>
          <w:rFonts w:cs="Arial"/>
          <w:color w:val="000000" w:themeColor="text1"/>
          <w:szCs w:val="22"/>
        </w:rPr>
        <w:t>. When driven backward towards acetyl-CoA synthesis, acetate can be a secondary carbon source for ethanol formation since it is initially present in the reactions at a final concentration of approx. 80 mM</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{"citationItems":[{"id":"ITEM-1","itemData":{"DOI":"10.1021/acssynbio.6b00154","author":[{"dropping-particle":"","family":"Dudley","given":"Quentin M","non-dropping-particle":"","parse-names":false,"suffix":""},{"dropping-particle":"","family":"Anderson","given":"Kim C","non-dropping-particle":"","parse-names":false,"suffix":""},{"dropping-particle":"","family":"Jewett","given":"Michael C","non-dropping-particle":"","parse-names":false,"suffix":""}],"id":"ITEM-1","issued":{"date-parts":[["2016"]]},"title":"Cell-Free Mixing of Escherichia coli Crude Extracts to Prototype and Rationally Engineer High-Titer Mevalonate Synthesis","type":"article-journal"},"uris":["http://www.mendeley.com/documents/?uuid=99336352-fabf-4121-855f-c8567c91a0c0"]}],"mendeley":{"formattedCitation":"&lt;sup&gt;53&lt;/sup&gt;","plainTextFormattedCitation":"53","previouslyFormattedCitation":"&lt;sup&gt;53&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53</w:t>
      </w:r>
      <w:r w:rsidRPr="002C0A3B">
        <w:rPr>
          <w:rFonts w:cs="Arial"/>
          <w:color w:val="000000" w:themeColor="text1"/>
          <w:szCs w:val="22"/>
        </w:rPr>
        <w:fldChar w:fldCharType="end"/>
      </w:r>
      <w:r w:rsidRPr="002C0A3B">
        <w:rPr>
          <w:rFonts w:cs="Arial"/>
          <w:color w:val="000000" w:themeColor="text1"/>
          <w:szCs w:val="22"/>
        </w:rPr>
        <w:t xml:space="preserve">. This is because the S30 buffer used to prepare lysates consists of acetate salts. If acetate is indeed consumed in the reactions, this would obscure % ethanol yield from glucose calculations. When optimizing for </w:t>
      </w:r>
      <w:r w:rsidR="00F534D3" w:rsidRPr="002C0A3B">
        <w:rPr>
          <w:rFonts w:cs="Arial"/>
          <w:color w:val="000000" w:themeColor="text1"/>
          <w:szCs w:val="22"/>
        </w:rPr>
        <w:t>starting cofactor concentrations, acetate was observed in the blocked extract. Like ethanol, acetate increased with decreasing CoA, reinforcing the assumption that glycolysis is bottlenecked by high CoA levels (</w:t>
      </w:r>
      <w:r w:rsidR="00F534D3">
        <w:rPr>
          <w:rFonts w:cs="Arial"/>
          <w:b/>
          <w:bCs/>
          <w:color w:val="000000" w:themeColor="text1"/>
          <w:szCs w:val="22"/>
        </w:rPr>
        <w:t>Appendix Figure</w:t>
      </w:r>
      <w:r w:rsidR="00F534D3" w:rsidRPr="002C0A3B">
        <w:rPr>
          <w:rFonts w:cs="Arial"/>
          <w:b/>
          <w:bCs/>
          <w:color w:val="000000" w:themeColor="text1"/>
          <w:szCs w:val="22"/>
        </w:rPr>
        <w:t xml:space="preserve"> </w:t>
      </w:r>
      <w:r w:rsidR="00F534D3">
        <w:rPr>
          <w:rFonts w:cs="Arial"/>
          <w:b/>
          <w:bCs/>
          <w:color w:val="000000" w:themeColor="text1"/>
          <w:szCs w:val="22"/>
        </w:rPr>
        <w:t>4.11</w:t>
      </w:r>
      <w:r w:rsidR="00F534D3" w:rsidRPr="002C0A3B">
        <w:rPr>
          <w:rFonts w:cs="Arial"/>
          <w:b/>
          <w:bCs/>
          <w:color w:val="000000" w:themeColor="text1"/>
          <w:szCs w:val="22"/>
        </w:rPr>
        <w:t>A</w:t>
      </w:r>
      <w:r w:rsidR="00F534D3" w:rsidRPr="002C0A3B">
        <w:rPr>
          <w:rFonts w:cs="Arial"/>
          <w:color w:val="000000" w:themeColor="text1"/>
          <w:szCs w:val="22"/>
        </w:rPr>
        <w:t>).</w:t>
      </w:r>
      <w:r w:rsidR="00F534D3">
        <w:rPr>
          <w:rFonts w:cs="Arial"/>
          <w:color w:val="000000" w:themeColor="text1"/>
          <w:szCs w:val="22"/>
        </w:rPr>
        <w:t xml:space="preserve"> </w:t>
      </w:r>
      <w:r w:rsidR="00F534D3" w:rsidRPr="002C0A3B">
        <w:rPr>
          <w:rFonts w:cs="Arial"/>
          <w:color w:val="000000" w:themeColor="text1"/>
          <w:szCs w:val="22"/>
        </w:rPr>
        <w:t>Incubating reactions in more oxygen-limited environments however increasingly drove the acetyl-CoA—acetate pathway module towards acetyl-CoA synthesis, as evidenced by acetate consumption in 50 µL vessels (</w:t>
      </w:r>
      <w:r w:rsidR="00F534D3">
        <w:rPr>
          <w:rFonts w:cs="Arial"/>
          <w:b/>
          <w:bCs/>
          <w:color w:val="000000" w:themeColor="text1"/>
          <w:szCs w:val="22"/>
        </w:rPr>
        <w:t>Appendix Figure</w:t>
      </w:r>
      <w:r w:rsidR="00F534D3" w:rsidRPr="002C0A3B">
        <w:rPr>
          <w:rFonts w:cs="Arial"/>
          <w:b/>
          <w:bCs/>
          <w:color w:val="000000" w:themeColor="text1"/>
          <w:szCs w:val="22"/>
        </w:rPr>
        <w:t xml:space="preserve"> </w:t>
      </w:r>
      <w:r w:rsidR="00F534D3">
        <w:rPr>
          <w:rFonts w:cs="Arial"/>
          <w:b/>
          <w:bCs/>
          <w:color w:val="000000" w:themeColor="text1"/>
          <w:szCs w:val="22"/>
        </w:rPr>
        <w:t>4.11</w:t>
      </w:r>
      <w:r w:rsidR="00F534D3" w:rsidRPr="002C0A3B">
        <w:rPr>
          <w:rFonts w:cs="Arial"/>
          <w:b/>
          <w:bCs/>
          <w:color w:val="000000" w:themeColor="text1"/>
          <w:szCs w:val="22"/>
        </w:rPr>
        <w:t>B</w:t>
      </w:r>
      <w:r w:rsidR="00F534D3" w:rsidRPr="002C0A3B">
        <w:rPr>
          <w:rFonts w:cs="Arial"/>
          <w:color w:val="000000" w:themeColor="text1"/>
          <w:szCs w:val="22"/>
        </w:rPr>
        <w:t>).</w:t>
      </w:r>
      <w:r w:rsidR="00F534D3">
        <w:rPr>
          <w:rFonts w:cs="Arial"/>
          <w:color w:val="000000" w:themeColor="text1"/>
          <w:szCs w:val="22"/>
        </w:rPr>
        <w:t xml:space="preserve"> </w:t>
      </w:r>
      <w:r w:rsidR="00F534D3" w:rsidRPr="002C0A3B">
        <w:rPr>
          <w:rFonts w:cs="Arial"/>
          <w:color w:val="000000" w:themeColor="text1"/>
          <w:szCs w:val="22"/>
        </w:rPr>
        <w:t>This could be explained by the need for an additional ATP consuming sink that is fulfilled</w:t>
      </w:r>
    </w:p>
    <w:p w14:paraId="48F75A72" w14:textId="77777777" w:rsidR="0039202C" w:rsidRPr="002C0A3B" w:rsidRDefault="0039202C" w:rsidP="0039202C">
      <w:pPr>
        <w:jc w:val="center"/>
        <w:rPr>
          <w:rFonts w:cs="Arial"/>
          <w:b/>
          <w:bCs/>
          <w:color w:val="000000" w:themeColor="text1"/>
          <w:szCs w:val="22"/>
        </w:rPr>
      </w:pPr>
      <w:r w:rsidRPr="002C0A3B">
        <w:rPr>
          <w:rFonts w:cs="Arial"/>
          <w:b/>
          <w:bCs/>
          <w:noProof/>
          <w:color w:val="000000" w:themeColor="text1"/>
          <w:szCs w:val="22"/>
        </w:rPr>
        <w:lastRenderedPageBreak/>
        <w:drawing>
          <wp:inline distT="0" distB="0" distL="0" distR="0" wp14:anchorId="71B3C7D4" wp14:editId="19060B33">
            <wp:extent cx="5232400" cy="3042730"/>
            <wp:effectExtent l="0" t="0" r="0" b="0"/>
            <wp:docPr id="18" name="Picture 18"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application&#10;&#10;Description automatically generated"/>
                    <pic:cNvPicPr/>
                  </pic:nvPicPr>
                  <pic:blipFill>
                    <a:blip r:embed="rId36" cstate="screen">
                      <a:extLst>
                        <a:ext uri="{28A0092B-C50C-407E-A947-70E740481C1C}">
                          <a14:useLocalDpi xmlns:a14="http://schemas.microsoft.com/office/drawing/2010/main"/>
                        </a:ext>
                      </a:extLst>
                    </a:blip>
                    <a:stretch>
                      <a:fillRect/>
                    </a:stretch>
                  </pic:blipFill>
                  <pic:spPr>
                    <a:xfrm>
                      <a:off x="0" y="0"/>
                      <a:ext cx="5271552" cy="3065497"/>
                    </a:xfrm>
                    <a:prstGeom prst="rect">
                      <a:avLst/>
                    </a:prstGeom>
                  </pic:spPr>
                </pic:pic>
              </a:graphicData>
            </a:graphic>
          </wp:inline>
        </w:drawing>
      </w:r>
    </w:p>
    <w:p w14:paraId="5455914B" w14:textId="77777777" w:rsidR="0039202C" w:rsidRPr="002C0A3B" w:rsidRDefault="0039202C" w:rsidP="0039202C">
      <w:pPr>
        <w:rPr>
          <w:rFonts w:cs="Arial"/>
          <w:color w:val="000000" w:themeColor="text1"/>
          <w:szCs w:val="22"/>
        </w:rPr>
      </w:pPr>
      <w:bookmarkStart w:id="104" w:name="_Toc129701159"/>
      <w:r w:rsidRPr="00F534D3">
        <w:rPr>
          <w:rStyle w:val="FigurecaptionChar"/>
        </w:rPr>
        <w:t>Figure 4.5. Optimization of source strain cultivation conditions to drive carbon flux towards ethanol in resulting lysate proteomes.</w:t>
      </w:r>
      <w:bookmarkEnd w:id="104"/>
      <w:r w:rsidRPr="002C0A3B">
        <w:rPr>
          <w:rFonts w:cs="Arial"/>
          <w:color w:val="000000" w:themeColor="text1"/>
          <w:szCs w:val="22"/>
        </w:rPr>
        <w:t xml:space="preserve"> Normalized metabolite concentrations and calculated % ethanol yields in blocked lysates derived from strains grown under different conditions. Reactions were prepared with optimized reaction conditions and 80 mM glucose then incubated at 37˚C for 20 hrs. Reactions for all conditions were prepared using depletion replicates and error bars represent standard errors (n=3). </w:t>
      </w:r>
    </w:p>
    <w:p w14:paraId="62A40241" w14:textId="77777777" w:rsidR="0039202C" w:rsidRDefault="0039202C" w:rsidP="0039202C">
      <w:pPr>
        <w:rPr>
          <w:rFonts w:cs="Arial"/>
          <w:color w:val="000000" w:themeColor="text1"/>
          <w:szCs w:val="22"/>
        </w:rPr>
      </w:pPr>
    </w:p>
    <w:p w14:paraId="25B5B6B2" w14:textId="77777777" w:rsidR="0039202C" w:rsidRDefault="0039202C">
      <w:pPr>
        <w:rPr>
          <w:rFonts w:cs="Arial"/>
          <w:color w:val="000000" w:themeColor="text1"/>
          <w:szCs w:val="22"/>
        </w:rPr>
      </w:pPr>
      <w:r>
        <w:rPr>
          <w:rFonts w:cs="Arial"/>
          <w:color w:val="000000" w:themeColor="text1"/>
          <w:szCs w:val="22"/>
        </w:rPr>
        <w:br w:type="page"/>
      </w:r>
    </w:p>
    <w:p w14:paraId="39EB2179" w14:textId="53C97F76" w:rsidR="004E2DE7" w:rsidRPr="002C0A3B" w:rsidRDefault="004E2DE7" w:rsidP="0039202C">
      <w:pPr>
        <w:rPr>
          <w:rFonts w:cs="Arial"/>
          <w:color w:val="000000" w:themeColor="text1"/>
          <w:szCs w:val="22"/>
        </w:rPr>
      </w:pPr>
      <w:r w:rsidRPr="002C0A3B">
        <w:rPr>
          <w:rFonts w:cs="Arial"/>
          <w:color w:val="000000" w:themeColor="text1"/>
          <w:szCs w:val="22"/>
        </w:rPr>
        <w:lastRenderedPageBreak/>
        <w:t>by the acetate kinase (</w:t>
      </w:r>
      <w:proofErr w:type="spellStart"/>
      <w:r w:rsidRPr="002C0A3B">
        <w:rPr>
          <w:rFonts w:cs="Arial"/>
          <w:color w:val="000000" w:themeColor="text1"/>
          <w:szCs w:val="22"/>
        </w:rPr>
        <w:t>AckA</w:t>
      </w:r>
      <w:proofErr w:type="spellEnd"/>
      <w:r w:rsidRPr="002C0A3B">
        <w:rPr>
          <w:rFonts w:cs="Arial"/>
          <w:color w:val="000000" w:themeColor="text1"/>
          <w:szCs w:val="22"/>
        </w:rPr>
        <w:t>) reverse reaction when O</w:t>
      </w:r>
      <w:r w:rsidRPr="002C0A3B">
        <w:rPr>
          <w:rFonts w:cs="Arial"/>
          <w:color w:val="000000" w:themeColor="text1"/>
          <w:szCs w:val="22"/>
          <w:vertAlign w:val="subscript"/>
        </w:rPr>
        <w:t>2</w:t>
      </w:r>
      <w:r w:rsidRPr="002C0A3B">
        <w:rPr>
          <w:rFonts w:cs="Arial"/>
          <w:color w:val="000000" w:themeColor="text1"/>
          <w:szCs w:val="22"/>
        </w:rPr>
        <w:t>-dependent ATP hydrolases are inactivated in the system</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{"citationItems":[{"id":"ITEM-1","itemData":{"DOI":"10.3791/62852","ISSN":"1940087X","abstract":"Engineering cellular metabolism for targeted biosynthesis can require extensive design-build-test-learn (DBTL) cycles as the engineer works around the cell's survival requirements. Alternatively, carrying out DBTL cycles in cell-free environments can accelerate this process and alleviate concerns with host compatibility. A promising approach to cell-free metabolic engineering (CFME) leverages metabolically active crude cell extracts as platforms for biomanufacturing and for rapidly discovering and prototyping modified proteins and pathways. Realizing these capabilities and optimizing CFME performance requires methods to characterize the metabolome of lysate-based cell-free platforms. That is, analytical tools are necessary for monitoring improvements in targeted metabolite conversions and in elucidating alterations to metabolite flux when manipulating lysate metabolism. Here, metabolite analyses using high-performance liquid chromatography (HPLC) coupled with either optical or mass spectrometric detection were applied to characterize metabolite production and flux in E. coli S30 lysates. Specifically, this report describes the preparation of samples from CFME lysates for HPLC analyses using refractive index detection (RID) to quantify the generation of central metabolic intermediates and by-products in the conversion of low-cost substrates (i.e., glucose) to various high-value products. The analysis of metabolite conversion in CFME reactions fed with13 C-labeled glucose through reversed-phase liquid chromatography coupled to tandem mass spectrometry (MS/ MS), a powerful tool for characterizing specific metabolite yields and lysate metabolic flux from starting materials, is also presented. Altogether, applying these analytical methods to CFME lysate metabolism enables the advancement of these systems as alternative platforms for executing faster or novel metabolic engineering tasks.","author":[{"dropping-particle":"","family":"Dinglasan","given":"Jaime Lorenzo N.","non-dropping-particle":"","parse-names":false,"suffix":""},{"dropping-particle":"","family":"Reeves","given":"David T.","non-dropping-particle":"","parse-names":false,"suffix":""},{"dropping-particle":"","family":"Hettich","given":"Robert L.","non-dropping-particle":"","parse-names":false,"suffix":""},{"dropping-particle":"","family":"Doktycz","given":"Mitchel J.","non-dropping-particle":"","parse-names":false,"suffix":""}],"container-title":"Journal of Visualized Experiments","id":"ITEM-1","issue":"175","issued":{"date-parts":[["2021"]]},"title":"Liquid chromatography coupled to refractive index or mass spectrometric detection for metabolite profiling in lysate-based cell-free systems","type":"article-journal","volume":"2021"},"uris":["http://www.mendeley.com/documents/?uuid=7ea0affb-ee39-3abd-8eb2-d52c093f6376"]},{"id":"ITEM-2","itemData":{"DOI":"10.1038/MSB.2008.57","ISSN":"17444292","PMID":"18854819","abstract":"Cell-free systems offer a unique platform for expanding the capabilities of natural biological systems for useful purposes, i.e. synthetic biology. They reduce complexity, remove structural barriers, and do not require the maintenance of cell viability. Cell-free systems, however, have been limited by their inability to co-activate multiple biochemical networks in a single integrated platform. Here, we report the assessment of biochemical reactions in an Escherichia coli cell-free platform designed to activate natural metabolism, the Cytomim system. We reveal that central catabolism, oxidative phosphorylation, and protein synthesis can be co-activated in a single reaction system. Never before have these complex systems been shown to be simultaneously activated without living cells. The Cytomim system therefore promises to provide the metabolic foundation for diverse ab initio cell-free synthetic biology projects. In addition, we describe an improved Cytomim system with enhanced protein synthesis yields (up to 1200 mg/l in 2 h) and lower costs to facilitate production of protein therapeutics and biochemicals that are difficult to make in vivo because of their toxicity, complexity, or unusual cofactor requirements. © 2008 EMBO and Macmillan Publishers Limited All rights reserved.","author":[{"dropping-particle":"","family":"Jewett","given":"Michael C.","non-dropping-particle":"","parse-names":false,"suffix":""},{"dropping-particle":"","family":"Calhoun","given":"Kara A.","non-dropping-particle":"","parse-names":false,"suffix":""},{"dropping-particle":"","family":"Voloshin","given":"Alexei","non-dropping-particle":"","parse-names":false,"suffix":""},{"dropping-particle":"","family":"Wuu","given":"Jessica J.","non-dropping-particle":"","parse-names":false,"suffix":""},{"dropping-particle":"","family":"Swartz","given":"James R.","non-dropping-particle":"","parse-names":false,"suffix":""}],"container-title":"Molecular Systems Biology","id":"ITEM-2","issued":{"date-parts":[["2008"]]},"page":"220","publisher":"European Molecular Biology Organization","title":"An integrated cell-free metabolic platform for protein production and synthetic biology","type":"article-journal","volume":"4"},"uris":["http://www.mendeley.com/documents/?uuid=79f4b57e-11d3-358c-acee-c93676b0c5bb"]}],"mendeley":{"formattedCitation":"&lt;sup&gt;154,164&lt;/sup&gt;","plainTextFormattedCitation":"154,164","previouslyFormattedCitation":"&lt;sup&gt;154,164&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154,164</w:t>
      </w:r>
      <w:r w:rsidRPr="002C0A3B">
        <w:rPr>
          <w:rFonts w:cs="Arial"/>
          <w:color w:val="000000" w:themeColor="text1"/>
          <w:szCs w:val="22"/>
        </w:rPr>
        <w:fldChar w:fldCharType="end"/>
      </w:r>
      <w:r w:rsidRPr="002C0A3B">
        <w:rPr>
          <w:rFonts w:cs="Arial"/>
          <w:color w:val="000000" w:themeColor="text1"/>
          <w:szCs w:val="22"/>
        </w:rPr>
        <w:t>. Despite acetate consumption in the sealed 50 µL wells, data from the initial reaction pH optimization experiment imply that carbon derived from this secondary source is likely not incorporated into ethanol since ethanol concentrations do not significantly change in conditions where acetate is produced (pH 6.2) or consumed (pH &gt; 7.0) (</w:t>
      </w:r>
      <w:r w:rsidR="00E84CA7" w:rsidRPr="00E84CA7">
        <w:rPr>
          <w:rFonts w:cs="Arial"/>
          <w:b/>
          <w:bCs/>
          <w:color w:val="000000" w:themeColor="text1"/>
          <w:szCs w:val="22"/>
        </w:rPr>
        <w:t xml:space="preserve">Appendix </w:t>
      </w:r>
      <w:r w:rsidR="00405F98">
        <w:rPr>
          <w:rFonts w:cs="Arial"/>
          <w:b/>
          <w:bCs/>
          <w:color w:val="000000" w:themeColor="text1"/>
          <w:szCs w:val="22"/>
        </w:rPr>
        <w:t>Figures</w:t>
      </w:r>
      <w:r w:rsidRPr="002C0A3B">
        <w:rPr>
          <w:rFonts w:cs="Arial"/>
          <w:b/>
          <w:bCs/>
          <w:color w:val="000000" w:themeColor="text1"/>
          <w:szCs w:val="22"/>
        </w:rPr>
        <w:t xml:space="preserve"> </w:t>
      </w:r>
      <w:r w:rsidR="007B7C75">
        <w:rPr>
          <w:rFonts w:cs="Arial"/>
          <w:b/>
          <w:bCs/>
          <w:color w:val="000000" w:themeColor="text1"/>
          <w:szCs w:val="22"/>
        </w:rPr>
        <w:t>4.</w:t>
      </w:r>
      <w:r w:rsidR="00E84CA7">
        <w:rPr>
          <w:rFonts w:cs="Arial"/>
          <w:b/>
          <w:bCs/>
          <w:color w:val="000000" w:themeColor="text1"/>
          <w:szCs w:val="22"/>
        </w:rPr>
        <w:t>11</w:t>
      </w:r>
      <w:r w:rsidRPr="002C0A3B">
        <w:rPr>
          <w:rFonts w:cs="Arial"/>
          <w:b/>
          <w:bCs/>
          <w:color w:val="000000" w:themeColor="text1"/>
          <w:szCs w:val="22"/>
        </w:rPr>
        <w:t>C</w:t>
      </w:r>
      <w:r w:rsidRPr="002C0A3B">
        <w:rPr>
          <w:rFonts w:cs="Arial"/>
          <w:color w:val="000000" w:themeColor="text1"/>
          <w:szCs w:val="22"/>
        </w:rPr>
        <w:t xml:space="preserve"> &amp;</w:t>
      </w:r>
      <w:r w:rsidRPr="002C0A3B">
        <w:rPr>
          <w:rFonts w:cs="Arial"/>
          <w:b/>
          <w:bCs/>
          <w:color w:val="000000" w:themeColor="text1"/>
          <w:szCs w:val="22"/>
        </w:rPr>
        <w:t xml:space="preserve"> B</w:t>
      </w:r>
      <w:r w:rsidRPr="002C0A3B">
        <w:rPr>
          <w:rFonts w:cs="Arial"/>
          <w:color w:val="000000" w:themeColor="text1"/>
          <w:szCs w:val="22"/>
        </w:rPr>
        <w:t>). These data also reinforce the use of pH 6.2 for ethanol production in lysates since this condition has the least significant acetate production or consumption. Under these reaction conditions, acetate formation or consumption remained insignificant in extracts regardless of source strain cultivation conditions (</w:t>
      </w:r>
      <w:r w:rsidR="00E84CA7">
        <w:rPr>
          <w:rFonts w:cs="Arial"/>
          <w:b/>
          <w:bCs/>
          <w:color w:val="000000" w:themeColor="text1"/>
          <w:szCs w:val="22"/>
        </w:rPr>
        <w:t xml:space="preserve">Appendix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00E84CA7">
        <w:rPr>
          <w:rFonts w:cs="Arial"/>
          <w:b/>
          <w:bCs/>
          <w:color w:val="000000" w:themeColor="text1"/>
          <w:szCs w:val="22"/>
        </w:rPr>
        <w:t>11</w:t>
      </w:r>
      <w:r w:rsidRPr="002C0A3B">
        <w:rPr>
          <w:rFonts w:cs="Arial"/>
          <w:b/>
          <w:bCs/>
          <w:color w:val="000000" w:themeColor="text1"/>
          <w:szCs w:val="22"/>
        </w:rPr>
        <w:t>D</w:t>
      </w:r>
      <w:r w:rsidRPr="002C0A3B">
        <w:rPr>
          <w:rFonts w:cs="Arial"/>
          <w:color w:val="000000" w:themeColor="text1"/>
          <w:szCs w:val="22"/>
        </w:rPr>
        <w:t xml:space="preserve">). </w:t>
      </w:r>
    </w:p>
    <w:p w14:paraId="0C6FE911" w14:textId="48D9B64F" w:rsidR="004E2DE7" w:rsidRPr="002C0A3B" w:rsidRDefault="004E2DE7" w:rsidP="004E2DE7">
      <w:pPr>
        <w:ind w:firstLine="720"/>
        <w:rPr>
          <w:rFonts w:cs="Arial"/>
          <w:color w:val="000000" w:themeColor="text1"/>
          <w:szCs w:val="22"/>
        </w:rPr>
      </w:pPr>
      <w:r w:rsidRPr="002C0A3B">
        <w:rPr>
          <w:rFonts w:cs="Arial"/>
          <w:color w:val="000000" w:themeColor="text1"/>
          <w:szCs w:val="22"/>
        </w:rPr>
        <w:t>To further ensure that ethanol in this optimized system was formed from glucose, reactions (n=2) were incubated for 20 h without glucose</w:t>
      </w:r>
      <w:r w:rsidRPr="002C0A3B" w:rsidDel="00387C3E">
        <w:rPr>
          <w:rFonts w:cs="Arial"/>
          <w:color w:val="000000" w:themeColor="text1"/>
          <w:szCs w:val="22"/>
        </w:rPr>
        <w:t xml:space="preserve"> </w:t>
      </w:r>
      <w:r w:rsidRPr="002C0A3B">
        <w:rPr>
          <w:rFonts w:cs="Arial"/>
          <w:color w:val="000000" w:themeColor="text1"/>
          <w:szCs w:val="22"/>
        </w:rPr>
        <w:t xml:space="preserve">and compared to respective time zero controls. No glucose or ethanol was detected in any of the time zero replicates and only 1.9 </w:t>
      </w:r>
      <w:r w:rsidRPr="002C0A3B">
        <w:rPr>
          <w:rFonts w:cs="Arial"/>
          <w:color w:val="000000" w:themeColor="text1"/>
          <w:szCs w:val="22"/>
        </w:rPr>
        <w:sym w:font="Symbol" w:char="F0B1"/>
      </w:r>
      <w:r w:rsidRPr="002C0A3B">
        <w:rPr>
          <w:rFonts w:cs="Arial"/>
          <w:color w:val="000000" w:themeColor="text1"/>
          <w:szCs w:val="22"/>
        </w:rPr>
        <w:t xml:space="preserve"> 0.08 mM ethanol was formed after 20 h. This strongly suggests that ethanol is derived from glucose, and not from carbon sources initially present in the reactions at high (&gt; 80 mM) concentrations (i.e., acetate and glutamate)</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{"citationItems":[{"id":"ITEM-1","itemData":{"DOI":"10.1126/sciadv.aaw9180","ISSN":"23752548","PMID":"31183410","abstract":"Metabolic engineering uses enzymes to produce small molecules with industrial, pharmaceutical, and energy applications. However, efforts to optimize enzymatic pathways for commercial production are limited by the throughput of assays for quantifying metabolic intermediates and end products. We developed a multiplexed method for profiling CoA-dependent pathways that uses a cysteine-terminated peptide to covalently capture CoA-bound metabolites. Captured metabolites are then rapidly separated from the complex mixture by immobilization onto arrays of self-assembled monolayers and directly quantified by SAMDI mass spectrometry. We demonstrate the throughput of the assay by characterizing the cell-free synthesis of HMG-CoA, a key intermediate in the biosynthesis of isoprenoids, collecting over 10,000 individual spectra to map more than 800 unique reaction conditions. We anticipate that our rapid and robust analytical method will accelerate efforts to engineer metabolic pathways.","author":[{"dropping-particle":"","family":"O’Kane","given":"Patrick T.","non-dropping-particle":"","parse-names":false,"suffix":""},{"dropping-particle":"","family":"Dudley","given":"Quentin M.","non-dropping-particle":"","parse-names":false,"suffix":""},{"dropping-particle":"","family":"McMillan","given":"Aislinn K.","non-dropping-particle":"","parse-names":false,"suffix":""},{"dropping-particle":"","family":"Jewett","given":"Michael C.","non-dropping-particle":"","parse-names":false,"suffix":""},{"dropping-particle":"","family":"Mrksich","given":"Milan","non-dropping-particle":"","parse-names":false,"suffix":""}],"container-title":"Science Advances","id":"ITEM-1","issue":"6","issued":{"date-parts":[["2019","6","5"]]},"page":"eaaw9180","publisher":"American Association for the Advancement of Science","title":"High-throughput mapping of CoA metabolites by SAMDI-MS to optimize the cell-free biosynthesis of HMG-CoA","type":"article-journal","volume":"5"},"uris":["http://www.mendeley.com/documents/?uuid=951da1ce-eaa8-3f39-be09-ce82c5d301fd"]}],"mendeley":{"formattedCitation":"&lt;sup&gt;49&lt;/sup&gt;","plainTextFormattedCitation":"49","previouslyFormattedCitation":"&lt;sup&gt;49&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49</w:t>
      </w:r>
      <w:r w:rsidRPr="002C0A3B">
        <w:rPr>
          <w:rFonts w:cs="Arial"/>
          <w:color w:val="000000" w:themeColor="text1"/>
          <w:szCs w:val="22"/>
        </w:rPr>
        <w:fldChar w:fldCharType="end"/>
      </w:r>
      <w:r w:rsidRPr="002C0A3B">
        <w:rPr>
          <w:rFonts w:cs="Arial"/>
          <w:color w:val="000000" w:themeColor="text1"/>
          <w:szCs w:val="22"/>
        </w:rPr>
        <w:t>.</w:t>
      </w:r>
    </w:p>
    <w:p w14:paraId="3C4CD6F1" w14:textId="77777777" w:rsidR="004E2DE7" w:rsidRPr="002C0A3B" w:rsidRDefault="004E2DE7" w:rsidP="004E2DE7">
      <w:pPr>
        <w:rPr>
          <w:rFonts w:cs="Arial"/>
          <w:b/>
          <w:bCs/>
          <w:color w:val="000000" w:themeColor="text1"/>
          <w:szCs w:val="22"/>
        </w:rPr>
      </w:pPr>
    </w:p>
    <w:p w14:paraId="7A46AD00" w14:textId="131436A3" w:rsidR="004E2DE7" w:rsidRPr="00E033D4" w:rsidRDefault="007B7C75" w:rsidP="00E033D4">
      <w:pPr>
        <w:pStyle w:val="ChapterSub-heading"/>
      </w:pPr>
      <w:bookmarkStart w:id="105" w:name="_Toc129701053"/>
      <w:r w:rsidRPr="00E033D4">
        <w:t>4.4</w:t>
      </w:r>
      <w:r w:rsidR="004E2DE7" w:rsidRPr="00E033D4">
        <w:t>.3. Maximum glucose-to-ethanol conversion is consistent in the optimized system</w:t>
      </w:r>
      <w:bookmarkEnd w:id="105"/>
      <w:r w:rsidR="004E2DE7" w:rsidRPr="00E033D4">
        <w:t xml:space="preserve"> </w:t>
      </w:r>
    </w:p>
    <w:p w14:paraId="787ECB56" w14:textId="0E8BDC59" w:rsidR="0039202C" w:rsidRDefault="004E2DE7" w:rsidP="002C0A3B">
      <w:pPr>
        <w:ind w:firstLine="720"/>
        <w:rPr>
          <w:rFonts w:cs="Arial"/>
          <w:color w:val="000000" w:themeColor="text1"/>
          <w:szCs w:val="22"/>
        </w:rPr>
      </w:pPr>
      <w:r w:rsidRPr="002C0A3B">
        <w:rPr>
          <w:rFonts w:cs="Arial"/>
          <w:color w:val="000000" w:themeColor="text1"/>
          <w:szCs w:val="22"/>
        </w:rPr>
        <w:t>The cell-free, block-push-pull approach enabled a 10-fold improvement in the optimized system’s ethanol yield from glucose compared to the unmodified extract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6</w:t>
      </w:r>
      <w:r w:rsidRPr="002C0A3B">
        <w:rPr>
          <w:rFonts w:cs="Arial"/>
          <w:color w:val="000000" w:themeColor="text1"/>
          <w:szCs w:val="22"/>
        </w:rPr>
        <w:t xml:space="preserve">). The consistency of the optimized system to perform at &gt; 90% yield was then assessed. </w:t>
      </w:r>
    </w:p>
    <w:p w14:paraId="2690EAA5" w14:textId="1D55EBB7" w:rsidR="00F534D3" w:rsidRDefault="00F534D3" w:rsidP="002C0A3B">
      <w:pPr>
        <w:ind w:firstLine="720"/>
        <w:rPr>
          <w:rFonts w:cs="Arial"/>
          <w:color w:val="000000" w:themeColor="text1"/>
          <w:szCs w:val="22"/>
        </w:rPr>
      </w:pPr>
      <w:r w:rsidRPr="002C0A3B">
        <w:rPr>
          <w:rFonts w:cs="Arial"/>
          <w:color w:val="000000" w:themeColor="text1"/>
          <w:szCs w:val="22"/>
        </w:rPr>
        <w:t>First, it was determined whether flux is still driven to ethanol without high concentrations of remaining substrate. In reaction optimization experiments, only a fraction of the glucose feed (~ 25 mM out of 80 mM) is consumed after 20 h (</w:t>
      </w:r>
      <w:r>
        <w:rPr>
          <w:rFonts w:cs="Arial"/>
          <w:b/>
          <w:bCs/>
          <w:color w:val="000000" w:themeColor="text1"/>
          <w:szCs w:val="22"/>
        </w:rPr>
        <w:t>Figure</w:t>
      </w:r>
      <w:r w:rsidRPr="002C0A3B">
        <w:rPr>
          <w:rFonts w:cs="Arial"/>
          <w:b/>
          <w:bCs/>
          <w:color w:val="000000" w:themeColor="text1"/>
          <w:szCs w:val="22"/>
        </w:rPr>
        <w:t xml:space="preserve"> </w:t>
      </w:r>
      <w:r>
        <w:rPr>
          <w:rFonts w:cs="Arial"/>
          <w:b/>
          <w:bCs/>
          <w:color w:val="000000" w:themeColor="text1"/>
          <w:szCs w:val="22"/>
        </w:rPr>
        <w:t>4.</w:t>
      </w:r>
      <w:r w:rsidRPr="002C0A3B">
        <w:rPr>
          <w:rFonts w:cs="Arial"/>
          <w:b/>
          <w:bCs/>
          <w:color w:val="000000" w:themeColor="text1"/>
          <w:szCs w:val="22"/>
        </w:rPr>
        <w:t>5</w:t>
      </w:r>
      <w:r w:rsidRPr="002C0A3B">
        <w:rPr>
          <w:rFonts w:cs="Arial"/>
          <w:color w:val="000000" w:themeColor="text1"/>
          <w:szCs w:val="22"/>
        </w:rPr>
        <w:t xml:space="preserve">). By Le </w:t>
      </w:r>
      <w:proofErr w:type="spellStart"/>
      <w:r w:rsidRPr="002C0A3B">
        <w:rPr>
          <w:rFonts w:cs="Arial"/>
          <w:color w:val="000000" w:themeColor="text1"/>
          <w:szCs w:val="22"/>
        </w:rPr>
        <w:t>Chatelier’s</w:t>
      </w:r>
      <w:proofErr w:type="spellEnd"/>
      <w:r w:rsidRPr="002C0A3B">
        <w:rPr>
          <w:rFonts w:cs="Arial"/>
          <w:color w:val="000000" w:themeColor="text1"/>
          <w:szCs w:val="22"/>
        </w:rPr>
        <w:t xml:space="preserve"> principle, the high remaining concentration of glucose could be favoring the overall forward reaction to ethanol, preventing bottlenecks and build-up of intermediates. However, optimized reactions fed increasing concentrations of glucose convert a common concentration, 20-25 mM, of glucose to </w:t>
      </w:r>
    </w:p>
    <w:p w14:paraId="6EA14488" w14:textId="77777777" w:rsidR="0039202C" w:rsidRPr="002C0A3B" w:rsidRDefault="0039202C" w:rsidP="0039202C">
      <w:pPr>
        <w:jc w:val="center"/>
        <w:rPr>
          <w:rFonts w:cs="Arial"/>
          <w:color w:val="000000" w:themeColor="text1"/>
          <w:szCs w:val="22"/>
        </w:rPr>
      </w:pPr>
      <w:r w:rsidRPr="002C0A3B">
        <w:rPr>
          <w:rFonts w:cs="Arial"/>
          <w:noProof/>
          <w:color w:val="000000" w:themeColor="text1"/>
          <w:szCs w:val="22"/>
        </w:rPr>
        <w:lastRenderedPageBreak/>
        <w:drawing>
          <wp:inline distT="0" distB="0" distL="0" distR="0" wp14:anchorId="0E16061E" wp14:editId="7DF56B16">
            <wp:extent cx="3881535" cy="3881535"/>
            <wp:effectExtent l="0" t="0" r="0" b="0"/>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pic:nvPicPr>
                  <pic:blipFill>
                    <a:blip r:embed="rId37" cstate="screen">
                      <a:extLst>
                        <a:ext uri="{28A0092B-C50C-407E-A947-70E740481C1C}">
                          <a14:useLocalDpi xmlns:a14="http://schemas.microsoft.com/office/drawing/2010/main"/>
                        </a:ext>
                      </a:extLst>
                    </a:blip>
                    <a:stretch>
                      <a:fillRect/>
                    </a:stretch>
                  </pic:blipFill>
                  <pic:spPr>
                    <a:xfrm>
                      <a:off x="0" y="0"/>
                      <a:ext cx="3889441" cy="3889441"/>
                    </a:xfrm>
                    <a:prstGeom prst="rect">
                      <a:avLst/>
                    </a:prstGeom>
                  </pic:spPr>
                </pic:pic>
              </a:graphicData>
            </a:graphic>
          </wp:inline>
        </w:drawing>
      </w:r>
    </w:p>
    <w:p w14:paraId="3BCEF83D" w14:textId="77777777" w:rsidR="0039202C" w:rsidRPr="002C0A3B" w:rsidRDefault="0039202C" w:rsidP="0039202C">
      <w:pPr>
        <w:rPr>
          <w:rFonts w:cs="Arial"/>
          <w:color w:val="000000" w:themeColor="text1"/>
          <w:szCs w:val="22"/>
        </w:rPr>
      </w:pPr>
      <w:bookmarkStart w:id="106" w:name="_Toc129701160"/>
      <w:r w:rsidRPr="00EA1382">
        <w:rPr>
          <w:rStyle w:val="FigurecaptionChar"/>
        </w:rPr>
        <w:t>Figure 4.6. Summary of the additive improvements to % ethanol yield in the system due to conditions that optimally block, push, and pull flux.</w:t>
      </w:r>
      <w:bookmarkEnd w:id="106"/>
      <w:r w:rsidRPr="00EA1382">
        <w:rPr>
          <w:rStyle w:val="FigurecaptionChar"/>
        </w:rPr>
        <w:t xml:space="preserve"> </w:t>
      </w:r>
      <w:r w:rsidRPr="002C0A3B">
        <w:rPr>
          <w:rFonts w:cs="Arial"/>
          <w:color w:val="000000" w:themeColor="text1"/>
          <w:szCs w:val="22"/>
        </w:rPr>
        <w:t xml:space="preserve">Reactions for all conditions were prepared using depletion replicates and error bars represent standard errors (n=3). </w:t>
      </w:r>
    </w:p>
    <w:p w14:paraId="73E68C4C" w14:textId="77777777" w:rsidR="0039202C" w:rsidRDefault="0039202C" w:rsidP="0039202C">
      <w:pPr>
        <w:rPr>
          <w:rFonts w:cs="Arial"/>
          <w:color w:val="000000" w:themeColor="text1"/>
          <w:szCs w:val="22"/>
        </w:rPr>
      </w:pPr>
    </w:p>
    <w:p w14:paraId="44993EB0" w14:textId="77777777" w:rsidR="0039202C" w:rsidRDefault="0039202C">
      <w:pPr>
        <w:rPr>
          <w:rFonts w:cs="Arial"/>
          <w:color w:val="000000" w:themeColor="text1"/>
          <w:szCs w:val="22"/>
        </w:rPr>
      </w:pPr>
      <w:r>
        <w:rPr>
          <w:rFonts w:cs="Arial"/>
          <w:color w:val="000000" w:themeColor="text1"/>
          <w:szCs w:val="22"/>
        </w:rPr>
        <w:br w:type="page"/>
      </w:r>
    </w:p>
    <w:p w14:paraId="1E85F755" w14:textId="519EFC8F" w:rsidR="004E2DE7" w:rsidRPr="002C0A3B" w:rsidRDefault="004E2DE7" w:rsidP="00F534D3">
      <w:pPr>
        <w:rPr>
          <w:rFonts w:cs="Arial"/>
          <w:color w:val="000000" w:themeColor="text1"/>
          <w:szCs w:val="22"/>
          <w:shd w:val="clear" w:color="auto" w:fill="FFFFFF"/>
        </w:rPr>
      </w:pPr>
      <w:r w:rsidRPr="002C0A3B">
        <w:rPr>
          <w:rFonts w:cs="Arial"/>
          <w:color w:val="000000" w:themeColor="text1"/>
          <w:szCs w:val="22"/>
        </w:rPr>
        <w:lastRenderedPageBreak/>
        <w:t>to ethanol at near 100% yields (</w:t>
      </w:r>
      <w:r w:rsidRPr="002C0A3B">
        <w:rPr>
          <w:rFonts w:cs="Arial"/>
          <w:i/>
          <w:iCs/>
          <w:color w:val="000000" w:themeColor="text1"/>
          <w:szCs w:val="22"/>
        </w:rPr>
        <w:t xml:space="preserve">95.5% </w:t>
      </w:r>
      <w:r w:rsidRPr="002C0A3B">
        <w:rPr>
          <w:rFonts w:cs="Arial"/>
          <w:i/>
          <w:iCs/>
          <w:color w:val="000000" w:themeColor="text1"/>
          <w:szCs w:val="22"/>
        </w:rPr>
        <w:sym w:font="Symbol" w:char="F0B1"/>
      </w:r>
      <w:r w:rsidRPr="002C0A3B">
        <w:rPr>
          <w:rFonts w:cs="Arial"/>
          <w:i/>
          <w:iCs/>
          <w:color w:val="000000" w:themeColor="text1"/>
          <w:szCs w:val="22"/>
        </w:rPr>
        <w:t xml:space="preserve"> 6.6% with 20 mM initial </w:t>
      </w:r>
      <w:proofErr w:type="spellStart"/>
      <w:r w:rsidRPr="002C0A3B">
        <w:rPr>
          <w:rFonts w:cs="Arial"/>
          <w:i/>
          <w:iCs/>
          <w:color w:val="000000" w:themeColor="text1"/>
          <w:szCs w:val="22"/>
        </w:rPr>
        <w:t>Glc</w:t>
      </w:r>
      <w:proofErr w:type="spellEnd"/>
      <w:r w:rsidRPr="002C0A3B">
        <w:rPr>
          <w:rFonts w:cs="Arial"/>
          <w:i/>
          <w:iCs/>
          <w:color w:val="000000" w:themeColor="text1"/>
          <w:szCs w:val="22"/>
        </w:rPr>
        <w:t xml:space="preserve">; 110.1% </w:t>
      </w:r>
      <w:r w:rsidRPr="002C0A3B">
        <w:rPr>
          <w:rFonts w:cs="Arial"/>
          <w:i/>
          <w:iCs/>
          <w:color w:val="000000" w:themeColor="text1"/>
          <w:szCs w:val="22"/>
        </w:rPr>
        <w:sym w:font="Symbol" w:char="F0B1"/>
      </w:r>
      <w:r w:rsidRPr="002C0A3B">
        <w:rPr>
          <w:rFonts w:cs="Arial"/>
          <w:i/>
          <w:iCs/>
          <w:color w:val="000000" w:themeColor="text1"/>
          <w:szCs w:val="22"/>
        </w:rPr>
        <w:t xml:space="preserve"> 21.7% with 40 mM initial </w:t>
      </w:r>
      <w:proofErr w:type="spellStart"/>
      <w:r w:rsidRPr="002C0A3B">
        <w:rPr>
          <w:rFonts w:cs="Arial"/>
          <w:i/>
          <w:iCs/>
          <w:color w:val="000000" w:themeColor="text1"/>
          <w:szCs w:val="22"/>
        </w:rPr>
        <w:t>Glc</w:t>
      </w:r>
      <w:proofErr w:type="spellEnd"/>
      <w:r w:rsidRPr="002C0A3B">
        <w:rPr>
          <w:rFonts w:cs="Arial"/>
          <w:i/>
          <w:iCs/>
          <w:color w:val="000000" w:themeColor="text1"/>
          <w:szCs w:val="22"/>
        </w:rPr>
        <w:t xml:space="preserve">; 107.7% </w:t>
      </w:r>
      <w:r w:rsidRPr="002C0A3B">
        <w:rPr>
          <w:rFonts w:cs="Arial"/>
          <w:i/>
          <w:iCs/>
          <w:color w:val="000000" w:themeColor="text1"/>
          <w:szCs w:val="22"/>
        </w:rPr>
        <w:sym w:font="Symbol" w:char="F0B1"/>
      </w:r>
      <w:r w:rsidRPr="002C0A3B">
        <w:rPr>
          <w:rFonts w:cs="Arial"/>
          <w:i/>
          <w:iCs/>
          <w:color w:val="000000" w:themeColor="text1"/>
          <w:szCs w:val="22"/>
        </w:rPr>
        <w:t xml:space="preserve"> 4.3% with 80 mM initial </w:t>
      </w:r>
      <w:proofErr w:type="spellStart"/>
      <w:r w:rsidRPr="002C0A3B">
        <w:rPr>
          <w:rFonts w:cs="Arial"/>
          <w:i/>
          <w:iCs/>
          <w:color w:val="000000" w:themeColor="text1"/>
          <w:szCs w:val="22"/>
        </w:rPr>
        <w:t>Glc</w:t>
      </w:r>
      <w:proofErr w:type="spellEnd"/>
      <w:r w:rsidRPr="002C0A3B">
        <w:rPr>
          <w:rFonts w:cs="Arial"/>
          <w:color w:val="000000" w:themeColor="text1"/>
          <w:szCs w:val="22"/>
        </w:rPr>
        <w:t>)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7A</w:t>
      </w:r>
      <w:r w:rsidRPr="002C0A3B">
        <w:rPr>
          <w:rFonts w:cs="Arial"/>
          <w:color w:val="000000" w:themeColor="text1"/>
          <w:szCs w:val="22"/>
        </w:rPr>
        <w:t xml:space="preserve">). Reactions are thus driven forward towards ethanol synthesis, even without excess glucose in the system, suggesting that glucose consumption, and therefore ethanol concentrations, are limited by another component of the reaction system. The total concentration of relevant pathway enzymes was hypothesized to limit the reaction. </w:t>
      </w:r>
      <w:r w:rsidRPr="002C0A3B">
        <w:rPr>
          <w:rFonts w:cs="Arial"/>
          <w:color w:val="000000" w:themeColor="text1"/>
          <w:szCs w:val="22"/>
          <w:shd w:val="clear" w:color="auto" w:fill="FFFFFF"/>
        </w:rPr>
        <w:t>To this end, reactions made with increasing concentrations of blocked lysate were fed 50 mM glucose and incubated overnight. Compared to the initial reaction condition containing 4.5 mg/mL lysate, reactions with more concentrated extracts could consume more glucose and produce more ethanol while maintaining near 100% yields (</w:t>
      </w:r>
      <w:r w:rsidRPr="002C0A3B">
        <w:rPr>
          <w:rFonts w:cs="Arial"/>
          <w:i/>
          <w:iCs/>
          <w:color w:val="000000" w:themeColor="text1"/>
          <w:szCs w:val="22"/>
          <w:shd w:val="clear" w:color="auto" w:fill="FFFFFF"/>
        </w:rPr>
        <w:t xml:space="preserve">96.0% </w:t>
      </w:r>
      <w:r w:rsidRPr="002C0A3B">
        <w:rPr>
          <w:rFonts w:cs="Arial"/>
          <w:i/>
          <w:iCs/>
          <w:color w:val="000000" w:themeColor="text1"/>
          <w:szCs w:val="22"/>
        </w:rPr>
        <w:sym w:font="Symbol" w:char="F0B1"/>
      </w:r>
      <w:r w:rsidRPr="002C0A3B">
        <w:rPr>
          <w:rFonts w:cs="Arial"/>
          <w:i/>
          <w:iCs/>
          <w:color w:val="000000" w:themeColor="text1"/>
          <w:szCs w:val="22"/>
        </w:rPr>
        <w:t xml:space="preserve"> 2.8% with 4.5 mg/mL lysate; 89.8% </w:t>
      </w:r>
      <w:r w:rsidRPr="002C0A3B">
        <w:rPr>
          <w:rFonts w:cs="Arial"/>
          <w:i/>
          <w:iCs/>
          <w:color w:val="000000" w:themeColor="text1"/>
          <w:szCs w:val="22"/>
        </w:rPr>
        <w:sym w:font="Symbol" w:char="F0B1"/>
      </w:r>
      <w:r w:rsidRPr="002C0A3B">
        <w:rPr>
          <w:rFonts w:cs="Arial"/>
          <w:i/>
          <w:iCs/>
          <w:color w:val="000000" w:themeColor="text1"/>
          <w:szCs w:val="22"/>
        </w:rPr>
        <w:t xml:space="preserve"> 5.4% with 7.5 mg/mL lysate; 97.1% </w:t>
      </w:r>
      <w:r w:rsidRPr="002C0A3B">
        <w:rPr>
          <w:rFonts w:cs="Arial"/>
          <w:i/>
          <w:iCs/>
          <w:color w:val="000000" w:themeColor="text1"/>
          <w:szCs w:val="22"/>
        </w:rPr>
        <w:sym w:font="Symbol" w:char="F0B1"/>
      </w:r>
      <w:r w:rsidRPr="002C0A3B">
        <w:rPr>
          <w:rFonts w:cs="Arial"/>
          <w:i/>
          <w:iCs/>
          <w:color w:val="000000" w:themeColor="text1"/>
          <w:szCs w:val="22"/>
        </w:rPr>
        <w:t xml:space="preserve"> 1.9% with 10.5 mg/mL lysate</w:t>
      </w:r>
      <w:r w:rsidRPr="002C0A3B">
        <w:rPr>
          <w:rFonts w:cs="Arial"/>
          <w:color w:val="000000" w:themeColor="text1"/>
          <w:szCs w:val="22"/>
        </w:rPr>
        <w:t xml:space="preserve">). </w:t>
      </w:r>
      <w:r w:rsidRPr="002C0A3B">
        <w:rPr>
          <w:rFonts w:cs="Arial"/>
          <w:color w:val="000000" w:themeColor="text1"/>
          <w:szCs w:val="22"/>
          <w:shd w:val="clear" w:color="auto" w:fill="FFFFFF"/>
        </w:rPr>
        <w:t xml:space="preserve"> (</w:t>
      </w:r>
      <w:r w:rsidR="00405F98">
        <w:rPr>
          <w:rFonts w:cs="Arial"/>
          <w:b/>
          <w:bCs/>
          <w:color w:val="000000" w:themeColor="text1"/>
          <w:szCs w:val="22"/>
          <w:shd w:val="clear" w:color="auto" w:fill="FFFFFF"/>
        </w:rPr>
        <w:t>Figure</w:t>
      </w:r>
      <w:r w:rsidRPr="002C0A3B">
        <w:rPr>
          <w:rFonts w:cs="Arial"/>
          <w:b/>
          <w:bCs/>
          <w:color w:val="000000" w:themeColor="text1"/>
          <w:szCs w:val="22"/>
          <w:shd w:val="clear" w:color="auto" w:fill="FFFFFF"/>
        </w:rPr>
        <w:t xml:space="preserve"> </w:t>
      </w:r>
      <w:r w:rsidR="007B7C75">
        <w:rPr>
          <w:rFonts w:cs="Arial"/>
          <w:b/>
          <w:bCs/>
          <w:color w:val="000000" w:themeColor="text1"/>
          <w:szCs w:val="22"/>
          <w:shd w:val="clear" w:color="auto" w:fill="FFFFFF"/>
        </w:rPr>
        <w:t>4.</w:t>
      </w:r>
      <w:r w:rsidRPr="002C0A3B">
        <w:rPr>
          <w:rFonts w:cs="Arial"/>
          <w:b/>
          <w:bCs/>
          <w:color w:val="000000" w:themeColor="text1"/>
          <w:szCs w:val="22"/>
          <w:shd w:val="clear" w:color="auto" w:fill="FFFFFF"/>
        </w:rPr>
        <w:t>7B</w:t>
      </w:r>
      <w:r w:rsidRPr="002C0A3B">
        <w:rPr>
          <w:rFonts w:cs="Arial"/>
          <w:color w:val="000000" w:themeColor="text1"/>
          <w:szCs w:val="22"/>
          <w:shd w:val="clear" w:color="auto" w:fill="FFFFFF"/>
        </w:rPr>
        <w:t>). Thus, increasing the concentration of extract in the mixture can be a useful strategy for improving ethanol production and possibly even the system’s productivity without impacting yield. However, it is also conceivable that the positive effect of concentrating extract on reaction production efficiency has an upper limit due to reaction viscosity</w:t>
      </w:r>
      <w:r w:rsidRPr="002C0A3B">
        <w:rPr>
          <w:rFonts w:cs="Arial"/>
          <w:color w:val="000000" w:themeColor="text1"/>
          <w:szCs w:val="22"/>
          <w:shd w:val="clear" w:color="auto" w:fill="FFFFFF"/>
        </w:rPr>
        <w:fldChar w:fldCharType="begin" w:fldLock="1"/>
      </w:r>
      <w:r w:rsidR="004F3109">
        <w:rPr>
          <w:rFonts w:cs="Arial"/>
          <w:color w:val="000000" w:themeColor="text1"/>
          <w:szCs w:val="22"/>
          <w:shd w:val="clear" w:color="auto" w:fill="FFFFFF"/>
        </w:rPr>
        <w:instrText>ADDIN CSL_CITATION {"citationItems":[{"id":"ITEM-1","itemData":{"DOI":"10.1371/journal.pone.0054155","abstract":"The cellular environment differs from that of reconstituted materials mainly because of the presence of highly condensed biomacromolecules. To mimic the environment and conditions in living cells, we developed a method to prepare additive-free, highly concentrated cell extracts. First, we verified the requirement for specific salts and buffers for functional cell-free translation extracts. The S30 fraction of Escherichia coli cell extracts without additives exhibited sufficient cell-free protein production. Next, we established a method to accumulate biological components by gradual evaporation by using a vacuum desiccator. Bovine serum albumin, green fluorescent protein, alkaline phosphatase, and a diluted reconstituted protein expression system were successfully condensed in their active forms using this method. The protein concentration of the prepared cell extract was elevated to 180 mg/mL, which was expected to contain approximately 260 mg/mL macromolecules, without the loss of cell-free protein expression activity. Such a condensed cell extract may be useful for investigating the differences between cells and reconstituted materials and may contribute to the development of methods to synthesize cells from cell extracts in the future.","author":[{"dropping-particle":"","family":"Fujiwara","given":"Kei","non-dropping-particle":"","parse-names":false,"suffix":""},{"dropping-particle":"","family":"Nomura","given":"Shin-Ichiro M","non-dropping-particle":"","parse-names":false,"suffix":""}],"id":"ITEM-1","issued":{"date-parts":[["2013"]]},"title":"Condensation of an Additive-Free Cell Extract to Mimic the Conditions of Live Cells","type":"article-journal"},"uris":["http://www.mendeley.com/documents/?uuid=b3499043-a54c-3645-85e0-84e402dcf1b0"]},{"id":"ITEM-2","itemData":{"DOI":"10.3390/LIFE11030237","ISSN":"20751729","PMID":"33805612","abstract":"The cell-free protein synthesis (CFPS) that synthesizes mRNA and protein from a template DNA has been featured as an important tool to emulate living systems in vitro. However, an obstacle to emulate living cells by CFPS is the loss of activity in the case of usage of high concentration cell extracts. In this study, we found that a high concentration of NTP which inhibits in the case of lower concentration cell extract restored the loss of CFPS activity using high concentration cell extracts. The NTP restoration was independent of the energy regeneration system used, and NTP derivatives also restored the levels of CFPS using a high concentration cell extract. Experiments using dialysis mode of CFPS showed that continuous exchange of small molecule reduced levels of NTP requirement and improved reaction speed of CFPS using the high concentration of cell extract. These findings contribute to the development of a method to understand the condition of living cells by in vitro emulation, and are expected to lead to the achievement of the reconstitution of living cells from biomolecule mixtures.","author":[{"dropping-particle":"","family":"Takahashi","given":"Katsuki","non-dropping-particle":"","parse-names":false,"suffix":""},{"dropping-particle":"","family":"Sato","given":"Gaku","non-dropping-particle":"","parse-names":false,"suffix":""},{"dropping-particle":"","family":"Doi","given":"Nobuhide","non-dropping-particle":"","parse-names":false,"suffix":""},{"dropping-particle":"","family":"Fujiwara","given":"Kei","non-dropping-particle":"","parse-names":false,"suffix":""}],"container-title":"Life","id":"ITEM-2","issue":"3","issued":{"date-parts":[["2021","3","1"]]},"publisher":"Multidisciplinary Digital Publishing Institute  (MDPI)","title":"A Relationship between NTP and Cell Extract Concentration for Cell-Free Protein Expression","type":"article-journal","volume":"11"},"uris":["http://www.mendeley.com/documents/?uuid=530f1092-639c-3580-a9f9-4804ca5638a3"]}],"mendeley":{"formattedCitation":"&lt;sup&gt;178,179&lt;/sup&gt;","plainTextFormattedCitation":"178,179","previouslyFormattedCitation":"&lt;sup&gt;178,179&lt;/sup&gt;"},"properties":{"noteIndex":0},"schema":"https://github.com/citation-style-language/schema/raw/master/csl-citation.json"}</w:instrText>
      </w:r>
      <w:r w:rsidRPr="002C0A3B">
        <w:rPr>
          <w:rFonts w:cs="Arial"/>
          <w:color w:val="000000" w:themeColor="text1"/>
          <w:szCs w:val="22"/>
          <w:shd w:val="clear" w:color="auto" w:fill="FFFFFF"/>
        </w:rPr>
        <w:fldChar w:fldCharType="separate"/>
      </w:r>
      <w:r w:rsidR="00A91591" w:rsidRPr="00A91591">
        <w:rPr>
          <w:rFonts w:cs="Arial"/>
          <w:noProof/>
          <w:color w:val="000000" w:themeColor="text1"/>
          <w:szCs w:val="22"/>
          <w:shd w:val="clear" w:color="auto" w:fill="FFFFFF"/>
          <w:vertAlign w:val="superscript"/>
        </w:rPr>
        <w:t>178,179</w:t>
      </w:r>
      <w:r w:rsidRPr="002C0A3B">
        <w:rPr>
          <w:rFonts w:cs="Arial"/>
          <w:color w:val="000000" w:themeColor="text1"/>
          <w:szCs w:val="22"/>
          <w:shd w:val="clear" w:color="auto" w:fill="FFFFFF"/>
        </w:rPr>
        <w:fldChar w:fldCharType="end"/>
      </w:r>
      <w:r w:rsidRPr="002C0A3B">
        <w:rPr>
          <w:rFonts w:cs="Arial"/>
          <w:color w:val="000000" w:themeColor="text1"/>
          <w:szCs w:val="22"/>
          <w:shd w:val="clear" w:color="auto" w:fill="FFFFFF"/>
        </w:rPr>
        <w:t xml:space="preserve">. Alternatively, terminal enzymes may be overexpressed </w:t>
      </w:r>
      <w:proofErr w:type="spellStart"/>
      <w:r w:rsidRPr="002C0A3B">
        <w:rPr>
          <w:rFonts w:cs="Arial"/>
          <w:color w:val="000000" w:themeColor="text1"/>
          <w:szCs w:val="22"/>
          <w:shd w:val="clear" w:color="auto" w:fill="FFFFFF"/>
        </w:rPr>
        <w:t>heterologously</w:t>
      </w:r>
      <w:proofErr w:type="spellEnd"/>
      <w:r w:rsidRPr="002C0A3B">
        <w:rPr>
          <w:rFonts w:cs="Arial"/>
          <w:color w:val="000000" w:themeColor="text1"/>
          <w:szCs w:val="22"/>
          <w:shd w:val="clear" w:color="auto" w:fill="FFFFFF"/>
        </w:rPr>
        <w:t xml:space="preserve"> to help drive flux through the insulated pathway</w:t>
      </w:r>
      <w:r w:rsidRPr="002C0A3B">
        <w:rPr>
          <w:rFonts w:cs="Arial"/>
          <w:color w:val="000000" w:themeColor="text1"/>
          <w:szCs w:val="22"/>
          <w:shd w:val="clear" w:color="auto" w:fill="FFFFFF"/>
        </w:rPr>
        <w:fldChar w:fldCharType="begin" w:fldLock="1"/>
      </w:r>
      <w:r w:rsidR="00567FF4">
        <w:rPr>
          <w:rFonts w:cs="Arial"/>
          <w:color w:val="000000" w:themeColor="text1"/>
          <w:szCs w:val="22"/>
          <w:shd w:val="clear" w:color="auto" w:fill="FFFFFF"/>
        </w:rPr>
        <w:instrText>ADDIN CSL_CITATION {"citationItems":[{"id":"ITEM-1","itemData":{"DOI":"10.1016/j.ymben.2015.09.015","ISSN":"10967184","PMID":"26428449","abstract":"Cell-free metabolic engineering (CFME) is emerging as a powerful approach for the production of target molecules and pathway debugging. Unfortunately, high cofactor costs, limited cofactor and energy regeneration, and low volumetric productivities hamper the widespread use and practical implementation of CFME technology. To address these challenges, we have developed a cell-free system that harnesses ensembles of catalytic proteins prepared from crude lysates, or extracts, of cells to fuel highly active heterologous metabolic conversions. As a model pathway, we selected conversion of glucose to 2,3-butanediol (2,3-BD), a medium level commodity chemical with many industrial applications. Specifically, we engineered a single strain of Escherichia coli to express three pathway enzymes necessary to make meso-2,3-BD (m2,3-BD). We then demonstrated that lysates from this strain, with addition of glucose and catalytic amounts of cofactors NAD+ and ATP, can produce m2,3-BD. Endogenous glycolytic enzymes convert glucose to pyruvate, the starting intermediate for m2,3-BD synthesis. Strikingly, with no strain optimization, we observed a maximal synthesis rate of m2,3-BD of 11.3??0.1 g/L/h with a theoretical yield of 71% (0.36 g m2,3-BD/g glucose) in batch reactions. Titers reached 82??8 g/L m2,3-BD in a 30 h fed-batch reaction. Our results highlight the ability for high-level co-factor regeneration in cell-free lysates. Further, they suggest exciting opportunities to use lysate-based systems to rapidly prototype metabolic pathways and carry out molecular transformations when bioconversion yields (g product/L), productivities (g product/L/h), or cellular toxicity limit commercial feasibility of whole-cell fermentation.","author":[{"dropping-particle":"","family":"Kay","given":"Jennifer E.","non-dropping-particle":"","parse-names":false,"suffix":""},{"dropping-particle":"","family":"Jewett","given":"Michael C.","non-dropping-particle":"","parse-names":false,"suffix":""}],"container-title":"Metabolic Engineering","id":"ITEM-1","issued":{"date-parts":[["2015"]]},"page":"133-142","title":"Lysate of engineered Escherichia coli supports high-level conversion of glucose to 2,3-butanediol","type":"article-journal","volume":"32"},"uris":["http://www.mendeley.com/documents/?uuid=cb5185b2-2e9e-42b5-808e-ce918d13a7be"]},{"id":"ITEM-2","itemData":{"DOI":"10.1038/s41467-021-25233-y","ISSN":"20411723","abstract":"Cell-free systems using crude cell extracts present appealing opportunities for designing biosynthetic pathways and enabling sustainable chemical synthesis. However, the lack of tools to effectively manipulate the underlying host metabolism in vitro limits the potential of these systems. Here, we create an integrated framework to address this gap that leverages cell extracts from host strains genetically rewired by multiplexed CRISPR-dCas9 modulation and other metabolic engineering techniques. As a model, we explore conversion of glucose to 2,3-butanediol in extracts from flux-enhanced Saccharomyces cerevisiae strains. We show that cellular flux rewiring in several strains of S. cerevisiae combined with systematic optimization of the cell-free reaction environment significantly increases 2,3-butanediol titers and volumetric productivities, reaching productivities greater than 0.9 g/L-h. We then show the generalizability of the framework by improving cell-free itaconic acid and glycerol biosynthesis. Our coupled in vivo/in vitro metabolic engineering approach opens opportunities for synthetic biology prototyping efforts and cell-free biomanufacturing.","author":[{"dropping-particle":"","family":"Rasor","given":"Blake J.","non-dropping-particle":"","parse-names":false,"suffix":""},{"dropping-particle":"","family":"Yi","given":"Xiunan","non-dropping-particle":"","parse-names":false,"suffix":""},{"dropping-particle":"","family":"Brown","given":"Hunter","non-dropping-particle":"","parse-names":false,"suffix":""},{"dropping-particle":"","family":"Alper","given":"Hal S.","non-dropping-particle":"","parse-names":false,"suffix":""},{"dropping-particle":"","family":"Jewett","given":"Michael C.","non-dropping-particle":"","parse-names":false,"suffix":""}],"container-title":"Nature Communications","id":"ITEM-2","issue":"1","issued":{"date-parts":[["2021"]]},"title":"An integrated in vivo/in vitro framework to enhance cell-free biosynthesis with metabolically rewired yeast extracts","type":"article-journal","volume":"12"},"uris":["http://www.mendeley.com/documents/?uuid=de3655a6-6de6-3969-b0d9-b134deac4cdc"]}],"mendeley":{"formattedCitation":"&lt;sup&gt;46,62&lt;/sup&gt;","plainTextFormattedCitation":"46,62","previouslyFormattedCitation":"&lt;sup&gt;46,62&lt;/sup&gt;"},"properties":{"noteIndex":0},"schema":"https://github.com/citation-style-language/schema/raw/master/csl-citation.json"}</w:instrText>
      </w:r>
      <w:r w:rsidRPr="002C0A3B">
        <w:rPr>
          <w:rFonts w:cs="Arial"/>
          <w:color w:val="000000" w:themeColor="text1"/>
          <w:szCs w:val="22"/>
          <w:shd w:val="clear" w:color="auto" w:fill="FFFFFF"/>
        </w:rPr>
        <w:fldChar w:fldCharType="separate"/>
      </w:r>
      <w:r w:rsidR="00567FF4" w:rsidRPr="00567FF4">
        <w:rPr>
          <w:rFonts w:cs="Arial"/>
          <w:noProof/>
          <w:color w:val="000000" w:themeColor="text1"/>
          <w:szCs w:val="22"/>
          <w:shd w:val="clear" w:color="auto" w:fill="FFFFFF"/>
          <w:vertAlign w:val="superscript"/>
        </w:rPr>
        <w:t>46,62</w:t>
      </w:r>
      <w:r w:rsidRPr="002C0A3B">
        <w:rPr>
          <w:rFonts w:cs="Arial"/>
          <w:color w:val="000000" w:themeColor="text1"/>
          <w:szCs w:val="22"/>
          <w:shd w:val="clear" w:color="auto" w:fill="FFFFFF"/>
        </w:rPr>
        <w:fldChar w:fldCharType="end"/>
      </w:r>
      <w:r w:rsidRPr="002C0A3B">
        <w:rPr>
          <w:rFonts w:cs="Arial"/>
          <w:color w:val="000000" w:themeColor="text1"/>
          <w:szCs w:val="22"/>
          <w:shd w:val="clear" w:color="auto" w:fill="FFFFFF"/>
        </w:rPr>
        <w:t xml:space="preserve">. </w:t>
      </w:r>
    </w:p>
    <w:p w14:paraId="01A7DA1F" w14:textId="296D1E49" w:rsidR="0039202C" w:rsidRDefault="004E2DE7" w:rsidP="00F534D3">
      <w:pPr>
        <w:ind w:firstLine="720"/>
        <w:rPr>
          <w:rFonts w:cs="Arial"/>
          <w:color w:val="000000" w:themeColor="text1"/>
          <w:szCs w:val="22"/>
          <w:shd w:val="clear" w:color="auto" w:fill="FFFFFF"/>
        </w:rPr>
      </w:pPr>
      <w:r w:rsidRPr="002C0A3B">
        <w:rPr>
          <w:rFonts w:cs="Arial"/>
          <w:color w:val="000000" w:themeColor="text1"/>
          <w:szCs w:val="22"/>
        </w:rPr>
        <w:t>To confirm that these highly efficient conversions were consistent over time, a time course experiment was set up with 4.5 mg/mL lysate in reactions that were fed 25 mM glucose, the maximum amount of substrate this system would consume (</w:t>
      </w:r>
      <w:r w:rsidR="00405F98">
        <w:rPr>
          <w:rFonts w:cs="Arial"/>
          <w:b/>
          <w:bCs/>
          <w:color w:val="000000" w:themeColor="text1"/>
          <w:szCs w:val="22"/>
        </w:rPr>
        <w:t>Figure</w:t>
      </w:r>
      <w:r w:rsidRPr="002C0A3B">
        <w:rPr>
          <w:rFonts w:cs="Arial"/>
          <w:b/>
          <w:bCs/>
          <w:color w:val="000000" w:themeColor="text1"/>
          <w:szCs w:val="22"/>
        </w:rPr>
        <w:t xml:space="preserve"> </w:t>
      </w:r>
      <w:r w:rsidR="007B7C75">
        <w:rPr>
          <w:rFonts w:cs="Arial"/>
          <w:b/>
          <w:bCs/>
          <w:color w:val="000000" w:themeColor="text1"/>
          <w:szCs w:val="22"/>
        </w:rPr>
        <w:t>4.</w:t>
      </w:r>
      <w:r w:rsidRPr="002C0A3B">
        <w:rPr>
          <w:rFonts w:cs="Arial"/>
          <w:b/>
          <w:bCs/>
          <w:color w:val="000000" w:themeColor="text1"/>
          <w:szCs w:val="22"/>
        </w:rPr>
        <w:t>7A</w:t>
      </w:r>
      <w:r w:rsidRPr="002C0A3B">
        <w:rPr>
          <w:rFonts w:cs="Arial"/>
          <w:color w:val="000000" w:themeColor="text1"/>
          <w:szCs w:val="22"/>
        </w:rPr>
        <w:t>). Glucose</w:t>
      </w:r>
      <w:r w:rsidRPr="002C0A3B">
        <w:rPr>
          <w:rFonts w:cs="Arial"/>
          <w:color w:val="000000" w:themeColor="text1"/>
          <w:szCs w:val="22"/>
          <w:shd w:val="clear" w:color="auto" w:fill="FFFFFF"/>
        </w:rPr>
        <w:t xml:space="preserve"> consumption inversely correlated with ethanol production, resulting in 100% ethanol yield in the blocked lysate at every timepoint (</w:t>
      </w:r>
      <w:r w:rsidR="00405F98">
        <w:rPr>
          <w:rFonts w:cs="Arial"/>
          <w:b/>
          <w:bCs/>
          <w:color w:val="000000" w:themeColor="text1"/>
          <w:szCs w:val="22"/>
          <w:shd w:val="clear" w:color="auto" w:fill="FFFFFF"/>
        </w:rPr>
        <w:t>Figure</w:t>
      </w:r>
      <w:r w:rsidRPr="002C0A3B">
        <w:rPr>
          <w:rFonts w:cs="Arial"/>
          <w:b/>
          <w:bCs/>
          <w:color w:val="000000" w:themeColor="text1"/>
          <w:szCs w:val="22"/>
          <w:shd w:val="clear" w:color="auto" w:fill="FFFFFF"/>
        </w:rPr>
        <w:t xml:space="preserve"> </w:t>
      </w:r>
      <w:r w:rsidR="007B7C75">
        <w:rPr>
          <w:rFonts w:cs="Arial"/>
          <w:b/>
          <w:bCs/>
          <w:color w:val="000000" w:themeColor="text1"/>
          <w:szCs w:val="22"/>
          <w:shd w:val="clear" w:color="auto" w:fill="FFFFFF"/>
        </w:rPr>
        <w:t>4.</w:t>
      </w:r>
      <w:r w:rsidRPr="002C0A3B">
        <w:rPr>
          <w:rFonts w:cs="Arial"/>
          <w:b/>
          <w:bCs/>
          <w:color w:val="000000" w:themeColor="text1"/>
          <w:szCs w:val="22"/>
          <w:shd w:val="clear" w:color="auto" w:fill="FFFFFF"/>
        </w:rPr>
        <w:t>7C</w:t>
      </w:r>
      <w:r w:rsidR="007B7C75">
        <w:rPr>
          <w:rFonts w:cs="Arial"/>
          <w:b/>
          <w:bCs/>
          <w:color w:val="000000" w:themeColor="text1"/>
          <w:szCs w:val="22"/>
          <w:shd w:val="clear" w:color="auto" w:fill="FFFFFF"/>
        </w:rPr>
        <w:t xml:space="preserve"> </w:t>
      </w:r>
      <w:r w:rsidRPr="002C0A3B">
        <w:rPr>
          <w:rFonts w:cs="Arial"/>
          <w:b/>
          <w:bCs/>
          <w:color w:val="000000" w:themeColor="text1"/>
          <w:szCs w:val="22"/>
          <w:shd w:val="clear" w:color="auto" w:fill="FFFFFF"/>
        </w:rPr>
        <w:t>&amp;</w:t>
      </w:r>
      <w:r w:rsidR="007B7C75">
        <w:rPr>
          <w:rFonts w:cs="Arial"/>
          <w:b/>
          <w:bCs/>
          <w:color w:val="000000" w:themeColor="text1"/>
          <w:szCs w:val="22"/>
          <w:shd w:val="clear" w:color="auto" w:fill="FFFFFF"/>
        </w:rPr>
        <w:t xml:space="preserve"> </w:t>
      </w:r>
      <w:r w:rsidRPr="002C0A3B">
        <w:rPr>
          <w:rFonts w:cs="Arial"/>
          <w:b/>
          <w:bCs/>
          <w:color w:val="000000" w:themeColor="text1"/>
          <w:szCs w:val="22"/>
          <w:shd w:val="clear" w:color="auto" w:fill="FFFFFF"/>
        </w:rPr>
        <w:t>E</w:t>
      </w:r>
      <w:r w:rsidRPr="002C0A3B">
        <w:rPr>
          <w:rFonts w:cs="Arial"/>
          <w:color w:val="000000" w:themeColor="text1"/>
          <w:szCs w:val="22"/>
          <w:shd w:val="clear" w:color="auto" w:fill="FFFFFF"/>
        </w:rPr>
        <w:t xml:space="preserve">) </w:t>
      </w:r>
      <w:r w:rsidRPr="002C0A3B">
        <w:rPr>
          <w:rFonts w:cs="Arial"/>
          <w:color w:val="000000" w:themeColor="text1"/>
          <w:szCs w:val="22"/>
        </w:rPr>
        <w:t>These results strongly suggest that as glucose is consumed, its carbons are fully shuttled and incorporated into ethanol in the optimized system.</w:t>
      </w:r>
      <w:r w:rsidRPr="002C0A3B">
        <w:rPr>
          <w:rFonts w:cs="Arial"/>
          <w:color w:val="000000" w:themeColor="text1"/>
          <w:szCs w:val="22"/>
          <w:shd w:val="clear" w:color="auto" w:fill="FFFFFF"/>
        </w:rPr>
        <w:t xml:space="preserve"> Additionally, no significant production or consumption of acetate was observed through time (</w:t>
      </w:r>
      <w:r w:rsidR="00E84CA7" w:rsidRPr="00E84CA7">
        <w:rPr>
          <w:rFonts w:cs="Arial"/>
          <w:b/>
          <w:bCs/>
          <w:color w:val="000000" w:themeColor="text1"/>
          <w:szCs w:val="22"/>
          <w:shd w:val="clear" w:color="auto" w:fill="FFFFFF"/>
        </w:rPr>
        <w:t>Appendix</w:t>
      </w:r>
      <w:r w:rsidR="00E84CA7">
        <w:rPr>
          <w:rFonts w:cs="Arial"/>
          <w:color w:val="000000" w:themeColor="text1"/>
          <w:szCs w:val="22"/>
          <w:shd w:val="clear" w:color="auto" w:fill="FFFFFF"/>
        </w:rPr>
        <w:t xml:space="preserve"> </w:t>
      </w:r>
      <w:r w:rsidR="00405F98">
        <w:rPr>
          <w:rFonts w:cs="Arial"/>
          <w:b/>
          <w:bCs/>
          <w:color w:val="000000" w:themeColor="text1"/>
          <w:szCs w:val="22"/>
          <w:shd w:val="clear" w:color="auto" w:fill="FFFFFF"/>
        </w:rPr>
        <w:t>Figure</w:t>
      </w:r>
      <w:r w:rsidRPr="002C0A3B">
        <w:rPr>
          <w:rFonts w:cs="Arial"/>
          <w:b/>
          <w:bCs/>
          <w:color w:val="000000" w:themeColor="text1"/>
          <w:szCs w:val="22"/>
          <w:shd w:val="clear" w:color="auto" w:fill="FFFFFF"/>
        </w:rPr>
        <w:t xml:space="preserve"> </w:t>
      </w:r>
      <w:r w:rsidR="007B7C75">
        <w:rPr>
          <w:rFonts w:cs="Arial"/>
          <w:b/>
          <w:bCs/>
          <w:color w:val="000000" w:themeColor="text1"/>
          <w:szCs w:val="22"/>
          <w:shd w:val="clear" w:color="auto" w:fill="FFFFFF"/>
        </w:rPr>
        <w:t>4.</w:t>
      </w:r>
      <w:r w:rsidR="00E84CA7">
        <w:rPr>
          <w:rFonts w:cs="Arial"/>
          <w:b/>
          <w:bCs/>
          <w:color w:val="000000" w:themeColor="text1"/>
          <w:szCs w:val="22"/>
          <w:shd w:val="clear" w:color="auto" w:fill="FFFFFF"/>
        </w:rPr>
        <w:t>12</w:t>
      </w:r>
      <w:r w:rsidRPr="002C0A3B">
        <w:rPr>
          <w:rFonts w:cs="Arial"/>
          <w:color w:val="000000" w:themeColor="text1"/>
          <w:szCs w:val="22"/>
          <w:shd w:val="clear" w:color="auto" w:fill="FFFFFF"/>
        </w:rPr>
        <w:t>). Furthermore, reactions prepared under the same reaction and cultivation conditions, but with non-depleted extract, accumulated half as much ethanol and only transformed glucose to</w:t>
      </w:r>
    </w:p>
    <w:p w14:paraId="1C460C12" w14:textId="77777777" w:rsidR="0039202C" w:rsidRPr="002C0A3B" w:rsidRDefault="0039202C" w:rsidP="0039202C">
      <w:pPr>
        <w:rPr>
          <w:rFonts w:cs="Arial"/>
          <w:color w:val="000000" w:themeColor="text1"/>
          <w:szCs w:val="22"/>
        </w:rPr>
      </w:pPr>
      <w:bookmarkStart w:id="107" w:name="_Toc129701161"/>
      <w:r w:rsidRPr="00F534D3">
        <w:rPr>
          <w:rStyle w:val="FigurecaptionChar"/>
        </w:rPr>
        <w:lastRenderedPageBreak/>
        <w:t>Figure 4.7. Evaluation of maximal glucose to ethanol conversion efficiency in the optimized system.</w:t>
      </w:r>
      <w:bookmarkEnd w:id="107"/>
      <w:r w:rsidRPr="002C0A3B">
        <w:rPr>
          <w:rFonts w:cs="Arial"/>
          <w:color w:val="000000" w:themeColor="text1"/>
          <w:szCs w:val="22"/>
        </w:rPr>
        <w:t xml:space="preserve"> Normalized metabolite concentrations and calculated % ethanol yields in the optimized reaction system prepared with </w:t>
      </w:r>
      <w:r w:rsidRPr="002C0A3B">
        <w:rPr>
          <w:rFonts w:cs="Arial"/>
          <w:b/>
          <w:bCs/>
          <w:color w:val="000000" w:themeColor="text1"/>
          <w:szCs w:val="22"/>
        </w:rPr>
        <w:t xml:space="preserve">A) </w:t>
      </w:r>
      <w:r w:rsidRPr="002C0A3B">
        <w:rPr>
          <w:rFonts w:cs="Arial"/>
          <w:color w:val="000000" w:themeColor="text1"/>
          <w:szCs w:val="22"/>
        </w:rPr>
        <w:t xml:space="preserve">4.5 mg/mL lysate and different concentrations of glucose feed or </w:t>
      </w:r>
      <w:r w:rsidRPr="002C0A3B">
        <w:rPr>
          <w:rFonts w:cs="Arial"/>
          <w:b/>
          <w:bCs/>
          <w:color w:val="000000" w:themeColor="text1"/>
          <w:szCs w:val="22"/>
        </w:rPr>
        <w:t xml:space="preserve">B) </w:t>
      </w:r>
      <w:r w:rsidRPr="002C0A3B">
        <w:rPr>
          <w:rFonts w:cs="Arial"/>
          <w:color w:val="000000" w:themeColor="text1"/>
          <w:szCs w:val="22"/>
        </w:rPr>
        <w:t xml:space="preserve">50 mM glucose and varying concentrations of lysate. Normalized metabolite concentrations in time course reactions set up with </w:t>
      </w:r>
      <w:r w:rsidRPr="002C0A3B">
        <w:rPr>
          <w:rFonts w:cs="Arial"/>
          <w:b/>
          <w:bCs/>
          <w:color w:val="000000" w:themeColor="text1"/>
          <w:szCs w:val="22"/>
        </w:rPr>
        <w:t xml:space="preserve">C) </w:t>
      </w:r>
      <w:r w:rsidRPr="002C0A3B">
        <w:rPr>
          <w:rFonts w:cs="Arial"/>
          <w:color w:val="000000" w:themeColor="text1"/>
          <w:szCs w:val="22"/>
        </w:rPr>
        <w:t xml:space="preserve">the system optimized via the block-push-pull approach and </w:t>
      </w:r>
      <w:r w:rsidRPr="002C0A3B">
        <w:rPr>
          <w:rFonts w:cs="Arial"/>
          <w:b/>
          <w:bCs/>
          <w:color w:val="000000" w:themeColor="text1"/>
          <w:szCs w:val="22"/>
        </w:rPr>
        <w:t xml:space="preserve">D) </w:t>
      </w:r>
      <w:r w:rsidRPr="002C0A3B">
        <w:rPr>
          <w:rFonts w:cs="Arial"/>
          <w:color w:val="000000" w:themeColor="text1"/>
          <w:szCs w:val="22"/>
        </w:rPr>
        <w:t xml:space="preserve">its non-depleted lysate counterpart (i.e., a system prepared with the optimized reaction and cultivation conditions but without removing competing reactions). These reactions were fed 25 mM glucose. </w:t>
      </w:r>
      <w:r w:rsidRPr="002C0A3B">
        <w:rPr>
          <w:rFonts w:cs="Arial"/>
          <w:b/>
          <w:bCs/>
          <w:color w:val="000000" w:themeColor="text1"/>
          <w:szCs w:val="22"/>
        </w:rPr>
        <w:t>E)</w:t>
      </w:r>
      <w:r w:rsidRPr="002C0A3B">
        <w:rPr>
          <w:rFonts w:cs="Arial"/>
          <w:color w:val="000000" w:themeColor="text1"/>
          <w:szCs w:val="22"/>
        </w:rPr>
        <w:t xml:space="preserve"> Percent ethanol yields in</w:t>
      </w:r>
      <w:r w:rsidRPr="002C0A3B">
        <w:rPr>
          <w:rFonts w:cs="Arial"/>
          <w:b/>
          <w:bCs/>
          <w:color w:val="000000" w:themeColor="text1"/>
          <w:szCs w:val="22"/>
        </w:rPr>
        <w:t xml:space="preserve"> </w:t>
      </w:r>
      <w:r w:rsidRPr="002C0A3B">
        <w:rPr>
          <w:rFonts w:cs="Arial"/>
          <w:color w:val="000000" w:themeColor="text1"/>
          <w:szCs w:val="22"/>
        </w:rPr>
        <w:t xml:space="preserve">the optimized system and its non-depleted lysate counterpart through time. All reactions were incubated at 37˚C. Except for the time course experiment, reactions were run for 20 hrs. Reactions for all conditions were prepared using depletion replicates and error bars represent standard errors (n=3). </w:t>
      </w:r>
    </w:p>
    <w:p w14:paraId="42D165A6" w14:textId="77777777" w:rsidR="004E2DE7" w:rsidRPr="002C0A3B" w:rsidRDefault="004E2DE7" w:rsidP="004E2DE7">
      <w:pPr>
        <w:ind w:firstLine="720"/>
        <w:rPr>
          <w:rFonts w:cs="Arial"/>
          <w:color w:val="000000" w:themeColor="text1"/>
          <w:szCs w:val="22"/>
        </w:rPr>
      </w:pPr>
    </w:p>
    <w:p w14:paraId="1F6791A2" w14:textId="77777777" w:rsidR="004E2DE7" w:rsidRPr="002C0A3B" w:rsidRDefault="004E2DE7" w:rsidP="004E2DE7">
      <w:pPr>
        <w:rPr>
          <w:rFonts w:cs="Arial"/>
          <w:color w:val="000000" w:themeColor="text1"/>
          <w:szCs w:val="22"/>
          <w:shd w:val="clear" w:color="auto" w:fill="FFFFFF"/>
        </w:rPr>
      </w:pPr>
    </w:p>
    <w:p w14:paraId="634ABA6F" w14:textId="77777777" w:rsidR="004E2DE7" w:rsidRPr="002C0A3B" w:rsidRDefault="004E2DE7" w:rsidP="004E2DE7">
      <w:pPr>
        <w:jc w:val="center"/>
        <w:rPr>
          <w:rFonts w:cs="Arial"/>
          <w:noProof/>
          <w:color w:val="000000" w:themeColor="text1"/>
          <w:szCs w:val="22"/>
        </w:rPr>
      </w:pPr>
    </w:p>
    <w:p w14:paraId="39B58971" w14:textId="4606CA57" w:rsidR="004E2DE7" w:rsidRPr="002C0A3B" w:rsidRDefault="004E2DE7" w:rsidP="0039202C">
      <w:pPr>
        <w:jc w:val="center"/>
        <w:rPr>
          <w:rFonts w:cs="Arial"/>
          <w:color w:val="000000" w:themeColor="text1"/>
          <w:szCs w:val="22"/>
        </w:rPr>
      </w:pPr>
      <w:r w:rsidRPr="002C0A3B">
        <w:rPr>
          <w:rFonts w:cs="Arial"/>
          <w:noProof/>
          <w:color w:val="000000" w:themeColor="text1"/>
          <w:szCs w:val="22"/>
        </w:rPr>
        <w:t xml:space="preserve"> </w:t>
      </w:r>
    </w:p>
    <w:p w14:paraId="04667E29" w14:textId="77777777" w:rsidR="004E2DE7" w:rsidRPr="002C0A3B" w:rsidRDefault="004E2DE7" w:rsidP="0039202C">
      <w:pPr>
        <w:jc w:val="center"/>
        <w:rPr>
          <w:rFonts w:cs="Arial"/>
          <w:color w:val="000000" w:themeColor="text1"/>
          <w:szCs w:val="22"/>
        </w:rPr>
      </w:pPr>
      <w:r w:rsidRPr="002C0A3B">
        <w:rPr>
          <w:rFonts w:cs="Arial"/>
          <w:noProof/>
          <w:color w:val="000000" w:themeColor="text1"/>
          <w:szCs w:val="22"/>
        </w:rPr>
        <w:lastRenderedPageBreak/>
        <w:drawing>
          <wp:inline distT="0" distB="0" distL="0" distR="0" wp14:anchorId="77153378" wp14:editId="23AC642C">
            <wp:extent cx="5674207" cy="6672649"/>
            <wp:effectExtent l="0" t="0" r="0" b="0"/>
            <wp:docPr id="22" name="Picture 2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10;&#10;Description automatically generated with medium confidence"/>
                    <pic:cNvPicPr/>
                  </pic:nvPicPr>
                  <pic:blipFill>
                    <a:blip r:embed="rId38" cstate="screen">
                      <a:extLst>
                        <a:ext uri="{28A0092B-C50C-407E-A947-70E740481C1C}">
                          <a14:useLocalDpi xmlns:a14="http://schemas.microsoft.com/office/drawing/2010/main"/>
                        </a:ext>
                      </a:extLst>
                    </a:blip>
                    <a:stretch>
                      <a:fillRect/>
                    </a:stretch>
                  </pic:blipFill>
                  <pic:spPr>
                    <a:xfrm>
                      <a:off x="0" y="0"/>
                      <a:ext cx="5694149" cy="6696100"/>
                    </a:xfrm>
                    <a:prstGeom prst="rect">
                      <a:avLst/>
                    </a:prstGeom>
                  </pic:spPr>
                </pic:pic>
              </a:graphicData>
            </a:graphic>
          </wp:inline>
        </w:drawing>
      </w:r>
    </w:p>
    <w:p w14:paraId="5C746BD9" w14:textId="77777777" w:rsidR="004E2DE7" w:rsidRPr="002C0A3B" w:rsidRDefault="004E2DE7" w:rsidP="004E2DE7">
      <w:pPr>
        <w:rPr>
          <w:rFonts w:cs="Arial"/>
          <w:color w:val="000000" w:themeColor="text1"/>
          <w:szCs w:val="22"/>
        </w:rPr>
      </w:pPr>
    </w:p>
    <w:p w14:paraId="1B50AF54" w14:textId="77777777" w:rsidR="0039202C" w:rsidRDefault="0039202C">
      <w:pPr>
        <w:rPr>
          <w:rFonts w:eastAsia="Times New Roman" w:cs="Arial"/>
          <w:b/>
          <w:bCs/>
          <w:color w:val="000000"/>
          <w:sz w:val="28"/>
          <w:szCs w:val="28"/>
          <w:lang w:val="en-US"/>
        </w:rPr>
      </w:pPr>
      <w:r>
        <w:br w:type="page"/>
      </w:r>
    </w:p>
    <w:p w14:paraId="0A5A8872" w14:textId="77777777" w:rsidR="00F534D3" w:rsidRPr="002C0A3B" w:rsidRDefault="00F534D3" w:rsidP="00F534D3">
      <w:pPr>
        <w:rPr>
          <w:rFonts w:cs="Arial"/>
          <w:color w:val="000000" w:themeColor="text1"/>
          <w:szCs w:val="22"/>
          <w:shd w:val="clear" w:color="auto" w:fill="FFFFFF"/>
        </w:rPr>
      </w:pPr>
      <w:r w:rsidRPr="002C0A3B">
        <w:rPr>
          <w:rFonts w:cs="Arial"/>
          <w:color w:val="000000" w:themeColor="text1"/>
          <w:szCs w:val="22"/>
          <w:shd w:val="clear" w:color="auto" w:fill="FFFFFF"/>
        </w:rPr>
        <w:lastRenderedPageBreak/>
        <w:t>ethanol at less than half of the theoretical yield in 24 h. (</w:t>
      </w:r>
      <w:r>
        <w:rPr>
          <w:rFonts w:cs="Arial"/>
          <w:b/>
          <w:bCs/>
          <w:color w:val="000000" w:themeColor="text1"/>
          <w:szCs w:val="22"/>
          <w:shd w:val="clear" w:color="auto" w:fill="FFFFFF"/>
        </w:rPr>
        <w:t>Figure</w:t>
      </w:r>
      <w:r w:rsidRPr="002C0A3B">
        <w:rPr>
          <w:rFonts w:cs="Arial"/>
          <w:b/>
          <w:bCs/>
          <w:color w:val="000000" w:themeColor="text1"/>
          <w:szCs w:val="22"/>
          <w:shd w:val="clear" w:color="auto" w:fill="FFFFFF"/>
        </w:rPr>
        <w:t xml:space="preserve"> </w:t>
      </w:r>
      <w:r>
        <w:rPr>
          <w:rFonts w:cs="Arial"/>
          <w:b/>
          <w:bCs/>
          <w:color w:val="000000" w:themeColor="text1"/>
          <w:szCs w:val="22"/>
          <w:shd w:val="clear" w:color="auto" w:fill="FFFFFF"/>
        </w:rPr>
        <w:t>4.</w:t>
      </w:r>
      <w:r w:rsidRPr="002C0A3B">
        <w:rPr>
          <w:rFonts w:cs="Arial"/>
          <w:b/>
          <w:bCs/>
          <w:color w:val="000000" w:themeColor="text1"/>
          <w:szCs w:val="22"/>
          <w:shd w:val="clear" w:color="auto" w:fill="FFFFFF"/>
        </w:rPr>
        <w:t>7D</w:t>
      </w:r>
      <w:r>
        <w:rPr>
          <w:rFonts w:cs="Arial"/>
          <w:b/>
          <w:bCs/>
          <w:color w:val="000000" w:themeColor="text1"/>
          <w:szCs w:val="22"/>
          <w:shd w:val="clear" w:color="auto" w:fill="FFFFFF"/>
        </w:rPr>
        <w:t xml:space="preserve"> </w:t>
      </w:r>
      <w:r w:rsidRPr="002C0A3B">
        <w:rPr>
          <w:rFonts w:cs="Arial"/>
          <w:b/>
          <w:bCs/>
          <w:color w:val="000000" w:themeColor="text1"/>
          <w:szCs w:val="22"/>
          <w:shd w:val="clear" w:color="auto" w:fill="FFFFFF"/>
        </w:rPr>
        <w:t>&amp;</w:t>
      </w:r>
      <w:r>
        <w:rPr>
          <w:rFonts w:cs="Arial"/>
          <w:b/>
          <w:bCs/>
          <w:color w:val="000000" w:themeColor="text1"/>
          <w:szCs w:val="22"/>
          <w:shd w:val="clear" w:color="auto" w:fill="FFFFFF"/>
        </w:rPr>
        <w:t xml:space="preserve"> </w:t>
      </w:r>
      <w:r w:rsidRPr="002C0A3B">
        <w:rPr>
          <w:rFonts w:cs="Arial"/>
          <w:b/>
          <w:bCs/>
          <w:color w:val="000000" w:themeColor="text1"/>
          <w:szCs w:val="22"/>
          <w:shd w:val="clear" w:color="auto" w:fill="FFFFFF"/>
        </w:rPr>
        <w:t>E</w:t>
      </w:r>
      <w:r w:rsidRPr="002C0A3B">
        <w:rPr>
          <w:rFonts w:cs="Arial"/>
          <w:color w:val="000000" w:themeColor="text1"/>
          <w:szCs w:val="22"/>
          <w:shd w:val="clear" w:color="auto" w:fill="FFFFFF"/>
        </w:rPr>
        <w:t>) These data reinforce that removing unwanted reactions was indeed necessary for effectively rewiring flux. However, this still had to be complemented by strategies to drive flux through bottlenecks and towards ethanol to realize the maximum yield. This is implied by the ~ 50% yield obtained in the non-depleted system under optimized cultivation and reaction conditions (</w:t>
      </w:r>
      <w:r>
        <w:rPr>
          <w:rFonts w:cs="Arial"/>
          <w:b/>
          <w:bCs/>
          <w:color w:val="000000" w:themeColor="text1"/>
          <w:szCs w:val="22"/>
          <w:shd w:val="clear" w:color="auto" w:fill="FFFFFF"/>
        </w:rPr>
        <w:t>Figure</w:t>
      </w:r>
      <w:r w:rsidRPr="002C0A3B">
        <w:rPr>
          <w:rFonts w:cs="Arial"/>
          <w:b/>
          <w:bCs/>
          <w:color w:val="000000" w:themeColor="text1"/>
          <w:szCs w:val="22"/>
          <w:shd w:val="clear" w:color="auto" w:fill="FFFFFF"/>
        </w:rPr>
        <w:t xml:space="preserve"> </w:t>
      </w:r>
      <w:r>
        <w:rPr>
          <w:rFonts w:cs="Arial"/>
          <w:b/>
          <w:bCs/>
          <w:color w:val="000000" w:themeColor="text1"/>
          <w:szCs w:val="22"/>
          <w:shd w:val="clear" w:color="auto" w:fill="FFFFFF"/>
        </w:rPr>
        <w:t>4.</w:t>
      </w:r>
      <w:r w:rsidRPr="002C0A3B">
        <w:rPr>
          <w:rFonts w:cs="Arial"/>
          <w:b/>
          <w:bCs/>
          <w:color w:val="000000" w:themeColor="text1"/>
          <w:szCs w:val="22"/>
          <w:shd w:val="clear" w:color="auto" w:fill="FFFFFF"/>
        </w:rPr>
        <w:t>7E</w:t>
      </w:r>
      <w:r w:rsidRPr="002C0A3B">
        <w:rPr>
          <w:rFonts w:cs="Arial"/>
          <w:color w:val="000000" w:themeColor="text1"/>
          <w:szCs w:val="22"/>
          <w:shd w:val="clear" w:color="auto" w:fill="FFFFFF"/>
        </w:rPr>
        <w:t>), which is a ~5-fold improvement from the &lt; 10% yield in the non-optimized system (</w:t>
      </w:r>
      <w:r>
        <w:rPr>
          <w:rFonts w:cs="Arial"/>
          <w:b/>
          <w:bCs/>
          <w:color w:val="000000" w:themeColor="text1"/>
          <w:szCs w:val="22"/>
          <w:shd w:val="clear" w:color="auto" w:fill="FFFFFF"/>
        </w:rPr>
        <w:t>Figure</w:t>
      </w:r>
      <w:r w:rsidRPr="002C0A3B">
        <w:rPr>
          <w:rFonts w:cs="Arial"/>
          <w:b/>
          <w:bCs/>
          <w:color w:val="000000" w:themeColor="text1"/>
          <w:szCs w:val="22"/>
          <w:shd w:val="clear" w:color="auto" w:fill="FFFFFF"/>
        </w:rPr>
        <w:t xml:space="preserve"> </w:t>
      </w:r>
      <w:r>
        <w:rPr>
          <w:rFonts w:cs="Arial"/>
          <w:b/>
          <w:bCs/>
          <w:color w:val="000000" w:themeColor="text1"/>
          <w:szCs w:val="22"/>
          <w:shd w:val="clear" w:color="auto" w:fill="FFFFFF"/>
        </w:rPr>
        <w:t>4.</w:t>
      </w:r>
      <w:r w:rsidRPr="002C0A3B">
        <w:rPr>
          <w:rFonts w:cs="Arial"/>
          <w:b/>
          <w:bCs/>
          <w:color w:val="000000" w:themeColor="text1"/>
          <w:szCs w:val="22"/>
          <w:shd w:val="clear" w:color="auto" w:fill="FFFFFF"/>
        </w:rPr>
        <w:t>6</w:t>
      </w:r>
      <w:r w:rsidRPr="002C0A3B">
        <w:rPr>
          <w:rFonts w:cs="Arial"/>
          <w:color w:val="000000" w:themeColor="text1"/>
          <w:szCs w:val="22"/>
          <w:shd w:val="clear" w:color="auto" w:fill="FFFFFF"/>
        </w:rPr>
        <w:t>).</w:t>
      </w:r>
    </w:p>
    <w:p w14:paraId="4E313AC8" w14:textId="77777777" w:rsidR="00F534D3" w:rsidRDefault="00F534D3" w:rsidP="00F534D3">
      <w:pPr>
        <w:ind w:firstLine="720"/>
        <w:rPr>
          <w:rFonts w:cs="Arial"/>
          <w:color w:val="000000" w:themeColor="text1"/>
          <w:szCs w:val="22"/>
          <w:shd w:val="clear" w:color="auto" w:fill="FFFFFF"/>
        </w:rPr>
      </w:pPr>
      <w:r w:rsidRPr="002C0A3B">
        <w:rPr>
          <w:rFonts w:cs="Arial"/>
          <w:color w:val="000000" w:themeColor="text1"/>
          <w:szCs w:val="22"/>
          <w:shd w:val="clear" w:color="auto" w:fill="FFFFFF"/>
        </w:rPr>
        <w:t>It should be noted that the non-depleted lysate consumed glucose more rapidly than the blocked extract (</w:t>
      </w:r>
      <w:r>
        <w:rPr>
          <w:rFonts w:cs="Arial"/>
          <w:b/>
          <w:bCs/>
          <w:color w:val="000000" w:themeColor="text1"/>
          <w:szCs w:val="22"/>
          <w:shd w:val="clear" w:color="auto" w:fill="FFFFFF"/>
        </w:rPr>
        <w:t>Figures</w:t>
      </w:r>
      <w:r w:rsidRPr="002C0A3B">
        <w:rPr>
          <w:rFonts w:cs="Arial"/>
          <w:b/>
          <w:bCs/>
          <w:color w:val="000000" w:themeColor="text1"/>
          <w:szCs w:val="22"/>
          <w:shd w:val="clear" w:color="auto" w:fill="FFFFFF"/>
        </w:rPr>
        <w:t xml:space="preserve"> </w:t>
      </w:r>
      <w:r>
        <w:rPr>
          <w:rFonts w:cs="Arial"/>
          <w:b/>
          <w:bCs/>
          <w:color w:val="000000" w:themeColor="text1"/>
          <w:szCs w:val="22"/>
          <w:shd w:val="clear" w:color="auto" w:fill="FFFFFF"/>
        </w:rPr>
        <w:t>4.</w:t>
      </w:r>
      <w:r w:rsidRPr="002C0A3B">
        <w:rPr>
          <w:rFonts w:cs="Arial"/>
          <w:b/>
          <w:bCs/>
          <w:color w:val="000000" w:themeColor="text1"/>
          <w:szCs w:val="22"/>
          <w:shd w:val="clear" w:color="auto" w:fill="FFFFFF"/>
        </w:rPr>
        <w:t>7C</w:t>
      </w:r>
      <w:r>
        <w:rPr>
          <w:rFonts w:cs="Arial"/>
          <w:b/>
          <w:bCs/>
          <w:color w:val="000000" w:themeColor="text1"/>
          <w:szCs w:val="22"/>
          <w:shd w:val="clear" w:color="auto" w:fill="FFFFFF"/>
        </w:rPr>
        <w:t xml:space="preserve"> </w:t>
      </w:r>
      <w:r w:rsidRPr="002C0A3B">
        <w:rPr>
          <w:rFonts w:cs="Arial"/>
          <w:b/>
          <w:bCs/>
          <w:color w:val="000000" w:themeColor="text1"/>
          <w:szCs w:val="22"/>
          <w:shd w:val="clear" w:color="auto" w:fill="FFFFFF"/>
        </w:rPr>
        <w:t>&amp;</w:t>
      </w:r>
      <w:r>
        <w:rPr>
          <w:rFonts w:cs="Arial"/>
          <w:b/>
          <w:bCs/>
          <w:color w:val="000000" w:themeColor="text1"/>
          <w:szCs w:val="22"/>
          <w:shd w:val="clear" w:color="auto" w:fill="FFFFFF"/>
        </w:rPr>
        <w:t xml:space="preserve"> </w:t>
      </w:r>
      <w:r w:rsidRPr="002C0A3B">
        <w:rPr>
          <w:rFonts w:cs="Arial"/>
          <w:b/>
          <w:bCs/>
          <w:color w:val="000000" w:themeColor="text1"/>
          <w:szCs w:val="22"/>
          <w:shd w:val="clear" w:color="auto" w:fill="FFFFFF"/>
        </w:rPr>
        <w:t>D</w:t>
      </w:r>
      <w:r w:rsidRPr="002C0A3B">
        <w:rPr>
          <w:rFonts w:cs="Arial"/>
          <w:color w:val="000000" w:themeColor="text1"/>
          <w:szCs w:val="22"/>
          <w:shd w:val="clear" w:color="auto" w:fill="FFFFFF"/>
        </w:rPr>
        <w:t xml:space="preserve">). At early timepoints (1, 2, 3 h), this seems to be due to the lactate-forming ability that helps </w:t>
      </w:r>
      <w:proofErr w:type="spellStart"/>
      <w:r w:rsidRPr="002C0A3B">
        <w:rPr>
          <w:rFonts w:cs="Arial"/>
          <w:color w:val="000000" w:themeColor="text1"/>
          <w:szCs w:val="22"/>
          <w:shd w:val="clear" w:color="auto" w:fill="FFFFFF"/>
        </w:rPr>
        <w:t>AdhE</w:t>
      </w:r>
      <w:proofErr w:type="spellEnd"/>
      <w:r w:rsidRPr="002C0A3B">
        <w:rPr>
          <w:rFonts w:cs="Arial"/>
          <w:color w:val="000000" w:themeColor="text1"/>
          <w:szCs w:val="22"/>
          <w:shd w:val="clear" w:color="auto" w:fill="FFFFFF"/>
        </w:rPr>
        <w:t xml:space="preserve"> turn over excess NADH to drive rapid glycolytic flux (</w:t>
      </w:r>
      <w:r>
        <w:rPr>
          <w:rFonts w:cs="Arial"/>
          <w:b/>
          <w:bCs/>
          <w:color w:val="000000" w:themeColor="text1"/>
          <w:szCs w:val="22"/>
          <w:shd w:val="clear" w:color="auto" w:fill="FFFFFF"/>
        </w:rPr>
        <w:t>Figure</w:t>
      </w:r>
      <w:r w:rsidRPr="002C0A3B">
        <w:rPr>
          <w:rFonts w:cs="Arial"/>
          <w:b/>
          <w:bCs/>
          <w:color w:val="000000" w:themeColor="text1"/>
          <w:szCs w:val="22"/>
          <w:shd w:val="clear" w:color="auto" w:fill="FFFFFF"/>
        </w:rPr>
        <w:t xml:space="preserve"> </w:t>
      </w:r>
      <w:r>
        <w:rPr>
          <w:rFonts w:cs="Arial"/>
          <w:b/>
          <w:bCs/>
          <w:color w:val="000000" w:themeColor="text1"/>
          <w:szCs w:val="22"/>
          <w:shd w:val="clear" w:color="auto" w:fill="FFFFFF"/>
        </w:rPr>
        <w:t>4.</w:t>
      </w:r>
      <w:r w:rsidRPr="002C0A3B">
        <w:rPr>
          <w:rFonts w:cs="Arial"/>
          <w:b/>
          <w:bCs/>
          <w:color w:val="000000" w:themeColor="text1"/>
          <w:szCs w:val="22"/>
          <w:shd w:val="clear" w:color="auto" w:fill="FFFFFF"/>
        </w:rPr>
        <w:t>7D</w:t>
      </w:r>
      <w:r w:rsidRPr="002C0A3B">
        <w:rPr>
          <w:rFonts w:cs="Arial"/>
          <w:color w:val="000000" w:themeColor="text1"/>
          <w:szCs w:val="22"/>
          <w:shd w:val="clear" w:color="auto" w:fill="FFFFFF"/>
        </w:rPr>
        <w:t>). Indeed, &gt; 90% of glucose carbon was incorporated into lactate and ethanol at these earlier timepoints. Interestingly, when remaining glucose was completely consumed in the non-depleted extract between 6 and 12 h, less glucose carbon was incorporated into ethanol, lactate, or other fermentative products that are detectable by the HPLC method used here (</w:t>
      </w:r>
      <w:r>
        <w:rPr>
          <w:rFonts w:cs="Arial"/>
          <w:b/>
          <w:bCs/>
          <w:color w:val="000000" w:themeColor="text1"/>
          <w:szCs w:val="22"/>
          <w:shd w:val="clear" w:color="auto" w:fill="FFFFFF"/>
        </w:rPr>
        <w:t>Figure</w:t>
      </w:r>
      <w:r w:rsidRPr="002C0A3B">
        <w:rPr>
          <w:rFonts w:cs="Arial"/>
          <w:b/>
          <w:bCs/>
          <w:color w:val="000000" w:themeColor="text1"/>
          <w:szCs w:val="22"/>
          <w:shd w:val="clear" w:color="auto" w:fill="FFFFFF"/>
        </w:rPr>
        <w:t xml:space="preserve"> </w:t>
      </w:r>
      <w:r>
        <w:rPr>
          <w:rFonts w:cs="Arial"/>
          <w:b/>
          <w:bCs/>
          <w:color w:val="000000" w:themeColor="text1"/>
          <w:szCs w:val="22"/>
          <w:shd w:val="clear" w:color="auto" w:fill="FFFFFF"/>
        </w:rPr>
        <w:t>4.</w:t>
      </w:r>
      <w:r w:rsidRPr="002C0A3B">
        <w:rPr>
          <w:rFonts w:cs="Arial"/>
          <w:b/>
          <w:bCs/>
          <w:color w:val="000000" w:themeColor="text1"/>
          <w:szCs w:val="22"/>
          <w:shd w:val="clear" w:color="auto" w:fill="FFFFFF"/>
        </w:rPr>
        <w:t>7D</w:t>
      </w:r>
      <w:r w:rsidRPr="002C0A3B">
        <w:rPr>
          <w:rFonts w:cs="Arial"/>
          <w:color w:val="000000" w:themeColor="text1"/>
          <w:szCs w:val="22"/>
          <w:shd w:val="clear" w:color="auto" w:fill="FFFFFF"/>
        </w:rPr>
        <w:t>). Whether this is because flux is being directed to non-fermentative end-products or because bottlenecks are causing the build-up of intermediates requires further investigation. Regardless, this finding highly contrasts the continuous production of ethanol from glucose with &gt; 90% theoretical yield beyond 12 h in blocked extracts, further supporting that the workflow efficiently directs carbon flux from glucose to ethanol (</w:t>
      </w:r>
      <w:r>
        <w:rPr>
          <w:rFonts w:cs="Arial"/>
          <w:b/>
          <w:bCs/>
          <w:color w:val="000000" w:themeColor="text1"/>
          <w:szCs w:val="22"/>
          <w:shd w:val="clear" w:color="auto" w:fill="FFFFFF"/>
        </w:rPr>
        <w:t>Figure 4.</w:t>
      </w:r>
      <w:r w:rsidRPr="002C0A3B">
        <w:rPr>
          <w:rFonts w:cs="Arial"/>
          <w:b/>
          <w:bCs/>
          <w:color w:val="000000" w:themeColor="text1"/>
          <w:szCs w:val="22"/>
          <w:shd w:val="clear" w:color="auto" w:fill="FFFFFF"/>
        </w:rPr>
        <w:t>7E</w:t>
      </w:r>
      <w:r w:rsidRPr="002C0A3B">
        <w:rPr>
          <w:rFonts w:cs="Arial"/>
          <w:color w:val="000000" w:themeColor="text1"/>
          <w:szCs w:val="22"/>
          <w:shd w:val="clear" w:color="auto" w:fill="FFFFFF"/>
        </w:rPr>
        <w:t xml:space="preserve">). </w:t>
      </w:r>
    </w:p>
    <w:p w14:paraId="6FBEEB6C" w14:textId="77777777" w:rsidR="00F534D3" w:rsidRDefault="00F534D3" w:rsidP="00F534D3">
      <w:pPr>
        <w:pStyle w:val="ChapterHeading"/>
        <w:jc w:val="both"/>
      </w:pPr>
    </w:p>
    <w:p w14:paraId="19B71639" w14:textId="5A2F9DA0" w:rsidR="004E2DE7" w:rsidRPr="00E033D4" w:rsidRDefault="004E2DE7" w:rsidP="00E033D4">
      <w:pPr>
        <w:pStyle w:val="ChapterHeading"/>
      </w:pPr>
      <w:bookmarkStart w:id="108" w:name="_Toc129701054"/>
      <w:r w:rsidRPr="00E033D4">
        <w:t>4.</w:t>
      </w:r>
      <w:r w:rsidR="007B7C75" w:rsidRPr="00E033D4">
        <w:t>5.</w:t>
      </w:r>
      <w:r w:rsidRPr="00E033D4">
        <w:t xml:space="preserve"> C</w:t>
      </w:r>
      <w:r w:rsidR="007B7C75" w:rsidRPr="00E033D4">
        <w:t>onclusions</w:t>
      </w:r>
      <w:bookmarkEnd w:id="108"/>
    </w:p>
    <w:p w14:paraId="60E09305" w14:textId="102D039A" w:rsidR="004E2DE7" w:rsidRPr="002C0A3B" w:rsidRDefault="004E2DE7" w:rsidP="001875D1">
      <w:pPr>
        <w:ind w:firstLine="720"/>
        <w:rPr>
          <w:rFonts w:cs="Arial"/>
          <w:color w:val="000000" w:themeColor="text1"/>
          <w:szCs w:val="22"/>
        </w:rPr>
      </w:pPr>
      <w:r w:rsidRPr="002C0A3B">
        <w:rPr>
          <w:rFonts w:cs="Arial"/>
          <w:color w:val="000000" w:themeColor="text1"/>
          <w:szCs w:val="22"/>
        </w:rPr>
        <w:t>Here, a lysate-based cell-free system was optimized to synthesize ethanol from consumed glucose with an industrially relevant % yield (&gt; 90%)</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{"citationItems":[{"id":"ITEM-1","itemData":{"DOI":"10.1016/j.rser.2017.05.052","ISSN":"18790690","abstract":"To address issues of energy security and greenhouse gas (GHG) mitigation, substantial amounts of corn-derived ethanol are being used in U.S. gasoline. Currently, ethanol comprises 10% of the U.S. gasoline pool (E10), but there is interest in increasing this – possibly doubling the amount currently used. Production of corn ethanol raises several concerns with respect to environmental and ecological impacts. This paper reviews the available literature regarding impacts on biodiversity, land use change (LUC), greenhouse gas (GHG) emissions, and overall sustainability. A companion paper addresses impacts on water, soil, and air quality. We emphasize recent information appearing since comprehensive reports on these topics were issued by the U.S. EPA and NRC/NAS in 2011. The principal environmental and ecological concerns arise from the intensive agricultural activities associated with corn cropping. Expansion of these activities promotes regional mono-culture, which is accompanied by reduced plant and animal biodiversity, and diminished ecosystem functions and services. Extensification of corn cropping into Conservation Reserve Program (CRP) lands is occurring, which raises concerns about erosion, nutrient runoff, and other adverse environmental impacts. Estimating the impacts of increased ethanol on GHG emissions requires sophisticated life cycle assessment (LCA) modeling approaches to account for emissions resulting from land use change (LUC). Although considerable uncertainty remains, recent regulatory modeling by EPA and CARB estimate modest GHG reductions of about 20% from corn ethanol as compared to gasoline. Being a major commodity in global food/feed markets, displacing large amounts of corn to produce ethanol strengthens demand and increases prices. To date, these effects have been small, but there are growing concerns about increased use of staple food products to produce fuels within the context of an expanding global population that faces severe calorie shortages. Tradeoffs regarding environmental, ecological, and social impacts raise questions about the overall sustainability of such an approach.","author":[{"dropping-particle":"","family":"Hoekman","given":"S. Kent","non-dropping-particle":"","parse-names":false,"suffix":""},{"dropping-particle":"","family":"Broch","given":"Amber","non-dropping-particle":"","parse-names":false,"suffix":""}],"container-title":"Renewable and Sustainable Energy Reviews","id":"ITEM-1","issued":{"date-parts":[["2018"]]},"title":"Environmental implications of higher ethanol production and use in the U.S.: A literature review. Part II – Biodiversity, land use change, GHG emissions, and sustainability","type":"article","volume":"81"},"uris":["http://www.mendeley.com/documents/?uuid=decea376-e20c-3683-9585-9d87d791ce33"]}],"mendeley":{"formattedCitation":"&lt;sup&gt;146&lt;/sup&gt;","plainTextFormattedCitation":"146","previouslyFormattedCitation":"&lt;sup&gt;146&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146</w:t>
      </w:r>
      <w:r w:rsidRPr="002C0A3B">
        <w:rPr>
          <w:rFonts w:cs="Arial"/>
          <w:color w:val="000000" w:themeColor="text1"/>
          <w:szCs w:val="22"/>
        </w:rPr>
        <w:fldChar w:fldCharType="end"/>
      </w:r>
      <w:r w:rsidRPr="002C0A3B">
        <w:rPr>
          <w:rFonts w:cs="Arial"/>
          <w:color w:val="000000" w:themeColor="text1"/>
          <w:szCs w:val="22"/>
        </w:rPr>
        <w:t xml:space="preserve">. To our knowledge, this is the first report of metabolic flux rewiring in lysates that maximizes the yield of a targeted compound. To accomplish this, a block-push-pull approach was designed and implemented. Specifically, an efficient strategy for depleting flux-competing reactions from the lysate itself was first employed. </w:t>
      </w:r>
      <w:r w:rsidRPr="002C0A3B">
        <w:rPr>
          <w:rFonts w:cs="Arial"/>
          <w:color w:val="000000" w:themeColor="text1"/>
          <w:szCs w:val="22"/>
        </w:rPr>
        <w:lastRenderedPageBreak/>
        <w:t>CFME methods that could drive flux through the insulated target pathway were then applied to improve the system’s conversion of substrate to product. These strategies take advantage of the manipulable cell-free environment. That is, the lysate proteome could be curated without introducing metabolic burden from protein overexpression or deleterious mutations, and pathway activity could be rapidly modulated by directly manipulating reaction conditions. The engineering workflow here is therefore unconstrained by cell viability and enables shorter build steps in DBTL cycles. As a result, the yield of the target endogenous metabolite could be quickly maximized in a lysate which initially synthesized ethanol from glucose at only 10% of the theoretical yield. A source strain that already had the native or introduced capacity to synthesize the targeted product with high performance metrics was therefore not needed</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{"citationItems":[{"id":"ITEM-1","itemData":{"abstract":"Cell-free extracts of Z~rmomonas mobilis were capable of fermenting glucose to ethanol and CO 2 when stimulated by arsenate to act as an ATP ~Lncoupler. 2 M glucose was completely converted resulting in a final concentration of 16.5 % w/v ethanol. 1 M glucose was completely converted at temperatures up to 50 ~ C. The results demonstrate that the glycolytic enzymes are more resistant to temperature and ethanol than are the living cells.","author":[{"dropping-particle":"","family":"Scopes","given":"R K","non-dropping-particle":"","parse-names":false,"suffix":""},{"dropping-particle":"","family":"Griffiths-Smith","given":"K","non-dropping-particle":"","parse-names":false,"suffix":""}],"container-title":"Biotechnology Letters","id":"ITEM-1","issue":"9","issued":{"date-parts":[["1986"]]},"page":"53-656","title":"FERMENTATION CAPABILITIES OF Zymomonas mobilis GLYCOLYTIC ENZYMES","type":"article-journal","volume":"8"},"uris":["http://www.mendeley.com/documents/?uuid=59362fe1-f2a5-3261-ac5a-2878d1a66376"]},{"id":"ITEM-2","itemData":{"DOI":"10.1093/SYNBIO/YSZ003","author":[{"dropping-particle":"","family":"Dudley","given":"Quentin M","non-dropping-particle":"","parse-names":false,"suffix":""},{"dropping-particle":"","family":"Nash","given":"Connor J","non-dropping-particle":"","parse-names":false,"suffix":""},{"dropping-particle":"","family":"Jewett","given":"Michael C","non-dropping-particle":"","parse-names":false,"suffix":""}],"container-title":"Synthetic Biology","id":"ITEM-2","issue":"1","issued":{"date-parts":[["2019","1","1"]]},"publisher":"Oxford Academic","title":"Cell-free biosynthesis of limonene using enzyme-enriched Escherichia coli lysates","type":"article-journal","volume":"4"},"uris":["http://www.mendeley.com/documents/?uuid=577985a1-9cd6-3f2a-94a3-08a91160af41"]},{"id":"ITEM-3","itemData":{"DOI":"10.1038/s41467-021-25233-y","ISSN":"20411723","abstract":"Cell-free systems using crude cell extracts present appealing opportunities for designing biosynthetic pathways and enabling sustainable chemical synthesis. However, the lack of tools to effectively manipulate the underlying host metabolism in vitro limits the potential of these systems. Here, we create an integrated framework to address this gap that leverages cell extracts from host strains genetically rewired by multiplexed CRISPR-dCas9 modulation and other metabolic engineering techniques. As a model, we explore conversion of glucose to 2,3-butanediol in extracts from flux-enhanced Saccharomyces cerevisiae strains. We show that cellular flux rewiring in several strains of S. cerevisiae combined with systematic optimization of the cell-free reaction environment significantly increases 2,3-butanediol titers and volumetric productivities, reaching productivities greater than 0.9 g/L-h. We then show the generalizability of the framework by improving cell-free itaconic acid and glycerol biosynthesis. Our coupled in vivo/in vitro metabolic engineering approach opens opportunities for synthetic biology prototyping efforts and cell-free biomanufacturing.","author":[{"dropping-particle":"","family":"Rasor","given":"Blake J.","non-dropping-particle":"","parse-names":false,"suffix":""},{"dropping-particle":"","family":"Yi","given":"Xiunan","non-dropping-particle":"","parse-names":false,"suffix":""},{"dropping-particle":"","family":"Brown","given":"Hunter","non-dropping-particle":"","parse-names":false,"suffix":""},{"dropping-particle":"","family":"Alper","given":"Hal S.","non-dropping-particle":"","parse-names":false,"suffix":""},{"dropping-particle":"","family":"Jewett","given":"Michael C.","non-dropping-particle":"","parse-names":false,"suffix":""}],"container-title":"Nature Communications","id":"ITEM-3","issue":"1","issued":{"date-parts":[["2021"]]},"title":"An integrated in vivo/in vitro framework to enhance cell-free biosynthesis with metabolically rewired yeast extracts","type":"article-journal","volume":"12"},"uris":["http://www.mendeley.com/documents/?uuid=de3655a6-6de6-3969-b0d9-b134deac4cdc"]}],"mendeley":{"formattedCitation":"&lt;sup&gt;62,71,180&lt;/sup&gt;","plainTextFormattedCitation":"62,71,180","previouslyFormattedCitation":"&lt;sup&gt;62,71,180&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62,71,180</w:t>
      </w:r>
      <w:r w:rsidRPr="002C0A3B">
        <w:rPr>
          <w:rFonts w:cs="Arial"/>
          <w:color w:val="000000" w:themeColor="text1"/>
          <w:szCs w:val="22"/>
        </w:rPr>
        <w:fldChar w:fldCharType="end"/>
      </w:r>
      <w:r w:rsidRPr="002C0A3B">
        <w:rPr>
          <w:rFonts w:cs="Arial"/>
          <w:color w:val="000000" w:themeColor="text1"/>
          <w:szCs w:val="22"/>
        </w:rPr>
        <w:t xml:space="preserve">. This implies that time-consuming strain optimizations or the availability/discovery of already optimized strains to rewire endogenous metabolic flux are not required for engineering lysates that result in high conversion yields. This can be advantageous for reducing the number of heterologous genes introduced into the source strain, reducing manipulations to only those that are necessary for completing cell-free pathway designs. Elements of the current workflow can be feasibly applied at the bench-scale to study cellular metabolism, test unconventional phenotypes, or prototype potential high-yield pathway designs for </w:t>
      </w:r>
      <w:r w:rsidRPr="002C0A3B">
        <w:rPr>
          <w:rFonts w:cs="Arial"/>
          <w:i/>
          <w:iCs/>
          <w:color w:val="000000" w:themeColor="text1"/>
          <w:szCs w:val="22"/>
        </w:rPr>
        <w:t xml:space="preserve">in vivo </w:t>
      </w:r>
      <w:r w:rsidRPr="002C0A3B">
        <w:rPr>
          <w:rFonts w:cs="Arial"/>
          <w:color w:val="000000" w:themeColor="text1"/>
          <w:szCs w:val="22"/>
        </w:rPr>
        <w:t>production. It is important to note that the depletion strategy is reliable for such applications as it does not cause significant variability. However, the current method could benefit from testing other tag-resin combinations with higher specificity, and an assessment of the number of enzymes that can be feasibly depleted by these approaches.</w:t>
      </w:r>
    </w:p>
    <w:p w14:paraId="7D50C294" w14:textId="13F6B96F" w:rsidR="004E2DE7" w:rsidRPr="002C0A3B" w:rsidRDefault="004E2DE7" w:rsidP="001875D1">
      <w:pPr>
        <w:ind w:firstLine="720"/>
        <w:rPr>
          <w:rFonts w:cs="Arial"/>
          <w:color w:val="000000" w:themeColor="text1"/>
          <w:szCs w:val="22"/>
        </w:rPr>
      </w:pPr>
      <w:r w:rsidRPr="002C0A3B">
        <w:rPr>
          <w:rFonts w:cs="Arial"/>
          <w:color w:val="000000" w:themeColor="text1"/>
          <w:szCs w:val="22"/>
        </w:rPr>
        <w:t xml:space="preserve">Efficient bioconversion is essential to realizing lucrative lysate-based biomanufacturing. According to estimations provided by </w:t>
      </w:r>
      <w:proofErr w:type="spellStart"/>
      <w:r w:rsidRPr="002C0A3B">
        <w:rPr>
          <w:rFonts w:cs="Arial"/>
          <w:color w:val="000000" w:themeColor="text1"/>
          <w:szCs w:val="22"/>
        </w:rPr>
        <w:t>Rasor</w:t>
      </w:r>
      <w:proofErr w:type="spellEnd"/>
      <w:r w:rsidRPr="002C0A3B">
        <w:rPr>
          <w:rFonts w:cs="Arial"/>
          <w:color w:val="000000" w:themeColor="text1"/>
          <w:szCs w:val="22"/>
        </w:rPr>
        <w:t xml:space="preserve"> et al., the synthesis of certain high-value molecules (e.g., limonene, 3-hydroxybutyrate) can be profitable in cell extracts provided that available reaction cost reduction strategies are integrated, and maximum conversion yields can be engineered in lysate pathways</w:t>
      </w:r>
      <w:r w:rsidRPr="002C0A3B">
        <w:rPr>
          <w:rFonts w:cs="Arial"/>
          <w:color w:val="000000" w:themeColor="text1"/>
          <w:szCs w:val="22"/>
        </w:rPr>
        <w:fldChar w:fldCharType="begin" w:fldLock="1"/>
      </w:r>
      <w:r w:rsidR="00A927F0">
        <w:rPr>
          <w:rFonts w:cs="Arial"/>
          <w:color w:val="000000" w:themeColor="text1"/>
          <w:szCs w:val="22"/>
        </w:rPr>
        <w:instrText>ADDIN CSL_CITATION {"citationItems":[{"id":"ITEM-1","itemData":{"DOI":"10.1016/J.COPBIO.2020.12.012","ISSN":"0958-1669","PMID":"33453438","abstract":"Industrial biotechnology is an attractive approach to address the need for low-cost fuels and products from sustainable resources. Unfortunately, cells impose inherent limitations on the effective synthesis and release of target products. One key constraint is that cellular survival objectives often work against the production objectives of biochemical engineers. Additionally, industrial strains release CO2 and struggle to utilize sustainable, potentially profitable feedstocks. Cell-free biotechnology, which uses biological machinery harvested from cells, can address these challenges with advantages including: (i) shorter development times, (ii) higher volumetric production rates, and (iii) tolerance to otherwise toxic molecules. In this review, we highlight recent advances in cell-free technologies toward the production of non-protein products beyond lab-scale demonstrations and describe guiding principles for designing cell-free systems. Specifically, we discuss carbon and energy sources, reaction homeostasis, and scale-up. Expanding the scope of cell-free biomanufacturing practice could enable innovative approaches for the industrial production of green chemicals.","author":[{"dropping-particle":"","family":"Rasor","given":"Blake J.","non-dropping-particle":"","parse-names":false,"suffix":""},{"dropping-particle":"","family":"Vögeli","given":"Bastian","non-dropping-particle":"","parse-names":false,"suffix":""},{"dropping-particle":"","family":"Landwehr","given":"Grant M.","non-dropping-particle":"","parse-names":false,"suffix":""},{"dropping-particle":"","family":"Bogart","given":"Jonathan W.","non-dropping-particle":"","parse-names":false,"suffix":""},{"dropping-particle":"","family":"Karim","given":"Ashty S.","non-dropping-particle":"","parse-names":false,"suffix":""},{"dropping-particle":"","family":"Jewett","given":"Michael C.","non-dropping-particle":"","parse-names":false,"suffix":""}],"container-title":"Current Opinion in Biotechnology","id":"ITEM-1","issued":{"date-parts":[["2021","6","1"]]},"page":"136-144","publisher":"Elsevier Current Trends","title":"Toward sustainable, cell-free biomanufacturing","type":"article-journal","volume":"69"},"uris":["http://www.mendeley.com/documents/?uuid=7f479995-6171-3f2e-bb99-2b784934562a"]}],"mendeley":{"formattedCitation":"&lt;sup&gt;11&lt;/sup&gt;","plainTextFormattedCitation":"11","previouslyFormattedCitation":"&lt;sup&gt;11&lt;/sup&gt;"},"properties":{"noteIndex":0},"schema":"https://github.com/citation-style-language/schema/raw/master/csl-citation.json"}</w:instrText>
      </w:r>
      <w:r w:rsidRPr="002C0A3B">
        <w:rPr>
          <w:rFonts w:cs="Arial"/>
          <w:color w:val="000000" w:themeColor="text1"/>
          <w:szCs w:val="22"/>
        </w:rPr>
        <w:fldChar w:fldCharType="separate"/>
      </w:r>
      <w:r w:rsidR="002C0A3B" w:rsidRPr="002C0A3B">
        <w:rPr>
          <w:rFonts w:cs="Arial"/>
          <w:noProof/>
          <w:color w:val="000000" w:themeColor="text1"/>
          <w:szCs w:val="22"/>
          <w:vertAlign w:val="superscript"/>
        </w:rPr>
        <w:t>11</w:t>
      </w:r>
      <w:r w:rsidRPr="002C0A3B">
        <w:rPr>
          <w:rFonts w:cs="Arial"/>
          <w:color w:val="000000" w:themeColor="text1"/>
          <w:szCs w:val="22"/>
        </w:rPr>
        <w:fldChar w:fldCharType="end"/>
      </w:r>
      <w:r w:rsidRPr="002C0A3B">
        <w:rPr>
          <w:rFonts w:cs="Arial"/>
          <w:color w:val="000000" w:themeColor="text1"/>
          <w:szCs w:val="22"/>
        </w:rPr>
        <w:t xml:space="preserve">. The latter is demonstrated by the optimizations described here, which were designed specifically to propel flux through glycolysis for ethanol production. </w:t>
      </w:r>
      <w:r w:rsidRPr="002C0A3B">
        <w:rPr>
          <w:rFonts w:cs="Arial"/>
          <w:color w:val="000000" w:themeColor="text1"/>
          <w:szCs w:val="22"/>
        </w:rPr>
        <w:lastRenderedPageBreak/>
        <w:t>Appropriately designed cell-free block-push-pull approaches should similarly be able to direct carbon flow to other target metabolites. CFME methods that enrich and activate enzymes of the target pathway, integrated into the described approach as push and pull strategies, have already been applied to increase titers and productivities of lysates that synthesize a broad range of compounds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{"citationItems":[{"id":"ITEM-1","itemData":{"DOI":"10.1002/CBIC.202000452","ISSN":"1439-7633","PMID":"32783358","abstract":"Natural products and secondary metabolites comprise an indispensable resource from living organisms that have transformed areas of medicine, agriculture, and biotechnology. Recent advances in high-throughput DNA sequencing and computational analysis suggest that the vast majority of natural products remain undiscovered. To accelerate the natural product discovery pipeline, cell-free metabolic engineering approaches used to develop robust catalytic networks are being repurposed to access new chemical scaffolds, and new enzymes capable of performing diverse chemistries. Such enzymes could serve as flexible biocatalytic tools to further expand the unique chemical space of natural products and secondary metabolites, and provide a more sustainable route to manufacture these molecules. Herein, we highlight select examples of natural product biosynthesis using cell-free systems and propose how cell-free technologies could facilitate our ability to access and modify these structures to transform synthetic and chemical biology.","author":[{"dropping-particle":"","family":"Bogart","given":"Jonathan W.","non-dropping-particle":"","parse-names":false,"suffix":""},{"dropping-particle":"","family":"Cabezas","given":"Maria D.","non-dropping-particle":"","parse-names":false,"suffix":""},{"dropping-particle":"","family":"Vögeli","given":"Bastian","non-dropping-particle":"","parse-names":false,"suffix":""},{"dropping-particle":"","family":"Wong","given":"Derek A.","non-dropping-particle":"","parse-names":false,"suffix":""},{"dropping-particle":"","family":"Karim","given":"Ashty S.","non-dropping-particle":"","parse-names":false,"suffix":""},{"dropping-particle":"","family":"Jewett","given":"Michael C.","non-dropping-particle":"","parse-names":false,"suffix":""}],"container-title":"ChemBioChem","id":"ITEM-1","issue":"1","issued":{"date-parts":[["2021","1","5"]]},"page":"84-91","publisher":"John Wiley &amp; Sons, Ltd","title":"Cell-Free Exploration of the Natural Product Chemical Space","type":"article-journal","volume":"22"},"uris":["http://www.mendeley.com/documents/?uuid=2c0a0937-7132-37c3-8935-67f1b28b1702"]},{"id":"ITEM-2","itemData":{"DOI":"10.1002/biot.201400330","ISSN":"18606768","abstract":"Industrial biotechnology and microbial metabolic engineering are poised to help meet the growing demand for sustainable, low-cost commodity chemicals and natural products, yet the fraction of biochemicals amenable to commercial production remains limited. Common problems afflicting the current state-of-the-art include low volumetric productivities, build-up of toxic intermediates or products, and byproduct losses via competing pathways. To overcome these limitations, cell-free metabolic engineering (CFME) is expanding the scope of the traditional bioengineering model by using in vitro ensembles of catalytic proteins prepared from purified enzymes or crude lysates of cells for the production of target products. In recent years, the unprecedented level of control and freedom of design, relative to in vivo systems, has inspired the development of engineering foundations for cell-free systems. These efforts have led to activation of long enzymatic pathways (&gt;8 enzymes), near theoretical conversion yields, productivities greater than 100 mg L-1 h-1, reaction scales of &gt;100 L, and new directions in protein purification, spatial organization, and enzyme stability. In the coming years, CFME will offer exciting opportunities to: (i) debug and optimize biosynthetic pathways; (ii) carry out design-build-test iterations without re-engineering organisms; and (iii) perform molecular transformations when bioconversion yields, productivities, or cellular toxicity limit commercial feasibility. Cell-free metabolic engineering (CFME) is the practice of using in vitro ensembles of catalytic proteins prepared from purified enzymes or crude lysates of cells for the production of useful products. By avoiding constraints associated with product toxicity, focusing substrates towards the biosynthesis of a single product, and separating cellular growth objectives from engineering process objectives, CFME complements existing in vivo strategies and expands the scope of metabolic engineering. CFME offers exciting opportunities to debug and optimize enzymatic pathways and perform molecular transformations when bioconversion yields, productivities, or cellular toxicity limit commercial feasibility of whole-cell fermentation.","author":[{"dropping-particle":"","family":"Dudley","given":"Quentin M.","non-dropping-particle":"","parse-names":false,"suffix":""},{"dropping-particle":"","family":"Karim","given":"Ashty S.","non-dropping-particle":"","parse-names":false,"suffix":""},{"dropping-particle":"","family":"Jewett","given":"Michael C.","non-dropping-particle":"","parse-names":false,"suffix":""}],"container-title":"Biotechnology Journal","id":"ITEM-2","issue":"1","issued":{"date-parts":[["2015","1","1"]]},"page":"69-82","publisher":"Wiley-VCH Verlag","title":"Cell-free metabolic engineering: Biomanufacturing beyond the cell","type":"article-journal","volume":"10"},"uris":["http://www.mendeley.com/documents/?uuid=43fbdee7-97e6-32f6-b950-a2d6e466d0b3"]},{"id":"ITEM-3","itemData":{"DOI":"10.1093/SYNBIO/YSZ003","author":[{"dropping-particle":"","family":"Dudley","given":"Quentin M","non-dropping-particle":"","parse-names":false,"suffix":""},{"dropping-particle":"","family":"Nash","given":"Connor J","non-dropping-particle":"","parse-names":false,"suffix":""},{"dropping-particle":"","family":"Jewett","given":"Michael C","non-dropping-particle":"","parse-names":false,"suffix":""}],"container-title":"Synthetic Biology","id":"ITEM-3","issue":"1","issued":{"date-parts":[["2019","1","1"]]},"publisher":"Oxford Academic","title":"Cell-free biosynthesis of limonene using enzyme-enriched Escherichia coli lysates","type":"article-journal","volume":"4"},"uris":["http://www.mendeley.com/documents/?uuid=577985a1-9cd6-3f2a-94a3-08a91160af41"]},{"id":"ITEM-4","itemData":{"DOI":"10.1038/s41467-021-25233-y","ISSN":"20411723","abstract":"Cell-free systems using crude cell extracts present appealing opportunities for designing biosynthetic pathways and enabling sustainable chemical synthesis. However, the lack of tools to effectively manipulate the underlying host metabolism in vitro limits the potential of these systems. Here, we create an integrated framework to address this gap that leverages cell extracts from host strains genetically rewired by multiplexed CRISPR-dCas9 modulation and other metabolic engineering techniques. As a model, we explore conversion of glucose to 2,3-butanediol in extracts from flux-enhanced Saccharomyces cerevisiae strains. We show that cellular flux rewiring in several strains of S. cerevisiae combined with systematic optimization of the cell-free reaction environment significantly increases 2,3-butanediol titers and volumetric productivities, reaching productivities greater than 0.9 g/L-h. We then show the generalizability of the framework by improving cell-free itaconic acid and glycerol biosynthesis. Our coupled in vivo/in vitro metabolic engineering approach opens opportunities for synthetic biology prototyping efforts and cell-free biomanufacturing.","author":[{"dropping-particle":"","family":"Rasor","given":"Blake J.","non-dropping-particle":"","parse-names":false,"suffix":""},{"dropping-particle":"","family":"Yi","given":"Xiunan","non-dropping-particle":"","parse-names":false,"suffix":""},{"dropping-particle":"","family":"Brown","given":"Hunter","non-dropping-particle":"","parse-names":false,"suffix":""},{"dropping-particle":"","family":"Alper","given":"Hal S.","non-dropping-particle":"","parse-names":false,"suffix":""},{"dropping-particle":"","family":"Jewett","given":"Michael C.","non-dropping-particle":"","parse-names":false,"suffix":""}],"container-title":"Nature Communications","id":"ITEM-4","issue":"1","issued":{"date-parts":[["2021"]]},"title":"An integrated in vivo/in vitro framework to enhance cell-free biosynthesis with metabolically rewired yeast extracts","type":"article-journal","volume":"12"},"uris":["http://www.mendeley.com/documents/?uuid=de3655a6-6de6-3969-b0d9-b134deac4cdc"]},{"id":"ITEM-5","itemData":{"DOI":"10.1016/J.YMBEN.2020.05.009","ISSN":"1096-7176","PMID":"32502620","abstract":"Styrene is an important petroleum-derived molecule that is polymerized to make versatile plastics, including disposable silverware and foamed packaging materials. Finding more sustainable methods, such as biosynthesis, for producing styrene is essential due to the increasing severity of climate change as well as the limited supply of fossil fuels. Recent metabolic engineering efforts have enabled the biological production of styrene in Escherichia coli, but styrene toxicity and volatility limit biosynthesis in cells. To address these limitations, we have developed a cell-free styrene biosynthesis platform. The cell-free system provides an open reaction environment without cell viability constraints, which allows exquisite control over reaction conditions and greater carbon flux toward product formation rather than cell growth. The two biosynthetic enzymes required for styrene production were generated via cell-free protein synthesis and mixed in defined ratios with supplemented L-phenylalanine and buffer. By altering the time, temperature, pH, and enzyme concentrations in the reaction, this approach increased the cell-free titer of styrene from 5.36 ± 0.63 mM to 40.33 ± 1.03 mM, the highest amount achieved using biosynthesis without process modifications and product removal strategies. Cell-free systems offer a complimentary approach to cellular synthesis of small molecules, which can provide particular benefits for producing toxic molecules.","author":[{"dropping-particle":"","family":"Grubbe","given":"William S.","non-dropping-particle":"","parse-names":false,"suffix":""},{"dropping-particle":"","family":"Rasor","given":"Blake J.","non-dropping-particle":"","parse-names":false,"suffix":""},{"dropping-particle":"","family":"Krüger","given":"Antje","non-dropping-particle":"","parse-names":false,"suffix":""},{"dropping-particle":"","family":"Jewett","given":"Michael C.","non-dropping-particle":"","parse-names":false,"suffix":""},{"dropping-particle":"","family":"Karim","given":"Ashty S.","non-dropping-particle":"","parse-names":false,"suffix":""}],"container-title":"Metabolic Engineering","id":"ITEM-5","issued":{"date-parts":[["2020","9","1"]]},"page":"89-95","publisher":"Academic Press","title":"Cell-free styrene biosynthesis at high titers","type":"article-journal","volume":"61"},"uris":["http://www.mendeley.com/documents/?uuid=392ffd54-774c-3eee-bbde-70b91225bd34"]},{"id":"ITEM-6","itemData":{"DOI":"10.1002/bit.22666","ISSN":"00063592","PMID":"20091765","abstract":"The orchestration of a multitude of enzyme catalysts allows cells to carry out complex and thermodynamically unfavorable chemical conversions. In an effort to recruit these advantages for in vitro biotransformations, we have assembled a 10-step catalytic system - a system of biotransformations (SBT) - for the synthesis of unnatural monosaccharides based on the versatile building block dihydroxyacetone phosphate (DHAP). To facilitate the assembly of such a network, we have insulated a production pathway from Escherichia coli's central carbon metabolism. This pathway consists of the endogenous glycolysis without triose-phosphate isomerase to enable accumulation of DHAP and was completed with lactate dehydrogenase to regenerate NAD+. It could be readily extended for the synthesis of unnatural sugar molecules, such as the unnatural monosaccharide phosphate 5,6,7-trideoxy-D-threoheptulose-1-phosphate from DHAP and butanal. Insulation required in particular inactivation of the amn gene encoding the AMP nucleosidase, which otherwise led to glucoseindependent DHAP production from adenosine phosphates. The work demonstrates that a sufficiently insulated in vitro multi-step enzymatic system can be readily assembled from central carbon metabolism pathways. © 2010 Wiley Periodicals, Inc.","author":[{"dropping-particle":"","family":"Bujara","given":"Matthias","non-dropping-particle":"","parse-names":false,"suffix":""},{"dropping-particle":"","family":"Schümperli","given":"Michael","non-dropping-particle":"","parse-names":false,"suffix":""},{"dropping-particle":"","family":"Billerbeck","given":"Sonja","non-dropping-particle":"","parse-names":false,"suffix":""},{"dropping-particle":"","family":"Heinemann","given":"Matthias","non-dropping-particle":"","parse-names":false,"suffix":""},{"dropping-particle":"","family":"Panke","given":"Sven","non-dropping-particle":"","parse-names":false,"suffix":""}],"container-title":"Biotechnology and Bioengineering","id":"ITEM-6","issue":"3","issued":{"date-parts":[["2010","6","15"]]},"page":"376-389","publisher":"Biotechnol Bioeng","title":"Exploiting cell-free systems: Implementation and debugging of a system of biotransformations","type":"article-journal","volume":"106"},"uris":["http://www.mendeley.com/documents/?uuid=dcf05f7d-a050-3deb-b73b-d5fe4b460eed"]},{"id":"ITEM-7","itemData":{"DOI":"10.1021/acssynbio.9b00524","ISSN":"21615063","PMID":"33044063","abstract":"Progress in cell-free protein synthesis (CFPS) has spurred resurgent interest in engineering complex biological metabolism outside of the cell. Unlike purified enzyme systems, crude cell-free systems can be prepared for a fraction of the cost and contain endogenous cellular pathways that can be activated for biosynthesis. Endogenous activity performs essential functions in cell-free systems including substrate biosynthesis and energy regeneration; however, use of crude cell-free systems for bioproduction has been hampered by the under-described complexity of the metabolic networks inherent to a crude lysate. Physical and chemical cultivation parameters influence the endogenous activity of the resulting lysate, but targeted efforts to engineer this activity by manipulation of these nongenetic factors has been limited. Here growth medium composition was manipulated to improve the one-pot in vitro biosynthesis of phenol from glucose via the expression of Pasteurella multocida phenol-tyrosine lyase in crude E. coli lysates. Crude cell lysate metabolic activity was focused toward the limiting precursor tyrosine by targeted growth medium dropouts guided by proteomics. The result is the activation of a 25-step enzymatic reaction cascade involving at least three endogenous E. coli metabolic pathways. Additional modification of this system, through CFPS of feedback intolerant AroG improves yield. This effort demonstrates the ability to activate a long, complex pathway in vitro and provides a framework for harnessing the metabolic potential of diverse organisms for cell-free metabolic engineering. The more than 6-fold increase in phenol yield with limited genetic manipulation demonstrates the benefits of optimizing growth medium for crude cell-free extract production and illustrates the advantages of a systems approach to cell-free metabolic engineering.","author":[{"dropping-particle":"","family":"Mohr","given":"Benjamin","non-dropping-particle":"","parse-names":false,"suffix":""},{"dropping-particle":"","family":"Giannone","given":"Richard J.","non-dropping-particle":"","parse-names":false,"suffix":""},{"dropping-particle":"","family":"Hettich","given":"Robert L.","non-dropping-particle":"","parse-names":false,"suffix":""},{"dropping-particle":"","family":"Doktycz","given":"Mitchel J.","non-dropping-particle":"","parse-names":false,"suffix":""}],"container-title":"ACS Synthetic Biology","id":"ITEM-7","issue":"11","issued":{"date-parts":[["2020","11","20"]]},"page":"2986-2997","publisher":"American Chemical Society","title":"Targeted growth medium dropouts promote aromatic compound synthesis in crude E. Coli cell-free systems","type":"article-journal","volume":"9"},"uris":["http://www.mendeley.com/documents/?uuid=5056c735-c966-306b-80ed-9bbc3ce44183"]}],"mendeley":{"formattedCitation":"&lt;sup&gt;28,47,51,62,71,73,145&lt;/sup&gt;","plainTextFormattedCitation":"28,47,51,62,71,73,145","previouslyFormattedCitation":"&lt;sup&gt;28,47,51,62,71,73,145&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28,47,51,62,71,73,145</w:t>
      </w:r>
      <w:r w:rsidRPr="002C0A3B">
        <w:rPr>
          <w:rFonts w:cs="Arial"/>
          <w:color w:val="000000" w:themeColor="text1"/>
          <w:szCs w:val="22"/>
        </w:rPr>
        <w:fldChar w:fldCharType="end"/>
      </w:r>
      <w:r w:rsidRPr="002C0A3B">
        <w:rPr>
          <w:rFonts w:cs="Arial"/>
          <w:color w:val="000000" w:themeColor="text1"/>
          <w:szCs w:val="22"/>
        </w:rPr>
        <w:t>. If complemented with an efficient strategy for removing unwanted reactions, it is conceivable that high yields of these metabolites can also be achieved. However, refinements should be made to the described depletion approach to enable sustainable production in extracts due to the high cost of the metal chelate affinity-based strategy (</w:t>
      </w:r>
      <w:r w:rsidR="00E84CA7">
        <w:rPr>
          <w:rFonts w:cs="Arial"/>
          <w:b/>
          <w:bCs/>
          <w:color w:val="000000" w:themeColor="text1"/>
          <w:szCs w:val="22"/>
        </w:rPr>
        <w:t xml:space="preserve">Appendix </w:t>
      </w:r>
      <w:r w:rsidRPr="002C0A3B">
        <w:rPr>
          <w:rFonts w:cs="Arial"/>
          <w:b/>
          <w:bCs/>
          <w:color w:val="000000" w:themeColor="text1"/>
          <w:szCs w:val="22"/>
        </w:rPr>
        <w:t>Note</w:t>
      </w:r>
      <w:r w:rsidRPr="002C0A3B">
        <w:rPr>
          <w:rFonts w:cs="Arial"/>
          <w:color w:val="000000" w:themeColor="text1"/>
          <w:szCs w:val="22"/>
        </w:rPr>
        <w:t>). Other protein tag technologies could be considered. These tags must be small enough so that 1) their sequences can be easily inserted into genomes and 2) they do not affect the endogenous enzyme’s physicochemical properties. Cellulose binding domains with sequences as short as 27 amino acids long</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{"citationItems":[{"id":"ITEM-1","itemData":{"DOI":"10.1002/0471140864.PS0909S73","ISSN":"19343663","PMID":"24510596","abstract":"Addition of an affinity tag is a useful method for differentiating recombinant proteins expressed in bacterial and eukaryotic expression systems from the background of total cellular proteins, as well as for detecting protein-protein interactions. This overview describes the historical basis for the development of affinity tags, affinity tags that are commonly used today, how to choose an appropriate affinity tag for a particular purpose, and several recently developed affinity tag technologies that may prove useful in the near future. © 2013 by John Wiley &amp; Sons, Inc.","author":[{"dropping-particle":"","family":"Kimple","given":"Michelle E.","non-dropping-particle":"","parse-names":false,"suffix":""},{"dropping-particle":"","family":"Brill","given":"Allison L.","non-dropping-particle":"","parse-names":false,"suffix":""},{"dropping-particle":"","family":"Pasker","given":"Renee L.","non-dropping-particle":"","parse-names":false,"suffix":""}],"container-title":"Current protocols in protein science / editorial board, John E. Coligan ... [et al.]","id":"ITEM-1","issue":"SUPPL.73","issued":{"date-parts":[["2013"]]},"page":"Unit","publisher":"NIH Public Access","title":"Overview of Affinity Tags for Protein Purification","type":"article-journal","volume":"73"},"uris":["http://www.mendeley.com/documents/?uuid=ee01b1a2-40b4-311c-bc7a-5065081efe6b"]}],"mendeley":{"formattedCitation":"&lt;sup&gt;181&lt;/sup&gt;","plainTextFormattedCitation":"181","previouslyFormattedCitation":"&lt;sup&gt;181&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181</w:t>
      </w:r>
      <w:r w:rsidRPr="002C0A3B">
        <w:rPr>
          <w:rFonts w:cs="Arial"/>
          <w:color w:val="000000" w:themeColor="text1"/>
          <w:szCs w:val="22"/>
        </w:rPr>
        <w:fldChar w:fldCharType="end"/>
      </w:r>
      <w:r w:rsidRPr="002C0A3B">
        <w:rPr>
          <w:rFonts w:cs="Arial"/>
          <w:color w:val="000000" w:themeColor="text1"/>
          <w:szCs w:val="22"/>
        </w:rPr>
        <w:t xml:space="preserve"> can be utilized as protein tags and tested with inexpensive cellulose beads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{"citationItems":[{"id":"ITEM-1","itemData":{"DOI":"10.1111/PBI.13040","ISSN":"14677652","PMID":"30468023","abstract":"Plants have recently received a great deal of attention as a means of producing recombinant proteins. Despite this, a limited number of recombinant proteins are currently on the market and, if plants are to be more widely used, a cost-effective and efficient purification method is urgently needed. Although affinity tags are convenient tools for protein purification, the presence of a tag on the recombinant protein is undesirable for many applications. A cost-effective method of purification using an affinity tag and the removal of the tag after purification has been developed. The family 3 cellulose-binding domain (CBM3), which binds to microcrystalline cellulose, served as the affinity tag and the small ubiquitin-related modifier (SUMO) and SUMO-specific protease were used to remove it. This method, together with size-exclusion chromatography, enabled purification of human interleukin-6 (hIL6) with a yield of 18.49 mg/kg fresh weight from leaf extracts of Nicotiana benthamiana following Agrobacterium-mediated transient expression. Plant-produced hIL6 (P-hIL6) contained less than 0.2 EU/μg (0.02 ng/mL) endotoxin. P-hIL6 activated the Janus kinase-signal transducer and activator of transcriptional pathways in human LNCaP cells, and induced expression of IL-21 in activated mouse CD4+ T cells. This approach is thus a powerful method for producing recombinant proteins in plants.","author":[{"dropping-particle":"","family":"Islam","given":"Md Reyazul","non-dropping-particle":"","parse-names":false,"suffix":""},{"dropping-particle":"","family":"Kwak","given":"Ju Won","non-dropping-particle":"","parse-names":false,"suffix":""},{"dropping-particle":"","family":"Lee","given":"Jeon soo","non-dropping-particle":"","parse-names":false,"suffix":""},{"dropping-particle":"","family":"Hong","given":"Sung Wook","non-dropping-particle":"","parse-names":false,"suffix":""},{"dropping-particle":"","family":"Khan","given":"Md Rezaul Islam","non-dropping-particle":"","parse-names":false,"suffix":""},{"dropping-particle":"","family":"Lee","given":"Yongjik","non-dropping-particle":"","parse-names":false,"suffix":""},{"dropping-particle":"","family":"Lee","given":"Yoontae","non-dropping-particle":"","parse-names":false,"suffix":""},{"dropping-particle":"","family":"Lee","given":"Seung Woo","non-dropping-particle":"","parse-names":false,"suffix":""},{"dropping-particle":"","family":"Hwang","given":"Inhwan","non-dropping-particle":"","parse-names":false,"suffix":""}],"container-title":"Plant Biotechnology Journal","id":"ITEM-1","issue":"6","issued":{"date-parts":[["2019","6","1"]]},"page":"1094","publisher":"Wiley-Blackwell","title":"Cost</w:instrText>
      </w:r>
      <w:r w:rsidR="004F3109">
        <w:rPr>
          <w:rFonts w:ascii="Cambria Math" w:hAnsi="Cambria Math" w:cs="Cambria Math"/>
          <w:color w:val="000000" w:themeColor="text1"/>
          <w:szCs w:val="22"/>
        </w:rPr>
        <w:instrText>‐</w:instrText>
      </w:r>
      <w:r w:rsidR="004F3109">
        <w:rPr>
          <w:rFonts w:cs="Arial"/>
          <w:color w:val="000000" w:themeColor="text1"/>
          <w:szCs w:val="22"/>
        </w:rPr>
        <w:instrText>effective production of tag</w:instrText>
      </w:r>
      <w:r w:rsidR="004F3109">
        <w:rPr>
          <w:rFonts w:ascii="Cambria Math" w:hAnsi="Cambria Math" w:cs="Cambria Math"/>
          <w:color w:val="000000" w:themeColor="text1"/>
          <w:szCs w:val="22"/>
        </w:rPr>
        <w:instrText>‐</w:instrText>
      </w:r>
      <w:r w:rsidR="004F3109">
        <w:rPr>
          <w:rFonts w:cs="Arial"/>
          <w:color w:val="000000" w:themeColor="text1"/>
          <w:szCs w:val="22"/>
        </w:rPr>
        <w:instrText>less recombinant protein in Nicotiana benthamiana","type":"article-journal","volume":"17"},"uris":["http://www.mendeley.com/documents/?uuid=fa3a6f9f-edcb-3240-892d-e68d2e04ae1a"]},{"id":"ITEM-2","itemData":{"DOI":"10.1007/978-1-4939-1034-2_3/COVER","ISSN":"10643745","PMID":"24943312","abstract":"Easy-to-perform and low-cost protein purifi cation methods are in high demand for the mass production of commonly used enzymes that play an important role in bioeconomy. A low-cost and rapid recombinant protein purifi cation system was developed using CBM3 (family 3 cellulose-binding module) as affi nity tag. This protocol describes the purifi cation of CBM3-fusion protein and tag-free protein expressed in Pichia pastoris using CBM3 as an affi nity tag.","author":[{"dropping-particle":"","family":"Wang","given":"Dongmei","non-dropping-particle":"","parse-names":false,"suffix":""},{"dropping-particle":"","family":"Hong","given":"Jiong","non-dropping-particle":"","parse-names":false,"suffix":""}],"container-title":"Methods in Molecular Biology","id":"ITEM-2","issued":{"date-parts":[["2014"]]},"page":"35-45","publisher":"Humana Press Inc.","title":"Purifi cation of a recombinant protein with cellulose- binding module 3 as the affinity tag","type":"article-journal","volume":"1177"},"uris":["http://www.mendeley.com/documents/?uuid=2d12d6b7-90ad-3261-902e-cf35951c573e"]}],"mendeley":{"formattedCitation":"&lt;sup&gt;182,183&lt;/sup&gt;","plainTextFormattedCitation":"182,183","previouslyFormattedCitation":"&lt;sup&gt;182,183&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182,183</w:t>
      </w:r>
      <w:r w:rsidRPr="002C0A3B">
        <w:rPr>
          <w:rFonts w:cs="Arial"/>
          <w:color w:val="000000" w:themeColor="text1"/>
          <w:szCs w:val="22"/>
        </w:rPr>
        <w:fldChar w:fldCharType="end"/>
      </w:r>
      <w:r w:rsidRPr="002C0A3B">
        <w:rPr>
          <w:rFonts w:cs="Arial"/>
          <w:color w:val="000000" w:themeColor="text1"/>
          <w:szCs w:val="22"/>
        </w:rPr>
        <w:t>. We estimate that lysate depletion with cellulose beads can enable profitable lysate-based biomanufacturing in the future (</w:t>
      </w:r>
      <w:r w:rsidR="00E84CA7">
        <w:rPr>
          <w:rFonts w:cs="Arial"/>
          <w:b/>
          <w:bCs/>
          <w:color w:val="000000" w:themeColor="text1"/>
          <w:szCs w:val="22"/>
        </w:rPr>
        <w:t xml:space="preserve">Appendix </w:t>
      </w:r>
      <w:r w:rsidRPr="002C0A3B">
        <w:rPr>
          <w:rFonts w:cs="Arial"/>
          <w:b/>
          <w:bCs/>
          <w:color w:val="000000" w:themeColor="text1"/>
          <w:szCs w:val="22"/>
        </w:rPr>
        <w:t>Note</w:t>
      </w:r>
      <w:r w:rsidRPr="002C0A3B">
        <w:rPr>
          <w:rFonts w:cs="Arial"/>
          <w:color w:val="000000" w:themeColor="text1"/>
          <w:szCs w:val="22"/>
        </w:rPr>
        <w:t xml:space="preserve">). The </w:t>
      </w:r>
      <w:r w:rsidRPr="002C0A3B">
        <w:rPr>
          <w:rFonts w:cs="Arial"/>
          <w:i/>
          <w:iCs/>
          <w:color w:val="000000" w:themeColor="text1"/>
          <w:szCs w:val="22"/>
        </w:rPr>
        <w:t>mf-</w:t>
      </w:r>
      <w:proofErr w:type="spellStart"/>
      <w:r w:rsidRPr="002C0A3B">
        <w:rPr>
          <w:rFonts w:cs="Arial"/>
          <w:color w:val="000000" w:themeColor="text1"/>
          <w:szCs w:val="22"/>
        </w:rPr>
        <w:t>ssrA</w:t>
      </w:r>
      <w:proofErr w:type="spellEnd"/>
      <w:r w:rsidRPr="002C0A3B">
        <w:rPr>
          <w:rFonts w:cs="Arial"/>
          <w:color w:val="000000" w:themeColor="text1"/>
          <w:szCs w:val="22"/>
        </w:rPr>
        <w:t xml:space="preserve"> tag is also 27 amino acids in length and is sensitive to proteolysis by an exogenous </w:t>
      </w:r>
      <w:r w:rsidRPr="002C0A3B">
        <w:rPr>
          <w:rFonts w:cs="Arial"/>
          <w:i/>
          <w:iCs/>
          <w:color w:val="000000" w:themeColor="text1"/>
          <w:szCs w:val="22"/>
        </w:rPr>
        <w:t>mf-</w:t>
      </w:r>
      <w:r w:rsidRPr="002C0A3B">
        <w:rPr>
          <w:rFonts w:cs="Arial"/>
          <w:color w:val="000000" w:themeColor="text1"/>
          <w:szCs w:val="22"/>
        </w:rPr>
        <w:t>Lon protease</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{"citationItems":[{"id":"ITEM-1","itemData":{"DOI":"10.1073/pnas.0808802105","ISSN":"0027-8424","author":[{"dropping-particle":"","family":"Gur","given":"E.","non-dropping-particle":"","parse-names":false,"suffix":""},{"dropping-particle":"","family":"Sauer","given":"R. T.","non-dropping-particle":"","parse-names":false,"suffix":""}],"container-title":"Proceedings of the National Academy of Sciences","id":"ITEM-1","issue":"42","issued":{"date-parts":[["2008","10"]]},"page":"16113-16118","title":"Evolution of the ssrA degradation tag in Mycoplasma: Specificity switch to a different protease","type":"article-journal","volume":"105"},"uris":["http://www.mendeley.com/documents/?uuid=138d4c8d-fdd8-4707-90ff-0b6f6db0d1a9"]}],"mendeley":{"formattedCitation":"&lt;sup&gt;132&lt;/sup&gt;","plainTextFormattedCitation":"132","previouslyFormattedCitation":"&lt;sup&gt;132&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132</w:t>
      </w:r>
      <w:r w:rsidRPr="002C0A3B">
        <w:rPr>
          <w:rFonts w:cs="Arial"/>
          <w:color w:val="000000" w:themeColor="text1"/>
          <w:szCs w:val="22"/>
        </w:rPr>
        <w:fldChar w:fldCharType="end"/>
      </w:r>
      <w:r w:rsidRPr="002C0A3B">
        <w:rPr>
          <w:rFonts w:cs="Arial"/>
          <w:color w:val="000000" w:themeColor="text1"/>
          <w:szCs w:val="22"/>
        </w:rPr>
        <w:t>. This system was previously recommended for removing flux-competing reactions post-lysis</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Communications","id":"ITEM-1","issued":{"date-parts":[["2021","6","1"]]},"page":"e00162","publisher":"Elsevier B.V.","title":"A lysate proteome engineering strategy for enhancing cell-free metabolite production","type":"article-journal","volume":"12"},"uris":["http://www.mendeley.com/documents/?uuid=babcd1d7-dd2c-32bc-b636-c7ebdf6b2dd4"]}],"mendeley":{"formattedCitation":"&lt;sup&gt;74&lt;/sup&gt;","plainTextFormattedCitation":"74","previouslyFormattedCitation":"&lt;sup&gt;74&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74</w:t>
      </w:r>
      <w:r w:rsidRPr="002C0A3B">
        <w:rPr>
          <w:rFonts w:cs="Arial"/>
          <w:color w:val="000000" w:themeColor="text1"/>
          <w:szCs w:val="22"/>
        </w:rPr>
        <w:fldChar w:fldCharType="end"/>
      </w:r>
      <w:r w:rsidRPr="002C0A3B">
        <w:rPr>
          <w:rFonts w:cs="Arial"/>
          <w:color w:val="000000" w:themeColor="text1"/>
          <w:szCs w:val="22"/>
        </w:rPr>
        <w:t xml:space="preserve"> but the cost of large-scale protease purification should be analyzed. An alternative strategy is the use of a native protease in </w:t>
      </w:r>
      <w:r w:rsidRPr="002C0A3B">
        <w:rPr>
          <w:rFonts w:cs="Arial"/>
          <w:i/>
          <w:iCs/>
          <w:color w:val="000000" w:themeColor="text1"/>
          <w:szCs w:val="22"/>
        </w:rPr>
        <w:t>E. coli</w:t>
      </w:r>
      <w:r w:rsidRPr="002C0A3B">
        <w:rPr>
          <w:rFonts w:cs="Arial"/>
          <w:color w:val="000000" w:themeColor="text1"/>
          <w:szCs w:val="22"/>
        </w:rPr>
        <w:t xml:space="preserve"> that only degrades tagged enzymes upon cell lysis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{"citationItems":[{"id":"ITEM-1","itemData":{"DOI":"10.1038/s41598-017-03192-z","abstract":"Amber codon suppression for the insertion of non-natural amino acids (nnAAs) is limited by competition with release factor 1 (RF1). Here we describe the genome engineering of a RF1 mutant strain that enhances suppression efficiency during cell-free protein synthesis, without significantly impacting cell growth during biomass production. Specifically, an out membrane protease (OmpT) cleavage site was engineered into the switch loop of RF1, which enables its conditional inactivation during cell lysis. This facilitates extract production without additional processing steps, resulting in a scaleable extract production process. The RF1 mutant extract allows nnAA incorporation at previously intractable sites of an IgG1 and at multiple sites in the same polypeptide chain. Conjugation of cytotoxic agents to these nnAAs, yields homogeneous antibody drug conjugates (ADCs) that can be optimized for conjugation site, drug to antibody ratio (DAR) and linker-warheads designed for efficient tumor killing. This platform provides the means to generate therapeutic ADCs inaccessible by other methods that are efficient in their cytotoxin delivery to tumor with reduced dose-limiting toxicities and thus have the potential for better clinical impact. Consistent and robust production processes for the site-specific generation of antibody-drug conjugates (ADCs) have the potential to generate therapeutic products comprised of a single molecular entity rather than the heterogeneous mixtures present in the approved products of today (Adcetris 1 and Kadcyla 2). The potential benefit is homogeneous ADC products that display more efficient tumor killing (more potency with greater tolerability) than their heterogeneous counterparts. Efficient incorporation of specifically conjugatable non-natural amino acids (nnAAs) into antibodies is an attractive approach to generating homogeneous ADCs offering great flexibility in where they can be positioned. Combining use of nnAAs with cell-free protein synthesis provides a means to rapidly express and discover optimal conjugations sites for tumor cell killing and tolerability assessments and offers opportunities for efficient production. Multiple systems for the incorporation of nnAAs into proteins have been previously exemplified, and in particular suppression of the TAG stop codon (amber) has been widely used 3. Similarly, we recently reported that our cell-free in vitro transcription-translation platform, Xpress CF 4 , employs an engineered o…","author":[{"dropping-particle":"","family":"Yin","given":"Gang","non-dropping-particle":"","parse-names":false,"suffix":""},{"dropping-particle":"","family":"Stephenson","given":"Heather T","non-dropping-particle":"","parse-names":false,"suffix":""},{"dropping-particle":"","family":"Yang","given":"Junhao","non-dropping-particle":"","parse-names":false,"suffix":""},{"dropping-particle":"","family":"Li","given":"Xiaofan","non-dropping-particle":"","parse-names":false,"suffix":""},{"dropping-particle":"","family":"Armstrong","given":"Stephanie M","non-dropping-particle":"","parse-names":false,"suffix":""},{"dropping-particle":"","family":"Heibeck","given":"Tyler H","non-dropping-particle":"","parse-names":false,"suffix":""},{"dropping-particle":"","family":"Tran","given":"Cuong","non-dropping-particle":"","parse-names":false,"suffix":""},{"dropping-particle":"","family":"Masikat","given":"Mary Rose","non-dropping-particle":"","parse-names":false,"suffix":""},{"dropping-particle":"","family":"Zhou","given":"Sihong","non-dropping-particle":"","parse-names":false,"suffix":""},{"dropping-particle":"","family":"Stafford","given":"Ryan L","non-dropping-particle":"","parse-names":false,"suffix":""},{"dropping-particle":"","family":"Yam","given":"Alice Y","non-dropping-particle":"","parse-names":false,"suffix":""},{"dropping-particle":"","family":"Lee","given":"John","non-dropping-particle":"","parse-names":false,"suffix":""},{"dropping-particle":"","family":"Steiner","given":"Alexander R","non-dropping-particle":"","parse-names":false,"suffix":""},{"dropping-particle":"","family":"Gill","given":"Avinash","non-dropping-particle":"","parse-names":false,"suffix":""},{"dropping-particle":"","family":"Penta","given":"Kalyani","non-dropping-particle":"","parse-names":false,"suffix":""},{"dropping-particle":"","family":"Pollitt","given":"Sonia","non-dropping-particle":"","parse-names":false,"suffix":""},{"dropping-particle":"","family":"Baliga","given":"Ramesh","non-dropping-particle":"","parse-names":false,"suffix":""},{"dropping-particle":"","family":"Murray","given":"Christopher J","non-dropping-particle":"","parse-names":false,"suffix":""},{"dropping-particle":"","family":"Thanos","given":"Christopher D","non-dropping-particle":"","parse-names":false,"suffix":""},{"dropping-particle":"","family":"Mcevoy","given":"Leslie M","non-dropping-particle":"","parse-names":false,"suffix":""},{"dropping-particle":"","family":"Sato","given":"Aaron K","non-dropping-particle":"","parse-names":false,"suffix":""},{"dropping-particle":"","family":"Hallam","given":"Trevor J","non-dropping-particle":"","parse-names":false,"suffix":""}],"id":"ITEM-1","issued":{"date-parts":[["0"]]},"title":"RF1 attenuation enables efficient non-natural amino acid incorporation for production of homogeneous antibody drug conjugates OPEN","type":"article-journal"},"uris":["http://www.mendeley.com/documents/?uuid=60a6447b-9563-392a-8bda-890c326003b8"]}],"mendeley":{"formattedCitation":"&lt;sup&gt;184&lt;/sup&gt;","plainTextFormattedCitation":"184","previouslyFormattedCitation":"&lt;sup&gt;184&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184</w:t>
      </w:r>
      <w:r w:rsidRPr="002C0A3B">
        <w:rPr>
          <w:rFonts w:cs="Arial"/>
          <w:color w:val="000000" w:themeColor="text1"/>
          <w:szCs w:val="22"/>
        </w:rPr>
        <w:fldChar w:fldCharType="end"/>
      </w:r>
      <w:r w:rsidRPr="002C0A3B">
        <w:rPr>
          <w:rFonts w:cs="Arial"/>
          <w:color w:val="000000" w:themeColor="text1"/>
          <w:szCs w:val="22"/>
        </w:rPr>
        <w:t xml:space="preserve">. An </w:t>
      </w:r>
      <w:proofErr w:type="spellStart"/>
      <w:r w:rsidRPr="002C0A3B">
        <w:rPr>
          <w:rFonts w:cs="Arial"/>
          <w:color w:val="000000" w:themeColor="text1"/>
          <w:szCs w:val="22"/>
        </w:rPr>
        <w:t>OmpT</w:t>
      </w:r>
      <w:proofErr w:type="spellEnd"/>
      <w:r w:rsidRPr="002C0A3B">
        <w:rPr>
          <w:rFonts w:cs="Arial"/>
          <w:color w:val="000000" w:themeColor="text1"/>
          <w:szCs w:val="22"/>
        </w:rPr>
        <w:t xml:space="preserve"> protease cleavage site (a dibasic amino acid sequence) was engineered into a strain’s endogenous cytosolic protein</w:t>
      </w:r>
      <w:r w:rsidRPr="002C0A3B">
        <w:rPr>
          <w:rFonts w:cs="Arial"/>
          <w:i/>
          <w:iCs/>
          <w:color w:val="000000" w:themeColor="text1"/>
          <w:szCs w:val="22"/>
        </w:rPr>
        <w:t xml:space="preserve"> </w:t>
      </w:r>
      <w:r w:rsidRPr="002C0A3B">
        <w:rPr>
          <w:rFonts w:cs="Arial"/>
          <w:color w:val="000000" w:themeColor="text1"/>
          <w:szCs w:val="22"/>
        </w:rPr>
        <w:t xml:space="preserve">and cleaved by the native </w:t>
      </w:r>
      <w:proofErr w:type="spellStart"/>
      <w:r w:rsidRPr="002C0A3B">
        <w:rPr>
          <w:rFonts w:cs="Arial"/>
          <w:color w:val="000000" w:themeColor="text1"/>
          <w:szCs w:val="22"/>
        </w:rPr>
        <w:t>OmpT</w:t>
      </w:r>
      <w:proofErr w:type="spellEnd"/>
      <w:r w:rsidRPr="002C0A3B">
        <w:rPr>
          <w:rFonts w:cs="Arial"/>
          <w:color w:val="000000" w:themeColor="text1"/>
          <w:szCs w:val="22"/>
        </w:rPr>
        <w:t xml:space="preserve"> protease, which is localized in the outer membrane</w:t>
      </w:r>
      <w:r w:rsidRPr="002C0A3B">
        <w:rPr>
          <w:rFonts w:cs="Arial"/>
          <w:i/>
          <w:iCs/>
          <w:color w:val="000000" w:themeColor="text1"/>
          <w:szCs w:val="22"/>
        </w:rPr>
        <w:t xml:space="preserve">, </w:t>
      </w:r>
      <w:r w:rsidRPr="002C0A3B">
        <w:rPr>
          <w:rFonts w:cs="Arial"/>
          <w:color w:val="000000" w:themeColor="text1"/>
          <w:szCs w:val="22"/>
        </w:rPr>
        <w:t>only after membrane disruption. This method had no impact on cell growth and could thus be adapted as a block strategy for pathway yield optimization. However, this demonstration was focused on degrading a single protein for enhanced non-canonical amino acid incorporation in cell-free protein synthesis reactions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{"citationItems":[{"id":"ITEM-1","itemData":{"DOI":"10.1038/s41598-017-03192-z","abstract":"Amber codon suppression for the insertion of non-natural amino acids (nnAAs) is limited by competition with release factor 1 (RF1). Here we describe the genome engineering of a RF1 mutant strain that enhances suppression efficiency during cell-free protein synthesis, without significantly impacting cell growth during biomass production. Specifically, an out membrane protease (OmpT) cleavage site was engineered into the switch loop of RF1, which enables its conditional inactivation during cell lysis. This facilitates extract production without additional processing steps, resulting in a scaleable extract production process. The RF1 mutant extract allows nnAA incorporation at previously intractable sites of an IgG1 and at multiple sites in the same polypeptide chain. Conjugation of cytotoxic agents to these nnAAs, yields homogeneous antibody drug conjugates (ADCs) that can be optimized for conjugation site, drug to antibody ratio (DAR) and linker-warheads designed for efficient tumor killing. This platform provides the means to generate therapeutic ADCs inaccessible by other methods that are efficient in their cytotoxin delivery to tumor with reduced dose-limiting toxicities and thus have the potential for better clinical impact. Consistent and robust production processes for the site-specific generation of antibody-drug conjugates (ADCs) have the potential to generate therapeutic products comprised of a single molecular entity rather than the heterogeneous mixtures present in the approved products of today (Adcetris 1 and Kadcyla 2). The potential benefit is homogeneous ADC products that display more efficient tumor killing (more potency with greater tolerability) than their heterogeneous counterparts. Efficient incorporation of specifically conjugatable non-natural amino acids (nnAAs) into antibodies is an attractive approach to generating homogeneous ADCs offering great flexibility in where they can be positioned. Combining use of nnAAs with cell-free protein synthesis provides a means to rapidly express and discover optimal conjugations sites for tumor cell killing and tolerability assessments and offers opportunities for efficient production. Multiple systems for the incorporation of nnAAs into proteins have been previously exemplified, and in particular suppression of the TAG stop codon (amber) has been widely used 3. Similarly, we recently reported that our cell-free in vitro transcription-translation platform, Xpress CF 4 , employs an engineered o…","author":[{"dropping-particle":"","family":"Yin","given":"Gang","non-dropping-particle":"","parse-names":false,"suffix":""},{"dropping-particle":"","family":"Stephenson","given":"Heather T","non-dropping-particle":"","parse-names":false,"suffix":""},{"dropping-particle":"","family":"Yang","given":"Junhao","non-dropping-particle":"","parse-names":false,"suffix":""},{"dropping-particle":"","family":"Li","given":"Xiaofan","non-dropping-particle":"","parse-names":false,"suffix":""},{"dropping-particle":"","family":"Armstrong","given":"Stephanie M","non-dropping-particle":"","parse-names":false,"suffix":""},{"dropping-particle":"","family":"Heibeck","given":"Tyler H","non-dropping-particle":"","parse-names":false,"suffix":""},{"dropping-particle":"","family":"Tran","given":"Cuong","non-dropping-particle":"","parse-names":false,"suffix":""},{"dropping-particle":"","family":"Masikat","given":"Mary Rose","non-dropping-particle":"","parse-names":false,"suffix":""},{"dropping-particle":"","family":"Zhou","given":"Sihong","non-dropping-particle":"","parse-names":false,"suffix":""},{"dropping-particle":"","family":"Stafford","given":"Ryan L","non-dropping-particle":"","parse-names":false,"suffix":""},{"dropping-particle":"","family":"Yam","given":"Alice Y","non-dropping-particle":"","parse-names":false,"suffix":""},{"dropping-particle":"","family":"Lee","given":"John","non-dropping-particle":"","parse-names":false,"suffix":""},{"dropping-particle":"","family":"Steiner","given":"Alexander R","non-dropping-particle":"","parse-names":false,"suffix":""},{"dropping-particle":"","family":"Gill","given":"Avinash","non-dropping-particle":"","parse-names":false,"suffix":""},{"dropping-particle":"","family":"Penta","given":"Kalyani","non-dropping-particle":"","parse-names":false,"suffix":""},{"dropping-particle":"","family":"Pollitt","given":"Sonia","non-dropping-particle":"","parse-names":false,"suffix":""},{"dropping-particle":"","family":"Baliga","given":"Ramesh","non-dropping-particle":"","parse-names":false,"suffix":""},{"dropping-particle":"","family":"Murray","given":"Christopher J","non-dropping-particle":"","parse-names":false,"suffix":""},{"dropping-particle":"","family":"Thanos","given":"Christopher D","non-dropping-particle":"","parse-names":false,"suffix":""},{"dropping-particle":"","family":"Mcevoy","given":"Leslie M","non-dropping-particle":"","parse-names":false,"suffix":""},{"dropping-particle":"","family":"Sato","given":"Aaron K","non-dropping-particle":"","parse-names":false,"suffix":""},{"dropping-particle":"","family":"Hallam","given":"Trevor J","non-dropping-particle":"","parse-names":false,"suffix":""}],"id":"ITEM-1","issued":{"date-parts":[["0"]]},"title":"RF1 attenuation enables efficient non-natural amino acid incorporation for production of homogeneous antibody drug conjugates OPEN","type":"article-journal"},"uris":["http://www.mendeley.com/documents/?uuid=60a6447b-9563-392a-8bda-890c326003b8"]}],"mendeley":{"formattedCitation":"&lt;sup&gt;184&lt;/sup&gt;","plainTextFormattedCitation":"184","previouslyFormattedCitation":"&lt;sup&gt;184&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184</w:t>
      </w:r>
      <w:r w:rsidRPr="002C0A3B">
        <w:rPr>
          <w:rFonts w:cs="Arial"/>
          <w:color w:val="000000" w:themeColor="text1"/>
          <w:szCs w:val="22"/>
        </w:rPr>
        <w:fldChar w:fldCharType="end"/>
      </w:r>
      <w:r w:rsidRPr="002C0A3B">
        <w:rPr>
          <w:rFonts w:cs="Arial"/>
          <w:color w:val="000000" w:themeColor="text1"/>
          <w:szCs w:val="22"/>
        </w:rPr>
        <w:t xml:space="preserve">. Using this approach to selectively lyse multiple enzymes for metabolic flux rewiring may introduce new challenges, like </w:t>
      </w:r>
      <w:proofErr w:type="spellStart"/>
      <w:r w:rsidRPr="002C0A3B">
        <w:rPr>
          <w:rFonts w:cs="Arial"/>
          <w:color w:val="000000" w:themeColor="text1"/>
          <w:szCs w:val="22"/>
        </w:rPr>
        <w:t>OmpT’s</w:t>
      </w:r>
      <w:proofErr w:type="spellEnd"/>
      <w:r w:rsidRPr="002C0A3B">
        <w:rPr>
          <w:rFonts w:cs="Arial"/>
          <w:color w:val="000000" w:themeColor="text1"/>
          <w:szCs w:val="22"/>
        </w:rPr>
        <w:t xml:space="preserve"> potential proteolysis of metabolic enzymes with dibasic cleavage sites as </w:t>
      </w:r>
      <w:proofErr w:type="spellStart"/>
      <w:r w:rsidRPr="002C0A3B">
        <w:rPr>
          <w:rFonts w:cs="Arial"/>
          <w:color w:val="000000" w:themeColor="text1"/>
          <w:szCs w:val="22"/>
        </w:rPr>
        <w:t>OmpT</w:t>
      </w:r>
      <w:proofErr w:type="spellEnd"/>
      <w:r w:rsidRPr="002C0A3B">
        <w:rPr>
          <w:rFonts w:cs="Arial"/>
          <w:color w:val="000000" w:themeColor="text1"/>
          <w:szCs w:val="22"/>
        </w:rPr>
        <w:t xml:space="preserve"> reportedly has more degradation targets </w:t>
      </w:r>
      <w:r w:rsidRPr="002C0A3B">
        <w:rPr>
          <w:rFonts w:cs="Arial"/>
          <w:color w:val="000000" w:themeColor="text1"/>
          <w:szCs w:val="22"/>
        </w:rPr>
        <w:lastRenderedPageBreak/>
        <w:t>in extracts</w:t>
      </w:r>
      <w:r w:rsidRPr="002C0A3B">
        <w:rPr>
          <w:rFonts w:cs="Arial"/>
          <w:color w:val="000000" w:themeColor="text1"/>
          <w:szCs w:val="22"/>
        </w:rPr>
        <w:fldChar w:fldCharType="begin" w:fldLock="1"/>
      </w:r>
      <w:r w:rsidR="004F3109">
        <w:rPr>
          <w:rFonts w:cs="Arial"/>
          <w:color w:val="000000" w:themeColor="text1"/>
          <w:szCs w:val="22"/>
        </w:rPr>
        <w:instrText>ADDIN CSL_CITATION {"citationItems":[{"id":"ITEM-1","itemData":{"DOI":"10.1128/JB.172.1.491-494.1990","ISSN":"00219193","PMID":"2403549","abstract":"The Escherichia coli outer membrane protease OmpT (protease VII) has been shown to degrade several proteins in vitro, but its function in vivo is uncertain. We demonstrate that OmpT participates in the degradation of a fusion protein secreted into the periplasmic space. A strain with mutations in degP (K.L. Strauch and J. Beckwith, Proc. Natl. Acad. Sci. USA 85:1576-1580, 1988) and ompT exhibits a cumulative decrease in protein degradation and should be useful for the expression of proteolytically sensitive secreted proteins.","author":[{"dropping-particle":"","family":"Baneyx","given":"F.","non-dropping-particle":"","parse-names":false,"suffix":""},{"dropping-particle":"","family":"Georgiou","given":"G.","non-dropping-particle":"","parse-names":false,"suffix":""}],"container-title":"Journal of Bacteriology","id":"ITEM-1","issue":"1","issued":{"date-parts":[["1990"]]},"page":"491","publisher":"American Society for Microbiology (ASM)","title":"In vivo degradation of secreted fusion proteins by the Escherichia coli outer membrane protease OmpT.","type":"article-journal","volume":"172"},"uris":["http://www.mendeley.com/documents/?uuid=f159f66e-bd6b-3812-a676-31f11717001a"]},{"id":"ITEM-2","itemData":{"DOI":"10.3389/fmicb.2014.00172","ISSN":"1664302X","PMID":"24860555","abstract":"Escherichia coli is one of the organisms of choice for the production of recombinant proteins. Its use as a cell factory is well-established and it has become the most popular expression platform. For this reason, there are many molecular tools and protocols at hand for the high-level production of heterologous proteins, such as a vast catalog of expression plasmids, a great number of engineered strains and many cultivation strategies. We review the different approaches for the synthesis of recombinant proteins in E. coli and discuss recent progress in this ever-growing field. ©2014 Rosano and Ceccarelli.","author":[{"dropping-particle":"","family":"Rosano","given":"Germán L.","non-dropping-particle":"","parse-names":false,"suffix":""},{"dropping-particle":"","family":"Ceccarelli","given":"Eduardo A.","non-dropping-particle":"","parse-names":false,"suffix":""}],"container-title":"Frontiers in Microbiology","id":"ITEM-2","issue":"APR","issued":{"date-parts":[["2014","4","17"]]},"page":"172","publisher":"Frontiers Research Foundation","title":"Recombinant protein expression in Escherichia coli: Advances and challenges","type":"article","volume":"5"},"uris":["http://www.mendeley.com/documents/?uuid=36d15e4b-2d25-3aa4-a288-151de39a148c"]},{"id":"ITEM-3","itemData":{"abstract":"Proteolysis in Escherichia coli serves to rid the cell of abnormal and misfolded proteins and to limit the time and amounts of availability of critical regulatory proteins. Most intracellular proteolysis is initiated by energy-dependent proteases, including Lon, ClpXP, and HflB; HflB is the only essential E. coli protease. The ATPase domains of these proteases mediate substrate recognition. Recognition elements in target are not well defined, but are probably not specific amino acid sequences. Naturally unstable protein substrates include the regulatory sigma factors for heat shock and stationary phase gene expression, σ 32 and RpoS. Other cellular proteins serve as environmental sensors that modulate the availability of the unstable proteins to the proteases, resulting in rapid changes in sigma factor levels and therefore in gene transcription. Many of the specific proteases found in E. coli are well-conserved in both prokaryotes and eukaryotes, and serve critical functions in developmental systems.","author":[{"dropping-particle":"","family":"Gottesman","given":"Susan","non-dropping-particle":"","parse-names":false,"suffix":""}],"container-title":"Annu. Rev. Genet","id":"ITEM-3","issued":{"date-parts":[["1996"]]},"page":"465-506","title":"PROTEASES AND THEIR TARGETS IN ESCHERICHIA COLI 1","type":"article-journal","volume":"30"},"uris":["http://www.mendeley.com/documents/?uuid=80eb338e-170e-3fd5-bef6-1ad52e9b8abe"]}],"mendeley":{"formattedCitation":"&lt;sup&gt;38,185,186&lt;/sup&gt;","plainTextFormattedCitation":"38,185,186","previouslyFormattedCitation":"&lt;sup&gt;38,185,186&lt;/sup&gt;"},"properties":{"noteIndex":0},"schema":"https://github.com/citation-style-language/schema/raw/master/csl-citation.json"}</w:instrText>
      </w:r>
      <w:r w:rsidRPr="002C0A3B">
        <w:rPr>
          <w:rFonts w:cs="Arial"/>
          <w:color w:val="000000" w:themeColor="text1"/>
          <w:szCs w:val="22"/>
        </w:rPr>
        <w:fldChar w:fldCharType="separate"/>
      </w:r>
      <w:r w:rsidR="00A91591" w:rsidRPr="00A91591">
        <w:rPr>
          <w:rFonts w:cs="Arial"/>
          <w:noProof/>
          <w:color w:val="000000" w:themeColor="text1"/>
          <w:szCs w:val="22"/>
          <w:vertAlign w:val="superscript"/>
        </w:rPr>
        <w:t>38,185,186</w:t>
      </w:r>
      <w:r w:rsidRPr="002C0A3B">
        <w:rPr>
          <w:rFonts w:cs="Arial"/>
          <w:color w:val="000000" w:themeColor="text1"/>
          <w:szCs w:val="22"/>
        </w:rPr>
        <w:fldChar w:fldCharType="end"/>
      </w:r>
      <w:r w:rsidRPr="002C0A3B">
        <w:rPr>
          <w:rFonts w:cs="Arial"/>
          <w:color w:val="000000" w:themeColor="text1"/>
          <w:szCs w:val="22"/>
        </w:rPr>
        <w:t xml:space="preserve">. Non-native proteases like </w:t>
      </w:r>
      <w:r w:rsidRPr="002C0A3B">
        <w:rPr>
          <w:rFonts w:cs="Arial"/>
          <w:i/>
          <w:iCs/>
          <w:color w:val="000000" w:themeColor="text1"/>
          <w:szCs w:val="22"/>
        </w:rPr>
        <w:t>mf</w:t>
      </w:r>
      <w:r w:rsidRPr="002C0A3B">
        <w:rPr>
          <w:rFonts w:cs="Arial"/>
          <w:color w:val="000000" w:themeColor="text1"/>
          <w:szCs w:val="22"/>
        </w:rPr>
        <w:t>-Lon may be assessed for this type of approach, but tuning the heterologous expression of the outer membrane-localized protease would likely require strain optimization</w:t>
      </w:r>
      <w:r w:rsidRPr="002C0A3B">
        <w:rPr>
          <w:rFonts w:cs="Arial"/>
          <w:color w:val="000000" w:themeColor="text1"/>
          <w:szCs w:val="22"/>
        </w:rPr>
        <w:fldChar w:fldCharType="begin" w:fldLock="1"/>
      </w:r>
      <w:r w:rsidR="00567FF4">
        <w:rPr>
          <w:rFonts w:cs="Arial"/>
          <w:color w:val="000000" w:themeColor="text1"/>
          <w:szCs w:val="22"/>
        </w:rPr>
        <w:instrText>ADDIN CSL_CITATION {"citationItems":[{"id":"ITEM-1","itemData":{"DOI":"10.1016/J.TIBTECH.2016.02.010","ISSN":"0167-7799","PMID":"26996613","abstract":"Engineering cell metabolism for bioproduction not only consumes building blocks and energy molecules (e.g., ATP) but also triggers energetic inefficiency inside the cell. The metabolic burdens on microbial workhorses lead to undesirable physiological changes, placing hidden constraints on host productivity. We discuss cell physiological responses to metabolic burdens, as well as strategies to identify and resolve the carbon and energy burden problems, including metabolic balancing, enhancing respiration, dynamic regulatory systems, chromosomal engineering, decoupling cell growth with production phases, and co-utilization of nutrient resources. To design robust strains with high chances of success in industrial settings, novel genome-scale models (GSMs), 13C-metabolic flux analysis (MFA), and machine-learning approaches are needed for weighting, standardizing, and predicting metabolic costs.","author":[{"dropping-particle":"","family":"Wu","given":"Gang","non-dropping-particle":"","parse-names":false,"suffix":""},{"dropping-particle":"","family":"Yan","given":"Qiang","non-dropping-particle":"","parse-names":false,"suffix":""},{"dropping-particle":"","family":"Jones","given":"J. Andrew","non-dropping-particle":"","parse-names":false,"suffix":""},{"dropping-particle":"","family":"Tang","given":"Yinjie J.","non-dropping-particle":"","parse-names":false,"suffix":""},{"dropping-particle":"","family":"Fong","given":"Stephen S.","non-dropping-particle":"","parse-names":false,"suffix":""},{"dropping-particle":"","family":"Koffas","given":"Mattheos A.G.","non-dropping-particle":"","parse-names":false,"suffix":""}],"container-title":"Trends in Biotechnology","id":"ITEM-1","issue":"8","issued":{"date-parts":[["2016","8","1"]]},"page":"652-664","publisher":"Elsevier Current Trends","title":"Metabolic Burden: Cornerstones in Synthetic Biology and Metabolic Engineering Applications","type":"article-journal","volume":"34"},"uris":["http://www.mendeley.com/documents/?uuid=6cff7243-7aa4-32ae-8c5e-010eef5fbb54"]},{"id":"ITEM-2","itemData":{"DOI":"10.1038/nbt.3053","ISSN":"15461696","abstract":"Tunable control of protein degradation in bacteria would provide a powerful research tool. Here we use components of the Mesoplasma florum transfer-messenger RNA system to create a synthetic degradation system that provides both independent control of steady-state protein level and inducible degradation of targeted proteins in Escherichia coli. We demonstrate application of this system in synthetic circuit development and control of core bacterial processes and antibacterial targets, and we transfer the system to Lactococcus lactis to establish its broad functionality in bacteria. We create a 238-member library of tagged essential proteins in E. coli that can serve as both a research tool to study essential gene function and an applied system for antibiotic discovery. Our synthetic protein degradation system is modular, does not require disruption of host systems and can be transferred to diverse bacteria with minimal modification.","author":[{"dropping-particle":"","family":"Cameron","given":"D. Ewen","non-dropping-particle":"","parse-names":false,"suffix":""},{"dropping-particle":"","family":"Collins","given":"James J.","non-dropping-particle":"","parse-names":false,"suffix":""}],"container-title":"Nature Biotechnology","id":"ITEM-2","issue":"12","issued":{"date-parts":[["2014","12","1"]]},"page":"1276-1281","publisher":"Nature Publishing Group","title":"Tunable protein degradation in bacteria","type":"article-journal","volume":"32"},"uris":["http://www.mendeley.com/documents/?uuid=bbb11851-e109-3e2e-993e-284c2a591975"]}],"mendeley":{"formattedCitation":"&lt;sup&gt;25,133&lt;/sup&gt;","plainTextFormattedCitation":"25,133","previouslyFormattedCitation":"&lt;sup&gt;25,133&lt;/sup&gt;"},"properties":{"noteIndex":0},"schema":"https://github.com/citation-style-language/schema/raw/master/csl-citation.json"}</w:instrText>
      </w:r>
      <w:r w:rsidRPr="002C0A3B">
        <w:rPr>
          <w:rFonts w:cs="Arial"/>
          <w:color w:val="000000" w:themeColor="text1"/>
          <w:szCs w:val="22"/>
        </w:rPr>
        <w:fldChar w:fldCharType="separate"/>
      </w:r>
      <w:r w:rsidR="00567FF4" w:rsidRPr="00567FF4">
        <w:rPr>
          <w:rFonts w:cs="Arial"/>
          <w:noProof/>
          <w:color w:val="000000" w:themeColor="text1"/>
          <w:szCs w:val="22"/>
          <w:vertAlign w:val="superscript"/>
        </w:rPr>
        <w:t>25,133</w:t>
      </w:r>
      <w:r w:rsidRPr="002C0A3B">
        <w:rPr>
          <w:rFonts w:cs="Arial"/>
          <w:color w:val="000000" w:themeColor="text1"/>
          <w:szCs w:val="22"/>
        </w:rPr>
        <w:fldChar w:fldCharType="end"/>
      </w:r>
      <w:r w:rsidRPr="002C0A3B">
        <w:rPr>
          <w:rFonts w:cs="Arial"/>
          <w:color w:val="000000" w:themeColor="text1"/>
          <w:szCs w:val="22"/>
        </w:rPr>
        <w:t xml:space="preserve">. </w:t>
      </w:r>
    </w:p>
    <w:p w14:paraId="1E45B010" w14:textId="77777777" w:rsidR="004E2DE7" w:rsidRPr="002C0A3B" w:rsidRDefault="004E2DE7" w:rsidP="004E2DE7">
      <w:pPr>
        <w:ind w:firstLine="720"/>
        <w:rPr>
          <w:rFonts w:cs="Arial"/>
          <w:color w:val="000000" w:themeColor="text1"/>
          <w:szCs w:val="22"/>
        </w:rPr>
      </w:pPr>
      <w:r w:rsidRPr="002C0A3B">
        <w:rPr>
          <w:rFonts w:cs="Arial"/>
          <w:color w:val="000000" w:themeColor="text1"/>
          <w:szCs w:val="22"/>
        </w:rPr>
        <w:t xml:space="preserve">This work described here illustrates the feasibility of engineering high-yield bioconversion in complex lysate environments by optimizing and combining CFME approaches. Looking forward, we anticipate that the design and execution of pathway-specific, cell-free block-push-pull workflows that can achieve industrially relevant yield metrics for high value molecules in extracts. Variations of the described workflow can be leveraged to study cellular metabolism or to prototype pathway designs before construction </w:t>
      </w:r>
      <w:r w:rsidRPr="002C0A3B">
        <w:rPr>
          <w:rFonts w:cs="Arial"/>
          <w:i/>
          <w:iCs/>
          <w:color w:val="000000" w:themeColor="text1"/>
          <w:szCs w:val="22"/>
        </w:rPr>
        <w:t>in vivo</w:t>
      </w:r>
      <w:r w:rsidRPr="002C0A3B">
        <w:rPr>
          <w:rFonts w:cs="Arial"/>
          <w:color w:val="000000" w:themeColor="text1"/>
          <w:szCs w:val="22"/>
        </w:rPr>
        <w:t xml:space="preserve">. Innovative, low-cost strategies for selective depletion of enzymes will advance commercially viable lysate-based biomanufacturing systems, providing an alternative engineering platform for rapid and sustainable bioconversion.  </w:t>
      </w:r>
    </w:p>
    <w:p w14:paraId="728018DF" w14:textId="77777777" w:rsidR="004E2DE7" w:rsidRPr="002C0A3B" w:rsidRDefault="004E2DE7" w:rsidP="004E2DE7">
      <w:pPr>
        <w:rPr>
          <w:rFonts w:cs="Arial"/>
          <w:color w:val="000000" w:themeColor="text1"/>
          <w:szCs w:val="22"/>
        </w:rPr>
      </w:pPr>
      <w:r w:rsidRPr="002C0A3B">
        <w:rPr>
          <w:rFonts w:cs="Arial"/>
          <w:color w:val="000000" w:themeColor="text1"/>
          <w:szCs w:val="22"/>
        </w:rPr>
        <w:br w:type="page"/>
      </w:r>
    </w:p>
    <w:p w14:paraId="45DC8150" w14:textId="762E471A" w:rsidR="00C60F96" w:rsidRPr="0039202C" w:rsidRDefault="00C60F96" w:rsidP="0039202C">
      <w:pPr>
        <w:jc w:val="center"/>
        <w:rPr>
          <w:rFonts w:cs="Arial"/>
          <w:b/>
          <w:bCs/>
          <w:sz w:val="28"/>
          <w:szCs w:val="28"/>
        </w:rPr>
      </w:pPr>
      <w:r w:rsidRPr="0039202C">
        <w:rPr>
          <w:rFonts w:cs="Arial"/>
          <w:b/>
          <w:bCs/>
          <w:sz w:val="28"/>
          <w:szCs w:val="28"/>
        </w:rPr>
        <w:lastRenderedPageBreak/>
        <w:t>Appendix</w:t>
      </w:r>
    </w:p>
    <w:p w14:paraId="3759ABF6" w14:textId="77777777" w:rsidR="00C60F96" w:rsidRPr="00C60F96" w:rsidRDefault="00C60F96" w:rsidP="00C60F96">
      <w:pPr>
        <w:jc w:val="center"/>
        <w:rPr>
          <w:rFonts w:cs="Arial"/>
          <w:color w:val="000000" w:themeColor="text1"/>
          <w:szCs w:val="22"/>
        </w:rPr>
      </w:pPr>
    </w:p>
    <w:p w14:paraId="0626C44D" w14:textId="77777777" w:rsidR="00C60F96" w:rsidRPr="00C60F96" w:rsidRDefault="00C60F96" w:rsidP="00C60F96">
      <w:pPr>
        <w:jc w:val="center"/>
        <w:rPr>
          <w:rFonts w:cs="Arial"/>
          <w:color w:val="000000" w:themeColor="text1"/>
          <w:szCs w:val="22"/>
        </w:rPr>
      </w:pPr>
      <w:r w:rsidRPr="00C60F96">
        <w:rPr>
          <w:rFonts w:cs="Arial"/>
          <w:noProof/>
          <w:color w:val="000000" w:themeColor="text1"/>
          <w:szCs w:val="22"/>
        </w:rPr>
        <w:drawing>
          <wp:inline distT="0" distB="0" distL="0" distR="0" wp14:anchorId="718C0B15" wp14:editId="48B771DB">
            <wp:extent cx="3816626" cy="2787849"/>
            <wp:effectExtent l="0" t="0" r="0" b="0"/>
            <wp:docPr id="24" name="Picture 2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a:blip r:embed="rId39" cstate="screen">
                      <a:extLst>
                        <a:ext uri="{28A0092B-C50C-407E-A947-70E740481C1C}">
                          <a14:useLocalDpi xmlns:a14="http://schemas.microsoft.com/office/drawing/2010/main"/>
                        </a:ext>
                      </a:extLst>
                    </a:blip>
                    <a:stretch>
                      <a:fillRect/>
                    </a:stretch>
                  </pic:blipFill>
                  <pic:spPr>
                    <a:xfrm>
                      <a:off x="0" y="0"/>
                      <a:ext cx="3843619" cy="2807566"/>
                    </a:xfrm>
                    <a:prstGeom prst="rect">
                      <a:avLst/>
                    </a:prstGeom>
                  </pic:spPr>
                </pic:pic>
              </a:graphicData>
            </a:graphic>
          </wp:inline>
        </w:drawing>
      </w:r>
    </w:p>
    <w:p w14:paraId="6B3D19AC" w14:textId="77777777" w:rsidR="0039202C" w:rsidRDefault="00C60F96" w:rsidP="00F534D3">
      <w:pPr>
        <w:pStyle w:val="Figurecaption"/>
      </w:pPr>
      <w:bookmarkStart w:id="109" w:name="_Toc129701162"/>
      <w:r w:rsidRPr="00C60F96">
        <w:t>Figure 4.</w:t>
      </w:r>
      <w:r w:rsidR="008F37DB">
        <w:t>8</w:t>
      </w:r>
      <w:r w:rsidRPr="00C60F96">
        <w:t>. Residual ethanol from resin suspension storage buffer carried over to time zero lysate reaction set-ups.</w:t>
      </w:r>
      <w:bookmarkEnd w:id="109"/>
    </w:p>
    <w:p w14:paraId="2D9071F6" w14:textId="77777777" w:rsidR="0039202C" w:rsidRDefault="0039202C" w:rsidP="00C60F96">
      <w:pPr>
        <w:rPr>
          <w:rFonts w:cs="Arial"/>
          <w:b/>
          <w:bCs/>
          <w:color w:val="000000" w:themeColor="text1"/>
          <w:szCs w:val="22"/>
        </w:rPr>
      </w:pPr>
    </w:p>
    <w:p w14:paraId="41B8F22D" w14:textId="220ED1B9" w:rsidR="00C60F96" w:rsidRPr="00C60F96" w:rsidRDefault="00C60F96" w:rsidP="00F534D3">
      <w:pPr>
        <w:pStyle w:val="Tablecaption"/>
      </w:pPr>
      <w:bookmarkStart w:id="110" w:name="_Toc129676396"/>
      <w:r w:rsidRPr="00C60F96">
        <w:rPr>
          <w:bCs/>
        </w:rPr>
        <w:t xml:space="preserve">Table 4.1. </w:t>
      </w:r>
      <w:r w:rsidRPr="00C60F96">
        <w:t>Number of cycles needed to wash ethanol off different resin suspension volumes with S30 buffer (for 200 µL lysate).</w:t>
      </w:r>
      <w:bookmarkEnd w:id="110"/>
      <w:r w:rsidRPr="00C60F96">
        <w:t xml:space="preserve"> </w:t>
      </w:r>
    </w:p>
    <w:tbl>
      <w:tblPr>
        <w:tblStyle w:val="TableGrid"/>
        <w:tblW w:w="0" w:type="auto"/>
        <w:jc w:val="center"/>
        <w:tblInd w:w="0" w:type="dxa"/>
        <w:tblLook w:val="04A0" w:firstRow="1" w:lastRow="0" w:firstColumn="1" w:lastColumn="0" w:noHBand="0" w:noVBand="1"/>
      </w:tblPr>
      <w:tblGrid>
        <w:gridCol w:w="3882"/>
        <w:gridCol w:w="3882"/>
      </w:tblGrid>
      <w:tr w:rsidR="00C60F96" w:rsidRPr="00C60F96" w14:paraId="70D29E94" w14:textId="77777777" w:rsidTr="005975C8">
        <w:trPr>
          <w:trHeight w:val="360"/>
          <w:jc w:val="center"/>
        </w:trPr>
        <w:tc>
          <w:tcPr>
            <w:tcW w:w="3882" w:type="dxa"/>
          </w:tcPr>
          <w:p w14:paraId="6F2F71C6" w14:textId="77777777" w:rsidR="00C60F96" w:rsidRPr="00C60F96" w:rsidRDefault="00C60F96" w:rsidP="00C60F96">
            <w:pPr>
              <w:jc w:val="center"/>
              <w:rPr>
                <w:rFonts w:cs="Arial"/>
                <w:b/>
                <w:bCs/>
                <w:color w:val="000000" w:themeColor="text1"/>
              </w:rPr>
            </w:pPr>
            <w:r w:rsidRPr="00C60F96">
              <w:rPr>
                <w:rFonts w:cs="Arial"/>
                <w:b/>
                <w:bCs/>
                <w:color w:val="000000" w:themeColor="text1"/>
              </w:rPr>
              <w:t>Volume resin suspension (µL)</w:t>
            </w:r>
          </w:p>
        </w:tc>
        <w:tc>
          <w:tcPr>
            <w:tcW w:w="3882" w:type="dxa"/>
          </w:tcPr>
          <w:p w14:paraId="0A2CB96F" w14:textId="77777777" w:rsidR="00C60F96" w:rsidRPr="00C60F96" w:rsidRDefault="00C60F96" w:rsidP="00C60F96">
            <w:pPr>
              <w:jc w:val="center"/>
              <w:rPr>
                <w:rFonts w:cs="Arial"/>
                <w:b/>
                <w:bCs/>
                <w:color w:val="000000" w:themeColor="text1"/>
              </w:rPr>
            </w:pPr>
            <w:r w:rsidRPr="00C60F96">
              <w:rPr>
                <w:rFonts w:cs="Arial"/>
                <w:b/>
                <w:bCs/>
                <w:color w:val="000000" w:themeColor="text1"/>
              </w:rPr>
              <w:t>Number of wash cycles</w:t>
            </w:r>
          </w:p>
        </w:tc>
      </w:tr>
      <w:tr w:rsidR="00C60F96" w:rsidRPr="00C60F96" w14:paraId="70698EE0" w14:textId="77777777" w:rsidTr="005975C8">
        <w:trPr>
          <w:trHeight w:val="339"/>
          <w:jc w:val="center"/>
        </w:trPr>
        <w:tc>
          <w:tcPr>
            <w:tcW w:w="3882" w:type="dxa"/>
          </w:tcPr>
          <w:p w14:paraId="5B1A8A00" w14:textId="77777777" w:rsidR="00C60F96" w:rsidRPr="00C60F96" w:rsidRDefault="00C60F96" w:rsidP="00C60F96">
            <w:pPr>
              <w:jc w:val="center"/>
              <w:rPr>
                <w:rFonts w:cs="Arial"/>
                <w:color w:val="000000" w:themeColor="text1"/>
              </w:rPr>
            </w:pPr>
            <w:r w:rsidRPr="00C60F96">
              <w:rPr>
                <w:rFonts w:cs="Arial"/>
                <w:color w:val="000000" w:themeColor="text1"/>
              </w:rPr>
              <w:t>40</w:t>
            </w:r>
          </w:p>
        </w:tc>
        <w:tc>
          <w:tcPr>
            <w:tcW w:w="3882" w:type="dxa"/>
          </w:tcPr>
          <w:p w14:paraId="242D141E" w14:textId="77777777" w:rsidR="00C60F96" w:rsidRPr="00C60F96" w:rsidRDefault="00C60F96" w:rsidP="00C60F96">
            <w:pPr>
              <w:jc w:val="center"/>
              <w:rPr>
                <w:rFonts w:cs="Arial"/>
                <w:color w:val="000000" w:themeColor="text1"/>
              </w:rPr>
            </w:pPr>
            <w:r w:rsidRPr="00C60F96">
              <w:rPr>
                <w:rFonts w:cs="Arial"/>
                <w:color w:val="000000" w:themeColor="text1"/>
              </w:rPr>
              <w:t>2</w:t>
            </w:r>
          </w:p>
        </w:tc>
      </w:tr>
      <w:tr w:rsidR="00C60F96" w:rsidRPr="00C60F96" w14:paraId="3454DDA7" w14:textId="77777777" w:rsidTr="005975C8">
        <w:trPr>
          <w:trHeight w:val="360"/>
          <w:jc w:val="center"/>
        </w:trPr>
        <w:tc>
          <w:tcPr>
            <w:tcW w:w="3882" w:type="dxa"/>
          </w:tcPr>
          <w:p w14:paraId="1C9B0843" w14:textId="77777777" w:rsidR="00C60F96" w:rsidRPr="00C60F96" w:rsidRDefault="00C60F96" w:rsidP="00C60F96">
            <w:pPr>
              <w:jc w:val="center"/>
              <w:rPr>
                <w:rFonts w:cs="Arial"/>
                <w:color w:val="000000" w:themeColor="text1"/>
              </w:rPr>
            </w:pPr>
            <w:r w:rsidRPr="00C60F96">
              <w:rPr>
                <w:rFonts w:cs="Arial"/>
                <w:color w:val="000000" w:themeColor="text1"/>
              </w:rPr>
              <w:t>120</w:t>
            </w:r>
          </w:p>
        </w:tc>
        <w:tc>
          <w:tcPr>
            <w:tcW w:w="3882" w:type="dxa"/>
          </w:tcPr>
          <w:p w14:paraId="0298A093" w14:textId="77777777" w:rsidR="00C60F96" w:rsidRPr="00C60F96" w:rsidRDefault="00C60F96" w:rsidP="00C60F96">
            <w:pPr>
              <w:jc w:val="center"/>
              <w:rPr>
                <w:rFonts w:cs="Arial"/>
                <w:color w:val="000000" w:themeColor="text1"/>
              </w:rPr>
            </w:pPr>
            <w:r w:rsidRPr="00C60F96">
              <w:rPr>
                <w:rFonts w:cs="Arial"/>
                <w:color w:val="000000" w:themeColor="text1"/>
              </w:rPr>
              <w:t>2</w:t>
            </w:r>
          </w:p>
        </w:tc>
      </w:tr>
      <w:tr w:rsidR="00C60F96" w:rsidRPr="00C60F96" w14:paraId="17C259CC" w14:textId="77777777" w:rsidTr="005975C8">
        <w:trPr>
          <w:trHeight w:val="360"/>
          <w:jc w:val="center"/>
        </w:trPr>
        <w:tc>
          <w:tcPr>
            <w:tcW w:w="3882" w:type="dxa"/>
          </w:tcPr>
          <w:p w14:paraId="36C816A1" w14:textId="77777777" w:rsidR="00C60F96" w:rsidRPr="00C60F96" w:rsidRDefault="00C60F96" w:rsidP="00C60F96">
            <w:pPr>
              <w:jc w:val="center"/>
              <w:rPr>
                <w:rFonts w:cs="Arial"/>
                <w:color w:val="000000" w:themeColor="text1"/>
              </w:rPr>
            </w:pPr>
            <w:r w:rsidRPr="00C60F96">
              <w:rPr>
                <w:rFonts w:cs="Arial"/>
                <w:color w:val="000000" w:themeColor="text1"/>
              </w:rPr>
              <w:t>200</w:t>
            </w:r>
          </w:p>
        </w:tc>
        <w:tc>
          <w:tcPr>
            <w:tcW w:w="3882" w:type="dxa"/>
          </w:tcPr>
          <w:p w14:paraId="3518E97E" w14:textId="77777777" w:rsidR="00C60F96" w:rsidRPr="00C60F96" w:rsidRDefault="00C60F96" w:rsidP="00C60F96">
            <w:pPr>
              <w:jc w:val="center"/>
              <w:rPr>
                <w:rFonts w:cs="Arial"/>
                <w:color w:val="000000" w:themeColor="text1"/>
              </w:rPr>
            </w:pPr>
            <w:r w:rsidRPr="00C60F96">
              <w:rPr>
                <w:rFonts w:cs="Arial"/>
                <w:color w:val="000000" w:themeColor="text1"/>
              </w:rPr>
              <w:t>3</w:t>
            </w:r>
          </w:p>
        </w:tc>
      </w:tr>
      <w:tr w:rsidR="00C60F96" w:rsidRPr="00C60F96" w14:paraId="79BA4436" w14:textId="77777777" w:rsidTr="005975C8">
        <w:trPr>
          <w:trHeight w:val="339"/>
          <w:jc w:val="center"/>
        </w:trPr>
        <w:tc>
          <w:tcPr>
            <w:tcW w:w="3882" w:type="dxa"/>
          </w:tcPr>
          <w:p w14:paraId="15FBA47B" w14:textId="77777777" w:rsidR="00C60F96" w:rsidRPr="00C60F96" w:rsidRDefault="00C60F96" w:rsidP="00C60F96">
            <w:pPr>
              <w:jc w:val="center"/>
              <w:rPr>
                <w:rFonts w:cs="Arial"/>
                <w:color w:val="000000" w:themeColor="text1"/>
              </w:rPr>
            </w:pPr>
            <w:r w:rsidRPr="00C60F96">
              <w:rPr>
                <w:rFonts w:cs="Arial"/>
                <w:color w:val="000000" w:themeColor="text1"/>
              </w:rPr>
              <w:t>280</w:t>
            </w:r>
          </w:p>
        </w:tc>
        <w:tc>
          <w:tcPr>
            <w:tcW w:w="3882" w:type="dxa"/>
          </w:tcPr>
          <w:p w14:paraId="71E1AD17" w14:textId="77777777" w:rsidR="00C60F96" w:rsidRPr="00C60F96" w:rsidRDefault="00C60F96" w:rsidP="00C60F96">
            <w:pPr>
              <w:jc w:val="center"/>
              <w:rPr>
                <w:rFonts w:cs="Arial"/>
                <w:color w:val="000000" w:themeColor="text1"/>
              </w:rPr>
            </w:pPr>
            <w:r w:rsidRPr="00C60F96">
              <w:rPr>
                <w:rFonts w:cs="Arial"/>
                <w:color w:val="000000" w:themeColor="text1"/>
              </w:rPr>
              <w:t>5</w:t>
            </w:r>
          </w:p>
        </w:tc>
      </w:tr>
      <w:tr w:rsidR="00C60F96" w:rsidRPr="00C60F96" w14:paraId="67C8035B" w14:textId="77777777" w:rsidTr="005975C8">
        <w:trPr>
          <w:trHeight w:val="360"/>
          <w:jc w:val="center"/>
        </w:trPr>
        <w:tc>
          <w:tcPr>
            <w:tcW w:w="3882" w:type="dxa"/>
          </w:tcPr>
          <w:p w14:paraId="79D7CB5E" w14:textId="77777777" w:rsidR="00C60F96" w:rsidRPr="00C60F96" w:rsidRDefault="00C60F96" w:rsidP="00C60F96">
            <w:pPr>
              <w:jc w:val="center"/>
              <w:rPr>
                <w:rFonts w:cs="Arial"/>
                <w:color w:val="000000" w:themeColor="text1"/>
              </w:rPr>
            </w:pPr>
            <w:r w:rsidRPr="00C60F96">
              <w:rPr>
                <w:rFonts w:cs="Arial"/>
                <w:color w:val="000000" w:themeColor="text1"/>
              </w:rPr>
              <w:t>360</w:t>
            </w:r>
          </w:p>
        </w:tc>
        <w:tc>
          <w:tcPr>
            <w:tcW w:w="3882" w:type="dxa"/>
          </w:tcPr>
          <w:p w14:paraId="66A1C9CF" w14:textId="77777777" w:rsidR="00C60F96" w:rsidRPr="00C60F96" w:rsidRDefault="00C60F96" w:rsidP="00C60F96">
            <w:pPr>
              <w:jc w:val="center"/>
              <w:rPr>
                <w:rFonts w:cs="Arial"/>
                <w:color w:val="000000" w:themeColor="text1"/>
              </w:rPr>
            </w:pPr>
            <w:r w:rsidRPr="00C60F96">
              <w:rPr>
                <w:rFonts w:cs="Arial"/>
                <w:color w:val="000000" w:themeColor="text1"/>
              </w:rPr>
              <w:t>7</w:t>
            </w:r>
          </w:p>
        </w:tc>
      </w:tr>
    </w:tbl>
    <w:p w14:paraId="7F35AF3E" w14:textId="77777777" w:rsidR="00C60F96" w:rsidRPr="00C60F96" w:rsidRDefault="00C60F96" w:rsidP="00C60F96">
      <w:pPr>
        <w:pStyle w:val="NormalWeb"/>
        <w:spacing w:before="0" w:beforeAutospacing="0" w:after="0" w:afterAutospacing="0"/>
        <w:rPr>
          <w:rFonts w:ascii="Arial" w:hAnsi="Arial" w:cs="Arial"/>
          <w:color w:val="000000" w:themeColor="text1"/>
          <w:szCs w:val="22"/>
        </w:rPr>
      </w:pPr>
    </w:p>
    <w:p w14:paraId="4990E106" w14:textId="77777777" w:rsidR="00C60F96" w:rsidRPr="00C60F96" w:rsidRDefault="00C60F96" w:rsidP="00C60F96">
      <w:pPr>
        <w:rPr>
          <w:rFonts w:cs="Arial"/>
          <w:color w:val="000000" w:themeColor="text1"/>
          <w:szCs w:val="22"/>
        </w:rPr>
      </w:pPr>
      <w:r w:rsidRPr="00C60F96">
        <w:rPr>
          <w:rFonts w:cs="Arial"/>
          <w:color w:val="000000" w:themeColor="text1"/>
          <w:szCs w:val="22"/>
        </w:rPr>
        <w:br w:type="page"/>
      </w:r>
    </w:p>
    <w:p w14:paraId="561574A0" w14:textId="77777777" w:rsidR="00C60F96" w:rsidRPr="00C60F96" w:rsidRDefault="00C60F96" w:rsidP="00C60F96">
      <w:pPr>
        <w:jc w:val="center"/>
        <w:rPr>
          <w:rFonts w:cs="Arial"/>
          <w:color w:val="000000" w:themeColor="text1"/>
          <w:szCs w:val="22"/>
          <w:highlight w:val="yellow"/>
        </w:rPr>
      </w:pPr>
      <w:r w:rsidRPr="00C60F96">
        <w:rPr>
          <w:rFonts w:cs="Arial"/>
          <w:noProof/>
          <w:color w:val="000000" w:themeColor="text1"/>
          <w:szCs w:val="22"/>
        </w:rPr>
        <w:lastRenderedPageBreak/>
        <w:drawing>
          <wp:inline distT="0" distB="0" distL="0" distR="0" wp14:anchorId="13686A7A" wp14:editId="2B0F65AA">
            <wp:extent cx="4427890" cy="3175686"/>
            <wp:effectExtent l="0" t="0" r="0" b="0"/>
            <wp:docPr id="26" name="Picture 2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logo&#10;&#10;Description automatically generated"/>
                    <pic:cNvPicPr/>
                  </pic:nvPicPr>
                  <pic:blipFill>
                    <a:blip r:embed="rId40" cstate="screen">
                      <a:extLst>
                        <a:ext uri="{28A0092B-C50C-407E-A947-70E740481C1C}">
                          <a14:useLocalDpi xmlns:a14="http://schemas.microsoft.com/office/drawing/2010/main"/>
                        </a:ext>
                      </a:extLst>
                    </a:blip>
                    <a:stretch>
                      <a:fillRect/>
                    </a:stretch>
                  </pic:blipFill>
                  <pic:spPr>
                    <a:xfrm>
                      <a:off x="0" y="0"/>
                      <a:ext cx="4483456" cy="3215538"/>
                    </a:xfrm>
                    <a:prstGeom prst="rect">
                      <a:avLst/>
                    </a:prstGeom>
                  </pic:spPr>
                </pic:pic>
              </a:graphicData>
            </a:graphic>
          </wp:inline>
        </w:drawing>
      </w:r>
    </w:p>
    <w:p w14:paraId="102808FA" w14:textId="08BBE86D" w:rsidR="00C60F96" w:rsidRDefault="00C60F96" w:rsidP="00C60F96">
      <w:pPr>
        <w:rPr>
          <w:rFonts w:cs="Arial"/>
          <w:color w:val="000000" w:themeColor="text1"/>
          <w:szCs w:val="22"/>
        </w:rPr>
      </w:pPr>
      <w:bookmarkStart w:id="111" w:name="_Toc129701163"/>
      <w:r w:rsidRPr="00F534D3">
        <w:rPr>
          <w:rStyle w:val="FigurecaptionChar"/>
        </w:rPr>
        <w:t>Figure 4.</w:t>
      </w:r>
      <w:r w:rsidR="008F37DB" w:rsidRPr="00F534D3">
        <w:rPr>
          <w:rStyle w:val="FigurecaptionChar"/>
        </w:rPr>
        <w:t>9</w:t>
      </w:r>
      <w:r w:rsidRPr="00F534D3">
        <w:rPr>
          <w:rStyle w:val="FigurecaptionChar"/>
        </w:rPr>
        <w:t xml:space="preserve">. Contribution of </w:t>
      </w:r>
      <w:proofErr w:type="spellStart"/>
      <w:r w:rsidRPr="00F534D3">
        <w:rPr>
          <w:rStyle w:val="FigurecaptionChar"/>
        </w:rPr>
        <w:t>PflB</w:t>
      </w:r>
      <w:proofErr w:type="spellEnd"/>
      <w:r w:rsidRPr="00F534D3">
        <w:rPr>
          <w:rStyle w:val="FigurecaptionChar"/>
        </w:rPr>
        <w:t xml:space="preserve"> depletion to the improvement of ethanol yield in </w:t>
      </w:r>
      <w:proofErr w:type="spellStart"/>
      <w:r w:rsidRPr="00F534D3">
        <w:rPr>
          <w:rStyle w:val="FigurecaptionChar"/>
        </w:rPr>
        <w:t>LdhA</w:t>
      </w:r>
      <w:proofErr w:type="spellEnd"/>
      <w:r w:rsidRPr="00F534D3">
        <w:rPr>
          <w:rStyle w:val="FigurecaptionChar"/>
        </w:rPr>
        <w:t xml:space="preserve"> depleted lysates.</w:t>
      </w:r>
      <w:bookmarkEnd w:id="111"/>
      <w:r w:rsidRPr="00C60F96">
        <w:rPr>
          <w:rFonts w:cs="Arial"/>
          <w:color w:val="000000" w:themeColor="text1"/>
          <w:szCs w:val="22"/>
        </w:rPr>
        <w:t xml:space="preserve"> Lysates were derived from a strain that endogenously expresses both 6xHis-tagged </w:t>
      </w:r>
      <w:proofErr w:type="spellStart"/>
      <w:r w:rsidRPr="00C60F96">
        <w:rPr>
          <w:rFonts w:cs="Arial"/>
          <w:color w:val="000000" w:themeColor="text1"/>
          <w:szCs w:val="22"/>
        </w:rPr>
        <w:t>LdhA</w:t>
      </w:r>
      <w:proofErr w:type="spellEnd"/>
      <w:r w:rsidRPr="00C60F96">
        <w:rPr>
          <w:rFonts w:cs="Arial"/>
          <w:color w:val="000000" w:themeColor="text1"/>
          <w:szCs w:val="22"/>
        </w:rPr>
        <w:t xml:space="preserve"> and </w:t>
      </w:r>
      <w:proofErr w:type="spellStart"/>
      <w:r w:rsidRPr="00C60F96">
        <w:rPr>
          <w:rFonts w:cs="Arial"/>
          <w:color w:val="000000" w:themeColor="text1"/>
          <w:szCs w:val="22"/>
        </w:rPr>
        <w:t>PflB</w:t>
      </w:r>
      <w:proofErr w:type="spellEnd"/>
      <w:r w:rsidRPr="00C60F96">
        <w:rPr>
          <w:rFonts w:cs="Arial"/>
          <w:color w:val="000000" w:themeColor="text1"/>
          <w:szCs w:val="22"/>
        </w:rPr>
        <w:t xml:space="preserve"> or 6xHis-tagged </w:t>
      </w:r>
      <w:proofErr w:type="spellStart"/>
      <w:r w:rsidRPr="00C60F96">
        <w:rPr>
          <w:rFonts w:cs="Arial"/>
          <w:color w:val="000000" w:themeColor="text1"/>
          <w:szCs w:val="22"/>
        </w:rPr>
        <w:t>LdhA</w:t>
      </w:r>
      <w:proofErr w:type="spellEnd"/>
      <w:r w:rsidRPr="00C60F96">
        <w:rPr>
          <w:rFonts w:cs="Arial"/>
          <w:color w:val="000000" w:themeColor="text1"/>
          <w:szCs w:val="22"/>
        </w:rPr>
        <w:t xml:space="preserve"> alone. Lysates were depleted by mixing 200 µL lysate with washed Co</w:t>
      </w:r>
      <w:r w:rsidRPr="00C60F96">
        <w:rPr>
          <w:rFonts w:cs="Arial"/>
          <w:color w:val="000000" w:themeColor="text1"/>
          <w:szCs w:val="22"/>
          <w:vertAlign w:val="superscript"/>
        </w:rPr>
        <w:t>2+</w:t>
      </w:r>
      <w:r w:rsidRPr="00C60F96">
        <w:rPr>
          <w:rFonts w:cs="Arial"/>
          <w:color w:val="000000" w:themeColor="text1"/>
          <w:szCs w:val="22"/>
        </w:rPr>
        <w:t xml:space="preserve"> beads from a 200 µL resin suspension. Reactions were initiated with 100 mM glucose and incubated for ~ 20 </w:t>
      </w:r>
      <w:proofErr w:type="spellStart"/>
      <w:r w:rsidRPr="00C60F96">
        <w:rPr>
          <w:rFonts w:cs="Arial"/>
          <w:color w:val="000000" w:themeColor="text1"/>
          <w:szCs w:val="22"/>
        </w:rPr>
        <w:t>hrs</w:t>
      </w:r>
      <w:proofErr w:type="spellEnd"/>
      <w:r w:rsidRPr="00C60F96">
        <w:rPr>
          <w:rFonts w:cs="Arial"/>
          <w:color w:val="000000" w:themeColor="text1"/>
          <w:szCs w:val="22"/>
        </w:rPr>
        <w:t xml:space="preserve"> at 37˚C along with non-depleted control reactions. Depletion reactions were used for all conditions and error bars represent standard error of the mean (n=3).</w:t>
      </w:r>
    </w:p>
    <w:p w14:paraId="2BD063E2" w14:textId="77777777" w:rsidR="00F534D3" w:rsidRPr="00C60F96" w:rsidRDefault="00F534D3" w:rsidP="00C60F96">
      <w:pPr>
        <w:rPr>
          <w:rFonts w:cs="Arial"/>
          <w:color w:val="000000" w:themeColor="text1"/>
          <w:szCs w:val="22"/>
        </w:rPr>
      </w:pPr>
    </w:p>
    <w:p w14:paraId="36E80336" w14:textId="14102EDB" w:rsidR="00C60F96" w:rsidRPr="00C60F96" w:rsidRDefault="00C60F96" w:rsidP="0039202C">
      <w:pPr>
        <w:spacing w:line="240" w:lineRule="auto"/>
        <w:rPr>
          <w:rFonts w:cs="Arial"/>
          <w:color w:val="000000" w:themeColor="text1"/>
          <w:szCs w:val="22"/>
        </w:rPr>
      </w:pPr>
    </w:p>
    <w:p w14:paraId="24007DFD" w14:textId="77777777" w:rsidR="00C60F96" w:rsidRPr="00C60F96" w:rsidRDefault="00C60F96" w:rsidP="00C60F96">
      <w:pPr>
        <w:jc w:val="center"/>
        <w:rPr>
          <w:rFonts w:cs="Arial"/>
          <w:color w:val="000000" w:themeColor="text1"/>
          <w:szCs w:val="22"/>
        </w:rPr>
      </w:pPr>
      <w:r w:rsidRPr="00C60F96">
        <w:rPr>
          <w:rFonts w:cs="Arial"/>
          <w:noProof/>
          <w:color w:val="000000" w:themeColor="text1"/>
          <w:szCs w:val="22"/>
        </w:rPr>
        <w:lastRenderedPageBreak/>
        <w:drawing>
          <wp:inline distT="0" distB="0" distL="0" distR="0" wp14:anchorId="79365DE8" wp14:editId="7A1F4072">
            <wp:extent cx="4121252" cy="2891481"/>
            <wp:effectExtent l="0" t="0" r="0" b="0"/>
            <wp:docPr id="27" name="Picture 2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bar chart&#10;&#10;Description automatically generated"/>
                    <pic:cNvPicPr/>
                  </pic:nvPicPr>
                  <pic:blipFill>
                    <a:blip r:embed="rId41" cstate="screen">
                      <a:extLst>
                        <a:ext uri="{28A0092B-C50C-407E-A947-70E740481C1C}">
                          <a14:useLocalDpi xmlns:a14="http://schemas.microsoft.com/office/drawing/2010/main"/>
                        </a:ext>
                      </a:extLst>
                    </a:blip>
                    <a:stretch>
                      <a:fillRect/>
                    </a:stretch>
                  </pic:blipFill>
                  <pic:spPr>
                    <a:xfrm>
                      <a:off x="0" y="0"/>
                      <a:ext cx="4164476" cy="2921807"/>
                    </a:xfrm>
                    <a:prstGeom prst="rect">
                      <a:avLst/>
                    </a:prstGeom>
                  </pic:spPr>
                </pic:pic>
              </a:graphicData>
            </a:graphic>
          </wp:inline>
        </w:drawing>
      </w:r>
    </w:p>
    <w:p w14:paraId="41EE2974" w14:textId="2E9975B0" w:rsidR="00C60F96" w:rsidRPr="00C60F96" w:rsidRDefault="00C60F96" w:rsidP="00C60F96">
      <w:pPr>
        <w:rPr>
          <w:rFonts w:cs="Arial"/>
          <w:color w:val="000000" w:themeColor="text1"/>
          <w:szCs w:val="22"/>
        </w:rPr>
      </w:pPr>
      <w:bookmarkStart w:id="112" w:name="_Toc129701164"/>
      <w:r w:rsidRPr="00F534D3">
        <w:rPr>
          <w:rStyle w:val="FigurecaptionChar"/>
        </w:rPr>
        <w:t>Figure 4.</w:t>
      </w:r>
      <w:r w:rsidR="008F37DB" w:rsidRPr="00F534D3">
        <w:rPr>
          <w:rStyle w:val="FigurecaptionChar"/>
        </w:rPr>
        <w:t>10</w:t>
      </w:r>
      <w:r w:rsidRPr="00F534D3">
        <w:rPr>
          <w:rStyle w:val="FigurecaptionChar"/>
        </w:rPr>
        <w:t>. Additional NAD+ was supplemented to reactions prepared with blocked lysate, 100 mM Glucose, 0 mM CoA and ATP, but had no improvement or significant effect on % ethanol yield from glucose beyond 2 mM NAD+.</w:t>
      </w:r>
      <w:bookmarkEnd w:id="112"/>
      <w:r w:rsidRPr="00C60F96">
        <w:rPr>
          <w:rFonts w:cs="Arial"/>
          <w:color w:val="000000" w:themeColor="text1"/>
          <w:szCs w:val="22"/>
        </w:rPr>
        <w:t xml:space="preserve"> Reactions were incubated at 37˚C for 20 hrs. Depletion replicates were used for all conditions and error bars represent standard errors (n=3). </w:t>
      </w:r>
    </w:p>
    <w:p w14:paraId="20053C70" w14:textId="77777777" w:rsidR="00C60F96" w:rsidRPr="00C60F96" w:rsidRDefault="00C60F96" w:rsidP="0039202C">
      <w:pPr>
        <w:jc w:val="center"/>
        <w:rPr>
          <w:rFonts w:cs="Arial"/>
          <w:color w:val="000000" w:themeColor="text1"/>
          <w:szCs w:val="22"/>
        </w:rPr>
      </w:pPr>
      <w:r w:rsidRPr="00C60F96">
        <w:rPr>
          <w:rFonts w:cs="Arial"/>
          <w:noProof/>
          <w:color w:val="000000" w:themeColor="text1"/>
          <w:szCs w:val="22"/>
        </w:rPr>
        <w:lastRenderedPageBreak/>
        <w:drawing>
          <wp:inline distT="0" distB="0" distL="0" distR="0" wp14:anchorId="41D017E7" wp14:editId="75539C74">
            <wp:extent cx="4324825" cy="6506817"/>
            <wp:effectExtent l="0" t="0" r="0" b="0"/>
            <wp:docPr id="35" name="Picture 3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graphical user interface&#10;&#10;Description automatically generated"/>
                    <pic:cNvPicPr/>
                  </pic:nvPicPr>
                  <pic:blipFill>
                    <a:blip r:embed="rId42" cstate="screen">
                      <a:extLst>
                        <a:ext uri="{28A0092B-C50C-407E-A947-70E740481C1C}">
                          <a14:useLocalDpi xmlns:a14="http://schemas.microsoft.com/office/drawing/2010/main"/>
                        </a:ext>
                      </a:extLst>
                    </a:blip>
                    <a:stretch>
                      <a:fillRect/>
                    </a:stretch>
                  </pic:blipFill>
                  <pic:spPr>
                    <a:xfrm>
                      <a:off x="0" y="0"/>
                      <a:ext cx="4352189" cy="6547987"/>
                    </a:xfrm>
                    <a:prstGeom prst="rect">
                      <a:avLst/>
                    </a:prstGeom>
                  </pic:spPr>
                </pic:pic>
              </a:graphicData>
            </a:graphic>
          </wp:inline>
        </w:drawing>
      </w:r>
    </w:p>
    <w:p w14:paraId="03EC526F" w14:textId="025E1AC2" w:rsidR="00C60F96" w:rsidRPr="00C60F96" w:rsidRDefault="00C60F96" w:rsidP="00C60F96">
      <w:pPr>
        <w:rPr>
          <w:rFonts w:cs="Arial"/>
          <w:color w:val="000000" w:themeColor="text1"/>
          <w:szCs w:val="22"/>
        </w:rPr>
      </w:pPr>
      <w:bookmarkStart w:id="113" w:name="_Toc129701165"/>
      <w:r w:rsidRPr="00F534D3">
        <w:rPr>
          <w:rStyle w:val="FigurecaptionChar"/>
        </w:rPr>
        <w:t>Figure 4.</w:t>
      </w:r>
      <w:r w:rsidR="008F37DB" w:rsidRPr="00F534D3">
        <w:rPr>
          <w:rStyle w:val="FigurecaptionChar"/>
        </w:rPr>
        <w:t>11</w:t>
      </w:r>
      <w:r w:rsidRPr="00F534D3">
        <w:rPr>
          <w:rStyle w:val="FigurecaptionChar"/>
        </w:rPr>
        <w:t>. Acetate production or consumption in reactions</w:t>
      </w:r>
      <w:r w:rsidR="00F534D3" w:rsidRPr="00F534D3">
        <w:rPr>
          <w:rStyle w:val="FigurecaptionChar"/>
        </w:rPr>
        <w:t>.</w:t>
      </w:r>
      <w:bookmarkEnd w:id="113"/>
      <w:r w:rsidRPr="00F534D3">
        <w:rPr>
          <w:rStyle w:val="FigurecaptionChar"/>
        </w:rPr>
        <w:t xml:space="preserve"> </w:t>
      </w:r>
      <w:r w:rsidR="00F534D3">
        <w:rPr>
          <w:rFonts w:cs="Arial"/>
          <w:color w:val="000000" w:themeColor="text1"/>
          <w:szCs w:val="22"/>
        </w:rPr>
        <w:t>These</w:t>
      </w:r>
      <w:r w:rsidRPr="00C60F96">
        <w:rPr>
          <w:rFonts w:cs="Arial"/>
          <w:color w:val="000000" w:themeColor="text1"/>
          <w:szCs w:val="22"/>
        </w:rPr>
        <w:t xml:space="preserve"> were </w:t>
      </w:r>
      <w:r w:rsidRPr="00C60F96">
        <w:rPr>
          <w:rFonts w:cs="Arial"/>
          <w:b/>
          <w:bCs/>
          <w:color w:val="000000" w:themeColor="text1"/>
          <w:szCs w:val="22"/>
        </w:rPr>
        <w:t>A)</w:t>
      </w:r>
      <w:r w:rsidRPr="00C60F96">
        <w:rPr>
          <w:rFonts w:cs="Arial"/>
          <w:color w:val="000000" w:themeColor="text1"/>
          <w:szCs w:val="22"/>
        </w:rPr>
        <w:t xml:space="preserve"> initiated with 0 mM ATP and various combinations of NAD</w:t>
      </w:r>
      <w:r w:rsidRPr="00C60F96">
        <w:rPr>
          <w:rFonts w:cs="Arial"/>
          <w:color w:val="000000" w:themeColor="text1"/>
          <w:szCs w:val="22"/>
          <w:vertAlign w:val="superscript"/>
        </w:rPr>
        <w:t>+</w:t>
      </w:r>
      <w:r w:rsidRPr="00C60F96">
        <w:rPr>
          <w:rFonts w:cs="Arial"/>
          <w:color w:val="000000" w:themeColor="text1"/>
          <w:szCs w:val="22"/>
        </w:rPr>
        <w:t xml:space="preserve"> and CoA, </w:t>
      </w:r>
      <w:r w:rsidRPr="00C60F96">
        <w:rPr>
          <w:rFonts w:cs="Arial"/>
          <w:b/>
          <w:bCs/>
          <w:color w:val="000000" w:themeColor="text1"/>
          <w:szCs w:val="22"/>
        </w:rPr>
        <w:t xml:space="preserve">B) </w:t>
      </w:r>
      <w:r w:rsidRPr="00C60F96">
        <w:rPr>
          <w:rFonts w:cs="Arial"/>
          <w:color w:val="000000" w:themeColor="text1"/>
          <w:szCs w:val="22"/>
        </w:rPr>
        <w:t xml:space="preserve">incubated in different enclosed reaction vessels, </w:t>
      </w:r>
      <w:r w:rsidRPr="00C60F96">
        <w:rPr>
          <w:rFonts w:cs="Arial"/>
          <w:b/>
          <w:bCs/>
          <w:color w:val="000000" w:themeColor="text1"/>
          <w:szCs w:val="22"/>
        </w:rPr>
        <w:t xml:space="preserve">C) </w:t>
      </w:r>
      <w:r w:rsidRPr="00C60F96">
        <w:rPr>
          <w:rFonts w:cs="Arial"/>
          <w:color w:val="000000" w:themeColor="text1"/>
          <w:szCs w:val="22"/>
        </w:rPr>
        <w:t xml:space="preserve">initiated with varying pH levels, </w:t>
      </w:r>
      <w:r w:rsidRPr="00C60F96">
        <w:rPr>
          <w:rFonts w:cs="Arial"/>
          <w:b/>
          <w:bCs/>
          <w:color w:val="000000" w:themeColor="text1"/>
          <w:szCs w:val="22"/>
        </w:rPr>
        <w:t xml:space="preserve">D) </w:t>
      </w:r>
      <w:r w:rsidRPr="00C60F96">
        <w:rPr>
          <w:rFonts w:cs="Arial"/>
          <w:color w:val="000000" w:themeColor="text1"/>
          <w:szCs w:val="22"/>
        </w:rPr>
        <w:t>prepared with lysates derived from strains grown in different cultivation conditions. Depletion replicates were used for all conditions and error bars represent standard errors (n=3).</w:t>
      </w:r>
    </w:p>
    <w:p w14:paraId="795F6A11" w14:textId="77777777" w:rsidR="00C60F96" w:rsidRPr="00C60F96" w:rsidRDefault="00C60F96" w:rsidP="0039202C">
      <w:pPr>
        <w:jc w:val="center"/>
        <w:rPr>
          <w:rFonts w:cs="Arial"/>
          <w:color w:val="000000" w:themeColor="text1"/>
          <w:szCs w:val="22"/>
        </w:rPr>
      </w:pPr>
      <w:r w:rsidRPr="00C60F96">
        <w:rPr>
          <w:rFonts w:cs="Arial"/>
          <w:noProof/>
          <w:color w:val="000000" w:themeColor="text1"/>
          <w:szCs w:val="22"/>
        </w:rPr>
        <w:lastRenderedPageBreak/>
        <w:drawing>
          <wp:inline distT="0" distB="0" distL="0" distR="0" wp14:anchorId="7DDF491A" wp14:editId="00D3CED7">
            <wp:extent cx="4117100" cy="2690191"/>
            <wp:effectExtent l="0" t="0" r="0" b="2540"/>
            <wp:docPr id="36" name="Picture 3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box and whisker chart&#10;&#10;Description automatically generated"/>
                    <pic:cNvPicPr/>
                  </pic:nvPicPr>
                  <pic:blipFill>
                    <a:blip r:embed="rId43" cstate="screen">
                      <a:extLst>
                        <a:ext uri="{28A0092B-C50C-407E-A947-70E740481C1C}">
                          <a14:useLocalDpi xmlns:a14="http://schemas.microsoft.com/office/drawing/2010/main"/>
                        </a:ext>
                      </a:extLst>
                    </a:blip>
                    <a:stretch>
                      <a:fillRect/>
                    </a:stretch>
                  </pic:blipFill>
                  <pic:spPr>
                    <a:xfrm>
                      <a:off x="0" y="0"/>
                      <a:ext cx="4141369" cy="2706049"/>
                    </a:xfrm>
                    <a:prstGeom prst="rect">
                      <a:avLst/>
                    </a:prstGeom>
                  </pic:spPr>
                </pic:pic>
              </a:graphicData>
            </a:graphic>
          </wp:inline>
        </w:drawing>
      </w:r>
    </w:p>
    <w:p w14:paraId="5C750995" w14:textId="03E3E0DA" w:rsidR="00C60F96" w:rsidRPr="00C60F96" w:rsidRDefault="00C60F96" w:rsidP="00C60F96">
      <w:pPr>
        <w:rPr>
          <w:rFonts w:cs="Arial"/>
          <w:color w:val="000000" w:themeColor="text1"/>
          <w:szCs w:val="22"/>
        </w:rPr>
      </w:pPr>
      <w:bookmarkStart w:id="114" w:name="_Toc129701166"/>
      <w:r w:rsidRPr="00F534D3">
        <w:rPr>
          <w:rStyle w:val="FigurecaptionChar"/>
        </w:rPr>
        <w:t>Figure 4.</w:t>
      </w:r>
      <w:r w:rsidR="008F37DB" w:rsidRPr="00F534D3">
        <w:rPr>
          <w:rStyle w:val="FigurecaptionChar"/>
        </w:rPr>
        <w:t>12</w:t>
      </w:r>
      <w:r w:rsidRPr="00F534D3">
        <w:rPr>
          <w:rStyle w:val="FigurecaptionChar"/>
        </w:rPr>
        <w:t>. Acetate production or consumption in the optimized system and its non-depleted lysate counterpart, calculated as the difference between acetate concentrations at a particular timepoint and at time zero reactions.</w:t>
      </w:r>
      <w:bookmarkEnd w:id="114"/>
      <w:r w:rsidRPr="00C60F96">
        <w:rPr>
          <w:rFonts w:cs="Arial"/>
          <w:color w:val="000000" w:themeColor="text1"/>
          <w:szCs w:val="22"/>
        </w:rPr>
        <w:t xml:space="preserve"> Depletion replicates were used for all conditions and error bars represent standard errors (n=3).</w:t>
      </w:r>
    </w:p>
    <w:p w14:paraId="10FD7944" w14:textId="77777777" w:rsidR="00C60F96" w:rsidRPr="00C60F96" w:rsidRDefault="00C60F96" w:rsidP="00C60F96">
      <w:pPr>
        <w:rPr>
          <w:rFonts w:cs="Arial"/>
          <w:color w:val="000000" w:themeColor="text1"/>
          <w:szCs w:val="22"/>
        </w:rPr>
      </w:pPr>
    </w:p>
    <w:p w14:paraId="46EF175B" w14:textId="77777777" w:rsidR="0039202C" w:rsidRDefault="0039202C">
      <w:pPr>
        <w:rPr>
          <w:rFonts w:cs="Arial"/>
          <w:color w:val="000000" w:themeColor="text1"/>
          <w:szCs w:val="22"/>
        </w:rPr>
      </w:pPr>
      <w:r>
        <w:rPr>
          <w:rFonts w:cs="Arial"/>
          <w:color w:val="000000" w:themeColor="text1"/>
          <w:szCs w:val="22"/>
        </w:rPr>
        <w:br w:type="page"/>
      </w:r>
    </w:p>
    <w:p w14:paraId="18D7A869" w14:textId="7D2D1E44" w:rsidR="00C60F96" w:rsidRPr="0039202C" w:rsidRDefault="008F37DB" w:rsidP="0039202C">
      <w:pPr>
        <w:jc w:val="left"/>
        <w:rPr>
          <w:rFonts w:cs="Arial"/>
          <w:color w:val="000000" w:themeColor="text1"/>
          <w:szCs w:val="22"/>
        </w:rPr>
      </w:pPr>
      <w:r>
        <w:rPr>
          <w:rFonts w:cs="Arial"/>
          <w:b/>
          <w:bCs/>
          <w:color w:val="000000" w:themeColor="text1"/>
          <w:szCs w:val="22"/>
        </w:rPr>
        <w:lastRenderedPageBreak/>
        <w:t>Appendix</w:t>
      </w:r>
      <w:r w:rsidR="00C60F96" w:rsidRPr="00C60F96">
        <w:rPr>
          <w:rFonts w:cs="Arial"/>
          <w:b/>
          <w:bCs/>
          <w:color w:val="000000" w:themeColor="text1"/>
          <w:szCs w:val="22"/>
        </w:rPr>
        <w:t xml:space="preserve"> Note:</w:t>
      </w:r>
    </w:p>
    <w:p w14:paraId="40479E2A" w14:textId="664B7356" w:rsidR="00C60F96" w:rsidRPr="00C60F96" w:rsidRDefault="00C60F96" w:rsidP="0039202C">
      <w:pPr>
        <w:ind w:firstLine="720"/>
        <w:rPr>
          <w:rFonts w:cs="Arial"/>
          <w:color w:val="000000" w:themeColor="text1"/>
          <w:szCs w:val="22"/>
        </w:rPr>
      </w:pPr>
      <w:r w:rsidRPr="00C60F96">
        <w:rPr>
          <w:rFonts w:cs="Arial"/>
          <w:color w:val="000000" w:themeColor="text1"/>
          <w:szCs w:val="22"/>
        </w:rPr>
        <w:t xml:space="preserve">The cost of the current selective enzyme depletion approach (i.e., block strategy) is evaluated using reaction preparation costs that were already calculated by </w:t>
      </w:r>
      <w:proofErr w:type="spellStart"/>
      <w:r w:rsidRPr="00C60F96">
        <w:rPr>
          <w:rFonts w:cs="Arial"/>
          <w:color w:val="000000" w:themeColor="text1"/>
          <w:szCs w:val="22"/>
        </w:rPr>
        <w:t>Rasor</w:t>
      </w:r>
      <w:proofErr w:type="spellEnd"/>
      <w:r w:rsidRPr="00C60F96">
        <w:rPr>
          <w:rFonts w:cs="Arial"/>
          <w:color w:val="000000" w:themeColor="text1"/>
          <w:szCs w:val="22"/>
        </w:rPr>
        <w:t xml:space="preserve"> et al</w:t>
      </w:r>
      <w:r w:rsidRPr="00C60F96">
        <w:rPr>
          <w:rFonts w:cs="Arial"/>
          <w:color w:val="000000" w:themeColor="text1"/>
          <w:szCs w:val="22"/>
        </w:rPr>
        <w:fldChar w:fldCharType="begin" w:fldLock="1"/>
      </w:r>
      <w:r w:rsidR="00CD2257">
        <w:rPr>
          <w:rFonts w:cs="Arial"/>
          <w:color w:val="000000" w:themeColor="text1"/>
          <w:szCs w:val="22"/>
        </w:rPr>
        <w:instrText>ADDIN CSL_CITATION {"citationItems":[{"id":"ITEM-1","itemData":{"DOI":"10.1016/J.COPBIO.2020.12.012","ISSN":"0958-1669","PMID":"33453438","abstract":"Industrial biotechnology is an attractive approach to address the need for low-cost fuels and products from sustainable resources. Unfortunately, cells impose inherent limitations on the effective synthesis and release of target products. One key constraint is that cellular survival objectives often work against the production objectives of biochemical engineers. Additionally, industrial strains release CO2 and struggle to utilize sustainable, potentially profitable feedstocks. Cell-free biotechnology, which uses biological machinery harvested from cells, can address these challenges with advantages including: (i) shorter development times, (ii) higher volumetric production rates, and (iii) tolerance to otherwise toxic molecules. In this review, we highlight recent advances in cell-free technologies toward the production of non-protein products beyond lab-scale demonstrations and describe guiding principles for designing cell-free systems. Specifically, we discuss carbon and energy sources, reaction homeostasis, and scale-up. Expanding the scope of cell-free biomanufacturing practice could enable innovative approaches for the industrial production of green chemicals.","author":[{"dropping-particle":"","family":"Rasor","given":"Blake J.","non-dropping-particle":"","parse-names":false,"suffix":""},{"dropping-particle":"","family":"Vögeli","given":"Bastian","non-dropping-particle":"","parse-names":false,"suffix":""},{"dropping-particle":"","family":"Landwehr","given":"Grant M.","non-dropping-particle":"","parse-names":false,"suffix":""},{"dropping-particle":"","family":"Bogart","given":"Jonathan W.","non-dropping-particle":"","parse-names":false,"suffix":""},{"dropping-particle":"","family":"Karim","given":"Ashty S.","non-dropping-particle":"","parse-names":false,"suffix":""},{"dropping-particle":"","family":"Jewett","given":"Michael C.","non-dropping-particle":"","parse-names":false,"suffix":""}],"container-title":"Current Opinion in Biotechnology","id":"ITEM-1","issued":{"date-parts":[["2021","6","1"]]},"page":"136-144","publisher":"Elsevier Current Trends","title":"Toward sustainable, cell-free biomanufacturing","type":"article-journal","volume":"69"},"uris":["http://www.mendeley.com/documents/?uuid=7f479995-6171-3f2e-bb99-2b784934562a"]}],"mendeley":{"formattedCitation":"&lt;sup&gt;11&lt;/sup&gt;","plainTextFormattedCitation":"11","previouslyFormattedCitation":"&lt;sup&gt;11&lt;/sup&gt;"},"properties":{"noteIndex":0},"schema":"https://github.com/citation-style-language/schema/raw/master/csl-citation.json"}</w:instrText>
      </w:r>
      <w:r w:rsidRPr="00C60F96">
        <w:rPr>
          <w:rFonts w:cs="Arial"/>
          <w:color w:val="000000" w:themeColor="text1"/>
          <w:szCs w:val="22"/>
        </w:rPr>
        <w:fldChar w:fldCharType="separate"/>
      </w:r>
      <w:r w:rsidR="00A927F0" w:rsidRPr="00A927F0">
        <w:rPr>
          <w:rFonts w:cs="Arial"/>
          <w:noProof/>
          <w:color w:val="000000" w:themeColor="text1"/>
          <w:szCs w:val="22"/>
          <w:vertAlign w:val="superscript"/>
        </w:rPr>
        <w:t>11</w:t>
      </w:r>
      <w:r w:rsidRPr="00C60F96">
        <w:rPr>
          <w:rFonts w:cs="Arial"/>
          <w:color w:val="000000" w:themeColor="text1"/>
          <w:szCs w:val="22"/>
        </w:rPr>
        <w:fldChar w:fldCharType="end"/>
      </w:r>
      <w:r w:rsidRPr="00C60F96">
        <w:rPr>
          <w:rFonts w:cs="Arial"/>
          <w:color w:val="000000" w:themeColor="text1"/>
          <w:szCs w:val="22"/>
        </w:rPr>
        <w:t xml:space="preserve">. Briefly, they estimate the breakeven cost of a reaction that produces high-value targets (e.g., limonene and 3-hydroxybutyrate) to be $275.00/L reaction. They define the breakeven reaction cost as “the cost of reaction required to start having a return on investment at a given max theoretical yield.” With innovative cost-reducing strategies (i.e., efficient cofactor utilization, single-carbon substrates, high-density cultivation) and neglecting labor/capital costs, the price of reaction preparation can be reduced to $90.00/L reaction in the future. </w:t>
      </w:r>
    </w:p>
    <w:p w14:paraId="7FA3CF6F" w14:textId="77777777" w:rsidR="00C60F96" w:rsidRPr="00C60F96" w:rsidRDefault="00C60F96" w:rsidP="0039202C">
      <w:pPr>
        <w:ind w:firstLine="720"/>
        <w:rPr>
          <w:rFonts w:cs="Arial"/>
          <w:color w:val="000000" w:themeColor="text1"/>
          <w:szCs w:val="22"/>
        </w:rPr>
      </w:pPr>
      <w:r w:rsidRPr="00C60F96">
        <w:rPr>
          <w:rFonts w:cs="Arial"/>
          <w:color w:val="000000" w:themeColor="text1"/>
          <w:szCs w:val="22"/>
        </w:rPr>
        <w:t>In the current approach, equal volumes of lysate and Co</w:t>
      </w:r>
      <w:r w:rsidRPr="00C60F96">
        <w:rPr>
          <w:rFonts w:cs="Arial"/>
          <w:color w:val="000000" w:themeColor="text1"/>
          <w:szCs w:val="22"/>
          <w:vertAlign w:val="superscript"/>
        </w:rPr>
        <w:t xml:space="preserve">2+ </w:t>
      </w:r>
      <w:r w:rsidRPr="00C60F96">
        <w:rPr>
          <w:rFonts w:cs="Arial"/>
          <w:color w:val="000000" w:themeColor="text1"/>
          <w:szCs w:val="22"/>
        </w:rPr>
        <w:t xml:space="preserve">resin suspension (Thermo Scientific #89964) are needed to eliminate byproduct-forming activity. The resin is $132.00/10 mL bottle. The resin itself therefore adds $0.40 to the preparation of a 30 µL reaction. Assuming $90.00/L reaction ($0.0027/30 µL reaction), the total cost for preparing a system with the modified extract is $0.4027/30 µL reaction or $13,423.00/L reaction.  Potential bulk pricing and other economies of scale may reduce these costs, but the present depletion strategy is unlikely to be viable for commercialization. </w:t>
      </w:r>
    </w:p>
    <w:p w14:paraId="575BA314" w14:textId="6F50C616" w:rsidR="00C60F96" w:rsidRPr="00A927F0" w:rsidRDefault="00C60F96" w:rsidP="0039202C">
      <w:pPr>
        <w:ind w:firstLine="720"/>
        <w:rPr>
          <w:rFonts w:cs="Arial"/>
          <w:color w:val="000000" w:themeColor="text1"/>
          <w:szCs w:val="22"/>
        </w:rPr>
      </w:pPr>
      <w:r w:rsidRPr="00C60F96">
        <w:rPr>
          <w:rFonts w:cs="Arial"/>
          <w:color w:val="000000" w:themeColor="text1"/>
          <w:szCs w:val="22"/>
        </w:rPr>
        <w:t>Alternative pre-purification strategies may enable sustainable yield engineering efforts. Islam et al. recently reported an approach involving the purification of proteins via cellulose binding domains (CBD) and microcrystalline cellulose (Sigma-Aldrich #310697)</w:t>
      </w:r>
      <w:r w:rsidRPr="00C60F96">
        <w:rPr>
          <w:rFonts w:cs="Arial"/>
          <w:color w:val="000000" w:themeColor="text1"/>
          <w:szCs w:val="22"/>
        </w:rPr>
        <w:fldChar w:fldCharType="begin" w:fldLock="1"/>
      </w:r>
      <w:r w:rsidR="004F3109">
        <w:rPr>
          <w:rFonts w:cs="Arial"/>
          <w:color w:val="000000" w:themeColor="text1"/>
          <w:szCs w:val="22"/>
        </w:rPr>
        <w:instrText>ADDIN CSL_CITATION {"citationItems":[{"id":"ITEM-1","itemData":{"DOI":"10.1111/PBI.13040","ISSN":"14677652","PMID":"30468023","abstract":"Plants have recently received a great deal of attention as a means of producing recombinant proteins. Despite this, a limited number of recombinant proteins are currently on the market and, if plants are to be more widely used, a cost-effective and efficient purification method is urgently needed. Although affinity tags are convenient tools for protein purification, the presence of a tag on the recombinant protein is undesirable for many applications. A cost-effective method of purification using an affinity tag and the removal of the tag after purification has been developed. The family 3 cellulose-binding domain (CBM3), which binds to microcrystalline cellulose, served as the affinity tag and the small ubiquitin-related modifier (SUMO) and SUMO-specific protease were used to remove it. This method, together with size-exclusion chromatography, enabled purification of human interleukin-6 (hIL6) with a yield of 18.49 mg/kg fresh weight from leaf extracts of Nicotiana benthamiana following Agrobacterium-mediated transient expression. Plant-produced hIL6 (P-hIL6) contained less than 0.2 EU/μg (0.02 ng/mL) endotoxin. P-hIL6 activated the Janus kinase-signal transducer and activator of transcriptional pathways in human LNCaP cells, and induced expression of IL-21 in activated mouse CD4+ T cells. This approach is thus a powerful method for producing recombinant proteins in plants.","author":[{"dropping-particle":"","family":"Islam","given":"Md Reyazul","non-dropping-particle":"","parse-names":false,"suffix":""},{"dropping-particle":"","family":"Kwak","given":"Ju Won","non-dropping-particle":"","parse-names":false,"suffix":""},{"dropping-particle":"","family":"Lee","given":"Jeon soo","non-dropping-particle":"","parse-names":false,"suffix":""},{"dropping-particle":"","family":"Hong","given":"Sung Wook","non-dropping-particle":"","parse-names":false,"suffix":""},{"dropping-particle":"","family":"Khan","given":"Md Rezaul Islam","non-dropping-particle":"","parse-names":false,"suffix":""},{"dropping-particle":"","family":"Lee","given":"Yongjik","non-dropping-particle":"","parse-names":false,"suffix":""},{"dropping-particle":"","family":"Lee","given":"Yoontae","non-dropping-particle":"","parse-names":false,"suffix":""},{"dropping-particle":"","family":"Lee","given":"Seung Woo","non-dropping-particle":"","parse-names":false,"suffix":""},{"dropping-particle":"","family":"Hwang","given":"Inhwan","non-dropping-particle":"","parse-names":false,"suffix":""}],"container-title":"Plant Biotechnology Journal","id":"ITEM-1","issue":"6","issued":{"date-parts":[["2019","6","1"]]},"page":"1094","publisher":"Wiley-Blackwell","title":"Cost</w:instrText>
      </w:r>
      <w:r w:rsidR="004F3109">
        <w:rPr>
          <w:rFonts w:ascii="Cambria Math" w:hAnsi="Cambria Math" w:cs="Cambria Math"/>
          <w:color w:val="000000" w:themeColor="text1"/>
          <w:szCs w:val="22"/>
        </w:rPr>
        <w:instrText>‐</w:instrText>
      </w:r>
      <w:r w:rsidR="004F3109">
        <w:rPr>
          <w:rFonts w:cs="Arial"/>
          <w:color w:val="000000" w:themeColor="text1"/>
          <w:szCs w:val="22"/>
        </w:rPr>
        <w:instrText>effective production of tag</w:instrText>
      </w:r>
      <w:r w:rsidR="004F3109">
        <w:rPr>
          <w:rFonts w:ascii="Cambria Math" w:hAnsi="Cambria Math" w:cs="Cambria Math"/>
          <w:color w:val="000000" w:themeColor="text1"/>
          <w:szCs w:val="22"/>
        </w:rPr>
        <w:instrText>‐</w:instrText>
      </w:r>
      <w:r w:rsidR="004F3109">
        <w:rPr>
          <w:rFonts w:cs="Arial"/>
          <w:color w:val="000000" w:themeColor="text1"/>
          <w:szCs w:val="22"/>
        </w:rPr>
        <w:instrText>less recombinant protein in Nicotiana benthamiana","type":"article-journal","volume":"17"},"uris":["http://www.mendeley.com/documents/?uuid=fa3a6f9f-edcb-3240-892d-e68d2e04ae1a"]}],"mendeley":{"formattedCitation":"&lt;sup&gt;182&lt;/sup&gt;","plainTextFormattedCitation":"182","previouslyFormattedCitation":"&lt;sup&gt;182&lt;/sup&gt;"},"properties":{"noteIndex":0},"schema":"https://github.com/citation-style-language/schema/raw/master/csl-citation.json"}</w:instrText>
      </w:r>
      <w:r w:rsidRPr="00C60F96">
        <w:rPr>
          <w:rFonts w:cs="Arial"/>
          <w:color w:val="000000" w:themeColor="text1"/>
          <w:szCs w:val="22"/>
        </w:rPr>
        <w:fldChar w:fldCharType="separate"/>
      </w:r>
      <w:r w:rsidR="00A91591" w:rsidRPr="00A91591">
        <w:rPr>
          <w:rFonts w:cs="Arial"/>
          <w:noProof/>
          <w:color w:val="000000" w:themeColor="text1"/>
          <w:szCs w:val="22"/>
          <w:vertAlign w:val="superscript"/>
        </w:rPr>
        <w:t>182</w:t>
      </w:r>
      <w:r w:rsidRPr="00C60F96">
        <w:rPr>
          <w:rFonts w:cs="Arial"/>
          <w:color w:val="000000" w:themeColor="text1"/>
          <w:szCs w:val="22"/>
        </w:rPr>
        <w:fldChar w:fldCharType="end"/>
      </w:r>
      <w:r w:rsidRPr="00C60F96">
        <w:rPr>
          <w:rFonts w:cs="Arial"/>
          <w:color w:val="000000" w:themeColor="text1"/>
          <w:szCs w:val="22"/>
        </w:rPr>
        <w:t xml:space="preserve">. In their method, 700 mg of microcrystalline cellulose, which costs $49/50 g, could be used to make 2000 µL bead volume. If each target endogenous enzyme is engineered to display a CBD and an equivalent volume of bead volume is needed to eliminate byproduct-forming activity, the material costs $0.0010/30 µL. Assuming $90/L reaction, the total cost for preparing a system with the modified extract is $0.0040/30 µL reaction or $133/L reaction.  Even without considering economies of scale, this is well below the breakeven reaction cost for high-target chemicals. With </w:t>
      </w:r>
      <w:r w:rsidRPr="00C60F96">
        <w:rPr>
          <w:rFonts w:cs="Arial"/>
          <w:color w:val="000000" w:themeColor="text1"/>
          <w:szCs w:val="22"/>
        </w:rPr>
        <w:lastRenderedPageBreak/>
        <w:t xml:space="preserve">method optimization, it is possible that less microcrystalline cellulose is necessary to inactivate byproduct-forming activity, further reducing preparation costs. </w:t>
      </w:r>
    </w:p>
    <w:p w14:paraId="4C18DC03" w14:textId="77777777" w:rsidR="004E2DE7" w:rsidRPr="00C60F96" w:rsidRDefault="004E2DE7" w:rsidP="00C60F96">
      <w:pPr>
        <w:rPr>
          <w:rFonts w:eastAsia="Times New Roman" w:cs="Arial"/>
          <w:color w:val="000000" w:themeColor="text1"/>
          <w:szCs w:val="22"/>
        </w:rPr>
      </w:pPr>
    </w:p>
    <w:p w14:paraId="12865BBF" w14:textId="6964D192" w:rsidR="00595F79" w:rsidRPr="00E033D4" w:rsidRDefault="00526E45" w:rsidP="00E033D4">
      <w:pPr>
        <w:jc w:val="center"/>
        <w:rPr>
          <w:rFonts w:cs="Arial"/>
          <w:b/>
          <w:bCs/>
          <w:sz w:val="32"/>
          <w:szCs w:val="32"/>
        </w:rPr>
      </w:pPr>
      <w:r>
        <w:rPr>
          <w:szCs w:val="22"/>
        </w:rPr>
        <w:br w:type="page"/>
      </w:r>
      <w:r w:rsidR="00595F79" w:rsidRPr="00E033D4">
        <w:rPr>
          <w:rFonts w:cs="Arial"/>
          <w:b/>
          <w:bCs/>
          <w:sz w:val="32"/>
          <w:szCs w:val="32"/>
        </w:rPr>
        <w:lastRenderedPageBreak/>
        <w:t>CHAPTER 5</w:t>
      </w:r>
    </w:p>
    <w:p w14:paraId="1F890F86" w14:textId="2B120FB6" w:rsidR="00283049" w:rsidRPr="00E033D4" w:rsidRDefault="00060FE0" w:rsidP="00E033D4">
      <w:pPr>
        <w:pStyle w:val="ChapterTitle"/>
      </w:pPr>
      <w:bookmarkStart w:id="115" w:name="_Toc129701055"/>
      <w:r w:rsidRPr="00E033D4">
        <w:t xml:space="preserve">APPLYING </w:t>
      </w:r>
      <w:r w:rsidR="00857C48" w:rsidRPr="00E033D4">
        <w:t xml:space="preserve">A </w:t>
      </w:r>
      <w:r w:rsidRPr="00E033D4">
        <w:t>REPORTER</w:t>
      </w:r>
      <w:r w:rsidR="00857C48" w:rsidRPr="00E033D4">
        <w:t xml:space="preserve"> SYSTEM</w:t>
      </w:r>
      <w:r w:rsidRPr="00E033D4">
        <w:t xml:space="preserve"> TO INVESTIGATE AND OPTIMIZE </w:t>
      </w:r>
      <w:r w:rsidR="00857C48" w:rsidRPr="00E033D4">
        <w:t xml:space="preserve">THE </w:t>
      </w:r>
      <w:r w:rsidRPr="00E033D4">
        <w:t xml:space="preserve">LYSATE-BASED CELL-FREE EXPRESSION </w:t>
      </w:r>
      <w:r w:rsidR="00857C48" w:rsidRPr="00E033D4">
        <w:t>OF</w:t>
      </w:r>
      <w:r w:rsidRPr="00E033D4">
        <w:t xml:space="preserve"> NONRIBOSOMAL PEPTIDE </w:t>
      </w:r>
      <w:r w:rsidR="00857C48" w:rsidRPr="00E033D4">
        <w:t>SYNTHETASES</w:t>
      </w:r>
      <w:bookmarkEnd w:id="115"/>
    </w:p>
    <w:p w14:paraId="78AB9012" w14:textId="77777777" w:rsidR="00283049" w:rsidRDefault="00283049" w:rsidP="00595F79">
      <w:pPr>
        <w:jc w:val="center"/>
        <w:rPr>
          <w:rFonts w:cs="Arial"/>
          <w:b/>
          <w:bCs/>
          <w:color w:val="000000" w:themeColor="text1"/>
          <w:sz w:val="28"/>
          <w:szCs w:val="28"/>
        </w:rPr>
      </w:pPr>
    </w:p>
    <w:p w14:paraId="2266DC17" w14:textId="77777777" w:rsidR="00E1401C" w:rsidRPr="00383809" w:rsidRDefault="00E1401C" w:rsidP="00E1401C">
      <w:pPr>
        <w:rPr>
          <w:rFonts w:cs="Arial"/>
          <w:b/>
          <w:bCs/>
          <w:color w:val="000000"/>
          <w:szCs w:val="22"/>
        </w:rPr>
      </w:pPr>
    </w:p>
    <w:p w14:paraId="5F161E45" w14:textId="77777777" w:rsidR="00E1401C" w:rsidRPr="00383809" w:rsidRDefault="00E1401C" w:rsidP="00E1401C">
      <w:pPr>
        <w:rPr>
          <w:rFonts w:cs="Arial"/>
          <w:b/>
          <w:bCs/>
          <w:color w:val="000000"/>
          <w:szCs w:val="22"/>
        </w:rPr>
      </w:pPr>
    </w:p>
    <w:p w14:paraId="17F488F2" w14:textId="77777777" w:rsidR="00E1401C" w:rsidRDefault="00E1401C">
      <w:pPr>
        <w:rPr>
          <w:rFonts w:cs="Arial"/>
          <w:b/>
          <w:bCs/>
          <w:color w:val="000000"/>
          <w:szCs w:val="22"/>
        </w:rPr>
      </w:pPr>
      <w:r>
        <w:rPr>
          <w:rFonts w:cs="Arial"/>
          <w:b/>
          <w:bCs/>
          <w:color w:val="000000"/>
          <w:szCs w:val="22"/>
        </w:rPr>
        <w:br w:type="page"/>
      </w:r>
    </w:p>
    <w:p w14:paraId="78C0131F" w14:textId="3DF2310E" w:rsidR="00E1401C" w:rsidRDefault="00E1401C" w:rsidP="00E1401C">
      <w:pPr>
        <w:pBdr>
          <w:top w:val="nil"/>
          <w:left w:val="nil"/>
          <w:bottom w:val="nil"/>
          <w:right w:val="nil"/>
          <w:between w:val="nil"/>
        </w:pBdr>
        <w:spacing w:after="280"/>
        <w:ind w:firstLine="720"/>
        <w:contextualSpacing/>
        <w:rPr>
          <w:rFonts w:cs="Arial"/>
          <w:szCs w:val="22"/>
        </w:rPr>
      </w:pPr>
      <w:r w:rsidRPr="004E2DE7">
        <w:rPr>
          <w:rFonts w:eastAsia="Times New Roman" w:cs="Arial"/>
          <w:szCs w:val="22"/>
        </w:rPr>
        <w:lastRenderedPageBreak/>
        <w:t xml:space="preserve">A version of this chapter </w:t>
      </w:r>
      <w:r>
        <w:rPr>
          <w:rFonts w:eastAsia="Times New Roman" w:cs="Arial"/>
          <w:szCs w:val="22"/>
        </w:rPr>
        <w:t xml:space="preserve">has been submitted for publication </w:t>
      </w:r>
      <w:r w:rsidRPr="004E2DE7">
        <w:rPr>
          <w:rFonts w:eastAsia="Times New Roman" w:cs="Arial"/>
          <w:szCs w:val="22"/>
        </w:rPr>
        <w:t xml:space="preserve">by </w:t>
      </w:r>
      <w:r w:rsidRPr="004E2DE7">
        <w:rPr>
          <w:rFonts w:cs="Arial"/>
          <w:szCs w:val="22"/>
        </w:rPr>
        <w:t>Jaime Lorenzo N. Dinglasan</w:t>
      </w:r>
      <w:r>
        <w:rPr>
          <w:rFonts w:cs="Arial"/>
          <w:szCs w:val="22"/>
        </w:rPr>
        <w:t xml:space="preserve">, Tien M. Sword, William J. Barker, Mitchel J. </w:t>
      </w:r>
      <w:proofErr w:type="spellStart"/>
      <w:r>
        <w:rPr>
          <w:rFonts w:cs="Arial"/>
          <w:szCs w:val="22"/>
        </w:rPr>
        <w:t>Doktycz</w:t>
      </w:r>
      <w:proofErr w:type="spellEnd"/>
      <w:r w:rsidR="00B8238E">
        <w:rPr>
          <w:rFonts w:cs="Arial"/>
          <w:szCs w:val="22"/>
        </w:rPr>
        <w:t xml:space="preserve">, and </w:t>
      </w:r>
      <w:r w:rsidR="00B8238E">
        <w:rPr>
          <w:rFonts w:cs="Arial"/>
          <w:szCs w:val="22"/>
        </w:rPr>
        <w:t>Constance B. Bailey</w:t>
      </w:r>
      <w:r w:rsidR="00B8238E">
        <w:rPr>
          <w:rFonts w:cs="Arial"/>
          <w:szCs w:val="22"/>
        </w:rPr>
        <w:t>.</w:t>
      </w:r>
    </w:p>
    <w:p w14:paraId="669F4999" w14:textId="77777777" w:rsidR="00F534D3" w:rsidRPr="004E2DE7" w:rsidRDefault="00F534D3" w:rsidP="00E1401C">
      <w:pPr>
        <w:pBdr>
          <w:top w:val="nil"/>
          <w:left w:val="nil"/>
          <w:bottom w:val="nil"/>
          <w:right w:val="nil"/>
          <w:between w:val="nil"/>
        </w:pBdr>
        <w:spacing w:after="280"/>
        <w:ind w:firstLine="720"/>
        <w:contextualSpacing/>
        <w:rPr>
          <w:rFonts w:cs="Arial"/>
          <w:b/>
          <w:color w:val="000000"/>
          <w:szCs w:val="22"/>
        </w:rPr>
      </w:pPr>
    </w:p>
    <w:p w14:paraId="1A4BBFF1" w14:textId="6B6BE17E" w:rsidR="00E1401C" w:rsidRPr="00E1401C" w:rsidRDefault="00E1401C" w:rsidP="00E1401C">
      <w:pPr>
        <w:ind w:left="720"/>
        <w:rPr>
          <w:rFonts w:cs="Arial"/>
          <w:bCs/>
          <w:szCs w:val="22"/>
        </w:rPr>
      </w:pPr>
      <w:r w:rsidRPr="00E1401C">
        <w:rPr>
          <w:rFonts w:cs="Arial"/>
          <w:b/>
          <w:szCs w:val="22"/>
        </w:rPr>
        <w:t xml:space="preserve">Dinglasan, J.L.N.,* </w:t>
      </w:r>
      <w:r w:rsidRPr="00E1401C">
        <w:rPr>
          <w:rFonts w:cs="Arial"/>
          <w:bCs/>
          <w:szCs w:val="22"/>
        </w:rPr>
        <w:t xml:space="preserve">Sword, T.M.,* </w:t>
      </w:r>
      <w:r>
        <w:rPr>
          <w:rFonts w:cs="Arial"/>
          <w:bCs/>
          <w:szCs w:val="22"/>
        </w:rPr>
        <w:t xml:space="preserve">Barker, W.J., </w:t>
      </w:r>
      <w:proofErr w:type="spellStart"/>
      <w:r w:rsidRPr="00E1401C">
        <w:rPr>
          <w:rFonts w:cs="Arial"/>
          <w:bCs/>
          <w:szCs w:val="22"/>
        </w:rPr>
        <w:t>Doktycz</w:t>
      </w:r>
      <w:proofErr w:type="spellEnd"/>
      <w:r w:rsidRPr="00E1401C">
        <w:rPr>
          <w:rFonts w:cs="Arial"/>
          <w:bCs/>
          <w:szCs w:val="22"/>
        </w:rPr>
        <w:t>, M.J.</w:t>
      </w:r>
      <w:r w:rsidR="00B8238E">
        <w:rPr>
          <w:rFonts w:cs="Arial"/>
          <w:bCs/>
          <w:szCs w:val="22"/>
        </w:rPr>
        <w:t xml:space="preserve">, </w:t>
      </w:r>
      <w:r w:rsidR="00B8238E" w:rsidRPr="00E1401C">
        <w:rPr>
          <w:rFonts w:cs="Arial"/>
          <w:bCs/>
          <w:szCs w:val="22"/>
        </w:rPr>
        <w:t>Bailey, C.B.</w:t>
      </w:r>
      <w:r w:rsidRPr="00E1401C">
        <w:rPr>
          <w:rFonts w:cs="Arial"/>
          <w:b/>
          <w:szCs w:val="22"/>
        </w:rPr>
        <w:t xml:space="preserve"> </w:t>
      </w:r>
      <w:r w:rsidRPr="00E1401C">
        <w:rPr>
          <w:rFonts w:cs="Arial"/>
          <w:bCs/>
          <w:szCs w:val="22"/>
        </w:rPr>
        <w:t xml:space="preserve">(2023). </w:t>
      </w:r>
      <w:r w:rsidR="00FE3012">
        <w:rPr>
          <w:rFonts w:cs="Arial"/>
          <w:bCs/>
          <w:szCs w:val="22"/>
        </w:rPr>
        <w:t xml:space="preserve">Applying Reporters to Investigate and Optimize Lysate-based Cell-free Expression for </w:t>
      </w:r>
      <w:proofErr w:type="spellStart"/>
      <w:r w:rsidR="00FE3012">
        <w:rPr>
          <w:rFonts w:cs="Arial"/>
          <w:bCs/>
          <w:szCs w:val="22"/>
        </w:rPr>
        <w:t>Nonribosomal</w:t>
      </w:r>
      <w:proofErr w:type="spellEnd"/>
      <w:r w:rsidR="00FE3012">
        <w:rPr>
          <w:rFonts w:cs="Arial"/>
          <w:bCs/>
          <w:szCs w:val="22"/>
        </w:rPr>
        <w:t xml:space="preserve"> Peptide Production.</w:t>
      </w:r>
      <w:r w:rsidRPr="00E1401C">
        <w:rPr>
          <w:rFonts w:cs="Arial"/>
          <w:bCs/>
          <w:szCs w:val="22"/>
        </w:rPr>
        <w:t xml:space="preserve"> </w:t>
      </w:r>
      <w:r w:rsidR="00B8238E">
        <w:rPr>
          <w:rFonts w:cs="Arial"/>
          <w:bCs/>
          <w:i/>
          <w:iCs/>
          <w:szCs w:val="22"/>
        </w:rPr>
        <w:t>Accepted in</w:t>
      </w:r>
      <w:r w:rsidRPr="00E1401C">
        <w:rPr>
          <w:rFonts w:cs="Arial"/>
          <w:bCs/>
          <w:i/>
          <w:iCs/>
          <w:szCs w:val="22"/>
        </w:rPr>
        <w:t xml:space="preserve"> ACS Synthetic Biology</w:t>
      </w:r>
      <w:r w:rsidRPr="00E1401C">
        <w:rPr>
          <w:rFonts w:cs="Arial"/>
          <w:bCs/>
          <w:szCs w:val="22"/>
        </w:rPr>
        <w:t xml:space="preserve">. </w:t>
      </w:r>
      <w:r w:rsidRPr="00E1401C">
        <w:rPr>
          <w:rFonts w:cs="Arial"/>
          <w:i/>
          <w:szCs w:val="22"/>
          <w:u w:val="single"/>
        </w:rPr>
        <w:t>*</w:t>
      </w:r>
      <w:r w:rsidRPr="00E1401C">
        <w:rPr>
          <w:rFonts w:cs="Arial"/>
          <w:iCs/>
          <w:szCs w:val="22"/>
          <w:u w:val="single"/>
        </w:rPr>
        <w:t>Authors contributed equally</w:t>
      </w:r>
    </w:p>
    <w:p w14:paraId="6C0B622B" w14:textId="77777777" w:rsidR="00E1401C" w:rsidRPr="004E2DE7" w:rsidRDefault="00E1401C" w:rsidP="00F534D3">
      <w:pPr>
        <w:rPr>
          <w:rFonts w:cs="Arial"/>
          <w:szCs w:val="22"/>
        </w:rPr>
      </w:pPr>
    </w:p>
    <w:p w14:paraId="7C489397" w14:textId="77777777" w:rsidR="00E1401C" w:rsidRPr="00857C48" w:rsidRDefault="00E1401C" w:rsidP="00857C48">
      <w:pPr>
        <w:ind w:firstLine="720"/>
        <w:rPr>
          <w:rFonts w:eastAsia="Times New Roman" w:cs="Arial"/>
          <w:szCs w:val="22"/>
        </w:rPr>
      </w:pPr>
      <w:r w:rsidRPr="00AB1BFA">
        <w:rPr>
          <w:rFonts w:eastAsia="Times New Roman" w:cs="Arial"/>
          <w:szCs w:val="22"/>
        </w:rPr>
        <w:t>This chapter has been adapted from its published format to accommodate new Figure, Table, and Equation enumeration. The Supplementary Information associated with this work may be found in the Appendix</w:t>
      </w:r>
      <w:r w:rsidRPr="004E2DE7">
        <w:rPr>
          <w:rFonts w:eastAsia="Times New Roman" w:cs="Arial"/>
          <w:szCs w:val="22"/>
        </w:rPr>
        <w:t xml:space="preserve"> section of this chapter. All</w:t>
      </w:r>
      <w:r w:rsidRPr="00AB1BFA">
        <w:rPr>
          <w:rFonts w:eastAsia="Times New Roman" w:cs="Arial"/>
          <w:szCs w:val="22"/>
        </w:rPr>
        <w:t xml:space="preserve"> references are located at the end of the document. </w:t>
      </w:r>
    </w:p>
    <w:p w14:paraId="7969A372" w14:textId="77777777" w:rsidR="00857C48" w:rsidRPr="00857C48" w:rsidRDefault="00857C48" w:rsidP="00857C48">
      <w:pPr>
        <w:rPr>
          <w:rFonts w:cs="Arial"/>
          <w:b/>
          <w:bCs/>
          <w:color w:val="000000"/>
          <w:szCs w:val="22"/>
        </w:rPr>
      </w:pPr>
    </w:p>
    <w:p w14:paraId="06A2D5DC" w14:textId="292EA62F" w:rsidR="00857C48" w:rsidRPr="00E033D4" w:rsidRDefault="00857C48" w:rsidP="00E033D4">
      <w:pPr>
        <w:pStyle w:val="ChapterHeading"/>
      </w:pPr>
      <w:bookmarkStart w:id="116" w:name="_Toc129701056"/>
      <w:r w:rsidRPr="00E033D4">
        <w:t>5.1. Abstract</w:t>
      </w:r>
      <w:bookmarkEnd w:id="116"/>
    </w:p>
    <w:p w14:paraId="5DFEE21F" w14:textId="66FB77DA" w:rsidR="00857C48" w:rsidRPr="00857C48" w:rsidRDefault="00857C48" w:rsidP="00857C48">
      <w:pPr>
        <w:ind w:firstLine="720"/>
        <w:rPr>
          <w:rFonts w:cs="Arial"/>
          <w:szCs w:val="22"/>
        </w:rPr>
      </w:pPr>
      <w:r w:rsidRPr="00857C48">
        <w:rPr>
          <w:rFonts w:cs="Arial"/>
          <w:szCs w:val="22"/>
        </w:rPr>
        <w:t xml:space="preserve">Lysate-based cell-free expression (CFE) systems are accessible platforms for expressing proteins that are difficult to synthesize </w:t>
      </w:r>
      <w:r w:rsidRPr="00857C48">
        <w:rPr>
          <w:rFonts w:cs="Arial"/>
          <w:i/>
          <w:iCs/>
          <w:szCs w:val="22"/>
        </w:rPr>
        <w:t xml:space="preserve">in vivo, </w:t>
      </w:r>
      <w:r w:rsidRPr="00857C48">
        <w:rPr>
          <w:rFonts w:cs="Arial"/>
          <w:szCs w:val="22"/>
        </w:rPr>
        <w:t xml:space="preserve">such as </w:t>
      </w:r>
      <w:proofErr w:type="spellStart"/>
      <w:r w:rsidRPr="00857C48">
        <w:rPr>
          <w:rFonts w:cs="Arial"/>
          <w:szCs w:val="22"/>
        </w:rPr>
        <w:t>nonribosomal</w:t>
      </w:r>
      <w:proofErr w:type="spellEnd"/>
      <w:r w:rsidRPr="00857C48">
        <w:rPr>
          <w:rFonts w:cs="Arial"/>
          <w:szCs w:val="22"/>
        </w:rPr>
        <w:t xml:space="preserve"> peptide synthetases (NRPSs). NRPSs are large (&gt; 100 </w:t>
      </w:r>
      <w:proofErr w:type="spellStart"/>
      <w:r w:rsidRPr="00857C48">
        <w:rPr>
          <w:rFonts w:cs="Arial"/>
          <w:szCs w:val="22"/>
        </w:rPr>
        <w:t>kDa</w:t>
      </w:r>
      <w:proofErr w:type="spellEnd"/>
      <w:r w:rsidRPr="00857C48">
        <w:rPr>
          <w:rFonts w:cs="Arial"/>
          <w:szCs w:val="22"/>
        </w:rPr>
        <w:t xml:space="preserve">), modular enzyme complexes that synthesize bioactive peptide natural products. This synthetic process is analogous to transcription/translation (TX/TL) in lysates, resulting in potential resource competition between NRPS expression and NRPS activity in cell-free environments. Moreover, CFE conditions depend on the size and structure of the protein. Here, a reporter system for rapidly investigating and optimizing reaction environments for NRPS CFE are described. This strategy is demonstrated in </w:t>
      </w:r>
      <w:r w:rsidRPr="00857C48">
        <w:rPr>
          <w:rFonts w:cs="Arial"/>
          <w:i/>
          <w:iCs/>
          <w:szCs w:val="22"/>
        </w:rPr>
        <w:t xml:space="preserve">E. coli </w:t>
      </w:r>
      <w:r w:rsidRPr="00857C48">
        <w:rPr>
          <w:rFonts w:cs="Arial"/>
          <w:szCs w:val="22"/>
        </w:rPr>
        <w:t>lysate reactions using blue pigment synthetase A (</w:t>
      </w:r>
      <w:proofErr w:type="spellStart"/>
      <w:r w:rsidRPr="00857C48">
        <w:rPr>
          <w:rFonts w:cs="Arial"/>
          <w:szCs w:val="22"/>
        </w:rPr>
        <w:t>BpsA</w:t>
      </w:r>
      <w:proofErr w:type="spellEnd"/>
      <w:r w:rsidRPr="00857C48">
        <w:rPr>
          <w:rFonts w:cs="Arial"/>
          <w:szCs w:val="22"/>
        </w:rPr>
        <w:t xml:space="preserve">), a model NRPS, carrying a C-terminal </w:t>
      </w:r>
      <w:proofErr w:type="spellStart"/>
      <w:r w:rsidRPr="00857C48">
        <w:rPr>
          <w:rFonts w:cs="Arial"/>
          <w:szCs w:val="22"/>
        </w:rPr>
        <w:t>tetracysteine</w:t>
      </w:r>
      <w:proofErr w:type="spellEnd"/>
      <w:r w:rsidRPr="00857C48">
        <w:rPr>
          <w:rFonts w:cs="Arial"/>
          <w:szCs w:val="22"/>
        </w:rPr>
        <w:t xml:space="preserve"> (TC) tag which forms a fluorescent complex with the biarsenical dye, </w:t>
      </w:r>
      <w:proofErr w:type="spellStart"/>
      <w:r w:rsidRPr="00857C48">
        <w:rPr>
          <w:rFonts w:cs="Arial"/>
          <w:szCs w:val="22"/>
        </w:rPr>
        <w:t>FlAsH</w:t>
      </w:r>
      <w:proofErr w:type="spellEnd"/>
      <w:r w:rsidRPr="00857C48">
        <w:rPr>
          <w:rFonts w:cs="Arial"/>
          <w:szCs w:val="22"/>
        </w:rPr>
        <w:t xml:space="preserve">. A colorimetric assay was adapted for lysate reactions to detect the blue pigment product, </w:t>
      </w:r>
      <w:proofErr w:type="spellStart"/>
      <w:r w:rsidRPr="00857C48">
        <w:rPr>
          <w:rFonts w:cs="Arial"/>
          <w:szCs w:val="22"/>
        </w:rPr>
        <w:t>indigoidine</w:t>
      </w:r>
      <w:proofErr w:type="spellEnd"/>
      <w:r w:rsidRPr="00857C48">
        <w:rPr>
          <w:rFonts w:cs="Arial"/>
          <w:szCs w:val="22"/>
        </w:rPr>
        <w:t xml:space="preserve">, of cell-free expressed </w:t>
      </w:r>
      <w:proofErr w:type="spellStart"/>
      <w:r w:rsidRPr="00857C48">
        <w:rPr>
          <w:rFonts w:cs="Arial"/>
          <w:szCs w:val="22"/>
        </w:rPr>
        <w:t>BpsA</w:t>
      </w:r>
      <w:proofErr w:type="spellEnd"/>
      <w:r w:rsidRPr="00857C48">
        <w:rPr>
          <w:rFonts w:cs="Arial"/>
          <w:szCs w:val="22"/>
        </w:rPr>
        <w:t>-</w:t>
      </w:r>
      <w:r w:rsidRPr="00857C48">
        <w:rPr>
          <w:rFonts w:cs="Arial"/>
          <w:szCs w:val="22"/>
        </w:rPr>
        <w:lastRenderedPageBreak/>
        <w:t>TC, confirming that the tagged enzyme is catalytically active. An optimized protocol for endpoint TC/</w:t>
      </w:r>
      <w:proofErr w:type="spellStart"/>
      <w:r w:rsidRPr="00857C48">
        <w:rPr>
          <w:rFonts w:cs="Arial"/>
          <w:szCs w:val="22"/>
        </w:rPr>
        <w:t>FlAsH</w:t>
      </w:r>
      <w:proofErr w:type="spellEnd"/>
      <w:r w:rsidRPr="00857C48">
        <w:rPr>
          <w:rFonts w:cs="Arial"/>
          <w:szCs w:val="22"/>
        </w:rPr>
        <w:t xml:space="preserve"> complex measurements in reactions enables quick comparisons of full-length </w:t>
      </w:r>
      <w:proofErr w:type="spellStart"/>
      <w:r w:rsidRPr="00857C48">
        <w:rPr>
          <w:rFonts w:cs="Arial"/>
          <w:szCs w:val="22"/>
        </w:rPr>
        <w:t>BpsA</w:t>
      </w:r>
      <w:proofErr w:type="spellEnd"/>
      <w:r w:rsidRPr="00857C48">
        <w:rPr>
          <w:rFonts w:cs="Arial"/>
          <w:szCs w:val="22"/>
        </w:rPr>
        <w:t xml:space="preserve">-TC expressed under different reaction conditions, defining unique requirements for NRPS expression that are related to the protein’s catalytic activity and size. Importantly, these protein-dependent CFE conditions enable higher </w:t>
      </w:r>
      <w:proofErr w:type="spellStart"/>
      <w:r w:rsidRPr="00857C48">
        <w:rPr>
          <w:rFonts w:cs="Arial"/>
          <w:szCs w:val="22"/>
        </w:rPr>
        <w:t>indigoidine</w:t>
      </w:r>
      <w:proofErr w:type="spellEnd"/>
      <w:r w:rsidRPr="00857C48">
        <w:rPr>
          <w:rFonts w:cs="Arial"/>
          <w:szCs w:val="22"/>
        </w:rPr>
        <w:t xml:space="preserve"> titer and improve the expression of other </w:t>
      </w:r>
      <w:proofErr w:type="spellStart"/>
      <w:r w:rsidRPr="00857C48">
        <w:rPr>
          <w:rFonts w:cs="Arial"/>
          <w:szCs w:val="22"/>
        </w:rPr>
        <w:t>monomodular</w:t>
      </w:r>
      <w:proofErr w:type="spellEnd"/>
      <w:r w:rsidRPr="00857C48">
        <w:rPr>
          <w:rFonts w:cs="Arial"/>
          <w:szCs w:val="22"/>
        </w:rPr>
        <w:t xml:space="preserve"> NRPSs. Notably, these conditions differ from those used for the expression of super folder GFP (</w:t>
      </w:r>
      <w:proofErr w:type="spellStart"/>
      <w:r w:rsidRPr="00857C48">
        <w:rPr>
          <w:rFonts w:cs="Arial"/>
          <w:szCs w:val="22"/>
        </w:rPr>
        <w:t>sfGFP</w:t>
      </w:r>
      <w:proofErr w:type="spellEnd"/>
      <w:r w:rsidRPr="00857C48">
        <w:rPr>
          <w:rFonts w:cs="Arial"/>
          <w:szCs w:val="22"/>
        </w:rPr>
        <w:t>), a common reporter for optimizing lysate-based CFE systems, indicating the necessity for tailored reporters to optimize expression for specific enzyme classes. The reporter system is anticipated to advance lysate-based CFE systems for complex enzyme synthesis, enabling natural product discovery.</w:t>
      </w:r>
    </w:p>
    <w:p w14:paraId="4A92AEC0" w14:textId="77777777" w:rsidR="00857C48" w:rsidRDefault="00857C48" w:rsidP="00857C48">
      <w:pPr>
        <w:rPr>
          <w:rFonts w:cs="Arial"/>
          <w:szCs w:val="22"/>
        </w:rPr>
      </w:pPr>
    </w:p>
    <w:p w14:paraId="1AD06F7D" w14:textId="7DAA3289" w:rsidR="00857C48" w:rsidRPr="00E033D4" w:rsidRDefault="00857C48" w:rsidP="00E033D4">
      <w:pPr>
        <w:pStyle w:val="ChapterHeading"/>
      </w:pPr>
      <w:bookmarkStart w:id="117" w:name="_Toc129701057"/>
      <w:r w:rsidRPr="00E033D4">
        <w:t>5.2. Introduction</w:t>
      </w:r>
      <w:bookmarkEnd w:id="117"/>
    </w:p>
    <w:p w14:paraId="0606EC5D" w14:textId="6EFEA3E6" w:rsidR="00857C48" w:rsidRPr="00857C48" w:rsidRDefault="00857C48" w:rsidP="00857C48">
      <w:pPr>
        <w:ind w:firstLine="720"/>
        <w:rPr>
          <w:rFonts w:cs="Arial"/>
          <w:color w:val="000000"/>
          <w:szCs w:val="22"/>
        </w:rPr>
      </w:pPr>
      <w:proofErr w:type="spellStart"/>
      <w:r w:rsidRPr="00857C48">
        <w:rPr>
          <w:rFonts w:cs="Arial"/>
          <w:color w:val="000000"/>
          <w:szCs w:val="22"/>
        </w:rPr>
        <w:t>Nonribosomal</w:t>
      </w:r>
      <w:proofErr w:type="spellEnd"/>
      <w:r w:rsidRPr="00857C48">
        <w:rPr>
          <w:rFonts w:cs="Arial"/>
          <w:color w:val="000000"/>
          <w:szCs w:val="22"/>
        </w:rPr>
        <w:t xml:space="preserve"> peptides are a structurally diverse class of natural products with valuable biological activities that include antibiotics, immunosuppressants, insecticides, fungicides, and pigments among others</w:t>
      </w:r>
      <w:r w:rsidRPr="00857C48">
        <w:rPr>
          <w:rFonts w:cs="Arial"/>
          <w:color w:val="000000"/>
          <w:szCs w:val="22"/>
        </w:rPr>
        <w:fldChar w:fldCharType="begin" w:fldLock="1"/>
      </w:r>
      <w:r w:rsidR="004F3109">
        <w:rPr>
          <w:rFonts w:cs="Arial"/>
          <w:color w:val="000000"/>
          <w:szCs w:val="22"/>
        </w:rPr>
        <w:instrText>ADDIN CSL_CITATION {"citationItems":[{"id":"ITEM-1","itemData":{"DOI":"10.1186/s40508-016-0057-6","ISSN":"2043-7129","abstract":"Nonribosomal peptides are products that fall into the class of secondary metabolites with a diverse properties as toxins, siderophores, pigments, or antibiotics, among others. Unlike other proteins, its biosynthesis is independent of ribosomal machinery. Nonribosomal peptides are synthesized on large nonribosomal peptide synthetase (NRPS) enzyme complexes. NRPSs are defined as multimodular enzymes, consisting of repeated modules. The NRPS enzymes are at operons and their regulation can be positive or negative at transcriptional or post-translational level. The presence of NRPS enzymes has been reported in the three domains of life, being prevalent in bacteria. Nonribosomal peptides are use in human medicine, crop protection, or environment restoration; and their use as commercial products has been approved by the U. S Food and Drug Administration (FDA) and the U. S. Environmental Protection Agency (EPA). The key features of nonribosomal peptides and NRPS enzymes, and some of their applications in industry are summarized.","author":[{"dropping-particle":"","family":"Martínez-Núñez","given":"Mario Alberto","non-dropping-particle":"","parse-names":false,"suffix":""},{"dropping-particle":"","family":"López","given":"Víctor Eric López y","non-dropping-particle":"","parse-names":false,"suffix":""}],"container-title":"Sustainable Chemical Processes","id":"ITEM-1","issue":"1","issued":{"date-parts":[["2016","12","2"]]},"page":"13","publisher":"Springer Nature","title":"Nonribosomal peptides synthetases and their applications in industry","type":"article-journal","volume":"4"},"uris":["http://www.mendeley.com/documents/?uuid=77c5e60d-1399-3d9a-9519-1651ea861bfe"]}],"mendeley":{"formattedCitation":"&lt;sup&gt;187&lt;/sup&gt;","plainTextFormattedCitation":"187","previouslyFormattedCitation":"&lt;sup&gt;187&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187</w:t>
      </w:r>
      <w:r w:rsidRPr="00857C48">
        <w:rPr>
          <w:rFonts w:cs="Arial"/>
          <w:color w:val="000000"/>
          <w:szCs w:val="22"/>
        </w:rPr>
        <w:fldChar w:fldCharType="end"/>
      </w:r>
      <w:r>
        <w:rPr>
          <w:rFonts w:cs="Arial"/>
          <w:color w:val="000000"/>
          <w:szCs w:val="22"/>
        </w:rPr>
        <w:t>.</w:t>
      </w:r>
      <w:r w:rsidRPr="00857C48">
        <w:rPr>
          <w:rFonts w:cs="Arial"/>
          <w:color w:val="000000"/>
          <w:szCs w:val="22"/>
        </w:rPr>
        <w:t xml:space="preserve"> These short peptides are made independent of the ribosomal machinery, and are instead synthesized by large (&gt; 100 </w:t>
      </w:r>
      <w:proofErr w:type="spellStart"/>
      <w:r w:rsidRPr="00857C48">
        <w:rPr>
          <w:rFonts w:cs="Arial"/>
          <w:color w:val="000000"/>
          <w:szCs w:val="22"/>
        </w:rPr>
        <w:t>kDa</w:t>
      </w:r>
      <w:proofErr w:type="spellEnd"/>
      <w:r w:rsidRPr="00857C48">
        <w:rPr>
          <w:rFonts w:cs="Arial"/>
          <w:color w:val="000000"/>
          <w:szCs w:val="22"/>
        </w:rPr>
        <w:t xml:space="preserve">) enzyme complexes called </w:t>
      </w:r>
      <w:proofErr w:type="spellStart"/>
      <w:r w:rsidRPr="00857C48">
        <w:rPr>
          <w:rFonts w:cs="Arial"/>
          <w:color w:val="000000"/>
          <w:szCs w:val="22"/>
        </w:rPr>
        <w:t>nonribosomal</w:t>
      </w:r>
      <w:proofErr w:type="spellEnd"/>
      <w:r w:rsidRPr="00857C48">
        <w:rPr>
          <w:rFonts w:cs="Arial"/>
          <w:color w:val="000000"/>
          <w:szCs w:val="22"/>
        </w:rPr>
        <w:t xml:space="preserve"> peptide synthetases (NRPSs)</w:t>
      </w:r>
      <w:r w:rsidRPr="00857C48">
        <w:rPr>
          <w:rFonts w:cs="Arial"/>
          <w:color w:val="000000"/>
          <w:szCs w:val="22"/>
        </w:rPr>
        <w:fldChar w:fldCharType="begin" w:fldLock="1"/>
      </w:r>
      <w:r w:rsidR="004F3109">
        <w:rPr>
          <w:rFonts w:cs="Arial"/>
          <w:color w:val="000000"/>
          <w:szCs w:val="22"/>
        </w:rPr>
        <w:instrText>ADDIN CSL_CITATION {"citationItems":[{"id":"ITEM-1","itemData":{"DOI":"10.1073/pnas.1401734111","ISBN":"1401734111","ISSN":"10916490","PMID":"24927540","abstract":"Nonribosomal peptides and polyketides are a diverse group of natural products with complex chemical structures and enormous pharmaceutical potential. They are synthesized on modular nonribosomal peptide synthetase (NRPS) and polyketide synthase (PKS) enzyme complexes by a conserved thiotemplate mechanism. Here, we report the widespread occurrence of NRPS and PKS genetic machinery across the three domains of life with the discovery of 3,339 gene clusters from 991 organisms, by examining a total of 2,699 genomes. These gene clusters display extraordinarily diverse organizations, and a total of 1,147 hybrid NRPS/PKS clusters were found. Surprisingly, 10% of bacterial gene clusters lacked modular organization, and instead catalytic domains were mostly encoded as separate proteins. The finding of common occurrence of nonmodular NRPS differs substantially from the current classification. Sequence analysis indicates that the evolution of NRPS machineries was driven by a combination of common descent and horizontal gene transfer. We identified related siderophore NRPS gene clusters that encoded modular and nonmodular NRPS enzymes organized in a gradient. A higher frequency of the NRPS and PKS gene clusters was detected from bacteria compared with archaea or eukarya. They commonly occurred in the phyla of Proteobacteria, Actinobacteria, Firmicutes, and Cyanobacteria in bacteria and the phylum of Ascomycota in fungi. The majority of these NRPS and PKS gene clusters have unknown end products highlighting the power of genome mining in identifying novel genetic machinery for the biosynthesis of secondary metabolites.","author":[{"dropping-particle":"","family":"Wang","given":"Hao","non-dropping-particle":"","parse-names":false,"suffix":""},{"dropping-particle":"","family":"Fewer","given":"David P.","non-dropping-particle":"","parse-names":false,"suffix":""},{"dropping-particle":"","family":"Holm","given":"Liisa","non-dropping-particle":"","parse-names":false,"suffix":""},{"dropping-particle":"","family":"Rouhiainen","given":"Leo","non-dropping-particle":"","parse-names":false,"suffix":""},{"dropping-particle":"","family":"Sivonen","given":"Kaarina","non-dropping-particle":"","parse-names":false,"suffix":""}],"container-title":"Proceedings of the National Academy of Sciences of the United States of America","id":"ITEM-1","issue":"25","issued":{"date-parts":[["2014"]]},"page":"9259-9264","title":"Atlas of nonribosomal peptide and polyketide biosynthetic pathways reveals common occurrence of nonmodular enzymes","type":"article-journal","volume":"111"},"uris":["http://www.mendeley.com/documents/?uuid=2470f510-5244-33e9-88c2-1da699ec8cc9"]}],"mendeley":{"formattedCitation":"&lt;sup&gt;188&lt;/sup&gt;","plainTextFormattedCitation":"188","previouslyFormattedCitation":"&lt;sup&gt;188&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188</w:t>
      </w:r>
      <w:r w:rsidRPr="00857C48">
        <w:rPr>
          <w:rFonts w:cs="Arial"/>
          <w:color w:val="000000"/>
          <w:szCs w:val="22"/>
        </w:rPr>
        <w:fldChar w:fldCharType="end"/>
      </w:r>
      <w:r>
        <w:rPr>
          <w:rFonts w:cs="Arial"/>
          <w:color w:val="000000"/>
          <w:szCs w:val="22"/>
        </w:rPr>
        <w:t>.</w:t>
      </w:r>
      <w:r w:rsidRPr="00857C48">
        <w:rPr>
          <w:rFonts w:cs="Arial"/>
          <w:color w:val="000000"/>
          <w:szCs w:val="22"/>
        </w:rPr>
        <w:t xml:space="preserve"> NRPSs are modular proteins and can exist as a single module or can be comprised of multiple modules organized into a complex assembly line. Each module has catalytic domains that carry out discrete chemical transformations to build a peptide product from amino acid precursors that are tethered by flexible linkers</w:t>
      </w:r>
      <w:r w:rsidRPr="00857C48">
        <w:rPr>
          <w:rFonts w:cs="Arial"/>
          <w:color w:val="000000"/>
          <w:szCs w:val="22"/>
        </w:rPr>
        <w:fldChar w:fldCharType="begin" w:fldLock="1"/>
      </w:r>
      <w:r w:rsidR="004F3109">
        <w:rPr>
          <w:rFonts w:cs="Arial"/>
          <w:color w:val="000000"/>
          <w:szCs w:val="22"/>
        </w:rPr>
        <w:instrText>ADDIN CSL_CITATION {"citationItems":[{"id":"ITEM-1","itemData":{"DOI":"10.1021/MP700137G","ISSN":"15438384","PMID":"18217713","abstract":"Natural products biosynthesized wholly or in part by nonribosomal peptide synthetases (NRPSs) are some of the most important drugs currently used clinically for the treatment of a variety of diseases. Since the initial research into NRPSs in the early 1960s, we have gained considerable insights into the mechanism by which these enzymes assemble these natural products. This review will present a brief history of how the basic mechanistic steps of NRPSs were initially deciphered and how this information has led us to understand how nature modified these systems to generate the enormous structural diversity seen in nonribosomal peptides. This review will also briefly discuss how drug development and discovery are being influenced by what we have learned from nature about nonribosomal peptide biosynthesis. © 2008 American Chemical Society.","author":[{"dropping-particle":"","family":"Felnagle","given":"Elizabeth A.","non-dropping-particle":"","parse-names":false,"suffix":""},{"dropping-particle":"","family":"Jackson","given":"Emily E.","non-dropping-particle":"","parse-names":false,"suffix":""},{"dropping-particle":"","family":"Chan","given":"Yolande A.","non-dropping-particle":"","parse-names":false,"suffix":""},{"dropping-particle":"","family":"Podevels","given":"Angela M.","non-dropping-particle":"","parse-names":false,"suffix":""},{"dropping-particle":"","family":"Berti","given":"Andrew D.","non-dropping-particle":"","parse-names":false,"suffix":""},{"dropping-particle":"","family":"McMahon","given":"Matthew D.","non-dropping-particle":"","parse-names":false,"suffix":""},{"dropping-particle":"","family":"Thomas","given":"Michael G.","non-dropping-particle":"","parse-names":false,"suffix":""}],"container-title":"Molecular pharmaceutics","id":"ITEM-1","issue":"2","issued":{"date-parts":[["2008","3"]]},"page":"191","publisher":"NIH Public Access","title":"Nonribosomal Peptide Synthetases Involved in the Production of Medically Relevant Natural Products","type":"article-journal","volume":"5"},"uris":["http://www.mendeley.com/documents/?uuid=4d1a936d-052d-3afb-abef-58ce9e2c2597"]},{"id":"ITEM-2","itemData":{"DOI":"10.1073/pnas.1401734111","ISBN":"1401734111","ISSN":"10916490","PMID":"24927540","abstract":"Nonribosomal peptides and polyketides are a diverse group of natural products with complex chemical structures and enormous pharmaceutical potential. They are synthesized on modular nonribosomal peptide synthetase (NRPS) and polyketide synthase (PKS) enzyme complexes by a conserved thiotemplate mechanism. Here, we report the widespread occurrence of NRPS and PKS genetic machinery across the three domains of life with the discovery of 3,339 gene clusters from 991 organisms, by examining a total of 2,699 genomes. These gene clusters display extraordinarily diverse organizations, and a total of 1,147 hybrid NRPS/PKS clusters were found. Surprisingly, 10% of bacterial gene clusters lacked modular organization, and instead catalytic domains were mostly encoded as separate proteins. The finding of common occurrence of nonmodular NRPS differs substantially from the current classification. Sequence analysis indicates that the evolution of NRPS machineries was driven by a combination of common descent and horizontal gene transfer. We identified related siderophore NRPS gene clusters that encoded modular and nonmodular NRPS enzymes organized in a gradient. A higher frequency of the NRPS and PKS gene clusters was detected from bacteria compared with archaea or eukarya. They commonly occurred in the phyla of Proteobacteria, Actinobacteria, Firmicutes, and Cyanobacteria in bacteria and the phylum of Ascomycota in fungi. The majority of these NRPS and PKS gene clusters have unknown end products highlighting the power of genome mining in identifying novel genetic machinery for the biosynthesis of secondary metabolites.","author":[{"dropping-particle":"","family":"Wang","given":"Hao","non-dropping-particle":"","parse-names":false,"suffix":""},{"dropping-particle":"","family":"Fewer","given":"David P.","non-dropping-particle":"","parse-names":false,"suffix":""},{"dropping-particle":"","family":"Holm","given":"Liisa","non-dropping-particle":"","parse-names":false,"suffix":""},{"dropping-particle":"","family":"Rouhiainen","given":"Leo","non-dropping-particle":"","parse-names":false,"suffix":""},{"dropping-particle":"","family":"Sivonen","given":"Kaarina","non-dropping-particle":"","parse-names":false,"suffix":""}],"container-title":"Proceedings of the National Academy of Sciences of the United States of America","id":"ITEM-2","issue":"25","issued":{"date-parts":[["2014"]]},"page":"9259-9264","title":"Atlas of nonribosomal peptide and polyketide biosynthetic pathways reveals common occurrence of nonmodular enzymes","type":"article-journal","volume":"111"},"uris":["http://www.mendeley.com/documents/?uuid=2470f510-5244-33e9-88c2-1da699ec8cc9"]},{"id":"ITEM-3","itemData":{"DOI":"10.1007/978-1-4939-3375-4_1","ISSN":"10643745","PMID":"26831698","abstract":"The nonribosomal peptide synthetases are modular enzymes that catalyze synthesis of important peptide products from a variety of standard and non-proteinogenic amino acid substrates. Within a single module are multiple catalytic domains that are responsible for incorporation of a single residue. After the amino acid is activated and covalently attached to an integrated carrier protein domain, the substrates and intermediates are delivered to neighboring catalytic domains for peptide bond formation or, in some modules, chemical modifi cation. In the fi nal module, the peptide is delivered to a terminal thioesterase domain that catalyzes release of the peptide product. This multi-domain modular architecture raises questions about the structural features that enable this assembly line synthesis in an effi cient manner. The structures of the core component domains have been determined and demonstrate insights into the catalytic activity. More recently, multi-domain structures have been determined and are providing clues to the features of these enzyme systems that govern the functional interaction between multiple domains. This chapter describes the structures of NRPS proteins and the strategies that are being used to assist structural studies of these dynamic proteins, including careful consideration of domain boundaries for generation of truncated proteins and the use of mechanism-based inhibitors that trap interactions between the catalytic and carrier protein domains.","author":[{"dropping-particle":"","family":"Miller","given":"Bradley R.","non-dropping-particle":"","parse-names":false,"suffix":""},{"dropping-particle":"","family":"Gulick","given":"Andrew M.","non-dropping-particle":"","parse-names":false,"suffix":""}],"container-title":"Methods in Molecular Biology","id":"ITEM-3","issued":{"date-parts":[["2016"]]},"page":"3-29","publisher":"Humana Press, New York, NY","title":"Structural Biology of Nonribosomal Peptide Synthetases","type":"article-journal","volume":"1401"},"uris":["http://www.mendeley.com/documents/?uuid=ee2e0b4b-e117-3ff4-adab-95214d8b0fb9"]}],"mendeley":{"formattedCitation":"&lt;sup&gt;188–190&lt;/sup&gt;","plainTextFormattedCitation":"188–190","previouslyFormattedCitation":"&lt;sup&gt;188–190&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188–190</w:t>
      </w:r>
      <w:r w:rsidRPr="00857C48">
        <w:rPr>
          <w:rFonts w:cs="Arial"/>
          <w:color w:val="000000"/>
          <w:szCs w:val="22"/>
        </w:rPr>
        <w:fldChar w:fldCharType="end"/>
      </w:r>
      <w:r>
        <w:rPr>
          <w:rFonts w:cs="Arial"/>
          <w:color w:val="000000"/>
          <w:szCs w:val="22"/>
        </w:rPr>
        <w:t>.</w:t>
      </w:r>
      <w:r w:rsidRPr="00857C48">
        <w:rPr>
          <w:rFonts w:cs="Arial"/>
          <w:color w:val="000000"/>
          <w:szCs w:val="22"/>
        </w:rPr>
        <w:t xml:space="preserve">  Considerable efforts to reprogram NRPS architectures to generate novel peptides have been made, both in terms of altering selectivity of amino acid recognizing or loading domains through point mutations</w:t>
      </w:r>
      <w:r w:rsidRPr="00857C48">
        <w:rPr>
          <w:rFonts w:cs="Arial"/>
          <w:color w:val="000000"/>
          <w:szCs w:val="22"/>
        </w:rPr>
        <w:fldChar w:fldCharType="begin" w:fldLock="1"/>
      </w:r>
      <w:r w:rsidR="004F3109">
        <w:rPr>
          <w:rFonts w:cs="Arial"/>
          <w:color w:val="000000"/>
          <w:szCs w:val="22"/>
        </w:rPr>
        <w:instrText>ADDIN CSL_CITATION {"citationItems":[{"id":"ITEM-1","itemData":{"DOI":"10.1021/ACS.BIOCHEM.9B00748/SUPPL_FILE/BI9B00748_SI_001.PDF","ISSN":"15204995","PMID":"31894971","abstract":"Aryl acids are most commonly found in iron-scavenging siderophores but are not limited to them. The nonribosomal peptide synthetase (NRPS) codes of aryl acids remain poorly elucidated relative to those of amino acids. Here, we defined more precisely the role of active-site residues in aryl acid adenylation domains (A-domains) by gradually grafting the NRPS codes used for salicylic acid (Sal) into an archetypal aryl acid A-domain, EntE [specific for the substrate 2,3-dihydroxybenzoic acid (DHB)]. Enzyme kinetics and modeling studies of these EntE variants demonstrated that the NRPS code residues at positions 236, 240, and 339 collectively regulate the substrate specificity toward DHB and Sal. Furthermore, the EntE variants exhibited the ability to activate the non-native aryl acids 3-hydroxybenzoic acid, 3-aminobenzoic acid, 3-fluorobenzoic acid, and 3-chlorobenzoic acid. These studies enhance our knowledge of the NRPS codes of aryl acids and could be exploited to reprogram aryl acid A-domains for non-native aryl acids.","author":[{"dropping-particle":"","family":"Ishikawa","given":"Fumihiro","non-dropping-particle":"","parse-names":false,"suffix":""},{"dropping-particle":"","family":"Nohara","given":"Maya","non-dropping-particle":"","parse-names":false,"suffix":""},{"dropping-particle":"","family":"Nakamura","given":"Shinya","non-dropping-particle":"","parse-names":false,"suffix":""},{"dropping-particle":"","family":"Nakanishi","given":"Isao","non-dropping-particle":"","parse-names":false,"suffix":""},{"dropping-particle":"","family":"Tanabe","given":"Genzoh","non-dropping-particle":"","parse-names":false,"suffix":""}],"container-title":"Biochemistry","id":"ITEM-1","issue":"4","issued":{"date-parts":[["2020","2","4"]]},"page":"351-363","publisher":"American Chemical Society","title":"Precise Probing of Residue Roles by NRPS Code Swapping: Mutation, Enzymatic Characterization, Modeling, and Substrate Promiscuity of Aryl Acid Adenylation Domains","type":"article-journal","volume":"59"},"uris":["http://www.mendeley.com/documents/?uuid=cae64ed3-3021-3c5b-95df-d8f60f1aca30"]},{"id":"ITEM-2","itemData":{"DOI":"10.1002/BIT.25560","ISSN":"1097-0290","PMID":"25683597","abstract":"Cloning and engineering of natural product biosynthetic pathways followed by heterologous expression in a tractable host is a widely used approach for expression and genetic modification of microbial secondary metabolites. Herein, we employed ccdB counterselection combined with oligonucleotide-mediated recombineering to efficiently create point mutations in a complex nonribosomal peptide synthetase (NRPS) from Photorabdus luminescens directing the biosynthesis of luminmides. After in depth analysis of the luminmide production profile from the native NRPS, single and double point mutations were rationally constructed within the adenylation (A) domain from NRPS module 3 which turned out to have a broad substrate tolerance. Expression of mutated versions of the 15.6kb NRPS gene plu3263 in E. coli led to alterations in luminmide production profiles and allowed to direct the biosynthesis towards certain derivatives. These results demonstrate the suitability of counterselection recombineering for site-directed mutagenesis of complex expression constructs, e.g., genes encoding NRPS biosynthetic pathways in multi-copy plasmids.","author":[{"dropping-particle":"","family":"Bian","given":"Xiaoying","non-dropping-particle":"","parse-names":false,"suffix":""},{"dropping-particle":"","family":"Plaza","given":"Alberto","non-dropping-particle":"","parse-names":false,"suffix":""},{"dropping-particle":"","family":"Yan","given":"Fu","non-dropping-particle":"","parse-names":false,"suffix":""},{"dropping-particle":"","family":"Zhang","given":"Youming","non-dropping-particle":"","parse-names":false,"suffix":""},{"dropping-particle":"","family":"Müller","given":"Rolf","non-dropping-particle":"","parse-names":false,"suffix":""}],"container-title":"Biotechnology and bioengineering","id":"ITEM-2","issue":"7","issued":{"date-parts":[["2015","7","1"]]},"page":"1343-1353","publisher":"Biotechnol Bioeng","title":"Rational and efficient site-directed mutagenesis of adenylation domain alters relative yields of luminmide derivatives in vivo","type":"article-journal","volume":"112"},"uris":["http://www.mendeley.com/documents/?uuid=a305cc32-6d13-3e93-b601-d84cf76daa71"]},{"id":"ITEM-3","itemData":{"DOI":"10.1016/S1074-5521(99)80082-9","ISSN":"1074-5521","PMID":"10421756","abstract":"Background: Many pharmacologically important peptides are synthesized nonribosomally by multimodular peptide synthetases (NRPSs). These enzyme templates consist of iterated modules that, in their number and organization, determine the primary structure of the corresponding peptide products. At the core of each module is an adenylation domain that recognizes the cognate substrate and activates it as its aminoacyl adenylate. Recently, the crystal structure of the phenylalanine-activating adenylation domain PheA was solved with phenylalanine and AMP, illustrating the structural basis for substrate recognition. Results: By comparing the residues that line the phenylalanine-binding pocket in PheA with the corresponding moieties in other adenylation domains, general rules for deducing substrate specificity were developed. We tested these in silico 'rules' by mutating specificity-conferring residues within PheA. The substrate specificity of most mutants was altered or relaxed. Generalization of the selectivity determinants also allowed the targeted specificity switch of an aspartate-activating adenylation domain, the crystal structure of which has not yet been solved, by introducing a single mutation. Conclusions: In silico studies and structure-function mutagenesis have defined general rules for the structural basis of substrate recognition in adenylation domains of NRPSs. These rules can be used to rationally alter the specificity of adenylation domains and to predict from the primary sequence the specificity of biochemically uncharacterized adenylation domains. Such efforts could enhance the structural diversity of peptide antibiotics such as penicillins, cyclosporins and vancomycins by allowing synthesis of 'unnatural' natural products.","author":[{"dropping-particle":"","family":"Stachelhaus","given":"Torsten","non-dropping-particle":"","parse-names":false,"suffix":""},{"dropping-particle":"","family":"Mootz","given":"Henning D.","non-dropping-particle":"","parse-names":false,"suffix":""},{"dropping-particle":"","family":"Marahiel","given":"Mohamed A.","non-dropping-particle":"","parse-names":false,"suffix":""}],"container-title":"Chemistry &amp; biology","id":"ITEM-3","issue":"8","issued":{"date-parts":[["1999"]]},"page":"493-505","publisher":"Chem Biol","title":"The specificity-conferring code of adenylation domains in nonribosomal peptide synthetases","type":"article-journal","volume":"6"},"uris":["http://www.mendeley.com/documents/?uuid=b549735a-f3e2-38b8-8f43-2ab6480cfe05"]}],"mendeley":{"formattedCitation":"&lt;sup&gt;191–193&lt;/sup&gt;","plainTextFormattedCitation":"191–193","previouslyFormattedCitation":"&lt;sup&gt;191–193&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191–193</w:t>
      </w:r>
      <w:r w:rsidRPr="00857C48">
        <w:rPr>
          <w:rFonts w:cs="Arial"/>
          <w:color w:val="000000"/>
          <w:szCs w:val="22"/>
        </w:rPr>
        <w:fldChar w:fldCharType="end"/>
      </w:r>
      <w:r w:rsidRPr="00857C48">
        <w:rPr>
          <w:rFonts w:cs="Arial"/>
          <w:color w:val="000000"/>
          <w:szCs w:val="22"/>
        </w:rPr>
        <w:t xml:space="preserve"> as well as domain swapping</w:t>
      </w:r>
      <w:r w:rsidRPr="00857C48">
        <w:rPr>
          <w:rFonts w:cs="Arial"/>
          <w:color w:val="000000"/>
          <w:szCs w:val="22"/>
        </w:rPr>
        <w:fldChar w:fldCharType="begin" w:fldLock="1"/>
      </w:r>
      <w:r w:rsidR="004F3109">
        <w:rPr>
          <w:rFonts w:cs="Arial"/>
          <w:color w:val="000000"/>
          <w:szCs w:val="22"/>
        </w:rPr>
        <w:instrText>ADDIN CSL_CITATION {"citationItems":[{"id":"ITEM-1","itemData":{"DOI":"10.1038/s41467-020-18365-0","ISSN":"2041-1723","PMID":"32917865","abstract":"Non-ribosomal peptide synthetase (NRPS) enzymes form modular assembly-lines, wherein each module governs the incorporation of a specific monomer into a short peptide product. Modules are comprised of one or more key domains, including adenylation (A) domains, which recognise and activate the monomer substrate; condensation (C) domains, which catalyse amide bond formation; and thiolation (T) domains, which shuttle reaction intermediates between catalytic domains. This arrangement offers prospects for rational peptide modification via substitution of substrate-specifying domains. For over 20 years, it has been considered that C domains play key roles in proof-reading the substrate; a presumption that has greatly complicated rational NRPS redesign. Here we present evidence from both directed and natural evolution studies that any substrate-specifying role for C domains is likely to be the exception rather than the rule, and that novel non-ribosomal peptides can be generated by substitution of A domains alone. We identify permissive A domain recombination boundaries and show that these allow us to efficiently generate modified pyoverdine peptides at high yields. We further demonstrate the transferability of our approach in the PheATE-ProCAT model system originally used to infer C domain substrate specificity, generating modified dipeptide products at yields that are inconsistent with the prevailing dogma. Non-ribosomal peptide synthases are multimodular enzymes comprised of adenylation (A), condensation (C) and thiolation domains. Here, the authors show that non-ribosomal peptides can be generated solely by A domain substitutions, providing evidence that the postulated substrate specifying role of C-domains may be rare in nature.","author":[{"dropping-particle":"","family":"Calcott","given":"Mark J.","non-dropping-particle":"","parse-names":false,"suffix":""},{"dropping-particle":"","family":"Owen","given":"Jeremy G.","non-dropping-particle":"","parse-names":false,"suffix":""},{"dropping-particle":"","family":"Ackerley","given":"David F.","non-dropping-particle":"","parse-names":false,"suffix":""}],"container-title":"Nature Communications 2020 11:1","id":"ITEM-1","issue":"1","issued":{"date-parts":[["2020","9","11"]]},"page":"1-10","publisher":"Nature Publishing Group","title":"Efficient rational modification of non-ribosomal peptides by adenylation domain substitution","type":"article-journal","volume":"11"},"uris":["http://www.mendeley.com/documents/?uuid=3a9b51de-1804-3ba3-a23f-6e84d3c825d7"]},{"id":"ITEM-2","itemData":{"DOI":"10.1038/nchem.2890","ISSN":"1755-4349","PMID":"29461518","abstract":"Peptides derived from non-ribosomal peptide synthetases (NRPSs) represent an important class of pharmaceutically relevant drugs. Methods to generate novel non-ribosomal peptides or to modify peptide natural products in an easy and predictable way are therefore of great interest. However, although the overall modular structure of NRPSs suggests the possibility of adjusting domain specificity and selectivity, only a few examples have been reported and these usually show a severe drop in production titre. Here we report a new strategy for the modification of NRPSs that uses defined exchange units (XUs) and not modules as functional units. XUs are fused at specific positions that connect the condensation and adenylation domains and respect the original specificity of the downstream module to enable the production of the desired peptides. We also present the use of internal condensation domains as an alternative to other peptide-chain-releasing domains for the production of cyclic peptides. Peptides derived from non-ribosomal peptide synthetases (NRPS) are an important class of pharmaceutically relevant drugs. However, no general rules for the modification of NRPS or the generation of artificial NRPS are known. Now, a new strategy for the modification of NRPS has been developed that uses defined exchange units that are fused at specific positions connecting the condensation and adenylation domains.","author":[{"dropping-particle":"","family":"Bozhüyük","given":"Kenan A.J.","non-dropping-particle":"","parse-names":false,"suffix":""},{"dropping-particle":"","family":"Fleischhacker","given":"Florian","non-dropping-particle":"","parse-names":false,"suffix":""},{"dropping-particle":"","family":"Linck","given":"Annabell","non-dropping-particle":"","parse-names":false,"suffix":""},{"dropping-particle":"","family":"Wesche","given":"Frank","non-dropping-particle":"","parse-names":false,"suffix":""},{"dropping-particle":"","family":"Tietze","given":"Andreas","non-dropping-particle":"","parse-names":false,"suffix":""},{"dropping-particle":"","family":"Niesert","given":"Claus Peter","non-dropping-particle":"","parse-names":false,"suffix":""},{"dropping-particle":"","family":"Bode","given":"Helge B.","non-dropping-particle":"","parse-names":false,"suffix":""}],"container-title":"Nature Chemistry 2017 10:3","id":"ITEM-2","issue":"3","issued":{"date-parts":[["2017","12","11"]]},"page":"275-281","publisher":"Nature Publishing Group","title":"De novo design and engineering of non-ribosomal peptide synthetases","type":"article-journal","volume":"10"},"uris":["http://www.mendeley.com/documents/?uuid=a2d2da5b-8489-36bc-8111-f47bde4fe5d9"]},{"id":"ITEM-3","itemData":{"DOI":"10.1016/J.CHEMBIOL.2015.04.015","ISSN":"1879-1301","PMID":"26000750","abstract":"Nonribosomal peptide synthetases (NRPSs) protect microorganisms from environmental threats by producing diverse siderophores, antibiotics, and other peptide natural products. Their modular molecular structure is also attractive from the standpoint of biosynthetic engineering. Here we evaluate a methodology for swapping module specificities of these mega-enzymes that takes advantage of flavodoxin-like subdomains involved in substrate recognition. Nine subdomains encoding diverse specificities were transplanted into the Phe-specific GrsA initiation module of gramicidin S synthetase. All chimeras could be purified as soluble protein. One construct based on a Val-specific subdomain showed sizable adenylation activity and functioned as a Val-Pro diketopiperazine synthetase upon addition of the proline-specific GrsB1 module. These results suggest that subdomain swapping could be a viable alternative to previous NRPS design approaches targeting binding pockets, domains, or entire modules. The short length of the swapped sequence stretch may facilitate straightforward exploitation of the wealth of existing NRPS modules for combinatorial biosynthesis.","author":[{"dropping-particle":"","family":"Kries","given":"Hajo","non-dropping-particle":"","parse-names":false,"suffix":""},{"dropping-particle":"","family":"Niquille","given":"David L.","non-dropping-particle":"","parse-names":false,"suffix":""},{"dropping-particle":"","family":"Hilvert","given":"Donald","non-dropping-particle":"","parse-names":false,"suffix":""}],"container-title":"Chemistry &amp; biology","id":"ITEM-3","issue":"5","issued":{"date-parts":[["2015","5","30"]]},"page":"640-648","publisher":"Chem Biol","title":"A subdomain swap strategy for reengineering nonribosomal peptides","type":"article-journal","volume":"22"},"uris":["http://www.mendeley.com/documents/?uuid=3331eb13-40bc-3ef8-8d3b-873f0a10e8bc"]}],"mendeley":{"formattedCitation":"&lt;sup&gt;194–196&lt;/sup&gt;","plainTextFormattedCitation":"194–196","previouslyFormattedCitation":"&lt;sup&gt;194–196&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194–196</w:t>
      </w:r>
      <w:r w:rsidRPr="00857C48">
        <w:rPr>
          <w:rFonts w:cs="Arial"/>
          <w:color w:val="000000"/>
          <w:szCs w:val="22"/>
        </w:rPr>
        <w:fldChar w:fldCharType="end"/>
      </w:r>
      <w:r>
        <w:rPr>
          <w:rFonts w:cs="Arial"/>
          <w:color w:val="000000"/>
          <w:szCs w:val="22"/>
        </w:rPr>
        <w:t>.</w:t>
      </w:r>
      <w:r w:rsidRPr="00857C48">
        <w:rPr>
          <w:rFonts w:cs="Arial"/>
          <w:color w:val="000000"/>
          <w:szCs w:val="22"/>
        </w:rPr>
        <w:t xml:space="preserve">  However, many of these designs are hindered by slow experimental throughput including the ability to screen large enough numbers of constructs to develop adequate design rules</w:t>
      </w:r>
      <w:r w:rsidRPr="00857C48">
        <w:rPr>
          <w:rFonts w:cs="Arial"/>
          <w:color w:val="000000"/>
          <w:szCs w:val="22"/>
        </w:rPr>
        <w:fldChar w:fldCharType="begin" w:fldLock="1"/>
      </w:r>
      <w:r w:rsidR="004F3109">
        <w:rPr>
          <w:rFonts w:cs="Arial"/>
          <w:color w:val="000000"/>
          <w:szCs w:val="22"/>
        </w:rPr>
        <w:instrText>ADDIN CSL_CITATION {"citationItems":[{"id":"ITEM-1","itemData":{"DOI":"10.1016/J.CHEMBIOL.2006.06.015","ISSN":"1074-5521","PMID":"16931339","abstract":"The intermolecular communication within NRPS complexes relies on the coordinated interplay of donor and acceptor communication-mediating (COM) domains. In this study, the potential of COM domains was exploited in vivo by establishing a system for the true biocombinatorial synthesis of lipopeptides via directed reprogramming of a natural NRP biosynthetic assembly line (i.e., surfactin). By means of COM domain swapping, these experiments verified the decisive role of COM domains for the control of protein-protein interactions between NRPSs, demonstrated the functionality of COM domain pairs even in the context of a heterologous host and NRPS system, and allowed for the intended skipping of a biosynthetic enzyme within a multienzymatic biosynthetic complex. Ultimately, abrogation of the selectivity barrier provided by COM domains afforded the successful simultaneous, biocombinatorial synthesis of distinct lipopeptide products. © 2006 Elsevier Ltd. All rights reserved.","author":[{"dropping-particle":"","family":"Chiocchini","given":"Claudia","non-dropping-particle":"","parse-names":false,"suffix":""},{"dropping-particle":"","family":"Linne","given":"Uwe","non-dropping-particle":"","parse-names":false,"suffix":""},{"dropping-particle":"","family":"Stachelhaus","given":"Torsten","non-dropping-particle":"","parse-names":false,"suffix":""}],"container-title":"Chemistry &amp; Biology","id":"ITEM-1","issue":"8","issued":{"date-parts":[["2006","8","1"]]},"page":"899-908","publisher":"Cell Press","title":"In Vivo Biocombinatorial Synthesis of Lipopeptides by COM Domain-Mediated Reprogramming of the Surfactin Biosynthetic Complex","type":"article-journal","volume":"13"},"uris":["http://www.mendeley.com/documents/?uuid=073d1a1e-4420-3cd5-8f9b-58a9d942e182"]},{"id":"ITEM-2","itemData":{"DOI":"10.1039/C3MB70594C","ISSN":"1742-2051","PMID":"24457530","abstract":"Non-ribosomal peptide synthetases (NRPSs) are enzymes that catalyze ribosome-independent production of small peptides, most of which are bioactive. NRPSs act as peptide assembly lines where individual, often interconnected modules each incorporate a specific amino acid into the nascent chain. The modules themselves consist of several domains that function in the activation, modification and condensation of the substrate. NRPSs are evidently modular, yet experimental proof of the ability to engineer desired permutations of domains and modules is still sought. Here, we use a synthetic-biology approach to create a small library of engineered NRPSs, in which the domain responsible for carrying the activated amino acid (T domain) is exchanged with natural or synthetic T domains. As a model system, we employ the single-module NRPS IndC from Photorhabdus luminescens that produces the blue pigment indigoidine. As chassis we use Escherichia coli. We demonstrate that heterologous T domain exchange is possible, even for T domains derived from different organisms. Interestingly, substitution of the native T domain with a synthetic one enhanced indigoidine production. Moreover, we show that selection of appropriate inter-domain linker regions is critical for functionality. Taken together, our results extend the engineering avenues for NRPSs, as they point out the possibility of combining domain sequences coming from different pathways, organisms or from conservation criteria. Moreover, our data suggest that NRPSs can be rationally engineered to control the level of production of the corresponding peptides. This could have important implications for industrial and medical applications.","author":[{"dropping-particle":"","family":"Beer","given":"Ralf","non-dropping-particle":"","parse-names":false,"suffix":""},{"dropping-particle":"","family":"Herbst","given":"Konrad","non-dropping-particle":"","parse-names":false,"suffix":""},{"dropping-particle":"","family":"Ignatiadis","given":"Nikolaos","non-dropping-particle":"","parse-names":false,"suffix":""},{"dropping-particle":"","family":"Kats","given":"Ilia","non-dropping-particle":"","parse-names":false,"suffix":""},{"dropping-particle":"","family":"Adlung","given":"Lorenz","non-dropping-particle":"","parse-names":false,"suffix":""},{"dropping-particle":"","family":"Meyer","given":"Hannah","non-dropping-particle":"","parse-names":false,"suffix":""},{"dropping-particle":"","family":"Niopek","given":"Dominik","non-dropping-particle":"","parse-names":false,"suffix":""},{"dropping-particle":"","family":"Christiansen","given":"Tania","non-dropping-particle":"","parse-names":false,"suffix":""},{"dropping-particle":"","family":"Georgi","given":"Fanny","non-dropping-particle":"","parse-names":false,"suffix":""},{"dropping-particle":"","family":"Kurzawa","given":"Nils","non-dropping-particle":"","parse-names":false,"suffix":""},{"dropping-particle":"","family":"Meichsner","given":"Johanna","non-dropping-particle":"","parse-names":false,"suffix":""},{"dropping-particle":"","family":"Rabe","given":"Sophie","non-dropping-particle":"","parse-names":false,"suffix":""},{"dropping-particle":"","family":"Riedel","given":"Anja","non-dropping-particle":"","parse-names":false,"suffix":""},{"dropping-particle":"","family":"Sachs","given":"Joshua","non-dropping-particle":"","parse-names":false,"suffix":""},{"dropping-particle":"","family":"Schessner","given":"Julia","non-dropping-particle":"","parse-names":false,"suffix":""},{"dropping-particle":"","family":"Schmidt","given":"Florian","non-dropping-particle":"","parse-names":false,"suffix":""},{"dropping-particle":"","family":"Walch","given":"Philipp","non-dropping-particle":"","parse-names":false,"suffix":""},{"dropping-particle":"","family":"Niopek","given":"Katharina","non-dropping-particle":"","parse-names":false,"suffix":""},{"dropping-particle":"","family":"Heinemann","given":"Tim","non-dropping-particle":"","parse-names":false,"suffix":""},{"dropping-particle":"","family":"Eils","given":"Roland","non-dropping-particle":"","parse-names":false,"suffix":""},{"dropping-particle":"","family":"Ventura","given":"Barbara","non-dropping-particle":"Di","parse-names":false,"suffix":""}],"container-title":"Molecular BioSystems","id":"ITEM-2","issue":"7","issued":{"date-parts":[["2014","6","3"]]},"page":"1709-1718","publisher":"The Royal Society of Chemistry","title":"Creating functional engineered variants of the single-module non-ribosomal peptide synthetase IndC by T domain exchange","type":"article-journal","volume":"10"},"uris":["http://www.mendeley.com/documents/?uuid=d93e98d4-7621-36cc-9e1f-0d5950ed4ec5"]},{"id":"ITEM-3","itemData":{"DOI":"10.1002/PSC.2907","ISSN":"1099-1387","PMID":"27465074","abstract":"From the evolutionary melting pot of natural product synthetase genes, microorganisms elicit antibiotics, communication tools, and iron scavengers. Chemical biologists manipulate these genes to recreate similarly diverse and potent biological activities not on evolutionary time scales but within months. Enzyme engineering has progressed considerably in recent years and offers new screening, modelling, and design tools for natural product designers. Here, recent advances in enzyme engineering and their application to nonribosomal peptide synthetases are reviewed. Among the nonribosomal peptides that have been subjected to biosynthetic engineering are the antibiotics daptomycin, calcium-dependent antibiotic, and gramicidin S. With these peptides, incorporation of unnatural building blocks and modulation of bioactivities via various structural modifications have been successfully demonstrated. Natural product engineering on the biosynthetic level is not a reliable method yet. However, progress in the understanding and manipulation of biosynthetic pathways may enable the routine production of optimized peptide drugs in the near future. Copyright © 2016 European Peptide Society and John Wiley &amp; Sons, Ltd.","author":[{"dropping-particle":"","family":"Kries","given":"Hajo","non-dropping-particle":"","parse-names":false,"suffix":""}],"container-title":"Journal of Peptide Science","id":"ITEM-3","issue":"9","issued":{"date-parts":[["2016","9","1"]]},"page":"564-570","publisher":"John Wiley &amp; Sons, Ltd","title":"Biosynthetic engineering of nonribosomal peptide synthetases","type":"article-journal","volume":"22"},"uris":["http://www.mendeley.com/documents/?uuid=ad9b4bc9-9c73-3ad4-95f6-8fd6d1480190"]},{"id":"ITEM-4","itemData":{"DOI":"10.1016/J.CHEMBIOL.2015.04.015","ISSN":"1879-1301","PMID":"26000750","abstract":"Nonribosomal peptide synthetases (NRPSs) protect microorganisms from environmental threats by producing diverse siderophores, antibiotics, and other peptide natural products. Their modular molecular structure is also attractive from the standpoint of biosynthetic engineering. Here we evaluate a methodology for swapping module specificities of these mega-enzymes that takes advantage of flavodoxin-like subdomains involved in substrate recognition. Nine subdomains encoding diverse specificities were transplanted into the Phe-specific GrsA initiation module of gramicidin S synthetase. All chimeras could be purified as soluble protein. One construct based on a Val-specific subdomain showed sizable adenylation activity and functioned as a Val-Pro diketopiperazine synthetase upon addition of the proline-specific GrsB1 module. These results suggest that subdomain swapping could be a viable alternative to previous NRPS design approaches targeting binding pockets, domains, or entire modules. The short length of the swapped sequence stretch may facilitate straightforward exploitation of the wealth of existing NRPS modules for combinatorial biosynthesis.","author":[{"dropping-particle":"","family":"Kries","given":"Hajo","non-dropping-particle":"","parse-names":false,"suffix":""},{"dropping-particle":"","family":"Niquille","given":"David L.","non-dropping-particle":"","parse-names":false,"suffix":""},{"dropping-particle":"","family":"Hilvert","given":"Donald","non-dropping-particle":"","parse-names":false,"suffix":""}],"container-title":"Chemistry &amp; biology","id":"ITEM-4","issue":"5","issued":{"date-parts":[["2015","5","30"]]},"page":"640-648","publisher":"Chem Biol","title":"A subdomain swap strategy for reengineering nonribosomal peptides","type":"article-journal","volume":"22"},"uris":["http://www.mendeley.com/documents/?uuid=3331eb13-40bc-3ef8-8d3b-873f0a10e8bc"]},{"id":"ITEM-5","itemData":{"DOI":"10.1002/ANIE.201405281","ISSN":"1521-3773","PMID":"25081643","abstract":"Nonribosomal peptide synthetases (NRPSs) are multifunctional enzymes that produce a wide array of bioactive peptides. Here we show that a single tryptophan-to-serine mutation in phenylalanine-specific NRPS adenylation domains enables the efficient activation of non-natural aromatic amino acids functionalized with azide and alkyne groups. The resulting 105-fold switch in substrate specificity was achieved without appreciable loss of catalytic efficiency. Moreover, the effective communication of the modified A domains with downstream modules in dipeptide synthetases permitted incorporation of O-propargyl-L-tyrosine into diketopiperazines both in vitro and in vivo, even in the presence of competing phenylalanine. Because azides and alkynes readily undergo bioorthogonal click reactions, reprogramming NRPSs to accept non-natural amino acids that contain these groups provides a potentially powerful means of isolating, labeling, and modifying biologically active peptides.","author":[{"dropping-particle":"","family":"Kries","given":"Hajo","non-dropping-particle":"","parse-names":false,"suffix":""},{"dropping-particle":"","family":"Wachtel","given":"Rudolf","non-dropping-particle":"","parse-names":false,"suffix":""},{"dropping-particle":"","family":"Pabst","given":"Anja","non-dropping-particle":"","parse-names":false,"suffix":""},{"dropping-particle":"","family":"Wanner","given":"Benedikt","non-dropping-particle":"","parse-names":false,"suffix":""},{"dropping-particle":"","family":"Niquille","given":"David","non-dropping-particle":"","parse-names":false,"suffix":""},{"dropping-particle":"","family":"Hilvert","given":"Donald","non-dropping-particle":"","parse-names":false,"suffix":""}],"container-title":"Angewandte Chemie International Edition","id":"ITEM-5","issue":"38","issued":{"date-parts":[["2014","9","15"]]},"page":"10105-10108","publisher":"John Wiley &amp; Sons, Ltd","title":"Reprogramming Nonribosomal Peptide Synthetases for “Clickable” Amino Acids","type":"article-journal","volume":"53"},"uris":["http://www.mendeley.com/documents/?uuid=e956050a-d891-38ce-b01b-be79dd5d7476"]},{"id":"ITEM-6","itemData":{"DOI":"10.1038/s41557-019-0276-z","ISSN":"1755-4349","PMID":"31182822","abstract":"Non-ribosomal peptide synthetases (NRPSs) are giant enzyme machines that activate amino acids in an assembly line fashion. As NRPSs are not restricted to the incorporation of the 20 proteinogenic amino acids, their efficient manipulation would enable microbial production of a diverse range of peptides; however, the structural requirements for reprogramming NRPSs to facilitate the production of new peptides are not clear. Here we describe a new fusion point inside the condensation domains of NRPSs that results in the development of the exchange unit condensation domain (XUC) concept, which enables the efficient production of peptides, even containing non-natural amino acids, in yields up to 280 mg l−1. This allows the generation of more specific NRPSs, reducing the number of unwanted peptide derivatives, but also the generation of peptide libraries. The XUC might therefore be suitable for the future optimization of peptide production and the identification of bioactive peptide derivatives for pharmaceutical and other applications. Non-ribosomal peptide synthetases have now been modified and de novo non-ribosomal peptide synthetases constructed using new assembly points within condensation domains. This approach enabled the production of new-to-nature peptides, including some carrying synthetic amino acids, as well as the generation of peptide libraries.","author":[{"dropping-particle":"","family":"Bozhüyük","given":"Kenan A.J.","non-dropping-particle":"","parse-names":false,"suffix":""},{"dropping-particle":"","family":"Linck","given":"Annabell","non-dropping-particle":"","parse-names":false,"suffix":""},{"dropping-particle":"","family":"Tietze","given":"Andreas","non-dropping-particle":"","parse-names":false,"suffix":""},{"dropping-particle":"","family":"Kranz","given":"Janik","non-dropping-particle":"","parse-names":false,"suffix":""},{"dropping-particle":"","family":"Wesche","given":"Frank","non-dropping-particle":"","parse-names":false,"suffix":""},{"dropping-particle":"","family":"Nowak","given":"Sarah","non-dropping-particle":"","parse-names":false,"suffix":""},{"dropping-particle":"","family":"Fleischhacker","given":"Florian","non-dropping-particle":"","parse-names":false,"suffix":""},{"dropping-particle":"","family":"Shi","given":"Yan Ni","non-dropping-particle":"","parse-names":false,"suffix":""},{"dropping-particle":"","family":"Grün","given":"Peter","non-dropping-particle":"","parse-names":false,"suffix":""},{"dropping-particle":"","family":"Bode","given":"Helge B.","non-dropping-particle":"","parse-names":false,"suffix":""}],"container-title":"Nature Chemistry 2019 11:7","id":"ITEM-6","issue":"7","issued":{"date-parts":[["2019","6","10"]]},"page":"653-661","publisher":"Nature Publishing Group","title":"Modification and de novo design of non-ribosomal peptide synthetases using specific assembly points within condensation domains","type":"article-journal","volume":"11"},"uris":["http://www.mendeley.com/documents/?uuid=930eddf2-f66b-35e5-b813-21a92fdb30d5"]},{"id":"ITEM-7","itemData":{"DOI":"10.1002/ANIE.201202043","ISSN":"1521-3773","PMID":"22711659","abstract":"Calcium-dependent antibiotics (CDA) are cyclic lipopeptides assembled by nonribosomal peptide synthetase (NRPS) enzymes. Active site modification of the 3-methyl glutamate activating adenylation (A) domain of the CDA NRPS enables the incorporation of synthetic 3-methyl glutamine into CDA. This provides the first example of how A-domains can be engineered to introduce synthetic \"non-natural\" amino acids into nonribosomal peptides. Copyright © 2012 WILEY-VCH Verlag GmbH &amp; Co. KGaA, Weinheim.","author":[{"dropping-particle":"","family":"Thirlway","given":"Jenny","non-dropping-particle":"","parse-names":false,"suffix":""},{"dropping-particle":"","family":"Lewis","given":"Richard","non-dropping-particle":"","parse-names":false,"suffix":""},{"dropping-particle":"","family":"Nunns","given":"Laura","non-dropping-particle":"","parse-names":false,"suffix":""},{"dropping-particle":"","family":"Nakeeb","given":"Majid","non-dropping-particle":"Al","parse-names":false,"suffix":""},{"dropping-particle":"","family":"Styles","given":"Matthew","non-dropping-particle":"","parse-names":false,"suffix":""},{"dropping-particle":"","family":"Struck","given":"Anna Winona","non-dropping-particle":"","parse-names":false,"suffix":""},{"dropping-particle":"","family":"Smith","given":"Colin P.","non-dropping-particle":"","parse-names":false,"suffix":""},{"dropping-particle":"","family":"Micklefield","given":"Jason","non-dropping-particle":"","parse-names":false,"suffix":""}],"container-title":"Angewandte Chemie International Edition","id":"ITEM-7","issue":"29","issued":{"date-parts":[["2012","7","16"]]},"page":"7181-7184","publisher":"John Wiley &amp; Sons, Ltd","title":"Introduction of a Non-Natural Amino Acid into a Nonribosomal Peptide Antibiotic by Modification of Adenylation Domain Specificity","type":"article-journal","volume":"51"},"uris":["http://www.mendeley.com/documents/?uuid=b3fc1c89-8f2c-3be6-a896-a48ce0b09df0"]},{"id":"ITEM-8","itemData":{"DOI":"10.1007/S10295-018-2084-7","ISSN":"1476-5535","PMID":"30291534","abstract":"Nonproteinogenic amino acids are the unique building blocks of nonribosomal peptides (NRPs) and hybrid nonribosomal peptide–polyketides (NRP–PKs) and contribute to their diversity of chemical structures and biological activities. In the biosynthesis of NRPs and NRP–PKs, adenylation enzymes select and activate an amino acid substrate as an aminoacyl adenylate, which reacts with the thiol of the holo form of the carrier protein to afford an aminoacyl thioester as the electrophile for the condensation reaction. Therefore, the substrate specificity of adenylation enzymes is a key determinant of the structure of NRPs and NRP–PKs. Here, we focus on nonproteinogenic amino acid selective adenylation enzymes, because understanding their unique selection mechanisms will lead to accurate functional predictions and protein engineering toward the rational biosynthesis of designed molecules containing amino acids. Based on recent progress in the structural analysis of adenylation enzymes, we discuss the nonribosomal codes of nonproteinogenic amino acid selective adenylation enzymes.","author":[{"dropping-particle":"","family":"Kudo","given":"Fumitaka","non-dropping-particle":"","parse-names":false,"suffix":""},{"dropping-particle":"","family":"Miyanaga","given":"Akimasa","non-dropping-particle":"","parse-names":false,"suffix":""},{"dropping-particle":"","family":"Eguchi","given":"Tadashi","non-dropping-particle":"","parse-names":false,"suffix":""}],"container-title":"Journal of industrial microbiology &amp; biotechnology","id":"ITEM-8","issue":"3-4","issued":{"date-parts":[["2019","3","29"]]},"page":"515-536","publisher":"J Ind Microbiol Biotechnol","title":"Structural basis of the nonribosomal codes for nonproteinogenic amino acid selective adenylation enzymes in the biosynthesis of natural products","type":"article-journal","volume":"46"},"uris":["http://www.mendeley.com/documents/?uuid=d76b4afd-6acb-3701-bcfe-d35cdbdb4dc5"]},{"id":"ITEM-9","itemData":{"DOI":"10.1016/J.CHEMBIOL.2011.06.014","ISSN":"1879-1301","PMID":"22035798","abstract":"Modular natural products are biosynthesized by series of enzymes that activate, assemble, and process a nascent chain of building blocks. Adenylation domains are gatekeepers in nonribosomal peptide biosynthesis, providing the entry point for assembly of typical peptide-based natural products. We report the directed evolution of an adenylation domain based on a strategy of using a weak, promiscuous activity as a springboard for reprogramming the biosynthetic assembly line. Randomization of residues invoked in a \"specificity- conferring code\" and selection for a non-native substrate lead to mutant G2.1, favoring smaller amino acids with a specificity change of 10 5: a 170-fold improvement for l-alanine corresponds to a 10 3-fold decrease for its original substrate (l-phenylalanine). These results establish directed evolution as a method to change gatekeeper domain specificity and suggest that adaptation of modules in combinatorial biosynthesis is achievable with few mutations during evolution. © 2011 Elsevier Ltd All rights reserved.","author":[{"dropping-particle":"","family":"Villiers","given":"Benoit","non-dropping-particle":"","parse-names":false,"suffix":""},{"dropping-particle":"","family":"Hollfelder","given":"Florian","non-dropping-particle":"","parse-names":false,"suffix":""}],"container-title":"Chemistry &amp; biology","id":"ITEM-9","issue":"10","issued":{"date-parts":[["2011","10","28"]]},"page":"1290-1299","publisher":"Chem Biol","title":"Directed evolution of a gatekeeper domain in nonribosomal peptide synthesis","type":"article-journal","volume":"18"},"uris":["http://www.mendeley.com/documents/?uuid=2fb60ed2-dba9-37b1-9a07-6da711313e21"]},{"id":"ITEM-10","itemData":{"DOI":"10.1016/S1074-5521(99)80082-9","ISSN":"1074-5521","PMID":"10421756","abstract":"Background: Many pharmacologically important peptides are synthesized nonribosomally by multimodular peptide synthetases (NRPSs). These enzyme templates consist of iterated modules that, in their number and organization, determine the primary structure of the corresponding peptide products. At the core of each module is an adenylation domain that recognizes the cognate substrate and activates it as its aminoacyl adenylate. Recently, the crystal structure of the phenylalanine-activating adenylation domain PheA was solved with phenylalanine and AMP, illustrating the structural basis for substrate recognition. Results: By comparing the residues that line the phenylalanine-binding pocket in PheA with the corresponding moieties in other adenylation domains, general rules for deducing substrate specificity were developed. We tested these in silico 'rules' by mutating specificity-conferring residues within PheA. The substrate specificity of most mutants was altered or relaxed. Generalization of the selectivity determinants also allowed the targeted specificity switch of an aspartate-activating adenylation domain, the crystal structure of which has not yet been solved, by introducing a single mutation. Conclusions: In silico studies and structure-function mutagenesis have defined general rules for the structural basis of substrate recognition in adenylation domains of NRPSs. These rules can be used to rationally alter the specificity of adenylation domains and to predict from the primary sequence the specificity of biochemically uncharacterized adenylation domains. Such efforts could enhance the structural diversity of peptide antibiotics such as penicillins, cyclosporins and vancomycins by allowing synthesis of 'unnatural' natural products.","author":[{"dropping-particle":"","family":"Stachelhaus","given":"Torsten","non-dropping-particle":"","parse-names":false,"suffix":""},{"dropping-particle":"","family":"Mootz","given":"Henning D.","non-dropping-particle":"","parse-names":false,"suffix":""},{"dropping-particle":"","family":"Marahiel","given":"Mohamed A.","non-dropping-particle":"","parse-names":false,"suffix":""}],"container-title":"Chemistry &amp; biology","id":"ITEM-10","issue":"8","issued":{"date-parts":[["1999"]]},"page":"493-505","publisher":"Chem Biol","title":"The specificity-conferring code of adenylation domains in nonribosomal peptide synthetases","type":"article-journal","volume":"6"},"uris":["http://www.mendeley.com/documents/?uuid=b549735a-f3e2-38b8-8f43-2ab6480cfe05"]}],"mendeley":{"formattedCitation":"&lt;sup&gt;67,193,196–203&lt;/sup&gt;","plainTextFormattedCitation":"67,193,196–203","previouslyFormattedCitation":"&lt;sup&gt;67,193,196–203&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67,193,196–203</w:t>
      </w:r>
      <w:r w:rsidRPr="00857C48">
        <w:rPr>
          <w:rFonts w:cs="Arial"/>
          <w:color w:val="000000"/>
          <w:szCs w:val="22"/>
        </w:rPr>
        <w:fldChar w:fldCharType="end"/>
      </w:r>
      <w:r>
        <w:rPr>
          <w:rFonts w:cs="Arial"/>
          <w:color w:val="000000"/>
          <w:szCs w:val="22"/>
        </w:rPr>
        <w:t>.</w:t>
      </w:r>
      <w:r w:rsidRPr="00857C48">
        <w:rPr>
          <w:rFonts w:cs="Arial"/>
          <w:color w:val="000000"/>
          <w:szCs w:val="22"/>
        </w:rPr>
        <w:t xml:space="preserve"> Additionally, there is a desire to study </w:t>
      </w:r>
      <w:r w:rsidRPr="00857C48">
        <w:rPr>
          <w:rFonts w:cs="Arial"/>
          <w:color w:val="000000"/>
          <w:szCs w:val="22"/>
        </w:rPr>
        <w:lastRenderedPageBreak/>
        <w:t xml:space="preserve">uncharacterized NRPSs identified through genome mining which will enrich the portfolio of valuable </w:t>
      </w:r>
      <w:proofErr w:type="spellStart"/>
      <w:r w:rsidRPr="00857C48">
        <w:rPr>
          <w:rFonts w:cs="Arial"/>
          <w:color w:val="000000"/>
          <w:szCs w:val="22"/>
        </w:rPr>
        <w:t>nonribosomal</w:t>
      </w:r>
      <w:proofErr w:type="spellEnd"/>
      <w:r w:rsidRPr="00857C48">
        <w:rPr>
          <w:rFonts w:cs="Arial"/>
          <w:color w:val="000000"/>
          <w:szCs w:val="22"/>
        </w:rPr>
        <w:t xml:space="preserve"> peptide structures</w:t>
      </w:r>
      <w:r w:rsidRPr="00857C48">
        <w:rPr>
          <w:rFonts w:cs="Arial"/>
          <w:color w:val="000000"/>
          <w:szCs w:val="22"/>
        </w:rPr>
        <w:fldChar w:fldCharType="begin" w:fldLock="1"/>
      </w:r>
      <w:r w:rsidR="004F3109">
        <w:rPr>
          <w:rFonts w:cs="Arial"/>
          <w:color w:val="000000"/>
          <w:szCs w:val="22"/>
        </w:rPr>
        <w:instrText>ADDIN CSL_CITATION {"citationItems":[{"id":"ITEM-1","itemData":{"DOI":"10.1007/978-1-4939-3375-4_1","ISSN":"10643745","PMID":"26831698","abstract":"The nonribosomal peptide synthetases are modular enzymes that catalyze synthesis of important peptide products from a variety of standard and non-proteinogenic amino acid substrates. Within a single module are multiple catalytic domains that are responsible for incorporation of a single residue. After the amino acid is activated and covalently attached to an integrated carrier protein domain, the substrates and intermediates are delivered to neighboring catalytic domains for peptide bond formation or, in some modules, chemical modifi cation. In the fi nal module, the peptide is delivered to a terminal thioesterase domain that catalyzes release of the peptide product. This multi-domain modular architecture raises questions about the structural features that enable this assembly line synthesis in an effi cient manner. The structures of the core component domains have been determined and demonstrate insights into the catalytic activity. More recently, multi-domain structures have been determined and are providing clues to the features of these enzyme systems that govern the functional interaction between multiple domains. This chapter describes the structures of NRPS proteins and the strategies that are being used to assist structural studies of these dynamic proteins, including careful consideration of domain boundaries for generation of truncated proteins and the use of mechanism-based inhibitors that trap interactions between the catalytic and carrier protein domains.","author":[{"dropping-particle":"","family":"Miller","given":"Bradley R.","non-dropping-particle":"","parse-names":false,"suffix":""},{"dropping-particle":"","family":"Gulick","given":"Andrew M.","non-dropping-particle":"","parse-names":false,"suffix":""}],"container-title":"Methods in Molecular Biology","id":"ITEM-1","issued":{"date-parts":[["2016"]]},"page":"3-29","publisher":"Humana Press, New York, NY","title":"Structural Biology of Nonribosomal Peptide Synthetases","type":"article-journal","volume":"1401"},"uris":["http://www.mendeley.com/documents/?uuid=ee2e0b4b-e117-3ff4-adab-95214d8b0fb9"]},{"id":"ITEM-2","itemData":{"DOI":"10.1016/J.SBI.2004.10.005","ISSN":"0959-440X","PMID":"15582399","abstract":"Small peptides have powerful biological activities ranging from antibiotic to immune suppression. These peptides are synthesized by non-ribosomal peptide synthetases (NRPS). Structural understanding of NRPS took a huge leap forward in 2002; this information has led to several detailed biochemical studies and further structural studies. NRPS are complex molecular machines composed of multiple modules and each module contains several autonomously folded catalytic domains. Structural studies have largely focused on individual domains, isolated from the context of the multienzyme. Biochemical studies have looked at individual domains, isolated whole modules and intact NRPS, and the combined data begin to allow us to visualize the process of peptide assembly by NRPS. © 2004 Elsevier Ltd. All rights reserved.","author":[{"dropping-particle":"","family":"Challis","given":"Gregory L.","non-dropping-particle":"","parse-names":false,"suffix":""},{"dropping-particle":"","family":"Naismith","given":"James H.","non-dropping-particle":"","parse-names":false,"suffix":""}],"container-title":"Current Opinion in Structural Biology","id":"ITEM-2","issue":"6","issued":{"date-parts":[["2004","12","1"]]},"page":"748-756","publisher":"Elsevier Current Trends","title":"Structural aspects of non-ribosomal peptide biosynthesis","type":"article-journal","volume":"14"},"uris":["http://www.mendeley.com/documents/?uuid=508cc342-cb2b-3341-bdf4-1970d7beffce"]}],"mendeley":{"formattedCitation":"&lt;sup&gt;190,204&lt;/sup&gt;","plainTextFormattedCitation":"190,204","previouslyFormattedCitation":"&lt;sup&gt;190,204&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190,204</w:t>
      </w:r>
      <w:r w:rsidRPr="00857C48">
        <w:rPr>
          <w:rFonts w:cs="Arial"/>
          <w:color w:val="000000"/>
          <w:szCs w:val="22"/>
        </w:rPr>
        <w:fldChar w:fldCharType="end"/>
      </w:r>
      <w:r>
        <w:rPr>
          <w:rFonts w:cs="Arial"/>
          <w:color w:val="000000"/>
          <w:szCs w:val="22"/>
        </w:rPr>
        <w:t>.</w:t>
      </w:r>
      <w:r w:rsidRPr="00857C48">
        <w:rPr>
          <w:rFonts w:cs="Arial"/>
          <w:color w:val="000000"/>
          <w:szCs w:val="22"/>
        </w:rPr>
        <w:t xml:space="preserve"> To enable these endeavors, NRPS gene clusters have been expressed </w:t>
      </w:r>
      <w:r w:rsidRPr="00857C48">
        <w:rPr>
          <w:rFonts w:cs="Arial"/>
          <w:i/>
          <w:iCs/>
          <w:color w:val="000000"/>
          <w:szCs w:val="22"/>
        </w:rPr>
        <w:t xml:space="preserve">in vivo </w:t>
      </w:r>
      <w:r w:rsidRPr="00857C48">
        <w:rPr>
          <w:rFonts w:cs="Arial"/>
          <w:color w:val="000000"/>
          <w:szCs w:val="22"/>
        </w:rPr>
        <w:t>in microbial hosts</w:t>
      </w:r>
      <w:r w:rsidRPr="00857C48">
        <w:rPr>
          <w:rFonts w:cs="Arial"/>
          <w:color w:val="000000"/>
          <w:szCs w:val="22"/>
        </w:rPr>
        <w:fldChar w:fldCharType="begin" w:fldLock="1"/>
      </w:r>
      <w:r w:rsidR="004F3109">
        <w:rPr>
          <w:rFonts w:cs="Arial"/>
          <w:color w:val="000000"/>
          <w:szCs w:val="22"/>
        </w:rPr>
        <w:instrText>ADDIN CSL_CITATION {"citationItems":[{"id":"ITEM-1","itemData":{"DOI":"10.1186/s40508-016-0057-6","ISSN":"2043-7129","abstract":"Nonribosomal peptides are products that fall into the class of secondary metabolites with a diverse properties as toxins, siderophores, pigments, or antibiotics, among others. Unlike other proteins, its biosynthesis is independent of ribosomal machinery. Nonribosomal peptides are synthesized on large nonribosomal peptide synthetase (NRPS) enzyme complexes. NRPSs are defined as multimodular enzymes, consisting of repeated modules. The NRPS enzymes are at operons and their regulation can be positive or negative at transcriptional or post-translational level. The presence of NRPS enzymes has been reported in the three domains of life, being prevalent in bacteria. Nonribosomal peptides are use in human medicine, crop protection, or environment restoration; and their use as commercial products has been approved by the U. S Food and Drug Administration (FDA) and the U. S. Environmental Protection Agency (EPA). The key features of nonribosomal peptides and NRPS enzymes, and some of their applications in industry are summarized.","author":[{"dropping-particle":"","family":"Martínez-Núñez","given":"Mario Alberto","non-dropping-particle":"","parse-names":false,"suffix":""},{"dropping-particle":"","family":"López","given":"Víctor Eric López y","non-dropping-particle":"","parse-names":false,"suffix":""}],"container-title":"Sustainable Chemical Processes","id":"ITEM-1","issue":"1","issued":{"date-parts":[["2016","12","2"]]},"page":"13","publisher":"Springer Nature","title":"Nonribosomal peptides synthetases and their applications in industry","type":"article-journal","volume":"4"},"uris":["http://www.mendeley.com/documents/?uuid=77c5e60d-1399-3d9a-9519-1651ea861bfe"]}],"mendeley":{"formattedCitation":"&lt;sup&gt;187&lt;/sup&gt;","plainTextFormattedCitation":"187","previouslyFormattedCitation":"&lt;sup&gt;187&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187</w:t>
      </w:r>
      <w:r w:rsidRPr="00857C48">
        <w:rPr>
          <w:rFonts w:cs="Arial"/>
          <w:color w:val="000000"/>
          <w:szCs w:val="22"/>
        </w:rPr>
        <w:fldChar w:fldCharType="end"/>
      </w:r>
      <w:r>
        <w:rPr>
          <w:rFonts w:cs="Arial"/>
          <w:color w:val="000000"/>
          <w:szCs w:val="22"/>
        </w:rPr>
        <w:t>.</w:t>
      </w:r>
      <w:r w:rsidRPr="00857C48">
        <w:rPr>
          <w:rFonts w:cs="Arial"/>
          <w:color w:val="000000"/>
          <w:szCs w:val="22"/>
        </w:rPr>
        <w:t xml:space="preserve"> However, NRPS yields in cells are compromised by the metabolic burden from expressing such large and complex proteins, the cytotoxicity of their products, as well as the throughput limitations of genetics</w:t>
      </w:r>
      <w:r w:rsidRPr="00857C48">
        <w:rPr>
          <w:rFonts w:cs="Arial"/>
          <w:color w:val="000000"/>
          <w:szCs w:val="22"/>
        </w:rPr>
        <w:fldChar w:fldCharType="begin" w:fldLock="1"/>
      </w:r>
      <w:r w:rsidR="004F3109">
        <w:rPr>
          <w:rFonts w:cs="Arial"/>
          <w:color w:val="000000"/>
          <w:szCs w:val="22"/>
        </w:rPr>
        <w:instrText>ADDIN CSL_CITATION {"citationItems":[{"id":"ITEM-1","itemData":{"DOI":"10.1016/J.MIB.2022.102142","ISSN":"1369-5274","abstract":"Natural products have complex chemical structures and exhibit diverse bioactivities. To harness these high-value natural compounds, robust approaches are required for their rapid and sustainable production. Recently, cell-free systems as one promising solution have been applied to produce natural products by reconstitution of their entire biosynthetic pathways in vitro. Here, we highlight recent advances in cell-free biosynthesis of natural products and discuss future challenges and opportunities. We envision that cell-free technology holds tremendous potential for natural product research such as high-throughput screening of peptide-based natural product analogs/variants, expression of toxic metabolic pathways, characterization of enzyme functions, and activation of silent biosynthetic gene clusters.","author":[{"dropping-particle":"","family":"Ji","given":"Xiangyang","non-dropping-particle":"","parse-names":false,"suffix":""},{"dropping-particle":"","family":"Liu","given":"Wan Qiu","non-dropping-particle":"","parse-names":false,"suffix":""},{"dropping-particle":"","family":"Li","given":"Jian","non-dropping-particle":"","parse-names":false,"suffix":""}],"container-title":"Current Opinion in Microbiology","id":"ITEM-1","issued":{"date-parts":[["2022","6","1"]]},"page":"102142","publisher":"Elsevier Current Trends","title":"Recent advances in applying cell-free systems for high-value and complex natural product biosynthesis","type":"article-journal","volume":"67"},"uris":["http://www.mendeley.com/documents/?uuid=9d50fc49-8d79-3875-b37d-cd4dd69e2101"]},{"id":"ITEM-2","itemData":{"DOI":"10.1016/J.SYNBIO.2018.02.002","ISSN":"2405805X","PMID":"29900420","abstract":"Natural products with significant biological activities continuously act as rich sources for drug discovery and development. To harness the potential of these valuable compounds, robust methods need to be developed for their rapid and sustainable production. Cell-free biosynthesis of pharmaceutical natural products by in vitro reconstruction of the entire biosynthetic pathways represents one such solution. In this review, we focus on in vitro biosynthesis of two important classes of natural products, polyketides (PKs) and nonribosomal peptides (NRPs). First, we summarize purified enzyme-based systems for the biosynthesis of PKs, NRPs, and PK/NRP hybrids. Then, we introduce the cell-free protein synthesis (CFPS)-based technology for natural product production. With that, we discuss challenges and opportunities of cell-free synthetic biology for in vitro biosynthesis of natural products.","author":[{"dropping-particle":"","family":"Li","given":"Jian","non-dropping-particle":"","parse-names":false,"suffix":""},{"dropping-particle":"","family":"Zhang","given":"Lingkai","non-dropping-particle":"","parse-names":false,"suffix":""},{"dropping-particle":"","family":"Liu","given":"Wanqiu","non-dropping-particle":"","parse-names":false,"suffix":""}],"container-title":"Synthetic and Systems Biotechnology","id":"ITEM-2","issue":"2","issued":{"date-parts":[["2018","6","1"]]},"page":"83","publisher":"KeAi Publishing","title":"Cell-free synthetic biology for in vitro biosynthesis of pharmaceutical natural products","type":"article-journal","volume":"3"},"uris":["http://www.mendeley.com/documents/?uuid=cf69b822-3890-30bc-9e7f-f653980f020c"]}],"mendeley":{"formattedCitation":"&lt;sup&gt;68,205&lt;/sup&gt;","plainTextFormattedCitation":"68,205","previouslyFormattedCitation":"&lt;sup&gt;68,205&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68,205</w:t>
      </w:r>
      <w:r w:rsidRPr="00857C48">
        <w:rPr>
          <w:rFonts w:cs="Arial"/>
          <w:color w:val="000000"/>
          <w:szCs w:val="22"/>
        </w:rPr>
        <w:fldChar w:fldCharType="end"/>
      </w:r>
      <w:r>
        <w:rPr>
          <w:rFonts w:cs="Arial"/>
          <w:color w:val="000000"/>
          <w:szCs w:val="22"/>
        </w:rPr>
        <w:t>.</w:t>
      </w:r>
      <w:r w:rsidRPr="00857C48">
        <w:rPr>
          <w:rFonts w:cs="Arial"/>
          <w:color w:val="000000"/>
          <w:szCs w:val="22"/>
        </w:rPr>
        <w:t xml:space="preserve"> Hence, there is increasing interest in developing platforms that allow high-throughput profiling of NRPS genes </w:t>
      </w:r>
      <w:r w:rsidRPr="00857C48">
        <w:rPr>
          <w:rFonts w:cs="Arial"/>
          <w:i/>
          <w:iCs/>
          <w:color w:val="000000"/>
          <w:szCs w:val="22"/>
        </w:rPr>
        <w:t>in vitro</w:t>
      </w:r>
      <w:r w:rsidRPr="00857C48">
        <w:rPr>
          <w:rFonts w:cs="Arial"/>
          <w:color w:val="000000"/>
          <w:szCs w:val="22"/>
        </w:rPr>
        <w:t xml:space="preserve"> such as in cell-free expression (CFE) systems</w:t>
      </w:r>
      <w:r w:rsidRPr="00857C48">
        <w:rPr>
          <w:rFonts w:cs="Arial"/>
          <w:color w:val="000000"/>
          <w:szCs w:val="22"/>
        </w:rPr>
        <w:fldChar w:fldCharType="begin" w:fldLock="1"/>
      </w:r>
      <w:r w:rsidR="004F3109">
        <w:rPr>
          <w:rFonts w:cs="Arial"/>
          <w:color w:val="000000"/>
          <w:szCs w:val="22"/>
        </w:rPr>
        <w:instrText>ADDIN CSL_CITATION {"citationItems":[{"id":"ITEM-1","itemData":{"DOI":"10.1016/j.synbio.2018.02.002","ISSN":"2405805X","abstract":"Natural products with significant biological activities continuously act as rich sources for drug discovery and development. To harness the potential of these valuable compounds, robust methods need to be developed for their rapid and sustainable production. Cell-free biosynthesis of pharmaceutical natural products by in vitro reconstruction of the entire biosynthetic pathways represents one such solution. In this review, we focus on in vitro biosynthesis of two important classes of natural products, polyketides (PKs) and nonribosomal peptides (NRPs). First, we summarize purified enzyme-based systems for the biosynthesis of PKs, NRPs, and PK/NRP hybrids. Then, we introduce the cell-free protein synthesis (CFPS)-based technology for natural product production. With that, we discuss challenges and opportunities of cell-free synthetic biology for in vitro biosynthesis of natural products.","author":[{"dropping-particle":"","family":"Li","given":"Jian","non-dropping-particle":"","parse-names":false,"suffix":""},{"dropping-particle":"","family":"Zhang","given":"Lingkai","non-dropping-particle":"","parse-names":false,"suffix":""},{"dropping-particle":"","family":"Liu","given":"Wanqiu","non-dropping-particle":"","parse-names":false,"suffix":""}],"container-title":"Synthetic and Systems Biotechnology","id":"ITEM-1","issue":"2","issued":{"date-parts":[["2018","6","1"]]},"page":"83-89","publisher":"KeAi Communications Co.","title":"Cell-free synthetic biology for in vitro biosynthesis of pharmaceutical natural products","type":"article","volume":"3"},"uris":["http://www.mendeley.com/documents/?uuid=81861ad9-5319-3b06-b116-bb1d277db7f4"]},{"id":"ITEM-2","itemData":{"DOI":"10.1002/CBIC.202000452","ISSN":"1439-7633","PMID":"32783358","abstract":"Natural products and secondary metabolites comprise an indispensable resource from living organisms that have transformed areas of medicine, agriculture, and biotechnology. Recent advances in high-throughput DNA sequencing and computational analysis suggest that the vast majority of natural products remain undiscovered. To accelerate the natural product discovery pipeline, cell-free metabolic engineering approaches used to develop robust catalytic networks are being repurposed to access new chemical scaffolds, and new enzymes capable of performing diverse chemistries. Such enzymes could serve as flexible biocatalytic tools to further expand the unique chemical space of natural products and secondary metabolites, and provide a more sustainable route to manufacture these molecules. Herein, we highlight select examples of natural product biosynthesis using cell-free systems and propose how cell-free technologies could facilitate our ability to access and modify these structures to transform synthetic and chemical biology.","author":[{"dropping-particle":"","family":"Bogart","given":"Jonathan W.","non-dropping-particle":"","parse-names":false,"suffix":""},{"dropping-particle":"","family":"Cabezas","given":"Maria D.","non-dropping-particle":"","parse-names":false,"suffix":""},{"dropping-particle":"","family":"Vögeli","given":"Bastian","non-dropping-particle":"","parse-names":false,"suffix":""},{"dropping-particle":"","family":"Wong","given":"Derek A.","non-dropping-particle":"","parse-names":false,"suffix":""},{"dropping-particle":"","family":"Karim","given":"Ashty S.","non-dropping-particle":"","parse-names":false,"suffix":""},{"dropping-particle":"","family":"Jewett","given":"Michael C.","non-dropping-particle":"","parse-names":false,"suffix":""}],"container-title":"ChemBioChem","id":"ITEM-2","issue":"1","issued":{"date-parts":[["2021","1","5"]]},"page":"84-91","publisher":"John Wiley &amp; Sons, Ltd","title":"Cell-Free Exploration of the Natural Product Chemical Space","type":"article-journal","volume":"22"},"uris":["http://www.mendeley.com/documents/?uuid=2c0a0937-7132-37c3-8935-67f1b28b1702"]}],"mendeley":{"formattedCitation":"&lt;sup&gt;28,206&lt;/sup&gt;","manualFormatting":"23","plainTextFormattedCitation":"28,206","previouslyFormattedCitation":"&lt;sup&gt;28,206&lt;/sup&gt;"},"properties":{"noteIndex":0},"schema":"https://github.com/citation-style-language/schema/raw/master/csl-citation.json"}</w:instrText>
      </w:r>
      <w:r w:rsidRPr="00857C48">
        <w:rPr>
          <w:rFonts w:cs="Arial"/>
          <w:color w:val="000000"/>
          <w:szCs w:val="22"/>
        </w:rPr>
        <w:fldChar w:fldCharType="separate"/>
      </w:r>
      <w:r w:rsidRPr="00857C48">
        <w:rPr>
          <w:rFonts w:cs="Arial"/>
          <w:noProof/>
          <w:color w:val="000000"/>
          <w:szCs w:val="22"/>
          <w:vertAlign w:val="superscript"/>
        </w:rPr>
        <w:t>23</w:t>
      </w:r>
      <w:r w:rsidRPr="00857C48">
        <w:rPr>
          <w:rFonts w:cs="Arial"/>
          <w:color w:val="000000"/>
          <w:szCs w:val="22"/>
        </w:rPr>
        <w:fldChar w:fldCharType="end"/>
      </w:r>
      <w:r>
        <w:rPr>
          <w:rFonts w:cs="Arial"/>
          <w:color w:val="000000"/>
          <w:szCs w:val="22"/>
        </w:rPr>
        <w:t>.</w:t>
      </w:r>
      <w:r w:rsidRPr="00857C48">
        <w:rPr>
          <w:rFonts w:cs="Arial"/>
          <w:color w:val="000000"/>
          <w:szCs w:val="22"/>
        </w:rPr>
        <w:t xml:space="preserve"> </w:t>
      </w:r>
    </w:p>
    <w:p w14:paraId="5359823E" w14:textId="1A82BB54" w:rsidR="00857C48" w:rsidRPr="00857C48" w:rsidRDefault="00857C48" w:rsidP="00857C48">
      <w:pPr>
        <w:ind w:firstLine="720"/>
        <w:rPr>
          <w:rFonts w:cs="Arial"/>
          <w:color w:val="000000"/>
          <w:szCs w:val="22"/>
        </w:rPr>
      </w:pPr>
      <w:r w:rsidRPr="00857C48">
        <w:rPr>
          <w:rFonts w:cs="Arial"/>
          <w:color w:val="000000"/>
          <w:szCs w:val="22"/>
        </w:rPr>
        <w:t xml:space="preserve">CFE platforms are considered highly suitable for NRPS production because they lack cellular survival objectives, bypassing challenges with </w:t>
      </w:r>
      <w:r w:rsidRPr="00857C48">
        <w:rPr>
          <w:rFonts w:cs="Arial"/>
          <w:i/>
          <w:iCs/>
          <w:color w:val="000000"/>
          <w:szCs w:val="22"/>
        </w:rPr>
        <w:t xml:space="preserve">in vivo </w:t>
      </w:r>
      <w:r w:rsidRPr="00857C48">
        <w:rPr>
          <w:rFonts w:cs="Arial"/>
          <w:color w:val="000000"/>
          <w:szCs w:val="22"/>
        </w:rPr>
        <w:t>expression</w:t>
      </w:r>
      <w:r w:rsidRPr="00857C48">
        <w:rPr>
          <w:rFonts w:cs="Arial"/>
          <w:color w:val="000000"/>
          <w:szCs w:val="22"/>
        </w:rPr>
        <w:fldChar w:fldCharType="begin" w:fldLock="1"/>
      </w:r>
      <w:r w:rsidR="00567FF4">
        <w:rPr>
          <w:rFonts w:cs="Arial"/>
          <w:color w:val="000000"/>
          <w:szCs w:val="22"/>
        </w:rPr>
        <w:instrText>ADDIN CSL_CITATION {"citationItems":[{"id":"ITEM-1","itemData":{"DOI":"10.1016/J.MIB.2022.102142","ISSN":"1369-5274","abstract":"Natural products have complex chemical structures and exhibit diverse bioactivities. To harness these high-value natural compounds, robust approaches are required for their rapid and sustainable production. Recently, cell-free systems as one promising solution have been applied to produce natural products by reconstitution of their entire biosynthetic pathways in vitro. Here, we highlight recent advances in cell-free biosynthesis of natural products and discuss future challenges and opportunities. We envision that cell-free technology holds tremendous potential for natural product research such as high-throughput screening of peptide-based natural product analogs/variants, expression of toxic metabolic pathways, characterization of enzyme functions, and activation of silent biosynthetic gene clusters.","author":[{"dropping-particle":"","family":"Ji","given":"Xiangyang","non-dropping-particle":"","parse-names":false,"suffix":""},{"dropping-particle":"","family":"Liu","given":"Wan Qiu","non-dropping-particle":"","parse-names":false,"suffix":""},{"dropping-particle":"","family":"Li","given":"Jian","non-dropping-particle":"","parse-names":false,"suffix":""}],"container-title":"Current Opinion in Microbiology","id":"ITEM-1","issued":{"date-parts":[["2022","6","1"]]},"page":"102142","publisher":"Elsevier Current Trends","title":"Recent advances in applying cell-free systems for high-value and complex natural product biosynthesis","type":"article-journal","volume":"67"},"uris":["http://www.mendeley.com/documents/?uuid=9d50fc49-8d79-3875-b37d-cd4dd69e2101"]},{"id":"ITEM-2","itemData":{"DOI":"10.1002/CBIC.202000452","ISSN":"1439-7633","PMID":"32783358","abstract":"Natural products and secondary metabolites comprise an indispensable resource from living organisms that have transformed areas of medicine, agriculture, and biotechnology. Recent advances in high-throughput DNA sequencing and computational analysis suggest that the vast majority of natural products remain undiscovered. To accelerate the natural product discovery pipeline, cell-free metabolic engineering approaches used to develop robust catalytic networks are being repurposed to access new chemical scaffolds, and new enzymes capable of performing diverse chemistries. Such enzymes could serve as flexible biocatalytic tools to further expand the unique chemical space of natural products and secondary metabolites, and provide a more sustainable route to manufacture these molecules. Herein, we highlight select examples of natural product biosynthesis using cell-free systems and propose how cell-free technologies could facilitate our ability to access and modify these structures to transform synthetic and chemical biology.","author":[{"dropping-particle":"","family":"Bogart","given":"Jonathan W.","non-dropping-particle":"","parse-names":false,"suffix":""},{"dropping-particle":"","family":"Cabezas","given":"Maria D.","non-dropping-particle":"","parse-names":false,"suffix":""},{"dropping-particle":"","family":"Vögeli","given":"Bastian","non-dropping-particle":"","parse-names":false,"suffix":""},{"dropping-particle":"","family":"Wong","given":"Derek A.","non-dropping-particle":"","parse-names":false,"suffix":""},{"dropping-particle":"","family":"Karim","given":"Ashty S.","non-dropping-particle":"","parse-names":false,"suffix":""},{"dropping-particle":"","family":"Jewett","given":"Michael C.","non-dropping-particle":"","parse-names":false,"suffix":""}],"container-title":"ChemBioChem","id":"ITEM-2","issue":"1","issued":{"date-parts":[["2021","1","5"]]},"page":"84-91","publisher":"John Wiley &amp; Sons, Ltd","title":"Cell-Free Exploration of the Natural Product Chemical Space","type":"article-journal","volume":"22"},"uris":["http://www.mendeley.com/documents/?uuid=2c0a0937-7132-37c3-8935-67f1b28b1702"]}],"mendeley":{"formattedCitation":"&lt;sup&gt;28,68&lt;/sup&gt;","plainTextFormattedCitation":"28,68","previouslyFormattedCitation":"&lt;sup&gt;28,68&lt;/sup&gt;"},"properties":{"noteIndex":0},"schema":"https://github.com/citation-style-language/schema/raw/master/csl-citation.json"}</w:instrText>
      </w:r>
      <w:r w:rsidRPr="00857C48">
        <w:rPr>
          <w:rFonts w:cs="Arial"/>
          <w:color w:val="000000"/>
          <w:szCs w:val="22"/>
        </w:rPr>
        <w:fldChar w:fldCharType="separate"/>
      </w:r>
      <w:r w:rsidR="00567FF4" w:rsidRPr="00567FF4">
        <w:rPr>
          <w:rFonts w:cs="Arial"/>
          <w:noProof/>
          <w:color w:val="000000"/>
          <w:szCs w:val="22"/>
          <w:vertAlign w:val="superscript"/>
        </w:rPr>
        <w:t>28,68</w:t>
      </w:r>
      <w:r w:rsidRPr="00857C48">
        <w:rPr>
          <w:rFonts w:cs="Arial"/>
          <w:color w:val="000000"/>
          <w:szCs w:val="22"/>
        </w:rPr>
        <w:fldChar w:fldCharType="end"/>
      </w:r>
      <w:r>
        <w:rPr>
          <w:rFonts w:cs="Arial"/>
          <w:color w:val="000000"/>
          <w:szCs w:val="22"/>
        </w:rPr>
        <w:t>.</w:t>
      </w:r>
      <w:r w:rsidRPr="00857C48">
        <w:rPr>
          <w:rFonts w:cs="Arial"/>
          <w:color w:val="000000"/>
          <w:szCs w:val="22"/>
        </w:rPr>
        <w:t xml:space="preserve"> The open nature of CFE systems is additionally appealing for NRPS characterization and engineering because it can accelerate design-build-test-learn (DBTL) cycles. Direct manipulation of the expression environment affords high-throughput protein synthesis from exogenously added DNA as well as the introduction of non-natural components like non-canonical amino acids, all without requiring extensive cell engineering</w:t>
      </w:r>
      <w:r w:rsidRPr="00857C48">
        <w:rPr>
          <w:rFonts w:cs="Arial"/>
          <w:color w:val="000000"/>
          <w:szCs w:val="22"/>
        </w:rPr>
        <w:fldChar w:fldCharType="begin" w:fldLock="1"/>
      </w:r>
      <w:r w:rsidR="00567FF4">
        <w:rPr>
          <w:rFonts w:cs="Arial"/>
          <w:color w:val="000000"/>
          <w:szCs w:val="22"/>
        </w:rPr>
        <w:instrText>ADDIN CSL_CITATION {"citationItems":[{"id":"ITEM-1","itemData":{"DOI":"10.3390/mps2010024","ISSN":"2409-9279","abstract":"Cell-free protein synthesis (CFPS) is a platform technology that provides new opportunities for protein expression, metabolic engineering, therapeutic development, education, and more. The advantages of CFPS over in vivo protein expression include its open system, the elimination of reliance on living cells, and the ability to focus all system energy on production of the protein of interest. Over the last 60 years, the CFPS platform has grown and diversified greatly, and it continues to evolve today. Both new applications and new types of extracts based on a variety of organisms are current areas of development. However, new users interested in CFPS may find it challenging to implement a cell-free platform in their laboratory due to the technical and functional considerations involved in choosing and executing a platform that best suits their needs. Here we hope to reduce this barrier to implementing CFPS by clarifying the similarities and differences amongst cell-free platforms, highlighting the various applications that have been accomplished in each of them, and detailing the main methodological and instrumental requirement for their preparation. Additionally, this review will help to contextualize the landscape of work that has been done using CFPS and showcase the diversity of applications that it enables.","author":[{"dropping-particle":"","family":"Gregorio","given":"Nicole E.","non-dropping-particle":"","parse-names":false,"suffix":""},{"dropping-particle":"","family":"Levine","given":"Max Z.","non-dropping-particle":"","parse-names":false,"suffix":""},{"dropping-particle":"","family":"Oza","given":"Javin P.","non-dropping-particle":"","parse-names":false,"suffix":""}],"container-title":"Methods and Protocols","id":"ITEM-1","issue":"1","issued":{"date-parts":[["2019","3","12"]]},"page":"24","publisher":"MDPI AG","title":"A User’s Guide to Cell-Free Protein Synthesis","type":"article-journal","volume":"2"},"uris":["http://www.mendeley.com/documents/?uuid=f337da80-7f4d-36a4-8c6a-6f0fdf5f784a"]}],"mendeley":{"formattedCitation":"&lt;sup&gt;35&lt;/sup&gt;","plainTextFormattedCitation":"35","previouslyFormattedCitation":"&lt;sup&gt;35&lt;/sup&gt;"},"properties":{"noteIndex":0},"schema":"https://github.com/citation-style-language/schema/raw/master/csl-citation.json"}</w:instrText>
      </w:r>
      <w:r w:rsidRPr="00857C48">
        <w:rPr>
          <w:rFonts w:cs="Arial"/>
          <w:color w:val="000000"/>
          <w:szCs w:val="22"/>
        </w:rPr>
        <w:fldChar w:fldCharType="separate"/>
      </w:r>
      <w:r w:rsidR="00567FF4" w:rsidRPr="00567FF4">
        <w:rPr>
          <w:rFonts w:cs="Arial"/>
          <w:noProof/>
          <w:color w:val="000000"/>
          <w:szCs w:val="22"/>
          <w:vertAlign w:val="superscript"/>
        </w:rPr>
        <w:t>35</w:t>
      </w:r>
      <w:r w:rsidRPr="00857C48">
        <w:rPr>
          <w:rFonts w:cs="Arial"/>
          <w:color w:val="000000"/>
          <w:szCs w:val="22"/>
        </w:rPr>
        <w:fldChar w:fldCharType="end"/>
      </w:r>
      <w:r>
        <w:rPr>
          <w:rFonts w:cs="Arial"/>
          <w:color w:val="000000"/>
          <w:szCs w:val="22"/>
        </w:rPr>
        <w:t>.</w:t>
      </w:r>
      <w:r w:rsidRPr="00857C48">
        <w:rPr>
          <w:rFonts w:cs="Arial"/>
          <w:color w:val="000000"/>
          <w:szCs w:val="22"/>
        </w:rPr>
        <w:t xml:space="preserve"> To these ends, NRPSs have recently been expressed in both PURE</w:t>
      </w:r>
      <w:r w:rsidRPr="00857C48">
        <w:rPr>
          <w:rFonts w:cs="Arial"/>
          <w:color w:val="000000"/>
          <w:szCs w:val="22"/>
        </w:rPr>
        <w:fldChar w:fldCharType="begin" w:fldLock="1"/>
      </w:r>
      <w:r w:rsidR="004F3109">
        <w:rPr>
          <w:rFonts w:cs="Arial"/>
          <w:color w:val="000000"/>
          <w:szCs w:val="22"/>
        </w:rPr>
        <w:instrText>ADDIN CSL_CITATION {"citationItems":[{"id":"ITEM-1","itemData":{"DOI":"10.1021/ACSSYNBIO.0C00186/SUPPL_FILE/SB0C00186_SI_001.PDF","ISSN":"21615063","PMID":"32818377","abstract":"A variety of chemicals can be produced in a living host cell via optimized and engineered biosynthetic pathways. Despite the successes, pathway engineering remains demanding because of the lack of specific functions or substrates in the host cell, the cell's sensitivity in vital physiological processes to the heterologous components, or constrained mass transfer across the membrane. In this study, we show that complex multidomain proteins involved in natural compound biosynthesis can be produced from encoding DNA in vitro in a minimal complex PURE system to directly run multistep reactions. Specifically, we synthesize indigoidine and rhabdopeptides with the in vitro produced multidomain nonribosomal peptide synthetases BpsA and KJ12ABC from the organisms Streptomyces lavendulae and Xenorhabdus KJ12.1, respectively. These in vitro produced proteins are analyzed in yield, post-translational modification and in their ability to synthesize the natural compounds, and compared to recombinantly produced proteins. Our study highlights cell-free PURE system as suitable setting for the characterization of biosynthetic gene clusters that can potentially be harnessed for the rapid engineering of biosynthetic pathways.","author":[{"dropping-particle":"","family":"Siebels","given":"Ilka","non-dropping-particle":"","parse-names":false,"suffix":""},{"dropping-particle":"","family":"Nowak","given":"Sarah","non-dropping-particle":"","parse-names":false,"suffix":""},{"dropping-particle":"","family":"Heil","given":"Christina S.","non-dropping-particle":"","parse-names":false,"suffix":""},{"dropping-particle":"","family":"Tufar","given":"Peter","non-dropping-particle":"","parse-names":false,"suffix":""},{"dropping-particle":"","family":"Cortina","given":"Ninã S.","non-dropping-particle":"","parse-names":false,"suffix":""},{"dropping-particle":"","family":"Bode","given":"Helge B.","non-dropping-particle":"","parse-names":false,"suffix":""},{"dropping-particle":"","family":"Grininger","given":"Martin","non-dropping-particle":"","parse-names":false,"suffix":""}],"container-title":"ACS Synthetic Biology","id":"ITEM-1","issue":"9","issued":{"date-parts":[["2020","9","18"]]},"page":"2418-2426","publisher":"American Chemical Society","title":"Cell-Free Synthesis of Natural Compounds from Genomic DNA of Biosynthetic Gene Clusters","type":"article-journal","volume":"9"},"uris":["http://www.mendeley.com/documents/?uuid=8e9e7f20-f160-3ae9-b6ce-21839bb8ab04"]}],"mendeley":{"formattedCitation":"&lt;sup&gt;207&lt;/sup&gt;","plainTextFormattedCitation":"207","previouslyFormattedCitation":"&lt;sup&gt;207&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207</w:t>
      </w:r>
      <w:r w:rsidRPr="00857C48">
        <w:rPr>
          <w:rFonts w:cs="Arial"/>
          <w:color w:val="000000"/>
          <w:szCs w:val="22"/>
        </w:rPr>
        <w:fldChar w:fldCharType="end"/>
      </w:r>
      <w:r w:rsidRPr="00857C48">
        <w:rPr>
          <w:rFonts w:cs="Arial"/>
          <w:color w:val="000000"/>
          <w:szCs w:val="22"/>
        </w:rPr>
        <w:t xml:space="preserve"> and lysate-based</w:t>
      </w:r>
      <w:r w:rsidRPr="00857C48">
        <w:rPr>
          <w:rFonts w:cs="Arial"/>
          <w:color w:val="000000"/>
          <w:szCs w:val="22"/>
        </w:rPr>
        <w:fldChar w:fldCharType="begin" w:fldLock="1"/>
      </w:r>
      <w:r w:rsidR="004F3109">
        <w:rPr>
          <w:rFonts w:cs="Arial"/>
          <w:color w:val="000000"/>
          <w:szCs w:val="22"/>
        </w:rPr>
        <w:instrText>ADDIN CSL_CITATION {"citationItems":[{"id":"ITEM-1","itemData":{"DOI":"10.1021/ACSSYNBIO.6B00160/SUPPL_FILE/SB6B00160_SI_001.PDF","ISSN":"21615063","PMID":"27478992","abstract":"Genome sequencing has revealed that a far greater number of natural product biosynthetic pathways exist than there are known natural products. To access these molecules directly and deterministically, a new generation of heterologous expression methods is needed. Cell-free protein synthesis has not previously been used to study nonribosomal peptide biosynthesis, and provides a tunable platform with advantages over conventional methods for protein expression. Here, we demonstrate the use of cell-free protein synthesis to biosynthesize a cyclic dipeptide with correct absolute stereochemistry. From a single-pot reaction, we measured the expression of two nonribosomal peptide synthetases larger than 100 kDa, and detected high-level production of a diketopiperazine. Using quantitative LC-MS and synthetically prepared standard, we observed production of this metabolite at levels higher than previously reported from cell-based recombinant expression, approximately 12 mg/L. Overall, this work represents a first step to apply cell-free protein synthesis to discover and characterize new natural products.","author":[{"dropping-particle":"","family":"Goering","given":"Anthony W.","non-dropping-particle":"","parse-names":false,"suffix":""},{"dropping-particle":"","family":"Li","given":"Jian","non-dropping-particle":"","parse-names":false,"suffix":""},{"dropping-particle":"","family":"McClure","given":"Ryan A.","non-dropping-particle":"","parse-names":false,"suffix":""},{"dropping-particle":"","family":"Thomson","given":"Regan J.","non-dropping-particle":"","parse-names":false,"suffix":""},{"dropping-particle":"","family":"Jewett","given":"Michael C.","non-dropping-particle":"","parse-names":false,"suffix":""},{"dropping-particle":"","family":"Kelleher","given":"Neil L.","non-dropping-particle":"","parse-names":false,"suffix":""}],"container-title":"ACS Synthetic Biology","id":"ITEM-1","issue":"1","issued":{"date-parts":[["2017","1","20"]]},"page":"39-44","publisher":"American Chemical Society","title":"In vitro reconstruction of nonribosomal peptide biosynthesis directly from DNA using cell-free protein synthesis","type":"article-journal","volume":"6"},"uris":["http://www.mendeley.com/documents/?uuid=3bbd6ab8-30cc-303f-be91-51f7f1a19eff"]},{"id":"ITEM-2","itemData":{"DOI":"10.1016/J.YMBEN.2020.03.009","ISSN":"1096-7176","PMID":"32224263","abstract":"Natural products are important because of their significant pharmaceutical properties such as antiviral, antimicrobial, and anticancer activity. Recent breakthroughs in DNA sequencing reveal that a great number of cryptic natural product biosynthetic gene clusters are encoded in microbial genomes, for example, those of Streptomyces species. However, it is still challenging to access compounds from these clusters because many source organisms are uncultivable or the genes are silent during laboratory cultivation. To address this challenge, we develop an efficient cell-free platform for the rapid, in vitro total biosynthesis of the nonribosomal peptide valinomycin as a model. We achieve this goal in two ways. First, we used a cell-free protein synthesis (CFPS) system to express the entire valinomycin biosynthetic gene cluster (&gt;19 kb) in a single-pot reaction, giving rise to approximately 37 μg/L of valinomycin after optimization. Second, we coupled CFPS with cell-free metabolic engineering system by mixing two enzyme-enriched cell lysates to perform a two-stage biosynthesis. This strategy improved valinomycin production ~5000-fold to nearly 30 mg/L. We expect that cell-free biosynthetic systems will provide a new avenue to express, discover, and characterize natural product gene clusters of interest in vitro.","author":[{"dropping-particle":"","family":"Zhuang","given":"Lei","non-dropping-particle":"","parse-names":false,"suffix":""},{"dropping-particle":"","family":"Huang","given":"Shuhui","non-dropping-particle":"","parse-names":false,"suffix":""},{"dropping-particle":"","family":"Liu","given":"Wan Qiu","non-dropping-particle":"","parse-names":false,"suffix":""},{"dropping-particle":"","family":"Karim","given":"Ashty S.","non-dropping-particle":"","parse-names":false,"suffix":""},{"dropping-particle":"","family":"Jewett","given":"Michael C.","non-dropping-particle":"","parse-names":false,"suffix":""},{"dropping-particle":"","family":"Li","given":"Jian","non-dropping-particle":"","parse-names":false,"suffix":""}],"container-title":"Metabolic Engineering","id":"ITEM-2","issued":{"date-parts":[["2020","7","1"]]},"page":"37-44","publisher":"Academic Press","title":"Total in vitro biosynthesis of the nonribosomal macrolactone peptide valinomycin","type":"article-journal","volume":"60"},"uris":["http://www.mendeley.com/documents/?uuid=7b4a6e0f-c308-3fc8-998b-3b950a873609"]}],"mendeley":{"formattedCitation":"&lt;sup&gt;54,208&lt;/sup&gt;","plainTextFormattedCitation":"54,208","previouslyFormattedCitation":"&lt;sup&gt;54,208&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54,208</w:t>
      </w:r>
      <w:r w:rsidRPr="00857C48">
        <w:rPr>
          <w:rFonts w:cs="Arial"/>
          <w:color w:val="000000"/>
          <w:szCs w:val="22"/>
        </w:rPr>
        <w:fldChar w:fldCharType="end"/>
      </w:r>
      <w:r w:rsidRPr="00857C48">
        <w:rPr>
          <w:rFonts w:cs="Arial"/>
          <w:color w:val="000000"/>
          <w:szCs w:val="22"/>
        </w:rPr>
        <w:t xml:space="preserve"> cell-free systems. The </w:t>
      </w:r>
      <w:proofErr w:type="spellStart"/>
      <w:r w:rsidRPr="00857C48">
        <w:rPr>
          <w:rFonts w:cs="Arial"/>
          <w:color w:val="000000"/>
          <w:szCs w:val="22"/>
        </w:rPr>
        <w:t>nonribosomal</w:t>
      </w:r>
      <w:proofErr w:type="spellEnd"/>
      <w:r w:rsidRPr="00857C48">
        <w:rPr>
          <w:rFonts w:cs="Arial"/>
          <w:color w:val="000000"/>
          <w:szCs w:val="22"/>
        </w:rPr>
        <w:t xml:space="preserve"> peptide products made in these systems include the pigment </w:t>
      </w:r>
      <w:proofErr w:type="spellStart"/>
      <w:r w:rsidRPr="00857C48">
        <w:rPr>
          <w:rFonts w:cs="Arial"/>
          <w:color w:val="000000"/>
          <w:szCs w:val="22"/>
        </w:rPr>
        <w:t>indigoidine</w:t>
      </w:r>
      <w:proofErr w:type="spellEnd"/>
      <w:r w:rsidRPr="00857C48">
        <w:rPr>
          <w:rFonts w:cs="Arial"/>
          <w:color w:val="000000"/>
          <w:szCs w:val="22"/>
        </w:rPr>
        <w:t xml:space="preserve"> and </w:t>
      </w:r>
      <w:proofErr w:type="spellStart"/>
      <w:r w:rsidRPr="00857C48">
        <w:rPr>
          <w:rFonts w:cs="Arial"/>
          <w:color w:val="000000"/>
          <w:szCs w:val="22"/>
        </w:rPr>
        <w:t>rhabdopeptides</w:t>
      </w:r>
      <w:proofErr w:type="spellEnd"/>
      <w:r w:rsidRPr="00857C48">
        <w:rPr>
          <w:rFonts w:cs="Arial"/>
          <w:color w:val="000000"/>
          <w:szCs w:val="22"/>
        </w:rPr>
        <w:t xml:space="preserve"> in the PURE format, as well as valinomycin and a diketopiperazine precursor of gramicidin S in extracts</w:t>
      </w:r>
      <w:r w:rsidR="00567FF4">
        <w:rPr>
          <w:rFonts w:cs="Arial"/>
          <w:color w:val="000000"/>
          <w:szCs w:val="22"/>
        </w:rPr>
        <w:fldChar w:fldCharType="begin" w:fldLock="1"/>
      </w:r>
      <w:r w:rsidR="00A91591">
        <w:rPr>
          <w:rFonts w:cs="Arial"/>
          <w:color w:val="000000"/>
          <w:szCs w:val="22"/>
        </w:rPr>
        <w:instrText>ADDIN CSL_CITATION {"citationItems":[{"id":"ITEM-1","itemData":{"DOI":"10.1002/CBIC.202000452","ISSN":"1439-7633","PMID":"32783358","abstract":"Natural products and secondary metabolites comprise an indispensable resource from living organisms that have transformed areas of medicine, agriculture, and biotechnology. Recent advances in high-throughput DNA sequencing and computational analysis suggest that the vast majority of natural products remain undiscovered. To accelerate the natural product discovery pipeline, cell-free metabolic engineering approaches used to develop robust catalytic networks are being repurposed to access new chemical scaffolds, and new enzymes capable of performing diverse chemistries. Such enzymes could serve as flexible biocatalytic tools to further expand the unique chemical space of natural products and secondary metabolites, and provide a more sustainable route to manufacture these molecules. Herein, we highlight select examples of natural product biosynthesis using cell-free systems and propose how cell-free technologies could facilitate our ability to access and modify these structures to transform synthetic and chemical biology.","author":[{"dropping-particle":"","family":"Bogart","given":"Jonathan W.","non-dropping-particle":"","parse-names":false,"suffix":""},{"dropping-particle":"","family":"Cabezas","given":"Maria D.","non-dropping-particle":"","parse-names":false,"suffix":""},{"dropping-particle":"","family":"Vögeli","given":"Bastian","non-dropping-particle":"","parse-names":false,"suffix":""},{"dropping-particle":"","family":"Wong","given":"Derek A.","non-dropping-particle":"","parse-names":false,"suffix":""},{"dropping-particle":"","family":"Karim","given":"Ashty S.","non-dropping-particle":"","parse-names":false,"suffix":""},{"dropping-particle":"","family":"Jewett","given":"Michael C.","non-dropping-particle":"","parse-names":false,"suffix":""}],"container-title":"ChemBioChem","id":"ITEM-1","issue":"1","issued":{"date-parts":[["2021","1","5"]]},"page":"84-91","publisher":"John Wiley &amp; Sons, Ltd","title":"Cell-Free Exploration of the Natural Product Chemical Space","type":"article-journal","volume":"22"},"uris":["http://www.mendeley.com/documents/?uuid=2c0a0937-7132-37c3-8935-67f1b28b1702"]}],"mendeley":{"formattedCitation":"&lt;sup&gt;28&lt;/sup&gt;","plainTextFormattedCitation":"28","previouslyFormattedCitation":"&lt;sup&gt;28&lt;/sup&gt;"},"properties":{"noteIndex":0},"schema":"https://github.com/citation-style-language/schema/raw/master/csl-citation.json"}</w:instrText>
      </w:r>
      <w:r w:rsidR="00567FF4">
        <w:rPr>
          <w:rFonts w:cs="Arial"/>
          <w:color w:val="000000"/>
          <w:szCs w:val="22"/>
        </w:rPr>
        <w:fldChar w:fldCharType="separate"/>
      </w:r>
      <w:r w:rsidR="00567FF4" w:rsidRPr="00567FF4">
        <w:rPr>
          <w:rFonts w:cs="Arial"/>
          <w:noProof/>
          <w:color w:val="000000"/>
          <w:szCs w:val="22"/>
          <w:vertAlign w:val="superscript"/>
        </w:rPr>
        <w:t>28</w:t>
      </w:r>
      <w:r w:rsidR="00567FF4">
        <w:rPr>
          <w:rFonts w:cs="Arial"/>
          <w:color w:val="000000"/>
          <w:szCs w:val="22"/>
        </w:rPr>
        <w:fldChar w:fldCharType="end"/>
      </w:r>
      <w:r w:rsidRPr="00857C48">
        <w:rPr>
          <w:rFonts w:cs="Arial"/>
          <w:color w:val="000000"/>
          <w:szCs w:val="22"/>
        </w:rPr>
        <w:t>. However, CFE is limited by components of the user-defined reaction environment, requiring the definition of effective reagent (e.g., energy substrates, salts, cofactors) concentrations that achieve sufficiently high protein expression yields</w:t>
      </w:r>
      <w:r w:rsidRPr="00857C48">
        <w:rPr>
          <w:rFonts w:cs="Arial"/>
          <w:color w:val="000000"/>
          <w:szCs w:val="22"/>
        </w:rPr>
        <w:fldChar w:fldCharType="begin" w:fldLock="1"/>
      </w:r>
      <w:r w:rsidR="004F3109">
        <w:rPr>
          <w:rFonts w:cs="Arial"/>
          <w:color w:val="000000"/>
          <w:szCs w:val="22"/>
        </w:rPr>
        <w:instrText>ADDIN CSL_CITATION {"citationItems":[{"id":"ITEM-1","itemData":{"DOI":"10.3390/mps2010024","ISSN":"2409-9279","abstract":"Cell-free protein synthesis (CFPS) is a platform technology that provides new opportunities for protein expression, metabolic engineering, therapeutic development, education, and more. The advantages of CFPS over in vivo protein expression include its open system, the elimination of reliance on living cells, and the ability to focus all system energy on production of the protein of interest. Over the last 60 years, the CFPS platform has grown and diversified greatly, and it continues to evolve today. Both new applications and new types of extracts based on a variety of organisms are current areas of development. However, new users interested in CFPS may find it challenging to implement a cell-free platform in their laboratory due to the technical and functional considerations involved in choosing and executing a platform that best suits their needs. Here we hope to reduce this barrier to implementing CFPS by clarifying the similarities and differences amongst cell-free platforms, highlighting the various applications that have been accomplished in each of them, and detailing the main methodological and instrumental requirement for their preparation. Additionally, this review will help to contextualize the landscape of work that has been done using CFPS and showcase the diversity of applications that it enables.","author":[{"dropping-particle":"","family":"Gregorio","given":"Nicole E.","non-dropping-particle":"","parse-names":false,"suffix":""},{"dropping-particle":"","family":"Levine","given":"Max Z.","non-dropping-particle":"","parse-names":false,"suffix":""},{"dropping-particle":"","family":"Oza","given":"Javin P.","non-dropping-particle":"","parse-names":false,"suffix":""}],"container-title":"Methods and Protocols","id":"ITEM-1","issue":"1","issued":{"date-parts":[["2019","3","12"]]},"page":"24","publisher":"MDPI AG","title":"A User’s Guide to Cell-Free Protein Synthesis","type":"article-journal","volume":"2"},"uris":["http://www.mendeley.com/documents/?uuid=f337da80-7f4d-36a4-8c6a-6f0fdf5f784a"]},{"id":"ITEM-2","itemData":{"DOI":"10.1016/J.BIOTECHADV.2018.12.006","ISSN":"0734-9750","PMID":"30572024","abstract":"Cell-free protein synthesis (CFPS) has become an established biotechnology tool for rapid protein expression. Over the past few decades many advances have elevated CFPS from a niche, low-efficiency system to one now capable of biomanufacturing custom proteins. Many research papers and reviews exist on the advances made in CFPS genetic template and cell extract preparation for use in E. coli systems. What is currently missing from the literature is a comprehensive review on the myriad of supplement recipes added to the CFPS reaction to support metabolism, transcription, and translation. This list of supplements has changed over the years, with a general drive towards greater simplification. Herein we provide a comprehensive list of the supplements used in CFPS, tracing major recipe classes as the field has evolved. We also provide an in-depth analysis of the proposed biochemical purpose each supplement has in the reaction. This review reveals the significance of correct supplements on overall CFPS productivity; however, the large range of supplements accommodated by CFPS also shows an inherent flexibility in the CFPS reaction as well as additional room for optimization and recipe simplification.","author":[{"dropping-particle":"","family":"Dopp","given":"By Jared L.","non-dropping-particle":"","parse-names":false,"suffix":""},{"dropping-particle":"","family":"Tamiev","given":"Denis D.","non-dropping-particle":"","parse-names":false,"suffix":""},{"dropping-particle":"","family":"Reuel","given":"Nigel F.","non-dropping-particle":"","parse-names":false,"suffix":""}],"container-title":"Biotechnology Advances","id":"ITEM-2","issue":"1","issued":{"date-parts":[["2019","1","1"]]},"page":"246-258","publisher":"Elsevier","title":"Cell-free supplement mixtures: Elucidating the history and biochemical utility of additives used to support in vitro protein synthesis in E. coli extract","type":"article-journal","volume":"37"},"uris":["http://www.mendeley.com/documents/?uuid=3aec71c1-29b8-354a-9fe6-8398360c3cff"]},{"id":"ITEM-3","itemData":{"DOI":"10.1016/j.synbio.2019.10.003","ISSN":"2405805X","abstract":"Cell-free protein synthesis (CFPS) is an established biotechnology tool that has shown great utility in many applications such as prototyping proteins, building genetic circuits, designing biosensors, and expressing cytotoxic proteins. Although CFPS has been widely deployed, the many, varied methods presented in the literature can be challenging for new users to adopt. From our experience and others who newly enter the field, one of the most frustrating aspects of applying CFPS as a laboratory can be the large levels of variability that are present within experimental replicates. Herein we provide a retrospective summary of CFPS methods that reduce variability significantly. These methods include optimized extract preparation, fully solubilizing the master mix components, and careful mixing of the reaction. These have reduced our coefficient of variation from 97.3% to 1.2%. Moreover, these methods allow complete novices (e.g. semester rotation undergraduate students) to provide data that is comparable to experienced users, thus allowing broader participation in this exciting research area.","author":[{"dropping-particle":"","family":"Dopp","given":"Jared L.","non-dropping-particle":"","parse-names":false,"suffix":""},{"dropping-particle":"","family":"Jo","given":"Yeong Ran","non-dropping-particle":"","parse-names":false,"suffix":""},{"dropping-particle":"","family":"Reuel","given":"Nigel F.","non-dropping-particle":"","parse-names":false,"suffix":""}],"container-title":"Synthetic and Systems Biotechnology","id":"ITEM-3","issue":"4","issued":{"date-parts":[["2019","12","1"]]},"page":"204-211","publisher":"KeAi Communications Co.","title":"Methods to reduce variability in E. Coli-based cell-free protein expression experiments","type":"article-journal","volume":"4"},"uris":["http://www.mendeley.com/documents/?uuid=ff732608-a90a-33d2-be25-e36b85741e78"]}],"mendeley":{"formattedCitation":"&lt;sup&gt;35,64,158&lt;/sup&gt;","plainTextFormattedCitation":"35,64,158","previouslyFormattedCitation":"&lt;sup&gt;35,64,158&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35,64,158</w:t>
      </w:r>
      <w:r w:rsidRPr="00857C48">
        <w:rPr>
          <w:rFonts w:cs="Arial"/>
          <w:color w:val="000000"/>
          <w:szCs w:val="22"/>
        </w:rPr>
        <w:fldChar w:fldCharType="end"/>
      </w:r>
      <w:r>
        <w:rPr>
          <w:rFonts w:cs="Arial"/>
          <w:color w:val="000000"/>
          <w:szCs w:val="22"/>
        </w:rPr>
        <w:t>.</w:t>
      </w:r>
    </w:p>
    <w:p w14:paraId="439E9AD7" w14:textId="74427B86" w:rsidR="00857C48" w:rsidRPr="00857C48" w:rsidRDefault="00857C48" w:rsidP="00857C48">
      <w:pPr>
        <w:ind w:firstLine="720"/>
        <w:rPr>
          <w:rFonts w:cs="Arial"/>
          <w:color w:val="000000"/>
          <w:szCs w:val="22"/>
        </w:rPr>
      </w:pPr>
      <w:r w:rsidRPr="00857C48">
        <w:rPr>
          <w:rFonts w:cs="Arial"/>
          <w:color w:val="000000"/>
          <w:szCs w:val="22"/>
        </w:rPr>
        <w:t>Understanding the impact of a set of reaction conditions on CFE is a non-trivial task especially in lysate-based CFE systems which possess complex crosstalk between the lysate’s active transcriptional/translational (TX/TL) and metabolic machineries</w:t>
      </w:r>
      <w:r w:rsidRPr="00857C48">
        <w:rPr>
          <w:rFonts w:cs="Arial"/>
          <w:color w:val="000000"/>
          <w:szCs w:val="22"/>
        </w:rPr>
        <w:fldChar w:fldCharType="begin" w:fldLock="1"/>
      </w:r>
      <w:r w:rsidR="004F3109">
        <w:rPr>
          <w:rFonts w:cs="Arial"/>
          <w:color w:val="000000"/>
          <w:szCs w:val="22"/>
        </w:rPr>
        <w:instrText>ADDIN CSL_CITATION {"citationItems":[{"id":"ITEM-1","itemData":{"DOI":"10.1002/BIT.20026","ISSN":"1097-0290","PMID":"15007837","abstract":"Cell-free translation systems generally utilize high-energy phosphate compounds to regenerate the adenosine triphosphate (ATP) necessary to drive protein synthesis. This hampers the widespread use and practical implementation of this technology in a batch format due to expensive reagent costs; the accumulation of inhibitory byproducts, such as phosphate; and pH change. To address these problems, a cell-free protein synthesis system has been engineered that is capable of using pyruvate as an energy source to produce high yields of protein. The \"Cytomim\" system, synthesizes chloramphenicol acetyl-transferase (CAT) for up to 6 h in a batch reaction to yield 700 μg/mL of protein. By more closely replicating the physiological conditions of the cytoplasm of Escherichia coli, the Cytomim system provides a stable energy supply for protein expression without phosphate accumulation, pH change, exogenous enzyme addition, or the need for expensive high-energy phosphate compounds. © 2004 Wiley Periodicals, Inc.","author":[{"dropping-particle":"","family":"Jewett","given":"Michael C.","non-dropping-particle":"","parse-names":false,"suffix":""},{"dropping-particle":"","family":"Swartz","given":"James R.","non-dropping-particle":"","parse-names":false,"suffix":""}],"container-title":"Biotechnology and Bioengineering","id":"ITEM-1","issue":"1","issued":{"date-parts":[["2004","4","5"]]},"page":"19-26","publisher":"John Wiley &amp; Sons, Ltd","title":"Mimicking the Escherichia coli cytoplasmic environment activates long-lived and efficient cell-free protein synthesis","type":"article-journal","volume":"86"},"uris":["http://www.mendeley.com/documents/?uuid=3688e2b6-c0d8-3dfa-b534-71099d5ffd5d"]}],"mendeley":{"formattedCitation":"&lt;sup&gt;209&lt;/sup&gt;","plainTextFormattedCitation":"209","previouslyFormattedCitation":"&lt;sup&gt;209&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209</w:t>
      </w:r>
      <w:r w:rsidRPr="00857C48">
        <w:rPr>
          <w:rFonts w:cs="Arial"/>
          <w:color w:val="000000"/>
          <w:szCs w:val="22"/>
        </w:rPr>
        <w:fldChar w:fldCharType="end"/>
      </w:r>
      <w:r>
        <w:rPr>
          <w:rFonts w:cs="Arial"/>
          <w:color w:val="000000"/>
          <w:szCs w:val="22"/>
        </w:rPr>
        <w:t xml:space="preserve">. </w:t>
      </w:r>
      <w:r w:rsidRPr="00857C48">
        <w:rPr>
          <w:rFonts w:cs="Arial"/>
          <w:color w:val="000000"/>
          <w:szCs w:val="22"/>
        </w:rPr>
        <w:t>For example, components meant to supply protein expression can also be metabolized or used to energize lysate metabolism in ways that unintentionally impact TX/TL processes</w:t>
      </w:r>
      <w:r w:rsidRPr="00857C48">
        <w:rPr>
          <w:rFonts w:cs="Arial"/>
          <w:color w:val="000000"/>
          <w:szCs w:val="22"/>
        </w:rPr>
        <w:fldChar w:fldCharType="begin" w:fldLock="1"/>
      </w:r>
      <w:r w:rsidR="004F3109">
        <w:rPr>
          <w:rFonts w:cs="Arial"/>
          <w:color w:val="000000"/>
          <w:szCs w:val="22"/>
        </w:rPr>
        <w:instrText>ADDIN CSL_CITATION {"citationItems":[{"id":"ITEM-1","itemData":{"DOI":"10.1021/ACSSYNBIO.7B00465/ASSET/IMAGES/MEDIUM/SB-2017-00465A_M024.GIF","ISSN":"21615063","PMID":"29944340","abstract":"Cell-free protein synthesis (CFPS) is a widely used research tool in systems and synthetic biology. However, if CFPS is to become a mainstream technology for applications such as point of care manufacturing, we must understand the performance limits and costs of these systems. Toward this question, we used sequence specific constraint based modeling to evaluate the performance of E. Coli cell-free protein synthesis. A core E. Coli metabolic network, describing glycolysis, the pentose phosphate pathway, energy metabolism, amino acid biosynthesis, and degradation was augmented with sequence specific descriptions of transcription and translation and effective models of promoter function. Model parameters were largely taken from literature; thus the constraint based approach coupled the transcription and translation of the protein product, and the regulation of gene expression, with the availability of metabolic resources using only a limited number of adjustable model parameters. We tested this approach by simulating the expression of two model proteins: chloramphenicol acetyltransferase and dual emission green fluorescent protein, for which we have data sets; we then expanded the simulations to a range of additional proteins. Protein expression simulations were consistent with measurements for a variety of cases. The constraint based simulations confirmed that oxidative phosphorylation was active in the CAT cell-free extract, as without it there was no feasible solution within the experimental constraints of the system. We then compared the metabolism of theoretically optimal and experimentally constrained CFPS reactions, and developed parameter free correlations which could be used to estimate productivity as a function of carbon number and promoter type. Lastly, global sensitivity analysis identified the key metabolic processes that controlled CFPS productivity and energy efficiency. In summary, sequence specific constraint based modeling of CFPS offered a novel means to a priori estimate the performance of a cell-free system, using only a limited number of adjustable parameters. While we modeled the production of a single protein in this study, the approach could easily be extended to multiprotein synthetic circuits, RNA circuits, or the cell-free production of small molecule products.","author":[{"dropping-particle":"","family":"Vilkhovoy","given":"Michael","non-dropping-particle":"","parse-names":false,"suffix":""},{"dropping-particle":"","family":"Horvath","given":"Nicholas","non-dropping-particle":"","parse-names":false,"suffix":""},{"dropping-particle":"","family":"Shih","given":"Che Hsiao","non-dropping-particle":"","parse-names":false,"suffix":""},{"dropping-particle":"","family":"Wayman","given":"Joseph A.","non-dropping-particle":"","parse-names":false,"suffix":""},{"dropping-particle":"","family":"Calhoun","given":"Kara","non-dropping-particle":"","parse-names":false,"suffix":""},{"dropping-particle":"","family":"Swartz","given":"James","non-dropping-particle":"","parse-names":false,"suffix":""},{"dropping-particle":"","family":"Varner","given":"Jeffrey D.","non-dropping-particle":"","parse-names":false,"suffix":""}],"container-title":"ACS Synthetic Biology","id":"ITEM-1","issue":"8","issued":{"date-parts":[["2018","8","17"]]},"page":"1844-1857","publisher":"American Chemical Society","title":"Sequence Specific Modeling of E. Coli Cell-Free Protein Synthesis","type":"article-journal","volume":"7"},"uris":["http://www.mendeley.com/documents/?uuid=20e0b46d-77de-3b46-8fe5-8405968e23f9"]}],"mendeley":{"formattedCitation":"&lt;sup&gt;210&lt;/sup&gt;","plainTextFormattedCitation":"210","previouslyFormattedCitation":"&lt;sup&gt;210&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210</w:t>
      </w:r>
      <w:r w:rsidRPr="00857C48">
        <w:rPr>
          <w:rFonts w:cs="Arial"/>
          <w:color w:val="000000"/>
          <w:szCs w:val="22"/>
        </w:rPr>
        <w:fldChar w:fldCharType="end"/>
      </w:r>
      <w:r>
        <w:rPr>
          <w:rFonts w:cs="Arial"/>
          <w:color w:val="000000"/>
          <w:szCs w:val="22"/>
        </w:rPr>
        <w:t>.</w:t>
      </w:r>
      <w:r w:rsidRPr="00857C48">
        <w:rPr>
          <w:rFonts w:cs="Arial"/>
          <w:color w:val="000000"/>
          <w:szCs w:val="22"/>
        </w:rPr>
        <w:t xml:space="preserve"> This can be especially complicated when synthesizing functional and structurally complex enzymes like NRPSs. The </w:t>
      </w:r>
      <w:r w:rsidRPr="00857C48">
        <w:rPr>
          <w:rFonts w:cs="Arial"/>
          <w:color w:val="000000"/>
          <w:szCs w:val="22"/>
        </w:rPr>
        <w:lastRenderedPageBreak/>
        <w:t>catalytic domains of NRPSs could theoretically utilize reaction components that would otherwise sustain TX/TL, an additional resource competition problem in CFE systems that lacks prior investigation. For example, the NRPS adenylation (A) domain initiates NRP chain elongation by</w:t>
      </w:r>
      <w:r w:rsidRPr="00857C48">
        <w:rPr>
          <w:rFonts w:cs="Arial"/>
          <w:color w:val="000000" w:themeColor="text1"/>
          <w:szCs w:val="22"/>
        </w:rPr>
        <w:t xml:space="preserve"> recognizing and activating an amino acid monomer as an adenylate </w:t>
      </w:r>
      <w:r w:rsidRPr="00857C48">
        <w:rPr>
          <w:rFonts w:cs="Arial"/>
          <w:color w:val="000000"/>
          <w:szCs w:val="22"/>
        </w:rPr>
        <w:t>using magnesium-ATP to generate an aminoacyl-AMP intermediate</w:t>
      </w:r>
      <w:r w:rsidRPr="00857C48">
        <w:rPr>
          <w:rFonts w:cs="Arial"/>
          <w:color w:val="000000" w:themeColor="text1"/>
          <w:szCs w:val="22"/>
        </w:rPr>
        <w:t>. This domain alone could thus contribute to unintentional lysate metabolism that competes for the TX/TL machinery’s synthesis of the enzyme itself, including certain amino acids, the ATP producing energy substrate phosphoenolpyruvate (PEP), and magnesium ions.</w:t>
      </w:r>
      <w:r w:rsidRPr="00857C48">
        <w:rPr>
          <w:rFonts w:cs="Arial"/>
          <w:color w:val="000000"/>
          <w:szCs w:val="22"/>
        </w:rPr>
        <w:t xml:space="preserve"> In addition to these active domains, the larger architectures of these proteins could be responsible for the production of NRPSs and NRPS-like proteins (i.e., polyketide synthases) complexes at low mg/L quantities and with high levels of premature truncation in lysate CFE systems</w:t>
      </w:r>
      <w:r w:rsidRPr="00857C48">
        <w:rPr>
          <w:rFonts w:cs="Arial"/>
          <w:color w:val="000000"/>
          <w:szCs w:val="22"/>
        </w:rPr>
        <w:fldChar w:fldCharType="begin" w:fldLock="1"/>
      </w:r>
      <w:r w:rsidR="004F3109">
        <w:rPr>
          <w:rFonts w:cs="Arial"/>
          <w:color w:val="000000"/>
          <w:szCs w:val="22"/>
        </w:rPr>
        <w:instrText>ADDIN CSL_CITATION {"citationItems":[{"id":"ITEM-1","itemData":{"DOI":"10.1021/acssynbio.6b00160","ISSN":"21615063","abstract":"Genome sequencing has revealed that a far greater number of natural product biosynthetic pathways exist than there are known natural products. To access these molecules directly and deterministically, a new generation of heterologous expression methods is needed. Cell-free protein synthesis has not previously been used to study nonribosomal peptide biosynthesis, and provides a tunable platform with advantages over conventional methods for protein expression. Here, we demonstrate the use of cell-free protein synthesis to biosynthesize a cyclic dipeptide with correct absolute stereochemistry. From a single-pot reaction, we measured the expression of two nonribosomal peptide synthetases larger than 100 kDa, and detected high-level production of a diketopiperazine. Using quantitative LC-MS and synthetically prepared standard, we observed production of this metabolite at levels higher than previously reported from cell-based recombinant expression, approximately 12 mg/L. Overall, this work represents a first step to apply cell-free protein synthesis to discover and characterize new natural products.","author":[{"dropping-particle":"","family":"Goering","given":"Anthony W.","non-dropping-particle":"","parse-names":false,"suffix":""},{"dropping-particle":"","family":"Li","given":"Jian","non-dropping-particle":"","parse-names":false,"suffix":""},{"dropping-particle":"","family":"McClure","given":"Ryan A.","non-dropping-particle":"","parse-names":false,"suffix":""},{"dropping-particle":"","family":"Thomson","given":"Regan J.","non-dropping-particle":"","parse-names":false,"suffix":""},{"dropping-particle":"","family":"Jewett","given":"Michael C.","non-dropping-particle":"","parse-names":false,"suffix":""},{"dropping-particle":"","family":"Kelleher","given":"Neil L.","non-dropping-particle":"","parse-names":false,"suffix":""}],"container-title":"ACS Synthetic Biology","id":"ITEM-1","issue":"1","issued":{"date-parts":[["2017"]]},"page":"39-44","publisher":"American Chemical Society","title":"In vitro reconstruction of nonribosomal peptide biosynthesis directly from DNA using cell-free protein synthesis","type":"article-journal","volume":"6"},"uris":["http://www.mendeley.com/documents/?uuid=5dc6ed63-4413-3c6e-973c-719fb49b3ef4"]},{"id":"ITEM-2","itemData":{"DOI":"10.1016/J.YMBEN.2020.03.009","ISSN":"1096-7176","PMID":"32224263","abstract":"Natural products are important because of their significant pharmaceutical properties such as antiviral, antimicrobial, and anticancer activity. Recent breakthroughs in DNA sequencing reveal that a great number of cryptic natural product biosynthetic gene clusters are encoded in microbial genomes, for example, those of Streptomyces species. However, it is still challenging to access compounds from these clusters because many source organisms are uncultivable or the genes are silent during laboratory cultivation. To address this challenge, we develop an efficient cell-free platform for the rapid, in vitro total biosynthesis of the nonribosomal peptide valinomycin as a model. We achieve this goal in two ways. First, we used a cell-free protein synthesis (CFPS) system to express the entire valinomycin biosynthetic gene cluster (&gt;19 kb) in a single-pot reaction, giving rise to approximately 37 μg/L of valinomycin after optimization. Second, we coupled CFPS with cell-free metabolic engineering system by mixing two enzyme-enriched cell lysates to perform a two-stage biosynthesis. This strategy improved valinomycin production ~5000-fold to nearly 30 mg/L. We expect that cell-free biosynthetic systems will provide a new avenue to express, discover, and characterize natural product gene clusters of interest in vitro.","author":[{"dropping-particle":"","family":"Zhuang","given":"Lei","non-dropping-particle":"","parse-names":false,"suffix":""},{"dropping-particle":"","family":"Huang","given":"Shuhui","non-dropping-particle":"","parse-names":false,"suffix":""},{"dropping-particle":"","family":"Liu","given":"Wan Qiu","non-dropping-particle":"","parse-names":false,"suffix":""},{"dropping-particle":"","family":"Karim","given":"Ashty S.","non-dropping-particle":"","parse-names":false,"suffix":""},{"dropping-particle":"","family":"Jewett","given":"Michael C.","non-dropping-particle":"","parse-names":false,"suffix":""},{"dropping-particle":"","family":"Li","given":"Jian","non-dropping-particle":"","parse-names":false,"suffix":""}],"container-title":"Metabolic Engineering","id":"ITEM-2","issued":{"date-parts":[["2020","7","1"]]},"page":"37-44","publisher":"Academic Press","title":"Total in vitro biosynthesis of the nonribosomal macrolactone peptide valinomycin","type":"article-journal","volume":"60"},"uris":["http://www.mendeley.com/documents/?uuid=7b4a6e0f-c308-3fc8-998b-3b950a873609"]},{"id":"ITEM-3","itemData":{"DOI":"10.1021/ACS.ANALCHEM.7B02555/SUPPL_FILE/AC7B02555_SI_003.XLSX","ISSN":"15206882","PMID":"29039646","abstract":"Cell-free protein synthesis (CFPS) has the potential to produce enzymes, therapeutic agents, and other proteins, while circumventing difficulties associated with in vivo heterologous expression. However, the contents of the cell-free extracts used to carry out synthesis are generally not characterized, which hampers progress toward enhancing yield or functional activity of the target protein. We explored the utility of mass spectrometry (MS)-based proteomics for characterizing the bacterial extracts used for transcribing and translating gene sequences into proteins as well as the products of CFPS reactions. Full proteome experiments identified over 1000 proteins per reaction. The complete set of proteins necessary for transcription and translation were found, demonstrating the ability to define potential metabolic capabilities of the extract. Further, MS-based techniques allowed characterization of the CFPS product and provided insight into the synthesis reaction and potential functional activity of the product. These capabilities were demonstrated using two different CFPS products, the commonly used standard green fluorescent protein (GFP, 27 kDa) and the polyketide synthase DEBS1 (394 kDa). For the large, multidomain DEBS1, substantial premature termination of protein translation was observed. Additionally, MS/MS analysis, as part of a conventional full proteomics workflow, identified post-translational modifications, including the chromophore in GFP, as well as the three phosphopantetheinylation sites in DEBS1. A hypothesis-driven approach focused on these three sites identified that all were correctly modified for DEBS1 expressed in vivo but with less complete coverage for protein expressed in CFPS reactions. These post-translational modifications are essential for functional activity, and the ability to identify them with mass spectrometry is valuable for judging the success of the CFPS reaction. Collectively, the use of MS-based proteomics will prove advantageous for advancing the application of CFPS and related techniques.","author":[{"dropping-particle":"","family":"Hurst","given":"Gregory B.","non-dropping-particle":"","parse-names":false,"suffix":""},{"dropping-particle":"","family":"Asano","given":"Keiji G.","non-dropping-particle":"","parse-names":false,"suffix":""},{"dropping-particle":"","family":"Doktycz","given":"Charles J.","non-dropping-particle":"","parse-names":false,"suffix":""},{"dropping-particle":"","family":"Consoli","given":"Elliot J.","non-dropping-particle":"","parse-names":false,"suffix":""},{"dropping-particle":"","family":"Doktycz","given":"William L.","non-dropping-particle":"","parse-names":false,"suffix":""},{"dropping-particle":"","family":"Foster","given":"Carmen M.","non-dropping-particle":"","parse-names":false,"suffix":""},{"dropping-particle":"","family":"Morrell-Falvey","given":"Jennifer L.","non-dropping-particle":"","parse-names":false,"suffix":""},{"dropping-particle":"","family":"Standaert","given":"Robert F.","non-dropping-particle":"","parse-names":false,"suffix":""},{"dropping-particle":"","family":"Doktycz","given":"Mitchel J.","non-dropping-particle":"","parse-names":false,"suffix":""}],"container-title":"Analytical Chemistry","id":"ITEM-3","issue":"21","issued":{"date-parts":[["2017","11","7"]]},"page":"11443-11451","publisher":"American Chemical Society","title":"Proteomics-Based Tools for Evaluation of Cell-Free Protein Synthesis","type":"article-journal","volume":"89"},"uris":["http://www.mendeley.com/documents/?uuid=1a092bfc-64ef-3ac6-a827-3d0fe37304d5"]}],"mendeley":{"formattedCitation":"&lt;sup&gt;54,211,212&lt;/sup&gt;","plainTextFormattedCitation":"54,211,212","previouslyFormattedCitation":"&lt;sup&gt;54,211,212&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54,211,212</w:t>
      </w:r>
      <w:r w:rsidRPr="00857C48">
        <w:rPr>
          <w:rFonts w:cs="Arial"/>
          <w:color w:val="000000"/>
          <w:szCs w:val="22"/>
        </w:rPr>
        <w:fldChar w:fldCharType="end"/>
      </w:r>
      <w:r>
        <w:rPr>
          <w:rFonts w:cs="Arial"/>
          <w:color w:val="000000"/>
          <w:szCs w:val="22"/>
        </w:rPr>
        <w:t>.</w:t>
      </w:r>
      <w:r w:rsidRPr="00857C48">
        <w:rPr>
          <w:rFonts w:cs="Arial"/>
          <w:color w:val="000000"/>
          <w:szCs w:val="22"/>
        </w:rPr>
        <w:t xml:space="preserve"> This is presumably because previous efforts have used reaction conditions that are not tailored for full-length translation of these large and complex enzymes</w:t>
      </w:r>
      <w:r w:rsidRPr="00857C48">
        <w:rPr>
          <w:rFonts w:cs="Arial"/>
          <w:color w:val="000000"/>
          <w:szCs w:val="22"/>
        </w:rPr>
        <w:fldChar w:fldCharType="begin" w:fldLock="1"/>
      </w:r>
      <w:r w:rsidR="004F3109">
        <w:rPr>
          <w:rFonts w:cs="Arial"/>
          <w:color w:val="000000"/>
          <w:szCs w:val="22"/>
        </w:rPr>
        <w:instrText>ADDIN CSL_CITATION {"citationItems":[{"id":"ITEM-1","itemData":{"DOI":"10.1021/acssynbio.6b00160","ISSN":"21615063","abstract":"Genome sequencing has revealed that a far greater number of natural product biosynthetic pathways exist than there are known natural products. To access these molecules directly and deterministically, a new generation of heterologous expression methods is needed. Cell-free protein synthesis has not previously been used to study nonribosomal peptide biosynthesis, and provides a tunable platform with advantages over conventional methods for protein expression. Here, we demonstrate the use of cell-free protein synthesis to biosynthesize a cyclic dipeptide with correct absolute stereochemistry. From a single-pot reaction, we measured the expression of two nonribosomal peptide synthetases larger than 100 kDa, and detected high-level production of a diketopiperazine. Using quantitative LC-MS and synthetically prepared standard, we observed production of this metabolite at levels higher than previously reported from cell-based recombinant expression, approximately 12 mg/L. Overall, this work represents a first step to apply cell-free protein synthesis to discover and characterize new natural products.","author":[{"dropping-particle":"","family":"Goering","given":"Anthony W.","non-dropping-particle":"","parse-names":false,"suffix":""},{"dropping-particle":"","family":"Li","given":"Jian","non-dropping-particle":"","parse-names":false,"suffix":""},{"dropping-particle":"","family":"McClure","given":"Ryan A.","non-dropping-particle":"","parse-names":false,"suffix":""},{"dropping-particle":"","family":"Thomson","given":"Regan J.","non-dropping-particle":"","parse-names":false,"suffix":""},{"dropping-particle":"","family":"Jewett","given":"Michael C.","non-dropping-particle":"","parse-names":false,"suffix":""},{"dropping-particle":"","family":"Kelleher","given":"Neil L.","non-dropping-particle":"","parse-names":false,"suffix":""}],"container-title":"ACS Synthetic Biology","id":"ITEM-1","issue":"1","issued":{"date-parts":[["2017"]]},"page":"39-44","publisher":"American Chemical Society","title":"In vitro reconstruction of nonribosomal peptide biosynthesis directly from DNA using cell-free protein synthesis","type":"article-journal","volume":"6"},"uris":["http://www.mendeley.com/documents/?uuid=5dc6ed63-4413-3c6e-973c-719fb49b3ef4"]},{"id":"ITEM-2","itemData":{"DOI":"10.1016/J.YMBEN.2020.03.009","ISSN":"1096-7176","PMID":"32224263","abstract":"Natural products are important because of their significant pharmaceutical properties such as antiviral, antimicrobial, and anticancer activity. Recent breakthroughs in DNA sequencing reveal that a great number of cryptic natural product biosynthetic gene clusters are encoded in microbial genomes, for example, those of Streptomyces species. However, it is still challenging to access compounds from these clusters because many source organisms are uncultivable or the genes are silent during laboratory cultivation. To address this challenge, we develop an efficient cell-free platform for the rapid, in vitro total biosynthesis of the nonribosomal peptide valinomycin as a model. We achieve this goal in two ways. First, we used a cell-free protein synthesis (CFPS) system to express the entire valinomycin biosynthetic gene cluster (&gt;19 kb) in a single-pot reaction, giving rise to approximately 37 μg/L of valinomycin after optimization. Second, we coupled CFPS with cell-free metabolic engineering system by mixing two enzyme-enriched cell lysates to perform a two-stage biosynthesis. This strategy improved valinomycin production ~5000-fold to nearly 30 mg/L. We expect that cell-free biosynthetic systems will provide a new avenue to express, discover, and characterize natural product gene clusters of interest in vitro.","author":[{"dropping-particle":"","family":"Zhuang","given":"Lei","non-dropping-particle":"","parse-names":false,"suffix":""},{"dropping-particle":"","family":"Huang","given":"Shuhui","non-dropping-particle":"","parse-names":false,"suffix":""},{"dropping-particle":"","family":"Liu","given":"Wan Qiu","non-dropping-particle":"","parse-names":false,"suffix":""},{"dropping-particle":"","family":"Karim","given":"Ashty S.","non-dropping-particle":"","parse-names":false,"suffix":""},{"dropping-particle":"","family":"Jewett","given":"Michael C.","non-dropping-particle":"","parse-names":false,"suffix":""},{"dropping-particle":"","family":"Li","given":"Jian","non-dropping-particle":"","parse-names":false,"suffix":""}],"container-title":"Metabolic Engineering","id":"ITEM-2","issued":{"date-parts":[["2020","7","1"]]},"page":"37-44","publisher":"Academic Press","title":"Total in vitro biosynthesis of the nonribosomal macrolactone peptide valinomycin","type":"article-journal","volume":"60"},"uris":["http://www.mendeley.com/documents/?uuid=7b4a6e0f-c308-3fc8-998b-3b950a873609"]},{"id":"ITEM-3","itemData":{"DOI":"10.1021/ACS.ANALCHEM.7B02555/SUPPL_FILE/AC7B02555_SI_003.XLSX","ISSN":"15206882","PMID":"29039646","abstract":"Cell-free protein synthesis (CFPS) has the potential to produce enzymes, therapeutic agents, and other proteins, while circumventing difficulties associated with in vivo heterologous expression. However, the contents of the cell-free extracts used to carry out synthesis are generally not characterized, which hampers progress toward enhancing yield or functional activity of the target protein. We explored the utility of mass spectrometry (MS)-based proteomics for characterizing the bacterial extracts used for transcribing and translating gene sequences into proteins as well as the products of CFPS reactions. Full proteome experiments identified over 1000 proteins per reaction. The complete set of proteins necessary for transcription and translation were found, demonstrating the ability to define potential metabolic capabilities of the extract. Further, MS-based techniques allowed characterization of the CFPS product and provided insight into the synthesis reaction and potential functional activity of the product. These capabilities were demonstrated using two different CFPS products, the commonly used standard green fluorescent protein (GFP, 27 kDa) and the polyketide synthase DEBS1 (394 kDa). For the large, multidomain DEBS1, substantial premature termination of protein translation was observed. Additionally, MS/MS analysis, as part of a conventional full proteomics workflow, identified post-translational modifications, including the chromophore in GFP, as well as the three phosphopantetheinylation sites in DEBS1. A hypothesis-driven approach focused on these three sites identified that all were correctly modified for DEBS1 expressed in vivo but with less complete coverage for protein expressed in CFPS reactions. These post-translational modifications are essential for functional activity, and the ability to identify them with mass spectrometry is valuable for judging the success of the CFPS reaction. Collectively, the use of MS-based proteomics will prove advantageous for advancing the application of CFPS and related techniques.","author":[{"dropping-particle":"","family":"Hurst","given":"Gregory B.","non-dropping-particle":"","parse-names":false,"suffix":""},{"dropping-particle":"","family":"Asano","given":"Keiji G.","non-dropping-particle":"","parse-names":false,"suffix":""},{"dropping-particle":"","family":"Doktycz","given":"Charles J.","non-dropping-particle":"","parse-names":false,"suffix":""},{"dropping-particle":"","family":"Consoli","given":"Elliot J.","non-dropping-particle":"","parse-names":false,"suffix":""},{"dropping-particle":"","family":"Doktycz","given":"William L.","non-dropping-particle":"","parse-names":false,"suffix":""},{"dropping-particle":"","family":"Foster","given":"Carmen M.","non-dropping-particle":"","parse-names":false,"suffix":""},{"dropping-particle":"","family":"Morrell-Falvey","given":"Jennifer L.","non-dropping-particle":"","parse-names":false,"suffix":""},{"dropping-particle":"","family":"Standaert","given":"Robert F.","non-dropping-particle":"","parse-names":false,"suffix":""},{"dropping-particle":"","family":"Doktycz","given":"Mitchel J.","non-dropping-particle":"","parse-names":false,"suffix":""}],"container-title":"Analytical Chemistry","id":"ITEM-3","issue":"21","issued":{"date-parts":[["2017","11","7"]]},"page":"11443-11451","publisher":"American Chemical Society","title":"Proteomics-Based Tools for Evaluation of Cell-Free Protein Synthesis","type":"article-journal","volume":"89"},"uris":["http://www.mendeley.com/documents/?uuid=1a092bfc-64ef-3ac6-a827-3d0fe37304d5"]}],"mendeley":{"formattedCitation":"&lt;sup&gt;54,211,212&lt;/sup&gt;","plainTextFormattedCitation":"54,211,212","previouslyFormattedCitation":"&lt;sup&gt;54,211,212&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54,211,212</w:t>
      </w:r>
      <w:r w:rsidRPr="00857C48">
        <w:rPr>
          <w:rFonts w:cs="Arial"/>
          <w:color w:val="000000"/>
          <w:szCs w:val="22"/>
        </w:rPr>
        <w:fldChar w:fldCharType="end"/>
      </w:r>
      <w:r w:rsidRPr="00857C48">
        <w:rPr>
          <w:rFonts w:cs="Arial"/>
          <w:color w:val="000000"/>
          <w:szCs w:val="22"/>
        </w:rPr>
        <w:t xml:space="preserve">, but instead were optimized to achieve g/L yields of small and robustly folding proteins such as the reporter proteins chloramphenicol acetyltransferase (CAT) and </w:t>
      </w:r>
      <w:proofErr w:type="spellStart"/>
      <w:r w:rsidRPr="00857C48">
        <w:rPr>
          <w:rFonts w:cs="Arial"/>
          <w:color w:val="000000"/>
          <w:szCs w:val="22"/>
        </w:rPr>
        <w:t>superfolder</w:t>
      </w:r>
      <w:proofErr w:type="spellEnd"/>
      <w:r w:rsidRPr="00857C48">
        <w:rPr>
          <w:rFonts w:cs="Arial"/>
          <w:color w:val="000000"/>
          <w:szCs w:val="22"/>
        </w:rPr>
        <w:t xml:space="preserve"> GFP (</w:t>
      </w:r>
      <w:proofErr w:type="spellStart"/>
      <w:r w:rsidRPr="00857C48">
        <w:rPr>
          <w:rFonts w:cs="Arial"/>
          <w:color w:val="000000"/>
          <w:szCs w:val="22"/>
        </w:rPr>
        <w:t>sfGFP</w:t>
      </w:r>
      <w:proofErr w:type="spellEnd"/>
      <w:r w:rsidRPr="00857C48">
        <w:rPr>
          <w:rFonts w:cs="Arial"/>
          <w:color w:val="000000"/>
          <w:szCs w:val="22"/>
        </w:rPr>
        <w:t>)</w:t>
      </w:r>
      <w:r w:rsidRPr="00857C48">
        <w:rPr>
          <w:rFonts w:cs="Arial"/>
          <w:color w:val="000000"/>
          <w:szCs w:val="22"/>
        </w:rPr>
        <w:fldChar w:fldCharType="begin" w:fldLock="1"/>
      </w:r>
      <w:r w:rsidR="004F3109">
        <w:rPr>
          <w:rFonts w:cs="Arial"/>
          <w:color w:val="000000"/>
          <w:szCs w:val="22"/>
        </w:rPr>
        <w:instrText>ADDIN CSL_CITATION {"citationItems":[{"id":"ITEM-1","itemData":{"DOI":"10.1002/BIT.20026","ISSN":"1097-0290","PMID":"15007837","abstract":"Cell-free translation systems generally utilize high-energy phosphate compounds to regenerate the adenosine triphosphate (ATP) necessary to drive protein synthesis. This hampers the widespread use and practical implementation of this technology in a batch format due to expensive reagent costs; the accumulation of inhibitory byproducts, such as phosphate; and pH change. To address these problems, a cell-free protein synthesis system has been engineered that is capable of using pyruvate as an energy source to produce high yields of protein. The \"Cytomim\" system, synthesizes chloramphenicol acetyl-transferase (CAT) for up to 6 h in a batch reaction to yield 700 μg/mL of protein. By more closely replicating the physiological conditions of the cytoplasm of Escherichia coli, the Cytomim system provides a stable energy supply for protein expression without phosphate accumulation, pH change, exogenous enzyme addition, or the need for expensive high-energy phosphate compounds. © 2004 Wiley Periodicals, Inc.","author":[{"dropping-particle":"","family":"Jewett","given":"Michael C.","non-dropping-particle":"","parse-names":false,"suffix":""},{"dropping-particle":"","family":"Swartz","given":"James R.","non-dropping-particle":"","parse-names":false,"suffix":""}],"container-title":"Biotechnology and Bioengineering","id":"ITEM-1","issue":"1","issued":{"date-parts":[["2004","4","5"]]},"page":"19-26","publisher":"John Wiley &amp; Sons, Ltd","title":"Mimicking the Escherichia coli cytoplasmic environment activates long-lived and efficient cell-free protein synthesis","type":"article-journal","volume":"86"},"uris":["http://www.mendeley.com/documents/?uuid=3688e2b6-c0d8-3dfa-b534-71099d5ffd5d"]}],"mendeley":{"formattedCitation":"&lt;sup&gt;209&lt;/sup&gt;","plainTextFormattedCitation":"209","previouslyFormattedCitation":"&lt;sup&gt;209&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209</w:t>
      </w:r>
      <w:r w:rsidRPr="00857C48">
        <w:rPr>
          <w:rFonts w:cs="Arial"/>
          <w:color w:val="000000"/>
          <w:szCs w:val="22"/>
        </w:rPr>
        <w:fldChar w:fldCharType="end"/>
      </w:r>
      <w:r>
        <w:rPr>
          <w:rFonts w:cs="Arial"/>
          <w:color w:val="000000"/>
          <w:szCs w:val="22"/>
        </w:rPr>
        <w:t>.</w:t>
      </w:r>
      <w:r w:rsidRPr="00857C48">
        <w:rPr>
          <w:rFonts w:cs="Arial"/>
          <w:color w:val="000000"/>
          <w:szCs w:val="22"/>
        </w:rPr>
        <w:t xml:space="preserve"> </w:t>
      </w:r>
    </w:p>
    <w:p w14:paraId="3FE4D15F" w14:textId="1A3940D3" w:rsidR="00857C48" w:rsidRPr="00857C48" w:rsidRDefault="00857C48" w:rsidP="00857C48">
      <w:pPr>
        <w:ind w:firstLine="720"/>
        <w:rPr>
          <w:rFonts w:cs="Arial"/>
          <w:color w:val="000000"/>
          <w:szCs w:val="22"/>
        </w:rPr>
      </w:pPr>
      <w:r w:rsidRPr="00857C48">
        <w:rPr>
          <w:rFonts w:cs="Arial"/>
          <w:color w:val="000000"/>
          <w:szCs w:val="22"/>
        </w:rPr>
        <w:t>Different reaction conditions can be sampled to probe limitations to NRPS CFE. Examining this parameter space however can be daunting due to barriers at the level of detection. That is, full-length NRPS CFE has only been validated through SDS-PAGE or mass spectrometric (MS) detection of the product, which by themselves can require time-consuming protocol optimization for different proteins or metabolites, limiting throughput</w:t>
      </w:r>
      <w:r w:rsidRPr="00857C48">
        <w:rPr>
          <w:rFonts w:cs="Arial"/>
          <w:color w:val="000000"/>
          <w:szCs w:val="22"/>
        </w:rPr>
        <w:fldChar w:fldCharType="begin" w:fldLock="1"/>
      </w:r>
      <w:r w:rsidR="004F3109">
        <w:rPr>
          <w:rFonts w:cs="Arial"/>
          <w:color w:val="000000"/>
          <w:szCs w:val="22"/>
        </w:rPr>
        <w:instrText>ADDIN CSL_CITATION {"citationItems":[{"id":"ITEM-1","itemData":{"DOI":"10.1021/acssynbio.6b00160","ISSN":"21615063","abstract":"Genome sequencing has revealed that a far greater number of natural product biosynthetic pathways exist than there are known natural products. To access these molecules directly and deterministically, a new generation of heterologous expression methods is needed. Cell-free protein synthesis has not previously been used to study nonribosomal peptide biosynthesis, and provides a tunable platform with advantages over conventional methods for protein expression. Here, we demonstrate the use of cell-free protein synthesis to biosynthesize a cyclic dipeptide with correct absolute stereochemistry. From a single-pot reaction, we measured the expression of two nonribosomal peptide synthetases larger than 100 kDa, and detected high-level production of a diketopiperazine. Using quantitative LC-MS and synthetically prepared standard, we observed production of this metabolite at levels higher than previously reported from cell-based recombinant expression, approximately 12 mg/L. Overall, this work represents a first step to apply cell-free protein synthesis to discover and characterize new natural products.","author":[{"dropping-particle":"","family":"Goering","given":"Anthony W.","non-dropping-particle":"","parse-names":false,"suffix":""},{"dropping-particle":"","family":"Li","given":"Jian","non-dropping-particle":"","parse-names":false,"suffix":""},{"dropping-particle":"","family":"McClure","given":"Ryan A.","non-dropping-particle":"","parse-names":false,"suffix":""},{"dropping-particle":"","family":"Thomson","given":"Regan J.","non-dropping-particle":"","parse-names":false,"suffix":""},{"dropping-particle":"","family":"Jewett","given":"Michael C.","non-dropping-particle":"","parse-names":false,"suffix":""},{"dropping-particle":"","family":"Kelleher","given":"Neil L.","non-dropping-particle":"","parse-names":false,"suffix":""}],"container-title":"ACS Synthetic Biology","id":"ITEM-1","issue":"1","issued":{"date-parts":[["2017"]]},"page":"39-44","publisher":"American Chemical Society","title":"In vitro reconstruction of nonribosomal peptide biosynthesis directly from DNA using cell-free protein synthesis","type":"article-journal","volume":"6"},"uris":["http://www.mendeley.com/documents/?uuid=5dc6ed63-4413-3c6e-973c-719fb49b3ef4"]},{"id":"ITEM-2","itemData":{"DOI":"10.1016/J.YMBEN.2020.03.009","ISSN":"1096-7176","PMID":"32224263","abstract":"Natural products are important because of their significant pharmaceutical properties such as antiviral, antimicrobial, and anticancer activity. Recent breakthroughs in DNA sequencing reveal that a great number of cryptic natural product biosynthetic gene clusters are encoded in microbial genomes, for example, those of Streptomyces species. However, it is still challenging to access compounds from these clusters because many source organisms are uncultivable or the genes are silent during laboratory cultivation. To address this challenge, we develop an efficient cell-free platform for the rapid, in vitro total biosynthesis of the nonribosomal peptide valinomycin as a model. We achieve this goal in two ways. First, we used a cell-free protein synthesis (CFPS) system to express the entire valinomycin biosynthetic gene cluster (&gt;19 kb) in a single-pot reaction, giving rise to approximately 37 μg/L of valinomycin after optimization. Second, we coupled CFPS with cell-free metabolic engineering system by mixing two enzyme-enriched cell lysates to perform a two-stage biosynthesis. This strategy improved valinomycin production ~5000-fold to nearly 30 mg/L. We expect that cell-free biosynthetic systems will provide a new avenue to express, discover, and characterize natural product gene clusters of interest in vitro.","author":[{"dropping-particle":"","family":"Zhuang","given":"Lei","non-dropping-particle":"","parse-names":false,"suffix":""},{"dropping-particle":"","family":"Huang","given":"Shuhui","non-dropping-particle":"","parse-names":false,"suffix":""},{"dropping-particle":"","family":"Liu","given":"Wan Qiu","non-dropping-particle":"","parse-names":false,"suffix":""},{"dropping-particle":"","family":"Karim","given":"Ashty S.","non-dropping-particle":"","parse-names":false,"suffix":""},{"dropping-particle":"","family":"Jewett","given":"Michael C.","non-dropping-particle":"","parse-names":false,"suffix":""},{"dropping-particle":"","family":"Li","given":"Jian","non-dropping-particle":"","parse-names":false,"suffix":""}],"container-title":"Metabolic Engineering","id":"ITEM-2","issued":{"date-parts":[["2020","7","1"]]},"page":"37-44","publisher":"Academic Press","title":"Total in vitro biosynthesis of the nonribosomal macrolactone peptide valinomycin","type":"article-journal","volume":"60"},"uris":["http://www.mendeley.com/documents/?uuid=7b4a6e0f-c308-3fc8-998b-3b950a873609"]}],"mendeley":{"formattedCitation":"&lt;sup&gt;54,211&lt;/sup&gt;","plainTextFormattedCitation":"54,211","previouslyFormattedCitation":"&lt;sup&gt;54,211&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54,211</w:t>
      </w:r>
      <w:r w:rsidRPr="00857C48">
        <w:rPr>
          <w:rFonts w:cs="Arial"/>
          <w:color w:val="000000"/>
          <w:szCs w:val="22"/>
        </w:rPr>
        <w:fldChar w:fldCharType="end"/>
      </w:r>
      <w:r>
        <w:rPr>
          <w:rFonts w:cs="Arial"/>
          <w:color w:val="000000"/>
          <w:szCs w:val="22"/>
        </w:rPr>
        <w:t>.</w:t>
      </w:r>
      <w:r w:rsidRPr="00857C48">
        <w:rPr>
          <w:rFonts w:cs="Arial"/>
          <w:color w:val="000000"/>
          <w:szCs w:val="22"/>
        </w:rPr>
        <w:t xml:space="preserve"> This feedback loop can be shortened with optically detectable peptide tags expressed at the C-termini of the expressed proteins</w:t>
      </w:r>
      <w:r w:rsidRPr="00857C48">
        <w:rPr>
          <w:rFonts w:cs="Arial"/>
          <w:color w:val="000000"/>
          <w:szCs w:val="22"/>
        </w:rPr>
        <w:fldChar w:fldCharType="begin" w:fldLock="1"/>
      </w:r>
      <w:r w:rsidR="004F3109">
        <w:rPr>
          <w:rFonts w:cs="Arial"/>
          <w:color w:val="000000"/>
          <w:szCs w:val="22"/>
        </w:rPr>
        <w:instrText>ADDIN CSL_CITATION {"citationItems":[{"id":"ITEM-1","itemData":{"DOI":"10.1021/ACSSYNBIO.8B00450/SUPPL_FILE/SB8B00450_SI_001.PDF","ISSN":"21615063","PMID":"30920800","abstract":"Quantification of biology's central dogma (transcription and translation) is pursued by a variety of methods. Direct, immediate, and ongoing quantification of these events is difficult to achieve. Common practice is to use fluorescent or luminescent proteins to report indirectly on prior cellular events, such as turning on a gene in a genetic circuit. We present an alternative approach, PURExpress-ReAsH-Spinach In-vitro Analysis (PERSIA). PERSIA provides information on the production of RNA and protein during cell-free reactions by employing short RNA and peptide tags. Upon synthesis, these tags yield quantifiable fluorescent signal without interfering with other biochemical events. We demonstrate the applicability of PERSIA in measuring cell-free transcription, translation, and other enzymatic activity in a variety of applications: from sequence-structure-function studies, to genetic code engineering, to testing antiviral drug resistance.","author":[{"dropping-particle":"","family":"Wick","given":"Scott","non-dropping-particle":"","parse-names":false,"suffix":""},{"dropping-particle":"","family":"Walsh","given":"David I.","non-dropping-particle":"","parse-names":false,"suffix":""},{"dropping-particle":"","family":"Bobrow","given":"Johanna","non-dropping-particle":"","parse-names":false,"suffix":""},{"dropping-particle":"","family":"Hamad-Schifferli","given":"Kimberly","non-dropping-particle":"","parse-names":false,"suffix":""},{"dropping-particle":"","family":"Kong","given":"David S.","non-dropping-particle":"","parse-names":false,"suffix":""},{"dropping-particle":"","family":"Thorsen","given":"Todd","non-dropping-particle":"","parse-names":false,"suffix":""},{"dropping-particle":"","family":"Mroszczyk","given":"Keri","non-dropping-particle":"","parse-names":false,"suffix":""},{"dropping-particle":"","family":"Carr","given":"Peter A.","non-dropping-particle":"","parse-names":false,"suffix":""}],"container-title":"ACS Synthetic Biology","id":"ITEM-1","issue":"5","issued":{"date-parts":[["2019","5","17"]]},"page":"1010-1025","publisher":"American Chemical Society","title":"PERSIA for Direct Fluorescence Measurements of Transcription, Translation, and Enzyme Activity in Cell-Free Systems","type":"article-journal","volume":"8"},"uris":["http://www.mendeley.com/documents/?uuid=4df47bd9-92e2-3980-9574-d64f24f52a38"]}],"mendeley":{"formattedCitation":"&lt;sup&gt;213&lt;/sup&gt;","plainTextFormattedCitation":"213","previouslyFormattedCitation":"&lt;sup&gt;213&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213</w:t>
      </w:r>
      <w:r w:rsidRPr="00857C48">
        <w:rPr>
          <w:rFonts w:cs="Arial"/>
          <w:color w:val="000000"/>
          <w:szCs w:val="22"/>
        </w:rPr>
        <w:fldChar w:fldCharType="end"/>
      </w:r>
      <w:r>
        <w:rPr>
          <w:rFonts w:cs="Arial"/>
          <w:color w:val="000000"/>
          <w:szCs w:val="22"/>
        </w:rPr>
        <w:t>.</w:t>
      </w:r>
      <w:r w:rsidRPr="00857C48">
        <w:rPr>
          <w:rFonts w:cs="Arial"/>
          <w:color w:val="000000"/>
          <w:szCs w:val="22"/>
        </w:rPr>
        <w:t xml:space="preserve"> The use of a terminal </w:t>
      </w:r>
      <w:proofErr w:type="spellStart"/>
      <w:r w:rsidRPr="00857C48">
        <w:rPr>
          <w:rFonts w:cs="Arial"/>
          <w:color w:val="000000"/>
          <w:szCs w:val="22"/>
        </w:rPr>
        <w:t>tetracysteine</w:t>
      </w:r>
      <w:proofErr w:type="spellEnd"/>
      <w:r w:rsidRPr="00857C48">
        <w:rPr>
          <w:rFonts w:cs="Arial"/>
          <w:color w:val="000000"/>
          <w:szCs w:val="22"/>
        </w:rPr>
        <w:t xml:space="preserve"> (TC) peptide tag that forms a fluorescent complex with an exogenously added </w:t>
      </w:r>
      <w:proofErr w:type="spellStart"/>
      <w:r w:rsidRPr="00857C48">
        <w:rPr>
          <w:rFonts w:cs="Arial"/>
          <w:color w:val="000000"/>
          <w:szCs w:val="22"/>
        </w:rPr>
        <w:t>organoarsenic</w:t>
      </w:r>
      <w:proofErr w:type="spellEnd"/>
      <w:r w:rsidRPr="00857C48">
        <w:rPr>
          <w:rFonts w:cs="Arial"/>
          <w:color w:val="000000"/>
          <w:szCs w:val="22"/>
        </w:rPr>
        <w:t xml:space="preserve"> molecule has been utilized to monitor </w:t>
      </w:r>
      <w:r w:rsidRPr="00857C48">
        <w:rPr>
          <w:rFonts w:cs="Arial"/>
          <w:i/>
          <w:iCs/>
          <w:color w:val="000000"/>
          <w:szCs w:val="22"/>
        </w:rPr>
        <w:t xml:space="preserve">in vitro </w:t>
      </w:r>
      <w:r w:rsidRPr="00857C48">
        <w:rPr>
          <w:rFonts w:cs="Arial"/>
          <w:color w:val="000000"/>
          <w:szCs w:val="22"/>
        </w:rPr>
        <w:t xml:space="preserve">protein synthesis in the </w:t>
      </w:r>
      <w:proofErr w:type="spellStart"/>
      <w:r w:rsidRPr="00857C48">
        <w:rPr>
          <w:rFonts w:cs="Arial"/>
          <w:color w:val="000000"/>
          <w:szCs w:val="22"/>
        </w:rPr>
        <w:t>PURExpress</w:t>
      </w:r>
      <w:proofErr w:type="spellEnd"/>
      <w:r w:rsidRPr="00857C48">
        <w:rPr>
          <w:rFonts w:cs="Arial"/>
          <w:color w:val="000000"/>
          <w:szCs w:val="22"/>
        </w:rPr>
        <w:t xml:space="preserve"> cell-free system.</w:t>
      </w:r>
      <w:r w:rsidRPr="00857C48">
        <w:rPr>
          <w:rFonts w:cs="Arial"/>
          <w:i/>
          <w:iCs/>
          <w:color w:val="000000"/>
          <w:szCs w:val="22"/>
        </w:rPr>
        <w:t xml:space="preserve"> </w:t>
      </w:r>
      <w:r w:rsidRPr="00857C48">
        <w:rPr>
          <w:rFonts w:cs="Arial"/>
          <w:color w:val="000000"/>
          <w:szCs w:val="22"/>
        </w:rPr>
        <w:t>However, its efficiency in the more complex cell extract environment has not been demonstrated</w:t>
      </w:r>
      <w:r w:rsidRPr="00857C48">
        <w:rPr>
          <w:rFonts w:cs="Arial"/>
          <w:color w:val="000000"/>
          <w:szCs w:val="22"/>
        </w:rPr>
        <w:fldChar w:fldCharType="begin" w:fldLock="1"/>
      </w:r>
      <w:r w:rsidR="004F3109">
        <w:rPr>
          <w:rFonts w:cs="Arial"/>
          <w:color w:val="000000"/>
          <w:szCs w:val="22"/>
        </w:rPr>
        <w:instrText>ADDIN CSL_CITATION {"citationItems":[{"id":"ITEM-1","itemData":{"DOI":"10.1021/ACSSYNBIO.8B00450/SUPPL_FILE/SB8B00450_SI_001.PDF","ISSN":"21615063","PMID":"30920800","abstract":"Quantification of biology's central dogma (transcription and translation) is pursued by a variety of methods. Direct, immediate, and ongoing quantification of these events is difficult to achieve. Common practice is to use fluorescent or luminescent proteins to report indirectly on prior cellular events, such as turning on a gene in a genetic circuit. We present an alternative approach, PURExpress-ReAsH-Spinach In-vitro Analysis (PERSIA). PERSIA provides information on the production of RNA and protein during cell-free reactions by employing short RNA and peptide tags. Upon synthesis, these tags yield quantifiable fluorescent signal without interfering with other biochemical events. We demonstrate the applicability of PERSIA in measuring cell-free transcription, translation, and other enzymatic activity in a variety of applications: from sequence-structure-function studies, to genetic code engineering, to testing antiviral drug resistance.","author":[{"dropping-particle":"","family":"Wick","given":"Scott","non-dropping-particle":"","parse-names":false,"suffix":""},{"dropping-particle":"","family":"Walsh","given":"David I.","non-dropping-particle":"","parse-names":false,"suffix":""},{"dropping-particle":"","family":"Bobrow","given":"Johanna","non-dropping-particle":"","parse-names":false,"suffix":""},{"dropping-particle":"","family":"Hamad-Schifferli","given":"Kimberly","non-dropping-particle":"","parse-names":false,"suffix":""},{"dropping-particle":"","family":"Kong","given":"David S.","non-dropping-particle":"","parse-names":false,"suffix":""},{"dropping-particle":"","family":"Thorsen","given":"Todd","non-dropping-particle":"","parse-names":false,"suffix":""},{"dropping-particle":"","family":"Mroszczyk","given":"Keri","non-dropping-particle":"","parse-names":false,"suffix":""},{"dropping-particle":"","family":"Carr","given":"Peter A.","non-dropping-particle":"","parse-names":false,"suffix":""}],"container-title":"ACS Synthetic Biology","id":"ITEM-1","issue":"5","issued":{"date-parts":[["2019","5","17"]]},"page":"1010-1025","publisher":"American Chemical Society","title":"PERSIA for Direct Fluorescence Measurements of Transcription, Translation, and Enzyme Activity in Cell-Free Systems","type":"article-journal","volume":"8"},"uris":["http://www.mendeley.com/documents/?uuid=4df47bd9-92e2-3980-9574-d64f24f52a38"]}],"mendeley":{"formattedCitation":"&lt;sup&gt;213&lt;/sup&gt;","plainTextFormattedCitation":"213","previouslyFormattedCitation":"&lt;sup&gt;213&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213</w:t>
      </w:r>
      <w:r w:rsidRPr="00857C48">
        <w:rPr>
          <w:rFonts w:cs="Arial"/>
          <w:color w:val="000000"/>
          <w:szCs w:val="22"/>
        </w:rPr>
        <w:fldChar w:fldCharType="end"/>
      </w:r>
      <w:r>
        <w:rPr>
          <w:rFonts w:cs="Arial"/>
          <w:color w:val="000000"/>
          <w:szCs w:val="22"/>
        </w:rPr>
        <w:t>.</w:t>
      </w:r>
      <w:r w:rsidRPr="00857C48">
        <w:rPr>
          <w:rFonts w:cs="Arial"/>
          <w:color w:val="000000"/>
          <w:szCs w:val="22"/>
        </w:rPr>
        <w:t xml:space="preserve"> Adapting such reporters for lysate-based systems would have several advantages for NRPS CFE. On top of their relative accessibility and scalability compared to the </w:t>
      </w:r>
      <w:proofErr w:type="spellStart"/>
      <w:r w:rsidRPr="00857C48">
        <w:rPr>
          <w:rFonts w:cs="Arial"/>
          <w:color w:val="000000"/>
          <w:szCs w:val="22"/>
        </w:rPr>
        <w:t>PURExpress</w:t>
      </w:r>
      <w:proofErr w:type="spellEnd"/>
      <w:r w:rsidRPr="00857C48">
        <w:rPr>
          <w:rFonts w:cs="Arial"/>
          <w:color w:val="000000"/>
          <w:szCs w:val="22"/>
        </w:rPr>
        <w:t xml:space="preserve"> platform, lysate-based systems can be derived from strains that </w:t>
      </w:r>
      <w:r w:rsidRPr="00857C48">
        <w:rPr>
          <w:rFonts w:cs="Arial"/>
          <w:color w:val="000000"/>
          <w:szCs w:val="22"/>
        </w:rPr>
        <w:lastRenderedPageBreak/>
        <w:t xml:space="preserve">already possess genetic components necessary for post-translationally modifying NRPSs into their functional </w:t>
      </w:r>
      <w:r w:rsidRPr="00857C48">
        <w:rPr>
          <w:rFonts w:cs="Arial"/>
          <w:i/>
          <w:iCs/>
          <w:color w:val="000000"/>
          <w:szCs w:val="22"/>
        </w:rPr>
        <w:t>holo</w:t>
      </w:r>
      <w:r w:rsidRPr="00857C48">
        <w:rPr>
          <w:rFonts w:cs="Arial"/>
          <w:color w:val="000000"/>
          <w:szCs w:val="22"/>
        </w:rPr>
        <w:t>-forms</w:t>
      </w:r>
      <w:r w:rsidRPr="00857C48">
        <w:rPr>
          <w:rFonts w:cs="Arial"/>
          <w:color w:val="000000"/>
          <w:szCs w:val="22"/>
        </w:rPr>
        <w:fldChar w:fldCharType="begin" w:fldLock="1"/>
      </w:r>
      <w:r w:rsidR="004F3109">
        <w:rPr>
          <w:rFonts w:cs="Arial"/>
          <w:color w:val="000000"/>
          <w:szCs w:val="22"/>
        </w:rPr>
        <w:instrText>ADDIN CSL_CITATION {"citationItems":[{"id":"ITEM-1","itemData":{"DOI":"10.1126/SCIENCE.1058092/SUPPL_FILE/1058092S2_THUMB.GIF","ISSN":"00368075","PMID":"11230695","abstract":"The macrocyclic core of the antibiotic erythromycin, 6-deoxyerythronolide B (6dEB), is a complex natural product synthesized by the soil bacterium Saccharopolyspora erythraea through the action of a multifunctional polyketide synthase (PKS). The engineering potential of modular PKSs is hampered by the limited capabilities for molecular biological manipulation of organisms (principally actinomycetes) in which complex polyketides have thus far been produced. To address this problem, a derivative of Escherichia coli has been genetically engineered. The resulting cellular catalyst converts exogenous propionate into 6dEB with a specific productivity that compares well with a high-producing mutant of S. erythraea that has been incrementally enhanced over decades for the industrial production of erythromycin.","author":[{"dropping-particle":"","family":"Pfeifer","given":"B. A.","non-dropping-particle":"","parse-names":false,"suffix":""},{"dropping-particle":"","family":"Admiraal","given":"S. J.","non-dropping-particle":"","parse-names":false,"suffix":""},{"dropping-particle":"","family":"Gramajo","given":"H.","non-dropping-particle":"","parse-names":false,"suffix":""},{"dropping-particle":"","family":"Cane","given":"D. E.","non-dropping-particle":"","parse-names":false,"suffix":""},{"dropping-particle":"","family":"Khosla","given":"C.","non-dropping-particle":"","parse-names":false,"suffix":""}],"container-title":"Science","id":"ITEM-1","issue":"5509","issued":{"date-parts":[["2001","3","2"]]},"page":"1790-1792","publisher":"American Association for the Advancement of Science","title":"Biosynthesis of complex polyketides in a metabolically engineered strain of E. coli","type":"article-journal","volume":"291"},"uris":["http://www.mendeley.com/documents/?uuid=690e4cbf-d8f8-3ebf-9957-11d32e05d136"]},{"id":"ITEM-2","itemData":{"DOI":"10.1021/ACS.ANALCHEM.7B02555/SUPPL_FILE/AC7B02555_SI_003.XLSX","ISSN":"15206882","PMID":"29039646","abstract":"Cell-free protein synthesis (CFPS) has the potential to produce enzymes, therapeutic agents, and other proteins, while circumventing difficulties associated with in vivo heterologous expression. However, the contents of the cell-free extracts used to carry out synthesis are generally not characterized, which hampers progress toward enhancing yield or functional activity of the target protein. We explored the utility of mass spectrometry (MS)-based proteomics for characterizing the bacterial extracts used for transcribing and translating gene sequences into proteins as well as the products of CFPS reactions. Full proteome experiments identified over 1000 proteins per reaction. The complete set of proteins necessary for transcription and translation were found, demonstrating the ability to define potential metabolic capabilities of the extract. Further, MS-based techniques allowed characterization of the CFPS product and provided insight into the synthesis reaction and potential functional activity of the product. These capabilities were demonstrated using two different CFPS products, the commonly used standard green fluorescent protein (GFP, 27 kDa) and the polyketide synthase DEBS1 (394 kDa). For the large, multidomain DEBS1, substantial premature termination of protein translation was observed. Additionally, MS/MS analysis, as part of a conventional full proteomics workflow, identified post-translational modifications, including the chromophore in GFP, as well as the three phosphopantetheinylation sites in DEBS1. A hypothesis-driven approach focused on these three sites identified that all were correctly modified for DEBS1 expressed in vivo but with less complete coverage for protein expressed in CFPS reactions. These post-translational modifications are essential for functional activity, and the ability to identify them with mass spectrometry is valuable for judging the success of the CFPS reaction. Collectively, the use of MS-based proteomics will prove advantageous for advancing the application of CFPS and related techniques.","author":[{"dropping-particle":"","family":"Hurst","given":"Gregory B.","non-dropping-particle":"","parse-names":false,"suffix":""},{"dropping-particle":"","family":"Asano","given":"Keiji G.","non-dropping-particle":"","parse-names":false,"suffix":""},{"dropping-particle":"","family":"Doktycz","given":"Charles J.","non-dropping-particle":"","parse-names":false,"suffix":""},{"dropping-particle":"","family":"Consoli","given":"Elliot J.","non-dropping-particle":"","parse-names":false,"suffix":""},{"dropping-particle":"","family":"Doktycz","given":"William L.","non-dropping-particle":"","parse-names":false,"suffix":""},{"dropping-particle":"","family":"Foster","given":"Carmen M.","non-dropping-particle":"","parse-names":false,"suffix":""},{"dropping-particle":"","family":"Morrell-Falvey","given":"Jennifer L.","non-dropping-particle":"","parse-names":false,"suffix":""},{"dropping-particle":"","family":"Standaert","given":"Robert F.","non-dropping-particle":"","parse-names":false,"suffix":""},{"dropping-particle":"","family":"Doktycz","given":"Mitchel J.","non-dropping-particle":"","parse-names":false,"suffix":""}],"container-title":"Analytical Chemistry","id":"ITEM-2","issue":"21","issued":{"date-parts":[["2017","11","7"]]},"page":"11443-11451","publisher":"American Chemical Society","title":"Proteomics-Based Tools for Evaluation of Cell-Free Protein Synthesis","type":"article-journal","volume":"89"},"uris":["http://www.mendeley.com/documents/?uuid=1a092bfc-64ef-3ac6-a827-3d0fe37304d5"]}],"mendeley":{"formattedCitation":"&lt;sup&gt;212,214&lt;/sup&gt;","plainTextFormattedCitation":"212,214","previouslyFormattedCitation":"&lt;sup&gt;212,214&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212,214</w:t>
      </w:r>
      <w:r w:rsidRPr="00857C48">
        <w:rPr>
          <w:rFonts w:cs="Arial"/>
          <w:color w:val="000000"/>
          <w:szCs w:val="22"/>
        </w:rPr>
        <w:fldChar w:fldCharType="end"/>
      </w:r>
      <w:r>
        <w:rPr>
          <w:rFonts w:cs="Arial"/>
          <w:color w:val="000000"/>
          <w:szCs w:val="22"/>
        </w:rPr>
        <w:t>.</w:t>
      </w:r>
      <w:r w:rsidRPr="00857C48">
        <w:rPr>
          <w:rFonts w:cs="Arial"/>
          <w:color w:val="000000"/>
          <w:szCs w:val="22"/>
        </w:rPr>
        <w:t xml:space="preserve"> Furthermore, alternate lysate systems have been developed for a range of other hosts including </w:t>
      </w:r>
      <w:r w:rsidRPr="00857C48">
        <w:rPr>
          <w:rFonts w:cs="Arial"/>
          <w:i/>
          <w:iCs/>
          <w:color w:val="000000"/>
          <w:szCs w:val="22"/>
        </w:rPr>
        <w:t>Streptomyces sp</w:t>
      </w:r>
      <w:r>
        <w:rPr>
          <w:rFonts w:cs="Arial"/>
          <w:i/>
          <w:iCs/>
          <w:color w:val="000000"/>
          <w:szCs w:val="22"/>
        </w:rPr>
        <w:t>.</w:t>
      </w:r>
      <w:r w:rsidRPr="00857C48">
        <w:rPr>
          <w:rFonts w:cs="Arial"/>
          <w:i/>
          <w:iCs/>
          <w:color w:val="000000"/>
          <w:szCs w:val="22"/>
        </w:rPr>
        <w:fldChar w:fldCharType="begin" w:fldLock="1"/>
      </w:r>
      <w:r w:rsidR="004F3109">
        <w:rPr>
          <w:rFonts w:cs="Arial"/>
          <w:i/>
          <w:iCs/>
          <w:color w:val="000000"/>
          <w:szCs w:val="22"/>
        </w:rPr>
        <w:instrText xml:space="preserve">ADDIN CSL_CITATION {"citationItems":[{"id":"ITEM-1","itemData":{"DOI":"10.1002/bit.26253","ISSN":"00063592","abstract":"Cell-free protein synthesis (CFPS) has emerged as a powerful platform for applied biotechnology and synthetic biology, with a range of applications in synthesizing proteins, evolving proteins, and prototyping genetic circuits. To expand the current CFPS repertoire, we report here the development and optimization of a Streptomyces-based CFPS system for the expression of GC-rich genes. By developing a streamlined crude extract preparation protocol and optimizing reaction conditions, we were able to achieve active enhanced green fluorescent protein (EGFP) yields of greater than 50 μg/mL with batch reactions lasting up to 3 h. By adopting a semi-continuous reaction format, the EGFP yield could be increased to 282 ± 8 μg/mL and the reaction time was extended to 48 h. Notably, our extract preparation procedures were robust to multiple Streptomyces lividans and Streptomyces coelicolor strains, although expression yields varied. We show that our optimized Streptomyces lividans system provides benefits when compared to an Escherichia coli-based CFPS system for increasing percent soluble protein expression for four Streptomyces-originated high GC-content genes that are involved in biosynthesis of the nonribosomal peptides tambromycin and valinomycin. Looking forward, we believe that our Streptomyces-based CFPS system will contribute significantly towards efforts to express complex natural product gene clusters (e.g., nonribosomal peptides and polyketides), providing a new avenue for obtaining and studying natural product biosynthesis pathways. Biotechnol. Bioeng. 2017;114: 1343–1353. © 2017 Wiley Periodicals, Inc.","author":[{"dropping-particle":"","family":"Li","given":"Jian","non-dropping-particle":"","parse-names":false,"suffix":""},{"dropping-particle":"","family":"Wang","given":"He","non-dropping-particle":"","parse-names":false,"suffix":""},{"dropping-particle":"","family":"Kwon","given":"Yong-Chan","non-dropping-particle":"","parse-names":false,"suffix":""},{"dropping-particle":"","family":"Jewett","given":"Michael C.","non-dropping-particle":"","parse-names":false,"suffix":""}],"container-title":"Biotechnology and Bioengineering","id":"ITEM-1","issue":"6","issued":{"date-parts":[["2017","6","1"]]},"page":"1343-1353","publisher":"John Wiley and Sons Inc.","title":"Establishing a high yielding &lt;i&gt;streptomyces&lt;/i&gt; -based cell-free protein synthesis system","type":"article-journal","volume":"114"},"uris":["http://www.mendeley.com/documents/?uuid=9816dbe5-972b-355c-8935-200192eeb325"]},{"id":"ITEM-2","itemData":{"DOI":"10.1016/J.BEJ.2017.11.013","ISSN":"1369-703X","abstract":"Cell-free protein synthesis (CFPS) has emerged as a powerful approach to recombinant protein biosynthesis for applications in biochemical engineering and synthetic biology. To date, CFPS systems have been most commonly derived from a variety of organism sources including microbes (e.g., Escherichia coli and yeast), plants (e.g., wheat germ and tobacco), and eukaryotic cells (e.g., rabbit reticulocytes and Chinese Hamster Ovary cells), each with their own advantages and opportunities. To expand the palette of CFPS platforms, we recently established a Streptomyces lividans-based cell-free system for the expression, especially, of high GC-content genes that are involved in the biosynthesis of natural products. Unfortunately, batch protein expression yields were limited to </w:instrText>
      </w:r>
      <w:r w:rsidR="004F3109">
        <w:rPr>
          <w:rFonts w:ascii="Cambria Math" w:hAnsi="Cambria Math" w:cs="Cambria Math"/>
          <w:i/>
          <w:iCs/>
          <w:color w:val="000000"/>
          <w:szCs w:val="22"/>
        </w:rPr>
        <w:instrText>∼</w:instrText>
      </w:r>
      <w:r w:rsidR="004F3109">
        <w:rPr>
          <w:rFonts w:cs="Arial"/>
          <w:i/>
          <w:iCs/>
          <w:color w:val="000000"/>
          <w:szCs w:val="22"/>
        </w:rPr>
        <w:instrText>50 μg/mL of a model enhanced green fluorescent protein (EGFP). Here, we sought to address this limitation and improve protein biosynthesis yields. By increasing the total extract protein concentration in the CFPS reaction, which increases the concentration of catalyst proteins available for protein biosynthesis and energy regeneration, and modifying our extract preparation procedure, we enhanced batch protein biosynthesis yields of EGFP more than 2-fold, to 116.9 ± 8.2 μg/mL. Then, we demonstrated that our simple and robust approach could be applied to six other Streptomyces strains. Looking forward, we expect that our more highly productive and efficient Streptomyces CFPS systems can be used to synthesize, study, and discover natural product biosynthesis pathways in vitro.","author":[{"dropping-particle":"","family":"Li","given":"Jian","non-dropping-particle":"","parse-names":false,"suffix":""},{"dropping-particle":"","family":"Wang","given":"He","non-dropping-particle":"","parse-names":false,"suffix":""},{"dropping-particle":"","family":"Jewett","given":"Michael C.","non-dropping-particle":"","parse-names":false,"suffix":""}],"container-title":"Biochemical Engineering Journal","id":"ITEM-2","issued":{"date-parts":[["2018","2","15"]]},"page":"29-33","publisher":"Elsevier","title":"Expanding the palette of Streptomyces-based cell-free protein synthesis systems with enhanced yields","type":"article-journal","volume":"130"},"uris":["http://www.mendeley.com/documents/?uuid=4298be7e-40c3-3547-8a84-a15ed5a48606"]},{"id":"ITEM-3","itemData":{"DOI":"10.1002/BIOT.201600678","ISSN":"1860-7314","PMID":"28139884","abstract":"Streptomyces venezuelae is a promising chassis in synthetic biology for fine chemical and secondary metabolite pathway engineering. The potential of S. venezuelae could be further realized by expanding its capability with the introduction of its own in vitro transcription-translation (TX-TL) system. TX-TL is a fast and expanding technology for bottom-up design of complex gene expression tools, biosensors and protein manufacturing. Herein, we introduce a S. venezuelae TX-TL platform by reporting a streamlined protocol for cell-extract preparation, demonstrating high-yield synthesis of a codon-optimized sfGFP reporter and the prototyping of a synthetic tetracycline-inducible promoter in S. venezuelae TX-TL based on the tetO-TetR repressor system. The aim of this system is to provide a host for the homologous production of exotic enzymes from Actinobacteria secondary metabolism in vitro. As an example, the authors demonstrate the soluble synthesis of a selection of enzymes (12–70 kDa) from the Streptomyces rimosus oxytetracycline pathway.","author":[{"dropping-particle":"","family":"Moore","given":"Simon J.","non-dropping-particle":"","parse-names":false,"suffix":""},{"dropping-particle":"","family":"Lai","given":"Hung En","non-dropping-particle":"","parse-names":false,"suffix":""},{"dropping-particle":"","family":"Needham","given":"Hannah","non-dropping-particle":"","parse-names":false,"suffix":""},{"dropping-particle":"","family":"Polizzi","given":"Karen M.","non-dropping-particle":"","parse-names":false,"suffix":""},{"dropping-particle":"","family":"Freemont","given":"Paul S.","non-dropping-particle":"","parse-names":false,"suffix":""}],"container-title":"Biotechnology journal","id":"ITEM-3","issue":"4","issued":{"date-parts":[["2017","4","1"]]},"publisher":"Biotechnol J","title":"Streptomyces venezuelae TX-TL - a next generation cell-free synthetic biology tool","type":"article-journal","volume":"12"},"uris":["http://www.mendeley.com/documents/?uuid=9d33a6da-d5a3-3132-afb0-0a0090996a20"]},{"id":"ITEM-4","itemData":{"DOI":"10.1021/ACSSYNBIO.0C00581/ASSET/IMAGES/LARGE/SB0C00581_0004.JPEG","ISSN":"21615063","PMID":"33497199","abstract":"Prokaryotic cell-free coupled transcription-translation (TX-TL) systems are emerging as a powerful tool to examine natural product biosynthetic pathways in a test tube. The key advantages of this approach are the reduced experimental time scales and controlled reaction conditions. To realize this potential, it is essential to develop specialized cell-free systems in organisms enriched for biosynthetic gene clusters. This requires strong protein production and well-characterized synthetic biology tools. The Streptomyces genus is a major source of natural products. To study enzymes and pathways from Streptomyces, we originally developed a homologous Streptomyces cell-free system to provide a native protein folding environment, a high G+C (%) tRNA pool, and an active background metabolism. However, our initial yields were low (36 μg/mL) and showed a high level of batch-to-batch variation. Here, we present an updated high-yield and robust Streptomyces TX-TL protocol, reaching up to yields of 266 μg/mL of expressed recombinant protein. To complement this, we rapidly characterize a range of DNA parts with different reporters, express high G+C (%) biosynthetic genes, and demonstrate an initial proof of concept for combined transcription, translation, and biosynthesis of Streptomyces metabolic pathways in a single \"one-pot\"reaction.","author":[{"dropping-particle":"","family":"Moore","given":"Simon J.","non-dropping-particle":"","parse-names":false,"suffix":""},{"dropping-particle":"","family":"Lai","given":"Hung En","non-dropping-particle":"","parse-names":false,"suffix":""},{"dropping-particle":"","family":"Chee","given":"Soo Mei","non-dropping-particle":"","parse-names":false,"suffix":""},{"dropping-particle":"","family":"Toh","given":"Ming","non-dropping-particle":"","parse-names":false,"suffix":""},{"dropping-particle":"","family":"Coode","given":"Seth","non-dropping-particle":"","parse-names":false,"suffix":""},{"dropping-particle":"","family":"Chengan","given":"Kameshwari","non-dropping-particle":"","parse-names":false,"suffix":""},{"dropping-particle":"","family":"Capel","given":"Patrick","non-dropping-particle":"","parse-names":false,"suffix":""},{"dropping-particle":"","family":"Corre","given":"Christophe","non-dropping-particle":"","parse-names":false,"suffix":""},{"dropping-particle":"","family":"Los Santos","given":"Emmanuel L.C.","non-dropping-particle":"De","parse-names":false,"suffix":""},{"dropping-particle":"","family":"Freemont","given":"Paul S.","non-dropping-particle":"","parse-names":false,"suffix":""}],"container-title":"ACS Synthetic Biology","id":"ITEM-4","issue":"2","issued":{"date-parts":[["2021","2","19"]]},"page":"402-411","publisher":"American Chemical Society","title":"A Streptomyces venezuelae Cell-Free Toolkit for Synthetic Biology","type":"article-journal","volume":"10"},"uris":["http://www.mendeley.com/documents/?uuid=c47cd0c9-007f-31c6-b3a6-ceb52202643e"]}],"mendeley":{"formattedCitation":"&lt;sup&gt;215–218&lt;/sup&gt;","plainTextFormattedCitation":"215–218","previouslyFormattedCitation":"&lt;sup&gt;215–218&lt;/sup&gt;"},"properties":{"noteIndex":0},"schema":"https://github.com/citation-style-language/schema/raw/master/csl-citation.json"}</w:instrText>
      </w:r>
      <w:r w:rsidRPr="00857C48">
        <w:rPr>
          <w:rFonts w:cs="Arial"/>
          <w:i/>
          <w:iCs/>
          <w:color w:val="000000"/>
          <w:szCs w:val="22"/>
        </w:rPr>
        <w:fldChar w:fldCharType="separate"/>
      </w:r>
      <w:r w:rsidR="00A91591" w:rsidRPr="00A91591">
        <w:rPr>
          <w:rFonts w:cs="Arial"/>
          <w:iCs/>
          <w:noProof/>
          <w:color w:val="000000"/>
          <w:szCs w:val="22"/>
          <w:vertAlign w:val="superscript"/>
        </w:rPr>
        <w:t>215–218</w:t>
      </w:r>
      <w:r w:rsidRPr="00857C48">
        <w:rPr>
          <w:rFonts w:cs="Arial"/>
          <w:i/>
          <w:iCs/>
          <w:color w:val="000000"/>
          <w:szCs w:val="22"/>
        </w:rPr>
        <w:fldChar w:fldCharType="end"/>
      </w:r>
      <w:r w:rsidRPr="00857C48">
        <w:rPr>
          <w:rFonts w:cs="Arial"/>
          <w:color w:val="000000"/>
          <w:szCs w:val="22"/>
        </w:rPr>
        <w:t xml:space="preserve"> and </w:t>
      </w:r>
      <w:r w:rsidRPr="00857C48">
        <w:rPr>
          <w:rFonts w:cs="Arial"/>
          <w:i/>
          <w:iCs/>
          <w:color w:val="000000"/>
          <w:szCs w:val="22"/>
        </w:rPr>
        <w:t>Bacillus subtilis</w:t>
      </w:r>
      <w:r w:rsidRPr="00857C48">
        <w:rPr>
          <w:rFonts w:cs="Arial"/>
          <w:i/>
          <w:iCs/>
          <w:color w:val="000000"/>
          <w:szCs w:val="22"/>
        </w:rPr>
        <w:fldChar w:fldCharType="begin" w:fldLock="1"/>
      </w:r>
      <w:r w:rsidR="004F3109">
        <w:rPr>
          <w:rFonts w:cs="Arial"/>
          <w:i/>
          <w:iCs/>
          <w:color w:val="000000"/>
          <w:szCs w:val="22"/>
        </w:rPr>
        <w:instrText>ADDIN CSL_CITATION {"citationItems":[{"id":"ITEM-1","itemData":{"DOI":"10.1016/j.ymben.2016.09.008","ISSN":"10967184","abstract":"Cell-free transcription-translation systems were originally applied towards in vitro protein production. More recently, synthetic biology is enabling these systems to be used within a systematic design context for prototyping DNA regulatory elements, genetic logic circuits and biosynthetic pathways. The Gram-positive soil bacterium, Bacillus subtilis, is an established model organism of industrial importance. To this end, we developed several B. subtilis-based cell-free systems. Our improved B. subtilis WB800N-based system was capable of producing 0.8 µM GFP, which gave a ~72x fold-improvement when compared with a B. subtilis 168 cell-free system. Our improved system was applied towards the prototyping of a B. subtilis promoter library in which we engineered several promoters, derived from the wild-type Pgrac (σA) promoter, that display a range of comparable in vitro and in vivo transcriptional activities. Additionally, we demonstrate the cell-free characterisation of an inducible expression system, and the activity of a model enzyme - renilla luciferase.","author":[{"dropping-particle":"","family":"Kelwick","given":"Richard","non-dropping-particle":"","parse-names":false,"suffix":""},{"dropping-particle":"","family":"Webb","given":"Alexander J.","non-dropping-particle":"","parse-names":false,"suffix":""},{"dropping-particle":"","family":"MacDonald","given":"James T.","non-dropping-particle":"","parse-names":false,"suffix":""},{"dropping-particle":"","family":"Freemont","given":"Paul S.","non-dropping-particle":"","parse-names":false,"suffix":""}],"container-title":"Metabolic Engineering","id":"ITEM-1","issued":{"date-parts":[["2016","11","1"]]},"page":"370-381","publisher":"Academic Press Inc.","title":"Development of a Bacillus subtilis cell-free transcription-translation system for prototyping regulatory elements","type":"article-journal","volume":"38"},"uris":["http://www.mendeley.com/documents/?uuid=97eddd5a-4514-3709-b115-0146b400e0d0"]}],"mendeley":{"formattedCitation":"&lt;sup&gt;219&lt;/sup&gt;","plainTextFormattedCitation":"219","previouslyFormattedCitation":"&lt;sup&gt;219&lt;/sup&gt;"},"properties":{"noteIndex":0},"schema":"https://github.com/citation-style-language/schema/raw/master/csl-citation.json"}</w:instrText>
      </w:r>
      <w:r w:rsidRPr="00857C48">
        <w:rPr>
          <w:rFonts w:cs="Arial"/>
          <w:i/>
          <w:iCs/>
          <w:color w:val="000000"/>
          <w:szCs w:val="22"/>
        </w:rPr>
        <w:fldChar w:fldCharType="separate"/>
      </w:r>
      <w:r w:rsidR="00A91591" w:rsidRPr="00A91591">
        <w:rPr>
          <w:rFonts w:cs="Arial"/>
          <w:iCs/>
          <w:noProof/>
          <w:color w:val="000000"/>
          <w:szCs w:val="22"/>
          <w:vertAlign w:val="superscript"/>
        </w:rPr>
        <w:t>219</w:t>
      </w:r>
      <w:r w:rsidRPr="00857C48">
        <w:rPr>
          <w:rFonts w:cs="Arial"/>
          <w:i/>
          <w:iCs/>
          <w:color w:val="000000"/>
          <w:szCs w:val="22"/>
        </w:rPr>
        <w:fldChar w:fldCharType="end"/>
      </w:r>
      <w:r w:rsidRPr="00857C48">
        <w:rPr>
          <w:rFonts w:cs="Arial"/>
          <w:color w:val="000000"/>
          <w:szCs w:val="22"/>
        </w:rPr>
        <w:t>, which are natural producers of industrially relevant NRPSs. Adapting reporters to the cell-free lysates would thus allow for applications in a larger range of transcriptional and translational machineries.</w:t>
      </w:r>
      <w:r w:rsidRPr="00857C48">
        <w:rPr>
          <w:rFonts w:cs="Arial"/>
          <w:i/>
          <w:iCs/>
          <w:color w:val="000000"/>
          <w:szCs w:val="22"/>
        </w:rPr>
        <w:t xml:space="preserve"> </w:t>
      </w:r>
      <w:r w:rsidRPr="00857C48">
        <w:rPr>
          <w:rFonts w:cs="Arial"/>
          <w:color w:val="000000"/>
          <w:szCs w:val="22"/>
        </w:rPr>
        <w:t xml:space="preserve"> </w:t>
      </w:r>
    </w:p>
    <w:p w14:paraId="484101ED" w14:textId="40A3279F" w:rsidR="00857C48" w:rsidRPr="00857C48" w:rsidRDefault="00857C48" w:rsidP="00857C48">
      <w:pPr>
        <w:ind w:firstLine="720"/>
        <w:rPr>
          <w:rFonts w:cs="Arial"/>
          <w:color w:val="000000"/>
          <w:szCs w:val="22"/>
        </w:rPr>
      </w:pPr>
      <w:r w:rsidRPr="00857C48">
        <w:rPr>
          <w:rFonts w:cs="Arial"/>
          <w:color w:val="000000"/>
          <w:szCs w:val="22"/>
        </w:rPr>
        <w:t xml:space="preserve">Here, the TC tag is used to investigate factors that limit full-length NRPS translation and, consequentially, metabolite production in an </w:t>
      </w:r>
      <w:r w:rsidRPr="00857C48">
        <w:rPr>
          <w:rFonts w:cs="Arial"/>
          <w:i/>
          <w:iCs/>
          <w:color w:val="000000"/>
          <w:szCs w:val="22"/>
        </w:rPr>
        <w:t>E. coli</w:t>
      </w:r>
      <w:r w:rsidRPr="00857C48">
        <w:rPr>
          <w:rFonts w:cs="Arial"/>
          <w:color w:val="000000"/>
          <w:szCs w:val="22"/>
        </w:rPr>
        <w:t xml:space="preserve"> lysate-based cell-free system. Specifically, blue pigment synthetase A (</w:t>
      </w:r>
      <w:proofErr w:type="spellStart"/>
      <w:r w:rsidRPr="00857C48">
        <w:rPr>
          <w:rFonts w:cs="Arial"/>
          <w:color w:val="000000"/>
          <w:szCs w:val="22"/>
        </w:rPr>
        <w:t>BpsA</w:t>
      </w:r>
      <w:proofErr w:type="spellEnd"/>
      <w:r w:rsidRPr="00857C48">
        <w:rPr>
          <w:rFonts w:cs="Arial"/>
          <w:color w:val="000000"/>
          <w:szCs w:val="22"/>
        </w:rPr>
        <w:t xml:space="preserve">, ~ 140 </w:t>
      </w:r>
      <w:proofErr w:type="spellStart"/>
      <w:r w:rsidRPr="00857C48">
        <w:rPr>
          <w:rFonts w:cs="Arial"/>
          <w:color w:val="000000"/>
          <w:szCs w:val="22"/>
        </w:rPr>
        <w:t>kDa</w:t>
      </w:r>
      <w:proofErr w:type="spellEnd"/>
      <w:r w:rsidRPr="00857C48">
        <w:rPr>
          <w:rFonts w:cs="Arial"/>
          <w:color w:val="000000"/>
          <w:szCs w:val="22"/>
        </w:rPr>
        <w:t xml:space="preserve">), a model NRPS, with a terminal TC tag is expressed in </w:t>
      </w:r>
      <w:r w:rsidRPr="00857C48">
        <w:rPr>
          <w:rFonts w:cs="Arial"/>
          <w:i/>
          <w:iCs/>
          <w:color w:val="000000"/>
          <w:szCs w:val="22"/>
        </w:rPr>
        <w:t xml:space="preserve">E. coli </w:t>
      </w:r>
      <w:r w:rsidRPr="00857C48">
        <w:rPr>
          <w:rFonts w:cs="Arial"/>
          <w:color w:val="000000"/>
          <w:szCs w:val="22"/>
        </w:rPr>
        <w:t>lysate reactions</w:t>
      </w:r>
      <w:r w:rsidRPr="00857C48">
        <w:rPr>
          <w:rFonts w:cs="Arial"/>
          <w:color w:val="000000"/>
          <w:szCs w:val="22"/>
        </w:rPr>
        <w:fldChar w:fldCharType="begin" w:fldLock="1"/>
      </w:r>
      <w:r w:rsidR="004F3109">
        <w:rPr>
          <w:rFonts w:cs="Arial"/>
          <w:color w:val="000000"/>
          <w:szCs w:val="22"/>
        </w:rPr>
        <w:instrText>ADDIN CSL_CITATION {"citationItems":[{"id":"ITEM-1","itemData":{"DOI":"10.1021/JACS.0C04328/SUPPL_FILE/JA0C04328_SI_002.PDB","ISSN":"15205126","PMID":"32510939","abstract":"Nonribosomal peptide synthetase (NRPS) oxidase (Ox) domains oxidize protein-bound intermediates to install crucial structural motifs in bioactive natural products. The mechanism of this domain remains elusive. Here, by studying indigoidine synthetase, a single-module NRPS involved in the biosynthesis of indigoidine and several other bacterial secondary metabolites, we demonstrate that its Ox domain utilizes an active-site base residue, tyrosine 665, to deprotonate a protein-bound l-glutaminyl residue. We further validate the generality of this active-site residue among NRPS Ox domains. These findings not only resolve the biosynthetic pathway mediated by indigoidine synthetase but enable mechanistic insight into NRPS Ox domains.","author":[{"dropping-particle":"","family":"Pang","given":"Bo","non-dropping-particle":"","parse-names":false,"suffix":""},{"dropping-particle":"","family":"Pang","given":"Bo","non-dropping-particle":"","parse-names":false,"suffix":""},{"dropping-particle":"","family":"Pang","given":"Bo","non-dropping-particle":"","parse-names":false,"suffix":""},{"dropping-particle":"","family":"Chen","given":"Yan","non-dropping-particle":"","parse-names":false,"suffix":""},{"dropping-particle":"","family":"Chen","given":"Yan","non-dropping-particle":"","parse-names":false,"suffix":""},{"dropping-particle":"","family":"Gan","given":"Fei","non-dropping-particle":"","parse-names":false,"suffix":""},{"dropping-particle":"","family":"Gan","given":"Fei","non-dropping-particle":"","parse-names":false,"suffix":""},{"dropping-particle":"","family":"Gan","given":"Fei","non-dropping-particle":"","parse-names":false,"suffix":""},{"dropping-particle":"","family":"Yan","given":"Chunsheng","non-dropping-particle":"","parse-names":false,"suffix":""},{"dropping-particle":"","family":"Jin","given":"Liyuan","non-dropping-particle":"","parse-names":false,"suffix":""},{"dropping-particle":"","family":"Gin","given":"Jennifer W.","non-dropping-particle":"","parse-names":false,"suffix":""},{"dropping-particle":"","family":"Gin","given":"Jennifer W.","non-dropping-particle":"","parse-names":false,"suffix":""},{"dropping-particle":"","family":"Petzold","given":"Christopher J.","non-dropping-particle":"","parse-names":false,"suffix":""},{"dropping-particle":"","family":"Petzold","given":"Christopher J.","non-dropping-particle":"","parse-names":false,"suffix":""},{"dropping-particle":"","family":"Keasling","given":"Jay D.","non-dropping-particle":"","parse-names":false,"suffix":""},{"dropping-particle":"","family":"Keasling","given":"Jay D.","non-dropping-particle":"","parse-names":false,"suffix":""},{"dropping-particle":"","family":"Keasling","given":"Jay D.","non-dropping-particle":"","parse-names":false,"suffix":""},{"dropping-particle":"","family":"Keasling","given":"Jay D.","non-dropping-particle":"","parse-names":false,"suffix":""},{"dropping-particle":"","family":"Keasling","given":"Jay D.","non-dropping-particle":"","parse-names":false,"suffix":""},{"dropping-particle":"","family":"Keasling","given":"Jay D.","non-dropping-particle":"","parse-names":false,"suffix":""}],"container-title":"Journal of the American Chemical Society","id":"ITEM-1","issue":"25","issued":{"date-parts":[["2020","6","24"]]},"page":"10931-10935","publisher":"American Chemical Society","title":"Investigation of Indigoidine Synthetase Reveals a Conserved Active-Site Base Residue of Nonribosomal Peptide Synthetase Oxidases","type":"article-journal","volume":"142"},"uris":["http://www.mendeley.com/documents/?uuid=39d6e815-643e-3278-9267-0113a829d8c7"]},{"id":"ITEM-2","itemData":{"DOI":"10.1042/BJ20110321","ISSN":"02646021","abstract":"PPTases (phosphopantetheinyl transferases) are of great interest owing to their essential roles in activating fatty acid, polyketide and non-ribosomal peptide synthetase enzymes for both primary and secondary metabolism, as well as an increasing number of biotechnological applications. However, existing techniques for PPTase characterization and development are cumbersome and technically challenging. To address this, we have developed the indigoidine-synthesizing non-ribosomal peptide synthetase BpsA as a reporter for PPTase activity. Simple co-transformation allows rapid assessment of the ability of a PPTase candidate to activate BpsA in vivo. Kinetic parameters with respect to either CoA or BpsA as variable substrate can then be derived in vitro by continuously measuring the rate of indigoidine synthesis as the PPTase progressively converts BpsA from its apo into holo form. Subsequently, a competition assay, in which BpsA and purified carrier proteins compete for a limited pool of CoA, enables elucidation of kinetic parameters for a PPTase with those carrier proteins. We used this system to conduct a rapid characterization of three different PPTase enzymes: Sfp of Bacillus subtilis A.T.C.C.6633, PcpS of Pseudomonas aeruginosa PAO1, and the putative PPTase PP1183 of Ps. putida KT2440. We also demonstrate the utility of this system for discovery and characterization of PPTase inhibitors. © The Authors Journal compilation © 2011 Biochemical Society.","author":[{"dropping-particle":"","family":"Owen","given":"Jeremy G.","non-dropping-particle":"","parse-names":false,"suffix":""},{"dropping-particle":"","family":"Copp","given":"Janine N.","non-dropping-particle":"","parse-names":false,"suffix":""},{"dropping-particle":"","family":"Ackerley","given":"David F.","non-dropping-particle":"","parse-names":false,"suffix":""}],"container-title":"Biochemical Journal","id":"ITEM-2","issue":"3","issued":{"date-parts":[["2011","6","15"]]},"page":"709-717","publisher":"Portland Press","title":"Rapid and flexible biochemical assays for evaluating 4′- phosphopantetheinyl transferase activity","type":"article-journal","volume":"436"},"uris":["http://www.mendeley.com/documents/?uuid=c70e94c8-f14e-33d7-94e5-836965bc77a6"]},{"id":"ITEM-3","itemData":{"DOI":"10.1016/J.CHEMBIOL.2016.09.014","ISSN":"2451-9456","PMID":"27984027","abstract":"Non-ribosomal peptide synthetases (NRPSs) are modular enzymatic assembly lines where substrates and intermediates undergo rounds of transformation catalyzed by adenylation (A), condensation (C), and thioesterase (TE) domains. Central to the NRPS biosynthesis are peptidyl carrier protein (PCP) domains, small, catalytically inactive domains that shuttle substrates and intermediates between the catalytic modules and govern product release from TE domains. There is strong interest in recombination of NRPS systems to generate new chemical entities. However, the intrinsic complexity of these systems has been a major challenge. Here, we employ domain substitution and random mutagenesis to recapitulate NRPS evolution, focusing on PCP domains. Using NRPS model systems that produce two different pigmented molecules, pyoverdine and indigoidine, we found that only evolutionarily specialized recombinant PCP domains could interact effectively with the native TE domain for product release. Overall, we highlight that substituted PCP domains require very minor changes to result in functional NRPSs, and infer that positive selection pressure may improve recombinant NRPS outcomes.","author":[{"dropping-particle":"","family":"Owen","given":"Jeremy G.","non-dropping-particle":"","parse-names":false,"suffix":""},{"dropping-particle":"","family":"Calcott","given":"Mark J.","non-dropping-particle":"","parse-names":false,"suffix":""},{"dropping-particle":"","family":"Robins","given":"Katherine J.","non-dropping-particle":"","parse-names":false,"suffix":""},{"dropping-particle":"","family":"Ackerley","given":"David F.","non-dropping-particle":"","parse-names":false,"suffix":""}],"container-title":"Cell Chemical Biology","id":"ITEM-3","issue":"11","issued":{"date-parts":[["2016","11","17"]]},"page":"1395-1406","publisher":"Cell Press","title":"Generating Functional Recombinant NRPS Enzymes in the Laboratory Setting via Peptidyl Carrier Protein Engineering","type":"article-journal","volume":"23"},"uris":["http://www.mendeley.com/documents/?uuid=eb43126d-4f90-3507-8b40-61d3c65ec6f6"]}],"mendeley":{"formattedCitation":"&lt;sup&gt;220–222&lt;/sup&gt;","plainTextFormattedCitation":"220–222","previouslyFormattedCitation":"&lt;sup&gt;220–222&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220–222</w:t>
      </w:r>
      <w:r w:rsidRPr="00857C48">
        <w:rPr>
          <w:rFonts w:cs="Arial"/>
          <w:color w:val="000000"/>
          <w:szCs w:val="22"/>
        </w:rPr>
        <w:fldChar w:fldCharType="end"/>
      </w:r>
      <w:r>
        <w:rPr>
          <w:rFonts w:cs="Arial"/>
          <w:color w:val="000000"/>
          <w:szCs w:val="22"/>
        </w:rPr>
        <w:t>.</w:t>
      </w:r>
      <w:r w:rsidRPr="00857C48">
        <w:rPr>
          <w:rFonts w:cs="Arial"/>
          <w:color w:val="000000"/>
          <w:szCs w:val="22"/>
        </w:rPr>
        <w:t xml:space="preserve"> Based on measurements of </w:t>
      </w:r>
      <w:proofErr w:type="spellStart"/>
      <w:r w:rsidRPr="00857C48">
        <w:rPr>
          <w:rFonts w:cs="Arial"/>
          <w:color w:val="000000"/>
          <w:szCs w:val="22"/>
        </w:rPr>
        <w:t>BpsA’s</w:t>
      </w:r>
      <w:proofErr w:type="spellEnd"/>
      <w:r w:rsidRPr="00857C48">
        <w:rPr>
          <w:rFonts w:cs="Arial"/>
          <w:color w:val="000000"/>
          <w:szCs w:val="22"/>
        </w:rPr>
        <w:t xml:space="preserve"> optically detectable pigment product, the cell-free expressed TC-tagged NRPS is functional in lysates. Furthermore, full-length expression of the tagged protein is detectable in backgrounds supplemented with </w:t>
      </w:r>
      <w:proofErr w:type="spellStart"/>
      <w:r w:rsidRPr="00857C48">
        <w:rPr>
          <w:rFonts w:cs="Arial"/>
          <w:color w:val="000000"/>
          <w:szCs w:val="22"/>
        </w:rPr>
        <w:t>FlAsH</w:t>
      </w:r>
      <w:proofErr w:type="spellEnd"/>
      <w:r w:rsidRPr="00857C48">
        <w:rPr>
          <w:rFonts w:cs="Arial"/>
          <w:color w:val="000000"/>
          <w:szCs w:val="22"/>
        </w:rPr>
        <w:t>, a fluorogenic biarsenical dye which emits fluorescent signals when bound to the TC tag</w:t>
      </w:r>
      <w:r w:rsidRPr="00857C48">
        <w:rPr>
          <w:rFonts w:cs="Arial"/>
          <w:color w:val="000000"/>
          <w:szCs w:val="22"/>
        </w:rPr>
        <w:fldChar w:fldCharType="begin" w:fldLock="1"/>
      </w:r>
      <w:r w:rsidR="004F3109">
        <w:rPr>
          <w:rFonts w:cs="Arial"/>
          <w:color w:val="000000"/>
          <w:szCs w:val="22"/>
        </w:rPr>
        <w:instrText>ADDIN CSL_CITATION {"citationItems":[{"id":"ITEM-1","itemData":{"DOI":"10.1038/nprot.2010.129","ISSN":"1750-2799","PMID":"20885379","abstract":"In this paper, we provide a general protocol for labeling proteins with the membrane-permeant fluorogenic biarsenical dye fluorescein arsenical hairpin binder–ethanedithiol (FlAsH-EDT2). Generation of the tetracysteine-tagged protein construct by itself is not described, as this is a protein-specific process. This method allows site-selective labeling of proteins in living cells and has been applied to a wide variety of proteins and biological problems. We provide here a generally applicable labeling procedure and discuss the problems that can occur as well as general considerations that must be taken into account when designing and implementing the procedure. The method can even be applied to proteins with expression below 1 pmol mg−1 of protein, such as G protein–coupled receptors, and it can be used to study the intracellular localization of proteins as well as functional interactions in fluorescence resonance energy transfer experiments. The labeling procedure using FlAsH-EDT2 as described takes 2–3 h, depending on the number of samples to be processed.","author":[{"dropping-particle":"","family":"Hoffmann","given":"Carsten","non-dropping-particle":"","parse-names":false,"suffix":""},{"dropping-particle":"","family":"Gaietta","given":"Guido","non-dropping-particle":"","parse-names":false,"suffix":""},{"dropping-particle":"","family":"Zürn","given":"Alexander","non-dropping-particle":"","parse-names":false,"suffix":""},{"dropping-particle":"","family":"Adams","given":"Stephen R.","non-dropping-particle":"","parse-names":false,"suffix":""},{"dropping-particle":"","family":"Terrillon","given":"Sonia","non-dropping-particle":"","parse-names":false,"suffix":""},{"dropping-particle":"","family":"Ellisman","given":"Mark H.","non-dropping-particle":"","parse-names":false,"suffix":""},{"dropping-particle":"","family":"Tsien","given":"Roger Y.","non-dropping-particle":"","parse-names":false,"suffix":""},{"dropping-particle":"","family":"Lohse","given":"Martin J.","non-dropping-particle":"","parse-names":false,"suffix":""}],"container-title":"Nature Protocols 2010 5:10","id":"ITEM-1","issue":"10","issued":{"date-parts":[["2010","9","23"]]},"page":"1666-1677","publisher":"Nature Publishing Group","title":"Fluorescent labeling of tetracysteine-tagged proteins in intact cells","type":"article-journal","volume":"5"},"uris":["http://www.mendeley.com/documents/?uuid=e5b0cfc4-ee3c-3625-b659-065693b783db"]}],"mendeley":{"formattedCitation":"&lt;sup&gt;223&lt;/sup&gt;","plainTextFormattedCitation":"223","previouslyFormattedCitation":"&lt;sup&gt;223&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223</w:t>
      </w:r>
      <w:r w:rsidRPr="00857C48">
        <w:rPr>
          <w:rFonts w:cs="Arial"/>
          <w:color w:val="000000"/>
          <w:szCs w:val="22"/>
        </w:rPr>
        <w:fldChar w:fldCharType="end"/>
      </w:r>
      <w:r>
        <w:rPr>
          <w:rFonts w:cs="Arial"/>
          <w:color w:val="000000"/>
          <w:szCs w:val="22"/>
        </w:rPr>
        <w:t>.</w:t>
      </w:r>
      <w:r w:rsidRPr="00857C48">
        <w:rPr>
          <w:rFonts w:cs="Arial"/>
          <w:color w:val="000000"/>
          <w:szCs w:val="22"/>
        </w:rPr>
        <w:t xml:space="preserve"> The TC/</w:t>
      </w:r>
      <w:proofErr w:type="spellStart"/>
      <w:r w:rsidRPr="00857C48">
        <w:rPr>
          <w:rFonts w:cs="Arial"/>
          <w:color w:val="000000"/>
          <w:szCs w:val="22"/>
        </w:rPr>
        <w:t>FlAsH</w:t>
      </w:r>
      <w:proofErr w:type="spellEnd"/>
      <w:r w:rsidRPr="00857C48">
        <w:rPr>
          <w:rFonts w:cs="Arial"/>
          <w:color w:val="000000"/>
          <w:szCs w:val="22"/>
        </w:rPr>
        <w:t xml:space="preserve"> reporter system can be used to sample the relative expression of full-length </w:t>
      </w:r>
      <w:proofErr w:type="spellStart"/>
      <w:r w:rsidRPr="00857C48">
        <w:rPr>
          <w:rFonts w:cs="Arial"/>
          <w:color w:val="000000"/>
          <w:szCs w:val="22"/>
        </w:rPr>
        <w:t>BpsA</w:t>
      </w:r>
      <w:proofErr w:type="spellEnd"/>
      <w:r w:rsidRPr="00857C48">
        <w:rPr>
          <w:rFonts w:cs="Arial"/>
          <w:color w:val="000000"/>
          <w:szCs w:val="22"/>
        </w:rPr>
        <w:t xml:space="preserve"> under different concentrations of PEP, magnesium, and amino acids, and to investigate how the NRPS’s catalytic A domain competes against the lysate TX/TL machinery for these resources. Furthermore, conditions defined to improve </w:t>
      </w:r>
      <w:proofErr w:type="spellStart"/>
      <w:r w:rsidRPr="00857C48">
        <w:rPr>
          <w:rFonts w:cs="Arial"/>
          <w:color w:val="000000"/>
          <w:szCs w:val="22"/>
        </w:rPr>
        <w:t>BpsA</w:t>
      </w:r>
      <w:proofErr w:type="spellEnd"/>
      <w:r w:rsidRPr="00857C48">
        <w:rPr>
          <w:rFonts w:cs="Arial"/>
          <w:color w:val="000000"/>
          <w:szCs w:val="22"/>
        </w:rPr>
        <w:t xml:space="preserve"> synthesis based on TC-</w:t>
      </w:r>
      <w:proofErr w:type="spellStart"/>
      <w:r w:rsidRPr="00857C48">
        <w:rPr>
          <w:rFonts w:cs="Arial"/>
          <w:color w:val="000000"/>
          <w:szCs w:val="22"/>
        </w:rPr>
        <w:t>FlAsH</w:t>
      </w:r>
      <w:proofErr w:type="spellEnd"/>
      <w:r w:rsidRPr="00857C48">
        <w:rPr>
          <w:rFonts w:cs="Arial"/>
          <w:color w:val="000000"/>
          <w:szCs w:val="22"/>
        </w:rPr>
        <w:t xml:space="preserve"> measurements also increase </w:t>
      </w:r>
      <w:proofErr w:type="spellStart"/>
      <w:r w:rsidRPr="00857C48">
        <w:rPr>
          <w:rFonts w:cs="Arial"/>
          <w:color w:val="000000"/>
          <w:szCs w:val="22"/>
        </w:rPr>
        <w:t>BpsA</w:t>
      </w:r>
      <w:proofErr w:type="spellEnd"/>
      <w:r w:rsidRPr="00857C48">
        <w:rPr>
          <w:rFonts w:cs="Arial"/>
          <w:color w:val="000000"/>
          <w:szCs w:val="22"/>
        </w:rPr>
        <w:t xml:space="preserve"> activity, as suggested by improved pigment production. TC tag technology therefore can be leveraged as a strategy for quickly investigating and optimizing the lysate-based CFE of functional, full-length enzyme complexes like an NRPS</w:t>
      </w:r>
      <w:r w:rsidRPr="00857C48">
        <w:rPr>
          <w:rFonts w:cs="Arial"/>
          <w:color w:val="000000"/>
          <w:szCs w:val="22"/>
        </w:rPr>
        <w:fldChar w:fldCharType="begin" w:fldLock="1"/>
      </w:r>
      <w:r w:rsidR="004F3109">
        <w:rPr>
          <w:rFonts w:cs="Arial"/>
          <w:color w:val="000000"/>
          <w:szCs w:val="22"/>
        </w:rPr>
        <w:instrText>ADDIN CSL_CITATION {"citationItems":[{"id":"ITEM-1","itemData":{"DOI":"10.1021/ACSSYNBIO.8B00450/SUPPL_FILE/SB8B00450_SI_001.PDF","ISSN":"21615063","PMID":"30920800","abstract":"Quantification of biology's central dogma (transcription and translation) is pursued by a variety of methods. Direct, immediate, and ongoing quantification of these events is difficult to achieve. Common practice is to use fluorescent or luminescent proteins to report indirectly on prior cellular events, such as turning on a gene in a genetic circuit. We present an alternative approach, PURExpress-ReAsH-Spinach In-vitro Analysis (PERSIA). PERSIA provides information on the production of RNA and protein during cell-free reactions by employing short RNA and peptide tags. Upon synthesis, these tags yield quantifiable fluorescent signal without interfering with other biochemical events. We demonstrate the applicability of PERSIA in measuring cell-free transcription, translation, and other enzymatic activity in a variety of applications: from sequence-structure-function studies, to genetic code engineering, to testing antiviral drug resistance.","author":[{"dropping-particle":"","family":"Wick","given":"Scott","non-dropping-particle":"","parse-names":false,"suffix":""},{"dropping-particle":"","family":"Walsh","given":"David I.","non-dropping-particle":"","parse-names":false,"suffix":""},{"dropping-particle":"","family":"Bobrow","given":"Johanna","non-dropping-particle":"","parse-names":false,"suffix":""},{"dropping-particle":"","family":"Hamad-Schifferli","given":"Kimberly","non-dropping-particle":"","parse-names":false,"suffix":""},{"dropping-particle":"","family":"Kong","given":"David S.","non-dropping-particle":"","parse-names":false,"suffix":""},{"dropping-particle":"","family":"Thorsen","given":"Todd","non-dropping-particle":"","parse-names":false,"suffix":""},{"dropping-particle":"","family":"Mroszczyk","given":"Keri","non-dropping-particle":"","parse-names":false,"suffix":""},{"dropping-particle":"","family":"Carr","given":"Peter A.","non-dropping-particle":"","parse-names":false,"suffix":""}],"container-title":"ACS Synthetic Biology","id":"ITEM-1","issue":"5","issued":{"date-parts":[["2019","5","17"]]},"page":"1010-1025","publisher":"American Chemical Society","title":"PERSIA for Direct Fluorescence Measurements of Transcription, Translation, and Enzyme Activity in Cell-Free Systems","type":"article-journal","volume":"8"},"uris":["http://www.mendeley.com/documents/?uuid=4df47bd9-92e2-3980-9574-d64f24f52a38"]}],"mendeley":{"formattedCitation":"&lt;sup&gt;213&lt;/sup&gt;","plainTextFormattedCitation":"213","previouslyFormattedCitation":"&lt;sup&gt;213&lt;/sup&gt;"},"properties":{"noteIndex":0},"schema":"https://github.com/citation-style-language/schema/raw/master/csl-citation.json"}</w:instrText>
      </w:r>
      <w:r w:rsidRPr="00857C48">
        <w:rPr>
          <w:rFonts w:cs="Arial"/>
          <w:color w:val="000000"/>
          <w:szCs w:val="22"/>
        </w:rPr>
        <w:fldChar w:fldCharType="separate"/>
      </w:r>
      <w:r w:rsidR="00A91591" w:rsidRPr="00A91591">
        <w:rPr>
          <w:rFonts w:cs="Arial"/>
          <w:noProof/>
          <w:color w:val="000000"/>
          <w:szCs w:val="22"/>
          <w:vertAlign w:val="superscript"/>
        </w:rPr>
        <w:t>213</w:t>
      </w:r>
      <w:r w:rsidRPr="00857C48">
        <w:rPr>
          <w:rFonts w:cs="Arial"/>
          <w:color w:val="000000"/>
          <w:szCs w:val="22"/>
        </w:rPr>
        <w:fldChar w:fldCharType="end"/>
      </w:r>
      <w:r>
        <w:rPr>
          <w:rFonts w:cs="Arial"/>
          <w:color w:val="000000"/>
          <w:szCs w:val="22"/>
        </w:rPr>
        <w:t>.</w:t>
      </w:r>
    </w:p>
    <w:p w14:paraId="20AA5908" w14:textId="77777777" w:rsidR="00A90B05" w:rsidRDefault="00A90B05" w:rsidP="00A90B05">
      <w:pPr>
        <w:rPr>
          <w:rFonts w:cs="Arial"/>
          <w:color w:val="000000"/>
          <w:szCs w:val="22"/>
        </w:rPr>
      </w:pPr>
    </w:p>
    <w:p w14:paraId="459B37B2" w14:textId="77777777" w:rsidR="00A90B05" w:rsidRPr="00E033D4" w:rsidRDefault="00857C48" w:rsidP="00E033D4">
      <w:pPr>
        <w:pStyle w:val="ChapterHeading"/>
      </w:pPr>
      <w:bookmarkStart w:id="118" w:name="_Toc129701058"/>
      <w:r w:rsidRPr="00E033D4">
        <w:t>5.3. Methods</w:t>
      </w:r>
      <w:bookmarkEnd w:id="118"/>
    </w:p>
    <w:p w14:paraId="7E48C564" w14:textId="4FA9F14F" w:rsidR="00857C48" w:rsidRPr="00A90B05" w:rsidRDefault="00857C48" w:rsidP="00E033D4">
      <w:pPr>
        <w:pStyle w:val="ChapterSub-heading"/>
        <w:rPr>
          <w:color w:val="000000"/>
          <w:sz w:val="28"/>
          <w:szCs w:val="28"/>
        </w:rPr>
      </w:pPr>
      <w:bookmarkStart w:id="119" w:name="_Toc129701059"/>
      <w:r>
        <w:t xml:space="preserve">5.3.1. </w:t>
      </w:r>
      <w:r w:rsidRPr="00857C48">
        <w:t>Strains and plasmids</w:t>
      </w:r>
      <w:bookmarkEnd w:id="119"/>
    </w:p>
    <w:p w14:paraId="4B1E52F3" w14:textId="6E192D8A" w:rsidR="00857C48" w:rsidRPr="00857C48" w:rsidRDefault="00857C48" w:rsidP="00857C48">
      <w:pPr>
        <w:ind w:firstLine="720"/>
        <w:rPr>
          <w:rFonts w:eastAsia="Times New Roman" w:cs="Arial"/>
          <w:color w:val="000000"/>
          <w:szCs w:val="22"/>
        </w:rPr>
      </w:pPr>
      <w:r w:rsidRPr="00857C48">
        <w:rPr>
          <w:rFonts w:eastAsia="Times New Roman" w:cs="Arial"/>
          <w:i/>
          <w:iCs/>
          <w:color w:val="000000"/>
          <w:szCs w:val="22"/>
        </w:rPr>
        <w:t>E. coli </w:t>
      </w:r>
      <w:r w:rsidRPr="00857C48">
        <w:rPr>
          <w:rFonts w:eastAsia="Times New Roman" w:cs="Arial"/>
          <w:color w:val="000000"/>
          <w:szCs w:val="22"/>
        </w:rPr>
        <w:t>BL21 (DE3) was purchased from VWR (Radnor, Pennsylvania, USA). </w:t>
      </w:r>
      <w:r w:rsidRPr="00857C48">
        <w:rPr>
          <w:rFonts w:eastAsia="Times New Roman" w:cs="Arial"/>
          <w:i/>
          <w:iCs/>
          <w:color w:val="000000"/>
          <w:szCs w:val="22"/>
        </w:rPr>
        <w:t>E. coli </w:t>
      </w:r>
      <w:r w:rsidRPr="00857C48">
        <w:rPr>
          <w:rFonts w:eastAsia="Times New Roman" w:cs="Arial"/>
          <w:color w:val="000000"/>
          <w:szCs w:val="22"/>
        </w:rPr>
        <w:t>BAP1 was generously provided by Prof. Christopher Boddy</w:t>
      </w:r>
      <w:r w:rsidRPr="00857C48">
        <w:rPr>
          <w:rFonts w:eastAsia="Times New Roman" w:cs="Arial"/>
          <w:b/>
          <w:bCs/>
          <w:color w:val="000000"/>
          <w:szCs w:val="22"/>
        </w:rPr>
        <w:t> (</w:t>
      </w:r>
      <w:r w:rsidRPr="00857C48">
        <w:rPr>
          <w:rFonts w:eastAsia="Times New Roman" w:cs="Arial"/>
          <w:color w:val="000000"/>
          <w:spacing w:val="4"/>
          <w:szCs w:val="22"/>
        </w:rPr>
        <w:t>University of Ottawa, Ottawa, Canada) and has been described previously</w:t>
      </w:r>
      <w:r w:rsidRPr="00857C48">
        <w:rPr>
          <w:rFonts w:cs="Arial"/>
          <w:color w:val="000000" w:themeColor="text1"/>
          <w:spacing w:val="4"/>
          <w:szCs w:val="22"/>
          <w:shd w:val="clear" w:color="auto" w:fill="FFFFFF"/>
        </w:rPr>
        <w:fldChar w:fldCharType="begin" w:fldLock="1"/>
      </w:r>
      <w:r w:rsidR="004F3109">
        <w:rPr>
          <w:rFonts w:cs="Arial"/>
          <w:color w:val="000000" w:themeColor="text1"/>
          <w:spacing w:val="4"/>
          <w:szCs w:val="22"/>
          <w:shd w:val="clear" w:color="auto" w:fill="FFFFFF"/>
        </w:rPr>
        <w:instrText>ADDIN CSL_CITATION {"citationItems":[{"id":"ITEM-1","itemData":{"DOI":"10.1126/SCIENCE.1058092/SUPPL_FILE/1058092S2_THUMB.GIF","ISSN":"00368075","PMID":"11230695","abstract":"The macrocyclic core of the antibiotic erythromycin, 6-deoxyerythronolide B (6dEB), is a complex natural product synthesized by the soil bacterium Saccharopolyspora erythraea through the action of a multifunctional polyketide synthase (PKS). The engineering potential of modular PKSs is hampered by the limited capabilities for molecular biological manipulation of organisms (principally actinomycetes) in which complex polyketides have thus far been produced. To address this problem, a derivative of Escherichia coli has been genetically engineered. The resulting cellular catalyst converts exogenous propionate into 6dEB with a specific productivity that compares well with a high-producing mutant of S. erythraea that has been incrementally enhanced over decades for the industrial production of erythromycin.","author":[{"dropping-particle":"","family":"Pfeifer","given":"B. A.","non-dropping-particle":"","parse-names":false,"suffix":""},{"dropping-particle":"","family":"Admiraal","given":"S. J.","non-dropping-particle":"","parse-names":false,"suffix":""},{"dropping-particle":"","family":"Gramajo","given":"H.","non-dropping-particle":"","parse-names":false,"suffix":""},{"dropping-particle":"","family":"Cane","given":"D. E.","non-dropping-particle":"","parse-names":false,"suffix":""},{"dropping-particle":"","family":"Khosla","given":"C.","non-dropping-particle":"","parse-names":false,"suffix":""}],"container-title":"Science","id":"ITEM-1","issue":"5509","issued":{"date-parts":[["2001","3","2"]]},"page":"1790-1792","publisher":"American Association for the Advancement of Science","title":"Biosynthesis of complex polyketides in a metabolically engineered strain of E. coli","type":"article-journal","volume":"291"},"uris":["http://www.mendeley.com/documents/?uuid=690e4cbf-d8f8-3ebf-9957-11d32e05d136"]},{"id":"ITEM-2","itemData":{"DOI":"10.1371/JOURNAL.PONE.0064858","ISSN":"19326203","PMID":"23724102","abstract":"Background:Heterologous expression of bacterial biosynthetic gene clusters is currently an indispensable tool for characterizing biosynthetic pathways. Development of an effective, general heterologous expression system that can be applied to bioprospecting from metagenomic DNA will enable the discovery of a wealth of new natural products.Methodology:We have developed a new Escherichia coli-based heterologous expression system for polyketide biosynthetic gene clusters. We have demonstrated the over-expression of the alternative sigma factor σ54 directly and positively regulates heterologous expression of the oxytetracycline biosynthetic gene cluster in E. coli. Bioinformatics analysis indicates that σ54 promoters are present in nearly 70% of polyketide and non-ribosomal peptide biosynthetic pathways.Conclusions:We have demonstrated a new mechanism for heterologous expression of the oxytetracycline polyketide biosynthetic pathway, where high-level pleiotropic sigma factors from the heterologous host directly and positively regulate transcription of the non-native biosynthetic gene cluster. Our bioinformatics analysis is consistent with the hypothesis that heterologous expression mediated by the alternative sigma factor σ54 may be a viable method for the production of additional polyketide products. © 2013 Stevens et al.","author":[{"dropping-particle":"","family":"Stevens","given":"David Cole","non-dropping-particle":"","parse-names":false,"suffix":""},{"dropping-particle":"","family":"Conway","given":"Kyle R.","non-dropping-particle":"","parse-names":false,"suffix":""},{"dropping-particle":"","family":"Pearce","given":"Nelson","non-dropping-particle":"","parse-names":false,"suffix":""},{"dropping-particle":"","family":"Villegas-Peñaranda","given":"Luis Roberto","non-dropping-particle":"","parse-names":false,"suffix":""},{"dropping-particle":"","family":"Garza","given":"Anthony G.","non-dropping-particle":"","parse-names":false,"suffix":""},{"dropping-particle":"","family":"Boddy","given":"Christopher N.","non-dropping-particle":"","parse-names":false,"suffix":""}],"container-title":"PLoS ONE","id":"ITEM-2","issue":"5","issued":{"date-parts":[["2013","5","28"]]},"publisher":"Public Library of Science","title":"Alternative Sigma Factor Over-Expression Enables Heterologous Expression of a Type II Polyketide Biosynthetic Pathway in Escherichia coli","type":"article-journal","volume":"8"},"uris":["http://www.mendeley.com/documents/?uuid=7ca175a6-fcea-3151-a1a7-9a83b7180b06"]}],"mendeley":{"formattedCitation":"&lt;sup&gt;214,224&lt;/sup&gt;","plainTextFormattedCitation":"214,224","previouslyFormattedCitation":"&lt;sup&gt;214,224&lt;/sup&gt;"},"properties":{"noteIndex":0},"schema":"https://github.com/citation-style-language/schema/raw/master/csl-citation.json"}</w:instrText>
      </w:r>
      <w:r w:rsidRPr="00857C48">
        <w:rPr>
          <w:rFonts w:cs="Arial"/>
          <w:color w:val="000000" w:themeColor="text1"/>
          <w:spacing w:val="4"/>
          <w:szCs w:val="22"/>
          <w:shd w:val="clear" w:color="auto" w:fill="FFFFFF"/>
        </w:rPr>
        <w:fldChar w:fldCharType="separate"/>
      </w:r>
      <w:r w:rsidR="00A91591" w:rsidRPr="00A91591">
        <w:rPr>
          <w:rFonts w:cs="Arial"/>
          <w:noProof/>
          <w:color w:val="000000" w:themeColor="text1"/>
          <w:spacing w:val="4"/>
          <w:szCs w:val="22"/>
          <w:shd w:val="clear" w:color="auto" w:fill="FFFFFF"/>
          <w:vertAlign w:val="superscript"/>
        </w:rPr>
        <w:t>214,224</w:t>
      </w:r>
      <w:r w:rsidRPr="00857C48">
        <w:rPr>
          <w:rFonts w:cs="Arial"/>
          <w:color w:val="000000" w:themeColor="text1"/>
          <w:spacing w:val="4"/>
          <w:szCs w:val="22"/>
          <w:shd w:val="clear" w:color="auto" w:fill="FFFFFF"/>
        </w:rPr>
        <w:fldChar w:fldCharType="end"/>
      </w:r>
      <w:r w:rsidR="00D60D4C">
        <w:rPr>
          <w:rFonts w:cs="Arial"/>
          <w:color w:val="000000" w:themeColor="text1"/>
          <w:spacing w:val="4"/>
          <w:szCs w:val="22"/>
          <w:shd w:val="clear" w:color="auto" w:fill="FFFFFF"/>
        </w:rPr>
        <w:t>.</w:t>
      </w:r>
      <w:r w:rsidRPr="00857C48">
        <w:rPr>
          <w:rFonts w:cs="Arial"/>
          <w:color w:val="000000" w:themeColor="text1"/>
          <w:spacing w:val="4"/>
          <w:szCs w:val="22"/>
          <w:shd w:val="clear" w:color="auto" w:fill="FFFFFF"/>
        </w:rPr>
        <w:t xml:space="preserve"> </w:t>
      </w:r>
      <w:r w:rsidRPr="00857C48">
        <w:rPr>
          <w:rFonts w:eastAsia="Times New Roman" w:cs="Arial"/>
          <w:i/>
          <w:iCs/>
          <w:color w:val="000000"/>
          <w:szCs w:val="22"/>
        </w:rPr>
        <w:t>E. coli </w:t>
      </w:r>
      <w:r w:rsidRPr="00857C48">
        <w:rPr>
          <w:rFonts w:eastAsia="Times New Roman" w:cs="Arial"/>
          <w:color w:val="000000"/>
          <w:szCs w:val="22"/>
        </w:rPr>
        <w:t xml:space="preserve">BL21 Star (DE3) was purchased from New </w:t>
      </w:r>
      <w:r w:rsidRPr="00857C48">
        <w:rPr>
          <w:rFonts w:eastAsia="Times New Roman" w:cs="Arial"/>
          <w:color w:val="000000"/>
          <w:szCs w:val="22"/>
        </w:rPr>
        <w:lastRenderedPageBreak/>
        <w:t>England Biosciences (Ipswich, Massachusetts, USA). A pET28a(+) backbone containing the TC tag sequence, TGTTGCCCGGGTTGCTGT, and 6xHis-tag, CACCACCACCACCACCAC, was designed and ordered from TWIST biosciences (Table S1). The </w:t>
      </w:r>
      <w:proofErr w:type="spellStart"/>
      <w:r w:rsidRPr="00857C48">
        <w:rPr>
          <w:rFonts w:eastAsia="Times New Roman" w:cs="Arial"/>
          <w:i/>
          <w:iCs/>
          <w:color w:val="000000"/>
          <w:szCs w:val="22"/>
        </w:rPr>
        <w:t>bpsA</w:t>
      </w:r>
      <w:proofErr w:type="spellEnd"/>
      <w:r w:rsidRPr="00857C48">
        <w:rPr>
          <w:rFonts w:eastAsia="Times New Roman" w:cs="Arial"/>
          <w:i/>
          <w:iCs/>
          <w:color w:val="000000"/>
          <w:szCs w:val="22"/>
        </w:rPr>
        <w:t> </w:t>
      </w:r>
      <w:r w:rsidRPr="00857C48">
        <w:rPr>
          <w:rFonts w:eastAsia="Times New Roman" w:cs="Arial"/>
          <w:color w:val="000000"/>
          <w:szCs w:val="22"/>
        </w:rPr>
        <w:t>gene from </w:t>
      </w:r>
      <w:r w:rsidRPr="00857C48">
        <w:rPr>
          <w:rFonts w:eastAsia="Times New Roman" w:cs="Arial"/>
          <w:i/>
          <w:iCs/>
          <w:color w:val="000000"/>
          <w:szCs w:val="22"/>
        </w:rPr>
        <w:t xml:space="preserve">Streptomyces </w:t>
      </w:r>
      <w:proofErr w:type="spellStart"/>
      <w:r w:rsidRPr="00857C48">
        <w:rPr>
          <w:rFonts w:eastAsia="Times New Roman" w:cs="Arial"/>
          <w:i/>
          <w:iCs/>
          <w:color w:val="000000"/>
          <w:szCs w:val="22"/>
        </w:rPr>
        <w:t>lavendulae</w:t>
      </w:r>
      <w:proofErr w:type="spellEnd"/>
      <w:r w:rsidRPr="00857C48">
        <w:rPr>
          <w:rFonts w:eastAsia="Times New Roman" w:cs="Arial"/>
          <w:i/>
          <w:iCs/>
          <w:color w:val="000000"/>
          <w:szCs w:val="22"/>
        </w:rPr>
        <w:t xml:space="preserve"> </w:t>
      </w:r>
      <w:r w:rsidRPr="00857C48">
        <w:rPr>
          <w:rFonts w:eastAsia="Times New Roman" w:cs="Arial"/>
          <w:color w:val="000000"/>
          <w:szCs w:val="22"/>
        </w:rPr>
        <w:t xml:space="preserve">was codon optimized using Integrated DNA Technology’s (IDT) codon optimization tool </w:t>
      </w:r>
      <w:r w:rsidRPr="006F7402">
        <w:rPr>
          <w:rFonts w:eastAsia="Times New Roman" w:cs="Arial"/>
          <w:color w:val="000000" w:themeColor="text1"/>
          <w:szCs w:val="22"/>
        </w:rPr>
        <w:t>(</w:t>
      </w:r>
      <w:r w:rsidRPr="006F7402">
        <w:rPr>
          <w:rFonts w:eastAsia="Times New Roman" w:cs="Arial"/>
          <w:color w:val="000000" w:themeColor="text1"/>
          <w:szCs w:val="22"/>
          <w:u w:val="single"/>
        </w:rPr>
        <w:t>https://www.idtdna.com</w:t>
      </w:r>
      <w:r w:rsidRPr="006F7402">
        <w:rPr>
          <w:rFonts w:eastAsia="Times New Roman" w:cs="Arial"/>
          <w:color w:val="000000" w:themeColor="text1"/>
          <w:szCs w:val="22"/>
        </w:rPr>
        <w:t xml:space="preserve">) </w:t>
      </w:r>
      <w:r w:rsidRPr="00857C48">
        <w:rPr>
          <w:rFonts w:eastAsia="Times New Roman" w:cs="Arial"/>
          <w:color w:val="000000"/>
          <w:szCs w:val="22"/>
        </w:rPr>
        <w:t>and was ordered as two gene blocks from IDT</w:t>
      </w:r>
      <w:r w:rsidRPr="00857C48">
        <w:rPr>
          <w:rFonts w:eastAsia="Times New Roman" w:cs="Arial"/>
          <w:color w:val="C00000"/>
          <w:szCs w:val="22"/>
        </w:rPr>
        <w:t> </w:t>
      </w:r>
      <w:r w:rsidRPr="00857C48">
        <w:rPr>
          <w:rFonts w:eastAsia="Times New Roman" w:cs="Arial"/>
          <w:color w:val="000000"/>
          <w:szCs w:val="22"/>
        </w:rPr>
        <w:t xml:space="preserve">(part 1 and part 2) (Table S1) These were </w:t>
      </w:r>
      <w:r w:rsidRPr="00857C48">
        <w:rPr>
          <w:rFonts w:cs="Arial"/>
          <w:color w:val="000000" w:themeColor="text1"/>
          <w:szCs w:val="22"/>
        </w:rPr>
        <w:t xml:space="preserve">cloned into the described pET28a(+) vector using the </w:t>
      </w:r>
      <w:proofErr w:type="spellStart"/>
      <w:r w:rsidRPr="00857C48">
        <w:rPr>
          <w:rFonts w:cs="Arial"/>
          <w:color w:val="000000" w:themeColor="text1"/>
          <w:szCs w:val="22"/>
        </w:rPr>
        <w:t>GoldenGate</w:t>
      </w:r>
      <w:proofErr w:type="spellEnd"/>
      <w:r w:rsidRPr="00857C48">
        <w:rPr>
          <w:rFonts w:cs="Arial"/>
          <w:color w:val="000000" w:themeColor="text1"/>
          <w:szCs w:val="22"/>
        </w:rPr>
        <w:t xml:space="preserve"> assembly kit (New England Biolabs, part #E1601S)</w:t>
      </w:r>
      <w:r w:rsidRPr="00857C48">
        <w:rPr>
          <w:rFonts w:cs="Arial"/>
          <w:b/>
          <w:bCs/>
          <w:color w:val="000000" w:themeColor="text1"/>
          <w:szCs w:val="22"/>
        </w:rPr>
        <w:t xml:space="preserve"> </w:t>
      </w:r>
      <w:r w:rsidRPr="00857C48">
        <w:rPr>
          <w:rFonts w:cs="Arial"/>
          <w:color w:val="000000" w:themeColor="text1"/>
          <w:szCs w:val="22"/>
        </w:rPr>
        <w:t>to generate the pET28a(+)-</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plasmid. The codon-optimized </w:t>
      </w:r>
      <w:proofErr w:type="spellStart"/>
      <w:r w:rsidRPr="00857C48">
        <w:rPr>
          <w:rFonts w:cs="Arial"/>
          <w:i/>
          <w:iCs/>
          <w:color w:val="000000" w:themeColor="text1"/>
          <w:szCs w:val="22"/>
        </w:rPr>
        <w:t>bpsA</w:t>
      </w:r>
      <w:proofErr w:type="spellEnd"/>
      <w:r w:rsidRPr="00857C48">
        <w:rPr>
          <w:rFonts w:cs="Arial"/>
          <w:i/>
          <w:iCs/>
          <w:color w:val="000000" w:themeColor="text1"/>
          <w:szCs w:val="22"/>
        </w:rPr>
        <w:t xml:space="preserve"> </w:t>
      </w:r>
      <w:r w:rsidRPr="00857C48">
        <w:rPr>
          <w:rFonts w:cs="Arial"/>
          <w:color w:val="000000" w:themeColor="text1"/>
          <w:szCs w:val="22"/>
        </w:rPr>
        <w:t xml:space="preserve">sequence was mutated with the E315A substitution by mutagenic Gibson assembly (New England Biolabs, part #E2611S) to generate the pET28a(+)-BpsA-TC_E315A construct. </w:t>
      </w:r>
      <w:r w:rsidRPr="00857C48">
        <w:rPr>
          <w:rFonts w:eastAsia="Times New Roman" w:cs="Arial"/>
          <w:color w:val="000000"/>
          <w:szCs w:val="22"/>
        </w:rPr>
        <w:t>The </w:t>
      </w:r>
      <w:proofErr w:type="spellStart"/>
      <w:r w:rsidRPr="00857C48">
        <w:rPr>
          <w:rFonts w:eastAsia="Times New Roman" w:cs="Arial"/>
          <w:i/>
          <w:iCs/>
          <w:color w:val="000000"/>
          <w:szCs w:val="22"/>
        </w:rPr>
        <w:t>pys</w:t>
      </w:r>
      <w:proofErr w:type="spellEnd"/>
      <w:r w:rsidRPr="00857C48">
        <w:rPr>
          <w:rFonts w:eastAsia="Times New Roman" w:cs="Arial"/>
          <w:i/>
          <w:iCs/>
          <w:color w:val="000000"/>
          <w:szCs w:val="22"/>
        </w:rPr>
        <w:t xml:space="preserve"> </w:t>
      </w:r>
      <w:r w:rsidRPr="00857C48">
        <w:rPr>
          <w:rFonts w:eastAsia="Times New Roman" w:cs="Arial"/>
          <w:color w:val="000000"/>
          <w:szCs w:val="22"/>
        </w:rPr>
        <w:t xml:space="preserve">gene from </w:t>
      </w:r>
      <w:r w:rsidRPr="00857C48">
        <w:rPr>
          <w:rFonts w:eastAsia="Times New Roman" w:cs="Arial"/>
          <w:i/>
          <w:iCs/>
          <w:color w:val="000000"/>
          <w:szCs w:val="22"/>
        </w:rPr>
        <w:t xml:space="preserve">Pseudomonas fluorescens </w:t>
      </w:r>
      <w:r w:rsidRPr="00857C48">
        <w:rPr>
          <w:rFonts w:eastAsia="Times New Roman" w:cs="Arial"/>
          <w:color w:val="000000"/>
          <w:szCs w:val="22"/>
        </w:rPr>
        <w:t xml:space="preserve">and the </w:t>
      </w:r>
      <w:proofErr w:type="spellStart"/>
      <w:r w:rsidRPr="00857C48">
        <w:rPr>
          <w:rFonts w:eastAsia="Times New Roman" w:cs="Arial"/>
          <w:i/>
          <w:iCs/>
          <w:color w:val="000000"/>
          <w:szCs w:val="22"/>
        </w:rPr>
        <w:t>tycA</w:t>
      </w:r>
      <w:proofErr w:type="spellEnd"/>
      <w:r w:rsidRPr="00857C48">
        <w:rPr>
          <w:rFonts w:eastAsia="Times New Roman" w:cs="Arial"/>
          <w:i/>
          <w:iCs/>
          <w:color w:val="000000"/>
          <w:szCs w:val="22"/>
        </w:rPr>
        <w:t xml:space="preserve"> </w:t>
      </w:r>
      <w:r w:rsidRPr="00857C48">
        <w:rPr>
          <w:rFonts w:eastAsia="Times New Roman" w:cs="Arial"/>
          <w:color w:val="000000"/>
          <w:szCs w:val="22"/>
        </w:rPr>
        <w:t xml:space="preserve">gene from </w:t>
      </w:r>
      <w:r w:rsidRPr="00857C48">
        <w:rPr>
          <w:rFonts w:eastAsia="Times New Roman" w:cs="Arial"/>
          <w:i/>
          <w:iCs/>
          <w:color w:val="000000"/>
          <w:szCs w:val="22"/>
        </w:rPr>
        <w:t>Bacillus brevis</w:t>
      </w:r>
      <w:r w:rsidRPr="00857C48">
        <w:rPr>
          <w:rFonts w:eastAsia="Times New Roman" w:cs="Arial"/>
          <w:color w:val="000000"/>
          <w:szCs w:val="22"/>
        </w:rPr>
        <w:t xml:space="preserve"> were codon optimized and ordered as two gene blocks from IDT</w:t>
      </w:r>
      <w:r w:rsidRPr="00857C48">
        <w:rPr>
          <w:rFonts w:eastAsia="Times New Roman" w:cs="Arial"/>
          <w:color w:val="C00000"/>
          <w:szCs w:val="22"/>
        </w:rPr>
        <w:t> </w:t>
      </w:r>
      <w:r w:rsidRPr="00857C48">
        <w:rPr>
          <w:rFonts w:eastAsia="Times New Roman" w:cs="Arial"/>
          <w:color w:val="000000"/>
          <w:szCs w:val="22"/>
        </w:rPr>
        <w:t xml:space="preserve">(part 1 and part 2) containing the TC tag sequence followed by a </w:t>
      </w:r>
      <w:proofErr w:type="spellStart"/>
      <w:r w:rsidRPr="00857C48">
        <w:rPr>
          <w:rFonts w:eastAsia="Times New Roman" w:cs="Arial"/>
          <w:color w:val="000000"/>
          <w:szCs w:val="22"/>
        </w:rPr>
        <w:t>StrepII</w:t>
      </w:r>
      <w:proofErr w:type="spellEnd"/>
      <w:r w:rsidRPr="00857C48">
        <w:rPr>
          <w:rFonts w:eastAsia="Times New Roman" w:cs="Arial"/>
          <w:color w:val="000000"/>
          <w:szCs w:val="22"/>
        </w:rPr>
        <w:t>-tag, TGGAGCCACCCGCAGTTCGAAAAA (Table S1).</w:t>
      </w:r>
      <w:r w:rsidRPr="00857C48">
        <w:rPr>
          <w:rFonts w:eastAsia="Times New Roman" w:cs="Arial"/>
          <w:szCs w:val="22"/>
        </w:rPr>
        <w:t xml:space="preserve"> The </w:t>
      </w:r>
      <w:proofErr w:type="spellStart"/>
      <w:r w:rsidRPr="00857C48">
        <w:rPr>
          <w:rFonts w:eastAsia="Times New Roman" w:cs="Arial"/>
          <w:i/>
          <w:iCs/>
          <w:color w:val="000000"/>
          <w:szCs w:val="22"/>
        </w:rPr>
        <w:t>pys</w:t>
      </w:r>
      <w:proofErr w:type="spellEnd"/>
      <w:r w:rsidRPr="00857C48">
        <w:rPr>
          <w:rFonts w:eastAsia="Times New Roman" w:cs="Arial"/>
          <w:i/>
          <w:iCs/>
          <w:color w:val="000000"/>
          <w:szCs w:val="22"/>
        </w:rPr>
        <w:t xml:space="preserve"> </w:t>
      </w:r>
      <w:r w:rsidRPr="00857C48">
        <w:rPr>
          <w:rFonts w:eastAsia="Times New Roman" w:cs="Arial"/>
          <w:color w:val="000000"/>
          <w:szCs w:val="22"/>
        </w:rPr>
        <w:t xml:space="preserve">and </w:t>
      </w:r>
      <w:proofErr w:type="spellStart"/>
      <w:r w:rsidRPr="00857C48">
        <w:rPr>
          <w:rFonts w:eastAsia="Times New Roman" w:cs="Arial"/>
          <w:i/>
          <w:iCs/>
          <w:color w:val="000000"/>
          <w:szCs w:val="22"/>
        </w:rPr>
        <w:t>tycA</w:t>
      </w:r>
      <w:proofErr w:type="spellEnd"/>
      <w:r w:rsidRPr="00857C48">
        <w:rPr>
          <w:rFonts w:eastAsia="Times New Roman" w:cs="Arial"/>
          <w:i/>
          <w:iCs/>
          <w:color w:val="000000"/>
          <w:szCs w:val="22"/>
        </w:rPr>
        <w:t xml:space="preserve"> </w:t>
      </w:r>
      <w:r w:rsidRPr="00857C48">
        <w:rPr>
          <w:rFonts w:eastAsia="Times New Roman" w:cs="Arial"/>
          <w:color w:val="000000"/>
          <w:szCs w:val="22"/>
        </w:rPr>
        <w:t>gene blocks were cloned into a pET28a(+) vector</w:t>
      </w:r>
      <w:r w:rsidRPr="00857C48">
        <w:rPr>
          <w:rFonts w:eastAsia="Times New Roman" w:cs="Arial"/>
          <w:b/>
          <w:bCs/>
          <w:color w:val="000000"/>
          <w:szCs w:val="22"/>
        </w:rPr>
        <w:t xml:space="preserve"> </w:t>
      </w:r>
      <w:r w:rsidRPr="00857C48">
        <w:rPr>
          <w:rFonts w:eastAsia="Times New Roman" w:cs="Arial"/>
          <w:color w:val="000000"/>
          <w:szCs w:val="22"/>
        </w:rPr>
        <w:t xml:space="preserve">using the </w:t>
      </w:r>
      <w:proofErr w:type="spellStart"/>
      <w:r w:rsidRPr="00857C48">
        <w:rPr>
          <w:rFonts w:eastAsia="Times New Roman" w:cs="Arial"/>
          <w:color w:val="000000"/>
          <w:szCs w:val="22"/>
        </w:rPr>
        <w:t>GoldenGate</w:t>
      </w:r>
      <w:proofErr w:type="spellEnd"/>
      <w:r w:rsidRPr="00857C48">
        <w:rPr>
          <w:rFonts w:eastAsia="Times New Roman" w:cs="Arial"/>
          <w:color w:val="000000"/>
          <w:szCs w:val="22"/>
        </w:rPr>
        <w:t xml:space="preserve"> assembly kit (New England Biolabs, part #E1601S)</w:t>
      </w:r>
      <w:r w:rsidRPr="00857C48">
        <w:rPr>
          <w:rFonts w:eastAsia="Times New Roman" w:cs="Arial"/>
          <w:b/>
          <w:bCs/>
          <w:color w:val="000000"/>
          <w:szCs w:val="22"/>
        </w:rPr>
        <w:t> </w:t>
      </w:r>
      <w:r w:rsidRPr="00857C48">
        <w:rPr>
          <w:rFonts w:eastAsia="Times New Roman" w:cs="Arial"/>
          <w:color w:val="000000"/>
          <w:szCs w:val="22"/>
        </w:rPr>
        <w:t>to generate pET28a(+)-</w:t>
      </w:r>
      <w:proofErr w:type="spellStart"/>
      <w:r w:rsidRPr="00857C48">
        <w:rPr>
          <w:rFonts w:eastAsia="Times New Roman" w:cs="Arial"/>
          <w:color w:val="000000"/>
          <w:szCs w:val="22"/>
        </w:rPr>
        <w:t>Pys</w:t>
      </w:r>
      <w:proofErr w:type="spellEnd"/>
      <w:r w:rsidRPr="00857C48">
        <w:rPr>
          <w:rFonts w:eastAsia="Times New Roman" w:cs="Arial"/>
          <w:color w:val="000000"/>
          <w:szCs w:val="22"/>
        </w:rPr>
        <w:t>-TC and pET28a(+)-</w:t>
      </w:r>
      <w:proofErr w:type="spellStart"/>
      <w:r w:rsidRPr="00857C48">
        <w:rPr>
          <w:rFonts w:eastAsia="Times New Roman" w:cs="Arial"/>
          <w:color w:val="000000"/>
          <w:szCs w:val="22"/>
        </w:rPr>
        <w:t>TycA</w:t>
      </w:r>
      <w:proofErr w:type="spellEnd"/>
      <w:r w:rsidRPr="00857C48">
        <w:rPr>
          <w:rFonts w:eastAsia="Times New Roman" w:cs="Arial"/>
          <w:color w:val="000000"/>
          <w:szCs w:val="22"/>
        </w:rPr>
        <w:t xml:space="preserve">-TC plasmids. The plasmid pJL1-sfGFP was ordered from </w:t>
      </w:r>
      <w:proofErr w:type="spellStart"/>
      <w:r w:rsidRPr="00857C48">
        <w:rPr>
          <w:rFonts w:eastAsia="Times New Roman" w:cs="Arial"/>
          <w:color w:val="000000"/>
          <w:szCs w:val="22"/>
        </w:rPr>
        <w:t>Addgene</w:t>
      </w:r>
      <w:proofErr w:type="spellEnd"/>
      <w:r w:rsidRPr="00857C48">
        <w:rPr>
          <w:rFonts w:eastAsia="Times New Roman" w:cs="Arial"/>
          <w:color w:val="000000"/>
          <w:szCs w:val="22"/>
        </w:rPr>
        <w:t xml:space="preserve"> (part #69496). Primers used in this study were designed with the J5 software and are listed in Table S2.</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{"citationItems":[{"id":"ITEM-1","itemData":{"DOI":"10.1021/SB2000116/SUPPL_FILE/SB2000116_SI_001.PDF","ISSN":"21615063","PMID":"23651006","abstract":"Recent advances in Synthetic Biology have yielded standardized and automatable DNA assembly protocols that enable a broad range of biotechnological research and development. Unfortunately, the experimental design required for modern scar-less multipart DNA assembly methods is frequently laborious, time-consuming, and error-prone. Here, we report the development and deployment of a web-based software tool, j5, which automates the design of scar-less multipart DNA assembly protocols including SLIC, Gibson, CPEC, and Golden Gate. The key innovations of the j5 design process include cost optimization, leveraging DNA synthesis when cost-effective to do so, the enforcement of design specification rules, hierarchical assembly strategies to mitigate likely assembly errors, and the instruction of manual or automated construction of scar-less combinatorial DNA libraries. Using a GFP expression testbed, we demonstrate that j5 designs can be executed with the SLIC, Gibson, or CPEC assembly methods, used to build combinatorial libraries with the Golden Gate assembly method, and applied to the preparation of linear gene deletion cassettes for E. coli. The DNA assembly design algorithms reported here are generally applicable to broad classes of DNA construction methodologies and could be implemented to supplement other DNA assembly design tools. Taken together, these innovations save researchers time and effort, reduce the frequency of user design errors and off-target assembly products, decrease research costs, and enable scarless multipart and combinatorial DNA construction at scales unfeasible without computer-aided design. © 2011 American Chemical Society.","author":[{"dropping-particle":"","family":"Hillson","given":"Nathan J.","non-dropping-particle":"","parse-names":false,"suffix":""},{"dropping-particle":"","family":"Rosengarten","given":"Rafael D.","non-dropping-particle":"","parse-names":false,"suffix":""},{"dropping-particle":"","family":"Keasling","given":"Jay D.","non-dropping-particle":"","parse-names":false,"suffix":""}],"container-title":"ACS Synthetic Biology","id":"ITEM-1","issue":"1","issued":{"date-parts":[["2012","1","20"]]},"page":"14-21","publisher":"American Chemical Society","title":"J5 DNA assembly design automation software","type":"article-journal","volume":"1"},"uris":["http://www.mendeley.com/documents/?uuid=cdff933a-425c-3b37-9e98-4b0cd903258a"]}],"mendeley":{"formattedCitation":"&lt;sup&gt;225&lt;/sup&gt;","plainTextFormattedCitation":"225","previouslyFormattedCitation":"&lt;sup&gt;225&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225</w:t>
      </w:r>
      <w:r w:rsidRPr="00857C48">
        <w:rPr>
          <w:rFonts w:cs="Arial"/>
          <w:color w:val="000000" w:themeColor="text1"/>
          <w:szCs w:val="22"/>
        </w:rPr>
        <w:fldChar w:fldCharType="end"/>
      </w:r>
    </w:p>
    <w:p w14:paraId="55E35807" w14:textId="77777777" w:rsidR="00857C48" w:rsidRPr="00857C48" w:rsidRDefault="00857C48" w:rsidP="00857C48">
      <w:pPr>
        <w:rPr>
          <w:rFonts w:cs="Arial"/>
          <w:color w:val="000000" w:themeColor="text1"/>
          <w:szCs w:val="22"/>
        </w:rPr>
      </w:pPr>
    </w:p>
    <w:p w14:paraId="7195A6CF" w14:textId="42439938" w:rsidR="00857C48" w:rsidRPr="00857C48" w:rsidRDefault="00857C48" w:rsidP="00E033D4">
      <w:pPr>
        <w:pStyle w:val="ChapterSub-heading"/>
      </w:pPr>
      <w:bookmarkStart w:id="120" w:name="_Toc129701060"/>
      <w:r>
        <w:t>5.3.2.</w:t>
      </w:r>
      <w:r>
        <w:rPr>
          <w:i/>
          <w:iCs/>
        </w:rPr>
        <w:t xml:space="preserve"> </w:t>
      </w:r>
      <w:r w:rsidRPr="00857C48">
        <w:rPr>
          <w:i/>
          <w:iCs/>
        </w:rPr>
        <w:t xml:space="preserve">In vivo </w:t>
      </w:r>
      <w:r w:rsidRPr="00857C48">
        <w:t xml:space="preserve">expression and purification of </w:t>
      </w:r>
      <w:proofErr w:type="spellStart"/>
      <w:r w:rsidRPr="00857C48">
        <w:t>BpsA</w:t>
      </w:r>
      <w:proofErr w:type="spellEnd"/>
      <w:r w:rsidRPr="00857C48">
        <w:t>-TC</w:t>
      </w:r>
      <w:bookmarkEnd w:id="120"/>
    </w:p>
    <w:p w14:paraId="152D5461" w14:textId="197826FD" w:rsidR="00857C48" w:rsidRPr="00857C48" w:rsidRDefault="00857C48" w:rsidP="00857C48">
      <w:pPr>
        <w:ind w:firstLine="720"/>
        <w:rPr>
          <w:rFonts w:cs="Arial"/>
          <w:color w:val="000000" w:themeColor="text1"/>
          <w:szCs w:val="22"/>
        </w:rPr>
      </w:pPr>
      <w:r w:rsidRPr="00857C48">
        <w:rPr>
          <w:rFonts w:cs="Arial"/>
          <w:i/>
          <w:iCs/>
          <w:color w:val="000000" w:themeColor="text1"/>
          <w:szCs w:val="22"/>
        </w:rPr>
        <w:t>E. coli</w:t>
      </w:r>
      <w:r w:rsidRPr="00857C48">
        <w:rPr>
          <w:rFonts w:cs="Arial"/>
          <w:color w:val="000000" w:themeColor="text1"/>
          <w:szCs w:val="22"/>
        </w:rPr>
        <w:t xml:space="preserve"> BAP1 was used as a host strain for </w:t>
      </w:r>
      <w:r w:rsidRPr="00857C48">
        <w:rPr>
          <w:rFonts w:cs="Arial"/>
          <w:i/>
          <w:iCs/>
          <w:color w:val="000000" w:themeColor="text1"/>
          <w:szCs w:val="22"/>
        </w:rPr>
        <w:t xml:space="preserve">in vivo </w:t>
      </w:r>
      <w:proofErr w:type="spellStart"/>
      <w:r w:rsidRPr="00857C48">
        <w:rPr>
          <w:rFonts w:cs="Arial"/>
          <w:color w:val="000000" w:themeColor="text1"/>
          <w:szCs w:val="22"/>
        </w:rPr>
        <w:t>BpsA</w:t>
      </w:r>
      <w:proofErr w:type="spellEnd"/>
      <w:r w:rsidRPr="00857C48">
        <w:rPr>
          <w:rFonts w:cs="Arial"/>
          <w:color w:val="000000" w:themeColor="text1"/>
          <w:szCs w:val="22"/>
        </w:rPr>
        <w:t>-TC expression. Cultures were grown in LB (Miller) broth supplemented with kanamycin at 50 µg/</w:t>
      </w:r>
      <w:proofErr w:type="spellStart"/>
      <w:r w:rsidRPr="00857C48">
        <w:rPr>
          <w:rFonts w:cs="Arial"/>
          <w:color w:val="000000" w:themeColor="text1"/>
          <w:szCs w:val="22"/>
        </w:rPr>
        <w:t>mL.</w:t>
      </w:r>
      <w:proofErr w:type="spellEnd"/>
      <w:r w:rsidRPr="00857C48">
        <w:rPr>
          <w:rFonts w:cs="Arial"/>
          <w:color w:val="000000" w:themeColor="text1"/>
          <w:szCs w:val="22"/>
        </w:rPr>
        <w:t xml:space="preserve">  Overnight seed cultures (25 mL) were grown from a single colony at 37°C, shaking at 210 rpm. Flasks (VWR </w:t>
      </w:r>
      <w:r w:rsidRPr="00857C48">
        <w:rPr>
          <w:rFonts w:cs="Arial"/>
          <w:color w:val="000000"/>
          <w:szCs w:val="22"/>
        </w:rPr>
        <w:t>29171-854)</w:t>
      </w:r>
      <w:r w:rsidRPr="00857C48">
        <w:rPr>
          <w:rFonts w:cs="Arial"/>
          <w:color w:val="000000" w:themeColor="text1"/>
          <w:szCs w:val="22"/>
        </w:rPr>
        <w:t xml:space="preserve"> containing 1 L media were inoculated with 10 mL seed culture and incubated at 37°C, shaking at 210 rpm, until an OD</w:t>
      </w:r>
      <w:r w:rsidRPr="00857C48">
        <w:rPr>
          <w:rFonts w:cs="Arial"/>
          <w:color w:val="000000" w:themeColor="text1"/>
          <w:szCs w:val="22"/>
          <w:vertAlign w:val="subscript"/>
        </w:rPr>
        <w:t>800</w:t>
      </w:r>
      <w:r w:rsidRPr="00857C48">
        <w:rPr>
          <w:rFonts w:cs="Arial"/>
          <w:color w:val="000000" w:themeColor="text1"/>
          <w:szCs w:val="22"/>
        </w:rPr>
        <w:t xml:space="preserve"> of 0.3-0.4 was reached. OD</w:t>
      </w:r>
      <w:r w:rsidRPr="00857C48">
        <w:rPr>
          <w:rFonts w:cs="Arial"/>
          <w:color w:val="000000" w:themeColor="text1"/>
          <w:szCs w:val="22"/>
          <w:vertAlign w:val="subscript"/>
        </w:rPr>
        <w:t>800</w:t>
      </w:r>
      <w:r w:rsidRPr="00857C48">
        <w:rPr>
          <w:rFonts w:cs="Arial"/>
          <w:color w:val="000000" w:themeColor="text1"/>
          <w:szCs w:val="22"/>
        </w:rPr>
        <w:t xml:space="preserve"> rather than the more typical OD</w:t>
      </w:r>
      <w:r w:rsidRPr="00857C48">
        <w:rPr>
          <w:rFonts w:cs="Arial"/>
          <w:color w:val="000000" w:themeColor="text1"/>
          <w:szCs w:val="22"/>
          <w:vertAlign w:val="subscript"/>
        </w:rPr>
        <w:t>600</w:t>
      </w:r>
      <w:r w:rsidRPr="00857C48">
        <w:rPr>
          <w:rFonts w:cs="Arial"/>
          <w:color w:val="000000" w:themeColor="text1"/>
          <w:szCs w:val="22"/>
        </w:rPr>
        <w:t xml:space="preserve"> was used to monitor growth to ensure that interference from the signal from </w:t>
      </w:r>
      <w:proofErr w:type="spellStart"/>
      <w:r w:rsidRPr="00857C48">
        <w:rPr>
          <w:rFonts w:cs="Arial"/>
          <w:color w:val="000000" w:themeColor="text1"/>
          <w:szCs w:val="22"/>
        </w:rPr>
        <w:t>indigoidine</w:t>
      </w:r>
      <w:proofErr w:type="spellEnd"/>
      <w:r w:rsidRPr="00857C48">
        <w:rPr>
          <w:rFonts w:cs="Arial"/>
          <w:color w:val="000000" w:themeColor="text1"/>
          <w:szCs w:val="22"/>
        </w:rPr>
        <w:t xml:space="preserve"> would not interfere with measurements of cellular turbidity. This strategy was adapted from Beer and </w:t>
      </w:r>
      <w:r w:rsidRPr="00857C48">
        <w:rPr>
          <w:rFonts w:cs="Arial"/>
          <w:color w:val="000000" w:themeColor="text1"/>
          <w:szCs w:val="22"/>
        </w:rPr>
        <w:lastRenderedPageBreak/>
        <w:t>coworkers and was reproduced with the correlation between the OD</w:t>
      </w:r>
      <w:r w:rsidRPr="00857C48">
        <w:rPr>
          <w:rFonts w:cs="Arial"/>
          <w:color w:val="000000" w:themeColor="text1"/>
          <w:szCs w:val="22"/>
          <w:vertAlign w:val="subscript"/>
        </w:rPr>
        <w:t>600</w:t>
      </w:r>
      <w:r w:rsidRPr="00857C48">
        <w:rPr>
          <w:rFonts w:cs="Arial"/>
          <w:color w:val="000000" w:themeColor="text1"/>
          <w:szCs w:val="22"/>
        </w:rPr>
        <w:t xml:space="preserve"> and OD</w:t>
      </w:r>
      <w:r w:rsidRPr="00857C48">
        <w:rPr>
          <w:rFonts w:cs="Arial"/>
          <w:color w:val="000000" w:themeColor="text1"/>
          <w:szCs w:val="22"/>
          <w:vertAlign w:val="subscript"/>
        </w:rPr>
        <w:t>800</w:t>
      </w:r>
      <w:r w:rsidRPr="00857C48">
        <w:rPr>
          <w:rFonts w:cs="Arial"/>
          <w:color w:val="000000" w:themeColor="text1"/>
          <w:szCs w:val="22"/>
        </w:rPr>
        <w:t>.</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{"citationItems":[{"id":"ITEM-1","itemData":{"DOI":"10.1039/C3MB70594C","ISSN":"1742-2051","PMID":"24457530","abstract":"Non-ribosomal peptide synthetases (NRPSs) are enzymes that catalyze ribosome-independent production of small peptides, most of which are bioactive. NRPSs act as peptide assembly lines where individual, often interconnected modules each incorporate a specific amino acid into the nascent chain. The modules themselves consist of several domains that function in the activation, modification and condensation of the substrate. NRPSs are evidently modular, yet experimental proof of the ability to engineer desired permutations of domains and modules is still sought. Here, we use a synthetic-biology approach to create a small library of engineered NRPSs, in which the domain responsible for carrying the activated amino acid (T domain) is exchanged with natural or synthetic T domains. As a model system, we employ the single-module NRPS IndC from Photorhabdus luminescens that produces the blue pigment indigoidine. As chassis we use Escherichia coli. We demonstrate that heterologous T domain exchange is possible, even for T domains derived from different organisms. Interestingly, substitution of the native T domain with a synthetic one enhanced indigoidine production. Moreover, we show that selection of appropriate inter-domain linker regions is critical for functionality. Taken together, our results extend the engineering avenues for NRPSs, as they point out the possibility of combining domain sequences coming from different pathways, organisms or from conservation criteria. Moreover, our data suggest that NRPSs can be rationally engineered to control the level of production of the corresponding peptides. This could have important implications for industrial and medical applications.","author":[{"dropping-particle":"","family":"Beer","given":"Ralf","non-dropping-particle":"","parse-names":false,"suffix":""},{"dropping-particle":"","family":"Herbst","given":"Konrad","non-dropping-particle":"","parse-names":false,"suffix":""},{"dropping-particle":"","family":"Ignatiadis","given":"Nikolaos","non-dropping-particle":"","parse-names":false,"suffix":""},{"dropping-particle":"","family":"Kats","given":"Ilia","non-dropping-particle":"","parse-names":false,"suffix":""},{"dropping-particle":"","family":"Adlung","given":"Lorenz","non-dropping-particle":"","parse-names":false,"suffix":""},{"dropping-particle":"","family":"Meyer","given":"Hannah","non-dropping-particle":"","parse-names":false,"suffix":""},{"dropping-particle":"","family":"Niopek","given":"Dominik","non-dropping-particle":"","parse-names":false,"suffix":""},{"dropping-particle":"","family":"Christiansen","given":"Tania","non-dropping-particle":"","parse-names":false,"suffix":""},{"dropping-particle":"","family":"Georgi","given":"Fanny","non-dropping-particle":"","parse-names":false,"suffix":""},{"dropping-particle":"","family":"Kurzawa","given":"Nils","non-dropping-particle":"","parse-names":false,"suffix":""},{"dropping-particle":"","family":"Meichsner","given":"Johanna","non-dropping-particle":"","parse-names":false,"suffix":""},{"dropping-particle":"","family":"Rabe","given":"Sophie","non-dropping-particle":"","parse-names":false,"suffix":""},{"dropping-particle":"","family":"Riedel","given":"Anja","non-dropping-particle":"","parse-names":false,"suffix":""},{"dropping-particle":"","family":"Sachs","given":"Joshua","non-dropping-particle":"","parse-names":false,"suffix":""},{"dropping-particle":"","family":"Schessner","given":"Julia","non-dropping-particle":"","parse-names":false,"suffix":""},{"dropping-particle":"","family":"Schmidt","given":"Florian","non-dropping-particle":"","parse-names":false,"suffix":""},{"dropping-particle":"","family":"Walch","given":"Philipp","non-dropping-particle":"","parse-names":false,"suffix":""},{"dropping-particle":"","family":"Niopek","given":"Katharina","non-dropping-particle":"","parse-names":false,"suffix":""},{"dropping-particle":"","family":"Heinemann","given":"Tim","non-dropping-particle":"","parse-names":false,"suffix":""},{"dropping-particle":"","family":"Eils","given":"Roland","non-dropping-particle":"","parse-names":false,"suffix":""},{"dropping-particle":"","family":"Ventura","given":"Barbara","non-dropping-particle":"Di","parse-names":false,"suffix":""}],"container-title":"Molecular BioSystems","id":"ITEM-1","issue":"7","issued":{"date-parts":[["2014","6","3"]]},"page":"1709-1718","publisher":"The Royal Society of Chemistry","title":"Creating functional engineered variants of the single-module non-ribosomal peptide synthetase IndC by T domain exchange","type":"article-journal","volume":"10"},"uris":["http://www.mendeley.com/documents/?uuid=d93e98d4-7621-36cc-9e1f-0d5950ed4ec5"]}],"mendeley":{"formattedCitation":"&lt;sup&gt;198&lt;/sup&gt;","plainTextFormattedCitation":"198","previouslyFormattedCitation":"&lt;sup&gt;198&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198</w:t>
      </w:r>
      <w:r w:rsidRPr="00857C48">
        <w:rPr>
          <w:rFonts w:cs="Arial"/>
          <w:color w:val="000000" w:themeColor="text1"/>
          <w:szCs w:val="22"/>
        </w:rPr>
        <w:fldChar w:fldCharType="end"/>
      </w:r>
      <w:r w:rsidRPr="00857C48">
        <w:rPr>
          <w:rFonts w:cs="Arial"/>
          <w:color w:val="000000" w:themeColor="text1"/>
          <w:szCs w:val="22"/>
        </w:rPr>
        <w:t xml:space="preserve"> The temperature was then lowered to 18 °C and cooled for 15 minutes prior to induction with 0.5 mM IPTG. The cultures were then incubated for ~ 20 hours at 18 °C prior to harvesting by centrifugation (4000 x g, 45 mins at 4 °C). Cell pellets were resuspended in wash buffer (5mM imidazole, 0.5 M NaCl, 10% v/v glycerol, 50 mM sodium phosphate, pH 7.8) and lysed by sonication.  After sonication, the lysate was clarified via centrifugation (11,000 x g, 45 min, 4 °C) and purified via IMAC on an </w:t>
      </w:r>
      <w:proofErr w:type="spellStart"/>
      <w:r w:rsidRPr="00857C48">
        <w:rPr>
          <w:rFonts w:cs="Arial"/>
          <w:color w:val="000000" w:themeColor="text1"/>
          <w:szCs w:val="22"/>
        </w:rPr>
        <w:t>AktaPure</w:t>
      </w:r>
      <w:proofErr w:type="spellEnd"/>
      <w:r w:rsidRPr="00857C48">
        <w:rPr>
          <w:rFonts w:cs="Arial"/>
          <w:color w:val="000000" w:themeColor="text1"/>
          <w:szCs w:val="22"/>
        </w:rPr>
        <w:t xml:space="preserve"> system (</w:t>
      </w:r>
      <w:proofErr w:type="spellStart"/>
      <w:r w:rsidRPr="00857C48">
        <w:rPr>
          <w:rFonts w:cs="Arial"/>
          <w:color w:val="000000" w:themeColor="text1"/>
          <w:szCs w:val="22"/>
        </w:rPr>
        <w:t>Cytiva</w:t>
      </w:r>
      <w:proofErr w:type="spellEnd"/>
      <w:r w:rsidRPr="00857C48">
        <w:rPr>
          <w:rFonts w:cs="Arial"/>
          <w:color w:val="000000" w:themeColor="text1"/>
          <w:szCs w:val="22"/>
        </w:rPr>
        <w:t xml:space="preserve">) using a 5 mL </w:t>
      </w:r>
      <w:proofErr w:type="spellStart"/>
      <w:r w:rsidRPr="00857C48">
        <w:rPr>
          <w:rFonts w:cs="Arial"/>
          <w:color w:val="000000" w:themeColor="text1"/>
          <w:szCs w:val="22"/>
        </w:rPr>
        <w:t>HisTrap</w:t>
      </w:r>
      <w:proofErr w:type="spellEnd"/>
      <w:r w:rsidRPr="00857C48">
        <w:rPr>
          <w:rFonts w:cs="Arial"/>
          <w:color w:val="000000" w:themeColor="text1"/>
          <w:szCs w:val="22"/>
        </w:rPr>
        <w:t xml:space="preserve"> column (</w:t>
      </w:r>
      <w:proofErr w:type="spellStart"/>
      <w:r w:rsidRPr="00857C48">
        <w:rPr>
          <w:rFonts w:cs="Arial"/>
          <w:color w:val="000000" w:themeColor="text1"/>
          <w:szCs w:val="22"/>
        </w:rPr>
        <w:t>Cytiva</w:t>
      </w:r>
      <w:proofErr w:type="spellEnd"/>
      <w:r w:rsidRPr="00857C48">
        <w:rPr>
          <w:rFonts w:cs="Arial"/>
          <w:color w:val="000000" w:themeColor="text1"/>
          <w:szCs w:val="22"/>
        </w:rPr>
        <w:t>). Protein was eluted with elution buffer (400 mM imidazole, 0.5M NaCl, 10% v/v glycerol, and 50 mM sodium phosphate, pH 7.8) using a linear gradient from 20-60% elution buffer for 1 column volume (CV), 1 column volume (CV) of 60-100% elution buffer, and followed with a hold at 100% elution buffer for 3 CV. After purification, the collected fractions were dialyzed with 10K MWCO dialysis tubing (</w:t>
      </w:r>
      <w:proofErr w:type="spellStart"/>
      <w:r w:rsidRPr="00857C48">
        <w:rPr>
          <w:rFonts w:cs="Arial"/>
          <w:color w:val="000000" w:themeColor="text1"/>
          <w:szCs w:val="22"/>
        </w:rPr>
        <w:t>Thermofisher</w:t>
      </w:r>
      <w:proofErr w:type="spellEnd"/>
      <w:r w:rsidRPr="00857C48">
        <w:rPr>
          <w:rFonts w:cs="Arial"/>
          <w:color w:val="000000" w:themeColor="text1"/>
          <w:szCs w:val="22"/>
        </w:rPr>
        <w:t>) for 2 passes for a minimum of six hours in storage buffer (50 mM phosphate pH 7.8, 100 mM NaCl, 10% (v/v) glycerol).  The protein was then concentrated using a 100K MWCO concentrator (</w:t>
      </w:r>
      <w:proofErr w:type="spellStart"/>
      <w:r w:rsidRPr="00857C48">
        <w:rPr>
          <w:rFonts w:cs="Arial"/>
          <w:color w:val="000000" w:themeColor="text1"/>
          <w:szCs w:val="22"/>
        </w:rPr>
        <w:t>Thermofisher</w:t>
      </w:r>
      <w:proofErr w:type="spellEnd"/>
      <w:r w:rsidRPr="00857C48">
        <w:rPr>
          <w:rFonts w:cs="Arial"/>
          <w:color w:val="000000" w:themeColor="text1"/>
          <w:szCs w:val="22"/>
        </w:rPr>
        <w:t>).  Purity was assessed via SDS-PAGE using 4-20% pre-made gels (</w:t>
      </w:r>
      <w:proofErr w:type="spellStart"/>
      <w:r w:rsidRPr="00857C48">
        <w:rPr>
          <w:rFonts w:cs="Arial"/>
          <w:color w:val="000000" w:themeColor="text1"/>
          <w:szCs w:val="22"/>
        </w:rPr>
        <w:t>NuSep</w:t>
      </w:r>
      <w:proofErr w:type="spellEnd"/>
      <w:r w:rsidRPr="00857C48">
        <w:rPr>
          <w:rFonts w:cs="Arial"/>
          <w:color w:val="000000" w:themeColor="text1"/>
          <w:szCs w:val="22"/>
        </w:rPr>
        <w:t>) (Fig S2)</w:t>
      </w:r>
      <w:r w:rsidR="00D60D4C">
        <w:rPr>
          <w:rFonts w:cs="Arial"/>
          <w:color w:val="000000" w:themeColor="text1"/>
          <w:szCs w:val="22"/>
        </w:rPr>
        <w:t>.</w:t>
      </w:r>
    </w:p>
    <w:p w14:paraId="070AC66A" w14:textId="77777777" w:rsidR="00857C48" w:rsidRPr="00857C48" w:rsidRDefault="00857C48" w:rsidP="00857C48">
      <w:pPr>
        <w:rPr>
          <w:rFonts w:cs="Arial"/>
          <w:color w:val="000000" w:themeColor="text1"/>
          <w:szCs w:val="22"/>
        </w:rPr>
      </w:pPr>
    </w:p>
    <w:p w14:paraId="65FD673F" w14:textId="6EB472E4" w:rsidR="00857C48" w:rsidRPr="00857C48" w:rsidRDefault="00857C48" w:rsidP="00E033D4">
      <w:pPr>
        <w:pStyle w:val="ChapterSub-heading"/>
      </w:pPr>
      <w:bookmarkStart w:id="121" w:name="_Toc129701061"/>
      <w:r>
        <w:t>5.3.3.</w:t>
      </w:r>
      <w:r>
        <w:rPr>
          <w:i/>
          <w:iCs/>
        </w:rPr>
        <w:t xml:space="preserve"> </w:t>
      </w:r>
      <w:r w:rsidRPr="00857C48">
        <w:rPr>
          <w:i/>
          <w:iCs/>
        </w:rPr>
        <w:t>In vivo</w:t>
      </w:r>
      <w:r w:rsidRPr="00857C48">
        <w:t xml:space="preserve"> </w:t>
      </w:r>
      <w:proofErr w:type="spellStart"/>
      <w:r w:rsidRPr="00857C48">
        <w:t>indigioidine</w:t>
      </w:r>
      <w:proofErr w:type="spellEnd"/>
      <w:r w:rsidRPr="00857C48">
        <w:t xml:space="preserve"> production and purification</w:t>
      </w:r>
      <w:bookmarkEnd w:id="121"/>
    </w:p>
    <w:p w14:paraId="546656A7" w14:textId="30886146" w:rsidR="006F7402" w:rsidRDefault="00857C48" w:rsidP="006F7402">
      <w:pPr>
        <w:ind w:firstLine="720"/>
        <w:rPr>
          <w:rFonts w:cs="Arial"/>
          <w:color w:val="000000" w:themeColor="text1"/>
          <w:szCs w:val="22"/>
        </w:rPr>
      </w:pPr>
      <w:r w:rsidRPr="00857C48">
        <w:rPr>
          <w:rFonts w:cs="Arial"/>
          <w:color w:val="000000" w:themeColor="text1"/>
          <w:szCs w:val="22"/>
        </w:rPr>
        <w:t>A 25 mL seed culture of BAP1 harboring the pET28a(+)-</w:t>
      </w:r>
      <w:proofErr w:type="spellStart"/>
      <w:r w:rsidRPr="00857C48">
        <w:rPr>
          <w:rFonts w:cs="Arial"/>
          <w:color w:val="000000" w:themeColor="text1"/>
          <w:szCs w:val="22"/>
        </w:rPr>
        <w:t>BpsA</w:t>
      </w:r>
      <w:proofErr w:type="spellEnd"/>
      <w:r w:rsidRPr="00857C48">
        <w:rPr>
          <w:rFonts w:cs="Arial"/>
          <w:color w:val="000000" w:themeColor="text1"/>
          <w:szCs w:val="22"/>
        </w:rPr>
        <w:t>-TC construct was grown overnight (37 °C, 2010 rev/min) in LB medium supplemented with 50 µg/mL kanamycin. After ~ 20 h, 10 mL of seed culture was used to inoculate 1 L media in a flask (VWR 29171-854). Cells were incubated at 37 °C shaking at 210 rev/min.  At an OD</w:t>
      </w:r>
      <w:r w:rsidRPr="00857C48">
        <w:rPr>
          <w:rFonts w:cs="Arial"/>
          <w:color w:val="000000" w:themeColor="text1"/>
          <w:szCs w:val="22"/>
          <w:vertAlign w:val="subscript"/>
        </w:rPr>
        <w:t>800</w:t>
      </w:r>
      <w:r w:rsidRPr="00857C48">
        <w:rPr>
          <w:rFonts w:cs="Arial"/>
          <w:color w:val="000000" w:themeColor="text1"/>
          <w:szCs w:val="22"/>
        </w:rPr>
        <w:t xml:space="preserve"> of 0.3-0.4, the culture was induced with 0.5 mM IPTG and grown at 16 °C for 20 h then lyophilized for 36 h.  The dry cell mass was then washed with three rounds of DI water, methanol, ethanol, isopropanol, and hexanes to remove metabolites, salts, and proteins.  Finally, the product was dried for one week under vacuum.  Purity was verified via </w:t>
      </w:r>
      <w:r w:rsidRPr="00857C48">
        <w:rPr>
          <w:rFonts w:cs="Arial"/>
          <w:color w:val="000000" w:themeColor="text1"/>
          <w:szCs w:val="22"/>
          <w:vertAlign w:val="superscript"/>
        </w:rPr>
        <w:t>1</w:t>
      </w:r>
      <w:r w:rsidRPr="00857C48">
        <w:rPr>
          <w:rFonts w:cs="Arial"/>
          <w:color w:val="000000" w:themeColor="text1"/>
          <w:szCs w:val="22"/>
        </w:rPr>
        <w:t xml:space="preserve">H NMR (400 </w:t>
      </w:r>
      <w:proofErr w:type="spellStart"/>
      <w:r w:rsidRPr="00857C48">
        <w:rPr>
          <w:rFonts w:cs="Arial"/>
          <w:color w:val="000000" w:themeColor="text1"/>
          <w:szCs w:val="22"/>
        </w:rPr>
        <w:t>mHz</w:t>
      </w:r>
      <w:proofErr w:type="spellEnd"/>
      <w:r w:rsidRPr="00857C48">
        <w:rPr>
          <w:rFonts w:cs="Arial"/>
          <w:color w:val="000000" w:themeColor="text1"/>
          <w:szCs w:val="22"/>
        </w:rPr>
        <w:t>, D6MSO) δ 11.30ppm (s, NH), 8.18ppm (s, CH), and 6.46ppm (s, NH2) which is in agreement with previous literature report</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{"citationItems":[{"id":"ITEM-1","itemData":{"DOI":"10.1039/c9gc00920e","ISSN":"14639270","abstract":"Non-ribosomal peptides (NRPs) constitute a diverse class of valuable secondary metabolites, with potential industrial applications including use as pharmaceuticals, polymers and dyes. Current industrial production of dyes is predominantly achieved via chemical synthesis, which can involve toxic precursors and generate hazardous byproducts. Thus, alternative routes of dye production are highly desirable to enhance both workplace safety and environmental sustainability. Correspondingly, biological synthesis of dyes from renewable carbon would serve an ideal green chemistry paradigm. Therefore, we engineered the fungal host Rhodosporidium toruloides to produce the blue pigment indigoidine, an NRP with potential applications in the dye industry, using various low-cost carbon and nitrogen sources. To demonstrate production from renewable carbon sources and assess process scalability we produced indigoidine in 2 L bioreactors, reaching titers of 2.9 ± 0.8 g L-1 using a sorghum lignocellulosic hydrolysate in a batch process and 86.3 ± 7.4 g L-1 using glucose in a high-gravity fed-batch process. This study represents the first heterologous production of an NRP in R. toruloides, thus extending the range of microbial hosts that can be used for sustainable, heterologous production of NRPs. In addition, this is the first demonstration of producing an NRP using lignocellulose. These results highlight the potential of R. toruloides for the sustainable, and scalable production of NRPs, with the highest reported titer of indigoidine or any heterologously produced NRP to date.","author":[{"dropping-particle":"","family":"Wehrs","given":"Maren","non-dropping-particle":"","parse-names":false,"suffix":""},{"dropping-particle":"","family":"Gladden","given":"John M.","non-dropping-particle":"","parse-names":false,"suffix":""},{"dropping-particle":"","family":"Liu","given":"Yuzhong","non-dropping-particle":"","parse-names":false,"suffix":""},{"dropping-particle":"","family":"Platz","given":"Lukas","non-dropping-particle":"","parse-names":false,"suffix":""},{"dropping-particle":"","family":"Prahl","given":"Jan Philip","non-dropping-particle":"","parse-names":false,"suffix":""},{"dropping-particle":"","family":"Moon","given":"Jadie","non-dropping-particle":"","parse-names":false,"suffix":""},{"dropping-particle":"","family":"Papa","given":"Gabriella","non-dropping-particle":"","parse-names":false,"suffix":""},{"dropping-particle":"","family":"Sundstrom","given":"Eric","non-dropping-particle":"","parse-names":false,"suffix":""},{"dropping-particle":"","family":"Geiselman","given":"Gina M.","non-dropping-particle":"","parse-names":false,"suffix":""},{"dropping-particle":"","family":"Tanjore","given":"Deepti","non-dropping-particle":"","parse-names":false,"suffix":""},{"dropping-particle":"","family":"Keasling","given":"Jay D.","non-dropping-particle":"","parse-names":false,"suffix":""},{"dropping-particle":"","family":"Pray","given":"Todd R.","non-dropping-particle":"","parse-names":false,"suffix":""},{"dropping-particle":"","family":"Simmons","given":"Blake A.","non-dropping-particle":"","parse-names":false,"suffix":""},{"dropping-particle":"","family":"Mukhopadhyay","given":"Aindrila","non-dropping-particle":"","parse-names":false,"suffix":""}],"container-title":"Green Chemistry","id":"ITEM-1","issue":"12","issued":{"date-parts":[["2019","6","17"]]},"page":"3394-3406","publisher":"Royal Society of Chemistry","title":"Sustainable bioproduction of the blue pigment indigoidine: Expanding the range of heterologous products in: R. toruloides to include non-ribosomal peptides","type":"article-journal","volume":"21"},"uris":["http://www.mendeley.com/documents/?uuid=ca903ebb-c69d-3759-a221-8fe5ecc277ed"]}],"mendeley":{"formattedCitation":"&lt;sup&gt;226&lt;/sup&gt;","plainTextFormattedCitation":"226","previouslyFormattedCitation":"&lt;sup&gt;226&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226</w:t>
      </w:r>
      <w:r w:rsidRPr="00857C48">
        <w:rPr>
          <w:rFonts w:cs="Arial"/>
          <w:color w:val="000000" w:themeColor="text1"/>
          <w:szCs w:val="22"/>
        </w:rPr>
        <w:fldChar w:fldCharType="end"/>
      </w:r>
      <w:r w:rsidR="00D60D4C">
        <w:rPr>
          <w:rFonts w:cs="Arial"/>
          <w:color w:val="000000" w:themeColor="text1"/>
          <w:szCs w:val="22"/>
        </w:rPr>
        <w:t>.</w:t>
      </w:r>
      <w:r w:rsidRPr="00857C48">
        <w:rPr>
          <w:rFonts w:cs="Arial"/>
          <w:color w:val="000000" w:themeColor="text1"/>
          <w:szCs w:val="22"/>
        </w:rPr>
        <w:t xml:space="preserve">  </w:t>
      </w:r>
    </w:p>
    <w:p w14:paraId="15B095DC" w14:textId="3F0F98D1" w:rsidR="00857C48" w:rsidRPr="006F7402" w:rsidRDefault="00857C48" w:rsidP="006F7402">
      <w:pPr>
        <w:pStyle w:val="ChapterSub-heading"/>
      </w:pPr>
      <w:bookmarkStart w:id="122" w:name="_Toc129701062"/>
      <w:r>
        <w:lastRenderedPageBreak/>
        <w:t xml:space="preserve">5.3.4. </w:t>
      </w:r>
      <w:r w:rsidRPr="00857C48">
        <w:t>Cell-free extract preparation</w:t>
      </w:r>
      <w:bookmarkEnd w:id="122"/>
    </w:p>
    <w:p w14:paraId="3271CB93" w14:textId="77777777" w:rsidR="00857C48" w:rsidRPr="00857C48" w:rsidRDefault="00857C48" w:rsidP="00857C48">
      <w:pPr>
        <w:ind w:firstLine="720"/>
        <w:rPr>
          <w:rFonts w:eastAsia="Times New Roman" w:cs="Arial"/>
          <w:szCs w:val="22"/>
        </w:rPr>
      </w:pPr>
      <w:r w:rsidRPr="00857C48">
        <w:rPr>
          <w:rFonts w:cs="Arial"/>
          <w:color w:val="000000" w:themeColor="text1"/>
          <w:szCs w:val="22"/>
        </w:rPr>
        <w:t xml:space="preserve">The same extract preparation procedure was used for all strains here. A seed culture was prepared with 30 mL </w:t>
      </w:r>
      <w:r w:rsidRPr="00857C48">
        <w:rPr>
          <w:rFonts w:eastAsia="Times New Roman" w:cs="Arial"/>
          <w:szCs w:val="22"/>
        </w:rPr>
        <w:t>2xYPTG media (</w:t>
      </w:r>
      <w:r w:rsidRPr="00857C48">
        <w:rPr>
          <w:rFonts w:cs="Arial"/>
          <w:color w:val="000000"/>
          <w:szCs w:val="22"/>
        </w:rPr>
        <w:t>10 g/L yeast extract, 7 g/L potassium phosphate dibasic, 3 g/L potassium phosphate monobasic, 5 g/L NaCl, 16 g/L tryptone, and 18 g/L glucose</w:t>
      </w:r>
      <w:r w:rsidRPr="00857C48">
        <w:rPr>
          <w:rFonts w:eastAsia="Times New Roman" w:cs="Arial"/>
          <w:szCs w:val="22"/>
        </w:rPr>
        <w:t xml:space="preserve">) inoculated with a fresh colony and incubated overnight at 32˚C, 220 rpm. </w:t>
      </w:r>
      <w:r w:rsidRPr="00857C48">
        <w:rPr>
          <w:rFonts w:cs="Arial"/>
          <w:color w:val="000000" w:themeColor="text1"/>
          <w:szCs w:val="22"/>
        </w:rPr>
        <w:t xml:space="preserve">1 L of 2xYPTG media in a 2.5 L </w:t>
      </w:r>
      <w:proofErr w:type="spellStart"/>
      <w:r w:rsidRPr="00857C48">
        <w:rPr>
          <w:rFonts w:cs="Arial"/>
          <w:color w:val="000000" w:themeColor="text1"/>
          <w:szCs w:val="22"/>
        </w:rPr>
        <w:t>Tunair</w:t>
      </w:r>
      <w:proofErr w:type="spellEnd"/>
      <w:r w:rsidRPr="00857C48">
        <w:rPr>
          <w:rFonts w:cs="Arial"/>
          <w:color w:val="000000" w:themeColor="text1"/>
          <w:szCs w:val="22"/>
        </w:rPr>
        <w:t xml:space="preserve"> flask was then inoculated with the overnight culture</w:t>
      </w:r>
      <w:r w:rsidRPr="00857C48">
        <w:rPr>
          <w:rFonts w:eastAsia="Times New Roman" w:cs="Arial"/>
          <w:szCs w:val="22"/>
        </w:rPr>
        <w:t xml:space="preserve"> and grown at 34˚C, 220 rpm. Cell growth was monitored by </w:t>
      </w:r>
      <w:proofErr w:type="spellStart"/>
      <w:r w:rsidRPr="00857C48">
        <w:rPr>
          <w:rFonts w:eastAsia="Times New Roman" w:cs="Arial"/>
          <w:szCs w:val="22"/>
        </w:rPr>
        <w:t>NanoDrop</w:t>
      </w:r>
      <w:proofErr w:type="spellEnd"/>
      <w:r w:rsidRPr="00857C48">
        <w:rPr>
          <w:rFonts w:eastAsia="Times New Roman" w:cs="Arial"/>
          <w:szCs w:val="22"/>
        </w:rPr>
        <w:t xml:space="preserve"> (Thermo Scientific). At OD</w:t>
      </w:r>
      <w:r w:rsidRPr="00857C48">
        <w:rPr>
          <w:rFonts w:eastAsia="Times New Roman" w:cs="Arial"/>
          <w:szCs w:val="22"/>
          <w:vertAlign w:val="subscript"/>
        </w:rPr>
        <w:t>600</w:t>
      </w:r>
      <w:r w:rsidRPr="00857C48">
        <w:rPr>
          <w:rFonts w:eastAsia="Times New Roman" w:cs="Arial"/>
          <w:szCs w:val="22"/>
        </w:rPr>
        <w:t>~ 0.9-1.0, the culture was induced with 0.5 mM IPTG. Cells were harvested at OD</w:t>
      </w:r>
      <w:r w:rsidRPr="00857C48">
        <w:rPr>
          <w:rFonts w:eastAsia="Times New Roman" w:cs="Arial"/>
          <w:szCs w:val="22"/>
          <w:vertAlign w:val="subscript"/>
        </w:rPr>
        <w:t>600</w:t>
      </w:r>
      <w:r w:rsidRPr="00857C48">
        <w:rPr>
          <w:rFonts w:eastAsia="Times New Roman" w:cs="Arial"/>
          <w:szCs w:val="22"/>
        </w:rPr>
        <w:t xml:space="preserve"> ~ 2.8-3.2 by centrifugation (5000 x g, 15 min, 4˚C), then washed three times using S30 buffer (10 mM Tris acetate, 14 mM magnesium acetate, 60 mM potassium acetate, and 10 mM DTT). All wash steps were performed at 4˚C. Cell pellets were then weighed, flash frozen, and then stored at -80˚C. For extract preparation, the cell pellets were then thawed on ice and resuspended in 0.8 mL of S30 buffer per g of cell pellet of the pellet by </w:t>
      </w:r>
      <w:proofErr w:type="spellStart"/>
      <w:r w:rsidRPr="00857C48">
        <w:rPr>
          <w:rFonts w:eastAsia="Times New Roman" w:cs="Arial"/>
          <w:szCs w:val="22"/>
        </w:rPr>
        <w:t>vortexing</w:t>
      </w:r>
      <w:proofErr w:type="spellEnd"/>
      <w:r w:rsidRPr="00857C48">
        <w:rPr>
          <w:rFonts w:eastAsia="Times New Roman" w:cs="Arial"/>
          <w:szCs w:val="22"/>
        </w:rPr>
        <w:t xml:space="preserve"> with short bursts (vortex 15 s, rest 30 s, repeat). 1.4 mL aliquots were sonicated on ice in 1.5 mL microcentrifuge tubes using a Branson 450 </w:t>
      </w:r>
      <w:proofErr w:type="spellStart"/>
      <w:r w:rsidRPr="00857C48">
        <w:rPr>
          <w:rFonts w:eastAsia="Times New Roman" w:cs="Arial"/>
          <w:szCs w:val="22"/>
        </w:rPr>
        <w:t>sonifier</w:t>
      </w:r>
      <w:proofErr w:type="spellEnd"/>
      <w:r w:rsidRPr="00857C48">
        <w:rPr>
          <w:rFonts w:eastAsia="Times New Roman" w:cs="Arial"/>
          <w:szCs w:val="22"/>
        </w:rPr>
        <w:t xml:space="preserve"> equipped with a 3.2-mm microtip (45 </w:t>
      </w:r>
      <w:proofErr w:type="spellStart"/>
      <w:r w:rsidRPr="00857C48">
        <w:rPr>
          <w:rFonts w:eastAsia="Times New Roman" w:cs="Arial"/>
          <w:szCs w:val="22"/>
        </w:rPr>
        <w:t>s on</w:t>
      </w:r>
      <w:proofErr w:type="spellEnd"/>
      <w:r w:rsidRPr="00857C48">
        <w:rPr>
          <w:rFonts w:eastAsia="Times New Roman" w:cs="Arial"/>
          <w:szCs w:val="22"/>
        </w:rPr>
        <w:t>, 59 s off for three cycles, 50% amplitude set). 4 µL of 1 M DTT was added into each tube immediately after sonication. All samples were centrifuged at 12000 x g for 10 minutes at 4˚C. The supernatant was collected without disturbing the pellet and centrifuged again to remove remaining debris. The resulting supernatants were aliquoted into fresh centrifuge tubes, flash frozen, and stored at -80˚C.</w:t>
      </w:r>
    </w:p>
    <w:p w14:paraId="529B9826" w14:textId="77777777" w:rsidR="00857C48" w:rsidRPr="00857C48" w:rsidRDefault="00857C48" w:rsidP="00857C48">
      <w:pPr>
        <w:rPr>
          <w:rFonts w:cs="Arial"/>
          <w:color w:val="000000" w:themeColor="text1"/>
          <w:szCs w:val="22"/>
        </w:rPr>
      </w:pPr>
    </w:p>
    <w:p w14:paraId="55E0775C" w14:textId="7CE82EDC" w:rsidR="00857C48" w:rsidRPr="00857C48" w:rsidRDefault="00857C48" w:rsidP="00E033D4">
      <w:pPr>
        <w:pStyle w:val="ChapterSub-heading"/>
      </w:pPr>
      <w:bookmarkStart w:id="123" w:name="_Toc129701063"/>
      <w:r>
        <w:t xml:space="preserve">5.3.5. </w:t>
      </w:r>
      <w:r w:rsidRPr="00857C48">
        <w:t>CFE reaction preparation</w:t>
      </w:r>
      <w:bookmarkEnd w:id="123"/>
    </w:p>
    <w:p w14:paraId="1F4FF6EA" w14:textId="77777777" w:rsidR="00857C48" w:rsidRPr="00857C48" w:rsidRDefault="00857C48" w:rsidP="00857C48">
      <w:pPr>
        <w:ind w:firstLine="720"/>
        <w:rPr>
          <w:rFonts w:eastAsia="Times New Roman" w:cs="Arial"/>
          <w:szCs w:val="22"/>
        </w:rPr>
      </w:pPr>
      <w:r w:rsidRPr="00857C48">
        <w:rPr>
          <w:rFonts w:cs="Arial"/>
          <w:color w:val="000000" w:themeColor="text1"/>
          <w:szCs w:val="22"/>
        </w:rPr>
        <w:t xml:space="preserve">The initial cell-free reaction base mix comprised 1.2 mM ATP, </w:t>
      </w:r>
      <w:r w:rsidRPr="00857C48">
        <w:rPr>
          <w:rFonts w:eastAsia="Times New Roman" w:cs="Arial"/>
          <w:szCs w:val="22"/>
        </w:rPr>
        <w:t xml:space="preserve">0.85 mM GTP, 0.85 mM UTP and 0.85 mM CTP; 34.5 </w:t>
      </w:r>
      <w:proofErr w:type="spellStart"/>
      <w:r w:rsidRPr="00857C48">
        <w:rPr>
          <w:rFonts w:eastAsia="Times New Roman" w:cs="Arial"/>
          <w:szCs w:val="22"/>
        </w:rPr>
        <w:t>μg</w:t>
      </w:r>
      <w:proofErr w:type="spellEnd"/>
      <w:r w:rsidRPr="00857C48">
        <w:rPr>
          <w:rFonts w:eastAsia="Times New Roman" w:cs="Arial"/>
          <w:szCs w:val="22"/>
        </w:rPr>
        <w:t xml:space="preserve">/mL </w:t>
      </w:r>
      <w:proofErr w:type="spellStart"/>
      <w:r w:rsidRPr="00857C48">
        <w:rPr>
          <w:rFonts w:eastAsia="Times New Roman" w:cs="Arial"/>
          <w:szCs w:val="22"/>
        </w:rPr>
        <w:t>folinic</w:t>
      </w:r>
      <w:proofErr w:type="spellEnd"/>
      <w:r w:rsidRPr="00857C48">
        <w:rPr>
          <w:rFonts w:eastAsia="Times New Roman" w:cs="Arial"/>
          <w:szCs w:val="22"/>
        </w:rPr>
        <w:t xml:space="preserve"> acid; 0.4 mM nicotinamide adenine dinucleotide (NAD), 0.27 mM coenzyme A (CoA), 4 mM Oxalic Acid, 1 mM, 1.5 mM spermidine, 57.33 mM HEPES buffer, 10 mM magnesium glutamate, 10 mM ammonium glutamate, 130 mM potassium glutamate, 2 mM each of the 20 amino acids, and 33 mM phosphoenolpyruvate (PEP). Reactions </w:t>
      </w:r>
      <w:r w:rsidRPr="00857C48">
        <w:rPr>
          <w:rFonts w:eastAsia="Times New Roman" w:cs="Arial"/>
          <w:szCs w:val="22"/>
        </w:rPr>
        <w:lastRenderedPageBreak/>
        <w:t xml:space="preserve">were set up in 10 µL volumes unless otherwise stated. Before condition optimization, reactions were started with 13 ng/µL DNA template and incubated at 30˚C. The type of lysate used and changes to any of these conditions are described in the text. Unless otherwise stated, all CFE reactions were incubated for ~ 20 h. </w:t>
      </w:r>
      <w:r w:rsidRPr="00857C48">
        <w:rPr>
          <w:rFonts w:cs="Arial"/>
          <w:color w:val="000000" w:themeColor="text1"/>
          <w:szCs w:val="22"/>
        </w:rPr>
        <w:t>All reactions were incubated in a clear-bottom, black-wall 384-well plate with a non-binding surface (Corning #3544). Whenever possible, reactions were laid out in center wells. Surrounding wells were filled with 1x phosphate buffered saline (PBS) to control the humidity and prevent evaporation. Plates were covered with a hard covered lid and wrapped with parafilm at the sides before incubation.</w:t>
      </w:r>
    </w:p>
    <w:p w14:paraId="59C03776" w14:textId="77777777" w:rsidR="00857C48" w:rsidRPr="00857C48" w:rsidRDefault="00857C48" w:rsidP="00857C48">
      <w:pPr>
        <w:rPr>
          <w:rFonts w:eastAsia="Times New Roman" w:cs="Arial"/>
          <w:szCs w:val="22"/>
        </w:rPr>
      </w:pPr>
    </w:p>
    <w:p w14:paraId="6AACFD9E" w14:textId="432AAA45" w:rsidR="00857C48" w:rsidRPr="00857C48" w:rsidRDefault="00857C48" w:rsidP="00E033D4">
      <w:pPr>
        <w:pStyle w:val="ChapterSub-heading"/>
      </w:pPr>
      <w:bookmarkStart w:id="124" w:name="_Toc129701064"/>
      <w:r>
        <w:t xml:space="preserve">5.3.6. </w:t>
      </w:r>
      <w:proofErr w:type="spellStart"/>
      <w:r w:rsidRPr="00857C48">
        <w:t>Indigoidine</w:t>
      </w:r>
      <w:proofErr w:type="spellEnd"/>
      <w:r w:rsidRPr="00857C48">
        <w:t xml:space="preserve"> quantitation in lysates with absorbance measurements</w:t>
      </w:r>
      <w:bookmarkEnd w:id="124"/>
    </w:p>
    <w:p w14:paraId="217BE941" w14:textId="2437014B" w:rsidR="00857C48" w:rsidRPr="00857C48" w:rsidRDefault="00857C48" w:rsidP="00BD523B">
      <w:pPr>
        <w:ind w:firstLine="720"/>
        <w:rPr>
          <w:rFonts w:cs="Arial"/>
          <w:b/>
          <w:bCs/>
          <w:szCs w:val="22"/>
        </w:rPr>
      </w:pPr>
      <w:r w:rsidRPr="00857C48">
        <w:rPr>
          <w:rFonts w:cs="Arial"/>
          <w:szCs w:val="22"/>
        </w:rPr>
        <w:t xml:space="preserve">To generate standard curves from pigment absorbance measurements, increasing concentrations of the purified pigment dissolved in DMSO were spiked into BAP1 lysate mock reactions (i.e., reaction mix without DNA). Absorbance measurements were made in a 384-well plate, without a lid, loaded into a </w:t>
      </w:r>
      <w:proofErr w:type="spellStart"/>
      <w:r w:rsidRPr="00857C48">
        <w:rPr>
          <w:rFonts w:cs="Arial"/>
          <w:szCs w:val="22"/>
        </w:rPr>
        <w:t>BioTek</w:t>
      </w:r>
      <w:proofErr w:type="spellEnd"/>
      <w:r w:rsidRPr="00857C48">
        <w:rPr>
          <w:rFonts w:cs="Arial"/>
          <w:szCs w:val="22"/>
        </w:rPr>
        <w:t xml:space="preserve"> Cytation5 (Agilent) plate reader. </w:t>
      </w:r>
      <w:r w:rsidRPr="00857C48">
        <w:rPr>
          <w:rFonts w:cs="Arial"/>
          <w:color w:val="000000" w:themeColor="text1"/>
          <w:szCs w:val="22"/>
        </w:rPr>
        <w:t>The read protocol was set to shake the plate at high speed for 2 s then measure absorbance in selected wells at 590 nm and then at 800 nm.</w:t>
      </w:r>
      <w:r w:rsidRPr="00857C48">
        <w:rPr>
          <w:rFonts w:cs="Arial"/>
          <w:b/>
          <w:bCs/>
          <w:szCs w:val="22"/>
        </w:rPr>
        <w:t xml:space="preserve"> </w:t>
      </w:r>
      <w:r w:rsidRPr="00857C48">
        <w:rPr>
          <w:rFonts w:cs="Arial"/>
          <w:szCs w:val="22"/>
        </w:rPr>
        <w:t xml:space="preserve">Absorbance values at 590 nm (A590) were divided by values at 800 nm (A800) following a previously described protocol in </w:t>
      </w:r>
      <w:r w:rsidRPr="00857C48">
        <w:rPr>
          <w:rFonts w:cs="Arial"/>
          <w:i/>
          <w:iCs/>
          <w:szCs w:val="22"/>
        </w:rPr>
        <w:t xml:space="preserve">E. coli </w:t>
      </w:r>
      <w:r w:rsidRPr="00857C48">
        <w:rPr>
          <w:rFonts w:cs="Arial"/>
          <w:szCs w:val="22"/>
        </w:rPr>
        <w:t>cells to deconvolute pigment absorbance from the lysate’s optical density.</w:t>
      </w:r>
      <w:r w:rsidRPr="00857C48">
        <w:rPr>
          <w:rFonts w:cs="Arial"/>
          <w:szCs w:val="22"/>
        </w:rPr>
        <w:fldChar w:fldCharType="begin" w:fldLock="1"/>
      </w:r>
      <w:r w:rsidR="004F3109">
        <w:rPr>
          <w:rFonts w:cs="Arial"/>
          <w:szCs w:val="22"/>
        </w:rPr>
        <w:instrText>ADDIN CSL_CITATION {"citationItems":[{"id":"ITEM-1","itemData":{"DOI":"10.1039/C3MB70594C","ISSN":"1742-2051","PMID":"24457530","abstract":"Non-ribosomal peptide synthetases (NRPSs) are enzymes that catalyze ribosome-independent production of small peptides, most of which are bioactive. NRPSs act as peptide assembly lines where individual, often interconnected modules each incorporate a specific amino acid into the nascent chain. The modules themselves consist of several domains that function in the activation, modification and condensation of the substrate. NRPSs are evidently modular, yet experimental proof of the ability to engineer desired permutations of domains and modules is still sought. Here, we use a synthetic-biology approach to create a small library of engineered NRPSs, in which the domain responsible for carrying the activated amino acid (T domain) is exchanged with natural or synthetic T domains. As a model system, we employ the single-module NRPS IndC from Photorhabdus luminescens that produces the blue pigment indigoidine. As chassis we use Escherichia coli. We demonstrate that heterologous T domain exchange is possible, even for T domains derived from different organisms. Interestingly, substitution of the native T domain with a synthetic one enhanced indigoidine production. Moreover, we show that selection of appropriate inter-domain linker regions is critical for functionality. Taken together, our results extend the engineering avenues for NRPSs, as they point out the possibility of combining domain sequences coming from different pathways, organisms or from conservation criteria. Moreover, our data suggest that NRPSs can be rationally engineered to control the level of production of the corresponding peptides. This could have important implications for industrial and medical applications.","author":[{"dropping-particle":"","family":"Beer","given":"Ralf","non-dropping-particle":"","parse-names":false,"suffix":""},{"dropping-particle":"","family":"Herbst","given":"Konrad","non-dropping-particle":"","parse-names":false,"suffix":""},{"dropping-particle":"","family":"Ignatiadis","given":"Nikolaos","non-dropping-particle":"","parse-names":false,"suffix":""},{"dropping-particle":"","family":"Kats","given":"Ilia","non-dropping-particle":"","parse-names":false,"suffix":""},{"dropping-particle":"","family":"Adlung","given":"Lorenz","non-dropping-particle":"","parse-names":false,"suffix":""},{"dropping-particle":"","family":"Meyer","given":"Hannah","non-dropping-particle":"","parse-names":false,"suffix":""},{"dropping-particle":"","family":"Niopek","given":"Dominik","non-dropping-particle":"","parse-names":false,"suffix":""},{"dropping-particle":"","family":"Christiansen","given":"Tania","non-dropping-particle":"","parse-names":false,"suffix":""},{"dropping-particle":"","family":"Georgi","given":"Fanny","non-dropping-particle":"","parse-names":false,"suffix":""},{"dropping-particle":"","family":"Kurzawa","given":"Nils","non-dropping-particle":"","parse-names":false,"suffix":""},{"dropping-particle":"","family":"Meichsner","given":"Johanna","non-dropping-particle":"","parse-names":false,"suffix":""},{"dropping-particle":"","family":"Rabe","given":"Sophie","non-dropping-particle":"","parse-names":false,"suffix":""},{"dropping-particle":"","family":"Riedel","given":"Anja","non-dropping-particle":"","parse-names":false,"suffix":""},{"dropping-particle":"","family":"Sachs","given":"Joshua","non-dropping-particle":"","parse-names":false,"suffix":""},{"dropping-particle":"","family":"Schessner","given":"Julia","non-dropping-particle":"","parse-names":false,"suffix":""},{"dropping-particle":"","family":"Schmidt","given":"Florian","non-dropping-particle":"","parse-names":false,"suffix":""},{"dropping-particle":"","family":"Walch","given":"Philipp","non-dropping-particle":"","parse-names":false,"suffix":""},{"dropping-particle":"","family":"Niopek","given":"Katharina","non-dropping-particle":"","parse-names":false,"suffix":""},{"dropping-particle":"","family":"Heinemann","given":"Tim","non-dropping-particle":"","parse-names":false,"suffix":""},{"dropping-particle":"","family":"Eils","given":"Roland","non-dropping-particle":"","parse-names":false,"suffix":""},{"dropping-particle":"","family":"Ventura","given":"Barbara","non-dropping-particle":"Di","parse-names":false,"suffix":""}],"container-title":"Molecular BioSystems","id":"ITEM-1","issue":"7","issued":{"date-parts":[["2014","6","3"]]},"page":"1709-1718","publisher":"The Royal Society of Chemistry","title":"Creating functional engineered variants of the single-module non-ribosomal peptide synthetase IndC by T domain exchange","type":"article-journal","volume":"10"},"uris":["http://www.mendeley.com/documents/?uuid=d93e98d4-7621-36cc-9e1f-0d5950ed4ec5"]}],"mendeley":{"formattedCitation":"&lt;sup&gt;198&lt;/sup&gt;","plainTextFormattedCitation":"198","previouslyFormattedCitation":"&lt;sup&gt;198&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198</w:t>
      </w:r>
      <w:r w:rsidRPr="00857C48">
        <w:rPr>
          <w:rFonts w:cs="Arial"/>
          <w:szCs w:val="22"/>
        </w:rPr>
        <w:fldChar w:fldCharType="end"/>
      </w:r>
      <w:r w:rsidRPr="00857C48">
        <w:rPr>
          <w:rFonts w:cs="Arial"/>
          <w:szCs w:val="22"/>
        </w:rPr>
        <w:t xml:space="preserve"> To solubilize purified </w:t>
      </w:r>
      <w:proofErr w:type="spellStart"/>
      <w:r w:rsidRPr="00857C48">
        <w:rPr>
          <w:rFonts w:cs="Arial"/>
          <w:szCs w:val="22"/>
        </w:rPr>
        <w:t>indigoidine</w:t>
      </w:r>
      <w:proofErr w:type="spellEnd"/>
      <w:r w:rsidRPr="00857C48">
        <w:rPr>
          <w:rFonts w:cs="Arial"/>
          <w:szCs w:val="22"/>
        </w:rPr>
        <w:t xml:space="preserve">, 50 %, 60 %, 70 %, or 80 % DMSO were added to reaction mixes containing purified </w:t>
      </w:r>
      <w:proofErr w:type="spellStart"/>
      <w:r w:rsidRPr="00857C48">
        <w:rPr>
          <w:rFonts w:cs="Arial"/>
          <w:szCs w:val="22"/>
        </w:rPr>
        <w:t>indigoidine</w:t>
      </w:r>
      <w:proofErr w:type="spellEnd"/>
      <w:r w:rsidRPr="00857C48">
        <w:rPr>
          <w:rFonts w:cs="Arial"/>
          <w:szCs w:val="22"/>
        </w:rPr>
        <w:t xml:space="preserve"> following a protocol previously described in purified </w:t>
      </w:r>
      <w:proofErr w:type="spellStart"/>
      <w:r w:rsidRPr="00857C48">
        <w:rPr>
          <w:rFonts w:cs="Arial"/>
          <w:szCs w:val="22"/>
        </w:rPr>
        <w:t>BpsA</w:t>
      </w:r>
      <w:proofErr w:type="spellEnd"/>
      <w:r w:rsidRPr="00857C48">
        <w:rPr>
          <w:rFonts w:cs="Arial"/>
          <w:szCs w:val="22"/>
        </w:rPr>
        <w:t xml:space="preserve"> samples.</w:t>
      </w:r>
      <w:r w:rsidRPr="00857C48">
        <w:rPr>
          <w:rFonts w:cs="Arial"/>
          <w:szCs w:val="22"/>
        </w:rPr>
        <w:fldChar w:fldCharType="begin" w:fldLock="1"/>
      </w:r>
      <w:r w:rsidR="00567FF4">
        <w:rPr>
          <w:rFonts w:cs="Arial"/>
          <w:szCs w:val="22"/>
        </w:rPr>
        <w:instrText>ADDIN CSL_CITATION {"citationItems":[{"id":"ITEM-1","itemData":{"DOI":"10.1038/srep41745","ISSN":"20452322","abstract":"The ability to rapidly, economically and accurately measure L-glutamine concentrations in biological samples is important for many areas of research, medicine or industry, however there is room for improvement on existing methods. We describe here how the enzyme BpsA, a single-module non-ribosomal peptide synthetase able to convert L-glutamine into the blue pigment indigoidine, can be used to accurately measure L-glutamine in biological samples. Although indigoidine has low solubility in aqueous solutions, meaning direct measurements of indigoidine synthesis do not reliably yield linear standard curves, we demonstrate that resolubilisation of the reaction end-products in DMSO overcomes this issue and that spontaneous reduction to colourless leuco-indigoidine occurs too slowly to interfere with assay accuracy. Our protocol is amenable to a 96-well microtitre format and can be used to measure L-glutamine in common bacterial and mammalian culture media, urine, and deproteinated plasma. We show that active BpsA can be prepared in high yield by expressing it in the apo-form to avoid the toxicity of indigoidine to Escherichia coli host cells, then activating it to the holo-form in cell lysates prior to purification; and that BpsA has a lengthy shelf-life, retaining &gt;95% activity when stored at either -20 °C or 4 °C for 24 weeks.","author":[{"dropping-particle":"","family":"Brown","given":"Alistair S.","non-dropping-particle":"","parse-names":false,"suffix":""},{"dropping-particle":"","family":"Robins","given":"Katherine J.","non-dropping-particle":"","parse-names":false,"suffix":""},{"dropping-particle":"","family":"Ackerley","given":"David F.","non-dropping-particle":"","parse-names":false,"suffix":""}],"container-title":"Scientific Reports","id":"ITEM-1","issue":"1","issued":{"date-parts":[["2017","1","31"]]},"page":"1-13","publisher":"Nature Publishing Group","title":"A sensitive single-enzyme assay system using the non-ribosomal peptide synthetase BpsA for measurement of L-glutamine in biological samples","type":"article-journal","volume":"7"},"uris":["http://www.mendeley.com/documents/?uuid=dda65998-f29d-3848-91b7-4a30a37396e6"]}],"mendeley":{"formattedCitation":"&lt;sup&gt;69&lt;/sup&gt;","plainTextFormattedCitation":"69","previouslyFormattedCitation":"&lt;sup&gt;69&lt;/sup&gt;"},"properties":{"noteIndex":0},"schema":"https://github.com/citation-style-language/schema/raw/master/csl-citation.json"}</w:instrText>
      </w:r>
      <w:r w:rsidRPr="00857C48">
        <w:rPr>
          <w:rFonts w:cs="Arial"/>
          <w:szCs w:val="22"/>
        </w:rPr>
        <w:fldChar w:fldCharType="separate"/>
      </w:r>
      <w:r w:rsidR="00567FF4" w:rsidRPr="00567FF4">
        <w:rPr>
          <w:rFonts w:cs="Arial"/>
          <w:noProof/>
          <w:szCs w:val="22"/>
          <w:vertAlign w:val="superscript"/>
        </w:rPr>
        <w:t>69</w:t>
      </w:r>
      <w:r w:rsidRPr="00857C48">
        <w:rPr>
          <w:rFonts w:cs="Arial"/>
          <w:szCs w:val="22"/>
        </w:rPr>
        <w:fldChar w:fldCharType="end"/>
      </w:r>
      <w:r w:rsidRPr="00857C48">
        <w:rPr>
          <w:rFonts w:cs="Arial"/>
          <w:szCs w:val="22"/>
        </w:rPr>
        <w:t xml:space="preserve"> Mixing was performed by gentle swirling using the pipette tip. A590/A800 values taken before DMSO addition were subtracted from values taken after DMSO addition to measure solubilized </w:t>
      </w:r>
      <w:proofErr w:type="spellStart"/>
      <w:r w:rsidRPr="00857C48">
        <w:rPr>
          <w:rFonts w:cs="Arial"/>
          <w:szCs w:val="22"/>
        </w:rPr>
        <w:t>indigoidine</w:t>
      </w:r>
      <w:proofErr w:type="spellEnd"/>
      <w:r w:rsidRPr="00857C48">
        <w:rPr>
          <w:rFonts w:cs="Arial"/>
          <w:szCs w:val="22"/>
        </w:rPr>
        <w:t>. The resulting values were then normalized to the 0 µM pigment condition. A concentration of 70 % DMSO with this absorbance measurement method could detect a broad range of pigment concentrations (</w:t>
      </w:r>
      <w:r w:rsidRPr="00857C48">
        <w:rPr>
          <w:rFonts w:cs="Arial"/>
          <w:b/>
          <w:bCs/>
          <w:szCs w:val="22"/>
        </w:rPr>
        <w:t>Fig</w:t>
      </w:r>
      <w:r w:rsidR="00D60D4C">
        <w:rPr>
          <w:rFonts w:cs="Arial"/>
          <w:b/>
          <w:bCs/>
          <w:szCs w:val="22"/>
        </w:rPr>
        <w:t>ure</w:t>
      </w:r>
      <w:r w:rsidRPr="00857C48">
        <w:rPr>
          <w:rFonts w:cs="Arial"/>
          <w:b/>
          <w:bCs/>
          <w:szCs w:val="22"/>
        </w:rPr>
        <w:t xml:space="preserve"> </w:t>
      </w:r>
      <w:r w:rsidR="00D60D4C">
        <w:rPr>
          <w:rFonts w:cs="Arial"/>
          <w:b/>
          <w:bCs/>
          <w:szCs w:val="22"/>
        </w:rPr>
        <w:t>5.</w:t>
      </w:r>
      <w:r w:rsidRPr="00857C48">
        <w:rPr>
          <w:rFonts w:cs="Arial"/>
          <w:b/>
          <w:bCs/>
          <w:szCs w:val="22"/>
        </w:rPr>
        <w:t xml:space="preserve">2B, </w:t>
      </w:r>
      <w:r w:rsidR="00D60D4C">
        <w:rPr>
          <w:rFonts w:cs="Arial"/>
          <w:b/>
          <w:bCs/>
          <w:szCs w:val="22"/>
        </w:rPr>
        <w:t xml:space="preserve">Appendix </w:t>
      </w:r>
      <w:r w:rsidRPr="00857C48">
        <w:rPr>
          <w:rFonts w:cs="Arial"/>
          <w:b/>
          <w:bCs/>
          <w:szCs w:val="22"/>
        </w:rPr>
        <w:t>Fig</w:t>
      </w:r>
      <w:r w:rsidR="00D60D4C">
        <w:rPr>
          <w:rFonts w:cs="Arial"/>
          <w:b/>
          <w:bCs/>
          <w:szCs w:val="22"/>
        </w:rPr>
        <w:t>ures</w:t>
      </w:r>
      <w:r w:rsidRPr="00857C48">
        <w:rPr>
          <w:rFonts w:cs="Arial"/>
          <w:b/>
          <w:bCs/>
          <w:szCs w:val="22"/>
        </w:rPr>
        <w:t xml:space="preserve">. </w:t>
      </w:r>
      <w:r w:rsidR="00D60D4C">
        <w:rPr>
          <w:rFonts w:cs="Arial"/>
          <w:b/>
          <w:bCs/>
          <w:szCs w:val="22"/>
        </w:rPr>
        <w:t>5.</w:t>
      </w:r>
      <w:r w:rsidR="00BD523B">
        <w:rPr>
          <w:rFonts w:cs="Arial"/>
          <w:b/>
          <w:bCs/>
          <w:szCs w:val="22"/>
        </w:rPr>
        <w:t>7</w:t>
      </w:r>
      <w:r w:rsidRPr="00857C48">
        <w:rPr>
          <w:rFonts w:cs="Arial"/>
          <w:b/>
          <w:bCs/>
          <w:szCs w:val="22"/>
        </w:rPr>
        <w:t>B-D</w:t>
      </w:r>
      <w:r w:rsidRPr="00857C48">
        <w:rPr>
          <w:rFonts w:cs="Arial"/>
          <w:szCs w:val="22"/>
        </w:rPr>
        <w:t xml:space="preserve">). </w:t>
      </w:r>
    </w:p>
    <w:p w14:paraId="29B01F9B" w14:textId="77777777" w:rsidR="00857C48" w:rsidRPr="00857C48" w:rsidRDefault="00857C48" w:rsidP="00857C48">
      <w:pPr>
        <w:ind w:firstLine="720"/>
        <w:rPr>
          <w:rFonts w:cs="Arial"/>
          <w:color w:val="000000" w:themeColor="text1"/>
          <w:szCs w:val="22"/>
        </w:rPr>
      </w:pPr>
      <w:r w:rsidRPr="00857C48">
        <w:rPr>
          <w:rFonts w:cs="Arial"/>
          <w:color w:val="000000" w:themeColor="text1"/>
          <w:szCs w:val="22"/>
        </w:rPr>
        <w:lastRenderedPageBreak/>
        <w:t xml:space="preserve">To measure the absorbance of </w:t>
      </w:r>
      <w:proofErr w:type="spellStart"/>
      <w:r w:rsidRPr="00857C48">
        <w:rPr>
          <w:rFonts w:cs="Arial"/>
          <w:color w:val="000000" w:themeColor="text1"/>
          <w:szCs w:val="22"/>
        </w:rPr>
        <w:t>indigoidine</w:t>
      </w:r>
      <w:proofErr w:type="spellEnd"/>
      <w:r w:rsidRPr="00857C48">
        <w:rPr>
          <w:rFonts w:cs="Arial"/>
          <w:color w:val="000000" w:themeColor="text1"/>
          <w:szCs w:val="22"/>
        </w:rPr>
        <w:t xml:space="preserve"> produced by cell-free expressed </w:t>
      </w:r>
      <w:proofErr w:type="spellStart"/>
      <w:r w:rsidRPr="00857C48">
        <w:rPr>
          <w:rFonts w:cs="Arial"/>
          <w:color w:val="000000" w:themeColor="text1"/>
          <w:szCs w:val="22"/>
        </w:rPr>
        <w:t>BpsA</w:t>
      </w:r>
      <w:proofErr w:type="spellEnd"/>
      <w:r w:rsidRPr="00857C48">
        <w:rPr>
          <w:rFonts w:cs="Arial"/>
          <w:color w:val="000000" w:themeColor="text1"/>
          <w:szCs w:val="22"/>
        </w:rPr>
        <w:t>-TC, base reaction mixes with BAP1 lysate and pET28a(+)-</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were </w:t>
      </w:r>
      <w:r w:rsidRPr="00857C48">
        <w:rPr>
          <w:rFonts w:cs="Arial"/>
          <w:szCs w:val="22"/>
        </w:rPr>
        <w:t xml:space="preserve">incubated at 30˚C. Modifications to the reactions for validating pigment production are described in the text. All reactions were laid out on a 384-well plate and measured after ~ 20 h. </w:t>
      </w:r>
      <w:r w:rsidRPr="00857C48">
        <w:rPr>
          <w:rFonts w:cs="Arial"/>
          <w:color w:val="000000" w:themeColor="text1"/>
          <w:szCs w:val="22"/>
        </w:rPr>
        <w:t xml:space="preserve">A590 and A800 measurements were taken before and after 70 % DMSO addition and normalized as described above. Values reported for the </w:t>
      </w:r>
      <w:r w:rsidRPr="00857C48">
        <w:rPr>
          <w:rFonts w:cs="Arial"/>
          <w:smallCaps/>
          <w:szCs w:val="22"/>
        </w:rPr>
        <w:t>L</w:t>
      </w:r>
      <w:r w:rsidRPr="00857C48">
        <w:rPr>
          <w:rFonts w:cs="Arial"/>
          <w:szCs w:val="22"/>
        </w:rPr>
        <w:t>-Gln,</w:t>
      </w:r>
      <w:r w:rsidRPr="00857C48">
        <w:rPr>
          <w:rFonts w:cs="Arial"/>
          <w:color w:val="000000" w:themeColor="text1"/>
          <w:szCs w:val="22"/>
        </w:rPr>
        <w:t xml:space="preserve"> CoA, and DNA experiments were further normalized to appropriate baseline conditions (0 mM </w:t>
      </w:r>
      <w:r w:rsidRPr="00857C48">
        <w:rPr>
          <w:rFonts w:cs="Arial"/>
          <w:smallCaps/>
          <w:szCs w:val="22"/>
        </w:rPr>
        <w:t>L</w:t>
      </w:r>
      <w:r w:rsidRPr="00857C48">
        <w:rPr>
          <w:rFonts w:cs="Arial"/>
          <w:szCs w:val="22"/>
        </w:rPr>
        <w:t>-Gln</w:t>
      </w:r>
      <w:r w:rsidRPr="00857C48">
        <w:rPr>
          <w:rFonts w:cs="Arial"/>
          <w:color w:val="000000" w:themeColor="text1"/>
          <w:szCs w:val="22"/>
        </w:rPr>
        <w:t xml:space="preserve"> or CoA and 0 ng/µL DNA). </w:t>
      </w:r>
    </w:p>
    <w:p w14:paraId="64B9519A" w14:textId="77777777" w:rsidR="00857C48" w:rsidRPr="00857C48" w:rsidRDefault="00857C48" w:rsidP="00857C48">
      <w:pPr>
        <w:rPr>
          <w:rFonts w:cs="Arial"/>
          <w:color w:val="000000" w:themeColor="text1"/>
          <w:szCs w:val="22"/>
        </w:rPr>
      </w:pPr>
    </w:p>
    <w:p w14:paraId="23B06BCE" w14:textId="1A0FA7FE" w:rsidR="00857C48" w:rsidRPr="00857C48" w:rsidRDefault="00857C48" w:rsidP="00E033D4">
      <w:pPr>
        <w:pStyle w:val="ChapterSub-heading"/>
      </w:pPr>
      <w:bookmarkStart w:id="125" w:name="_Toc129701065"/>
      <w:r>
        <w:t xml:space="preserve">5.3.7. </w:t>
      </w:r>
      <w:r w:rsidRPr="00857C48">
        <w:t>Comparative quantification of TC-based fluorescence measurements</w:t>
      </w:r>
      <w:bookmarkEnd w:id="125"/>
    </w:p>
    <w:p w14:paraId="42247056" w14:textId="38376658" w:rsidR="00857C48" w:rsidRPr="00857C48" w:rsidRDefault="00857C48" w:rsidP="00857C48">
      <w:pPr>
        <w:ind w:firstLine="720"/>
        <w:rPr>
          <w:rFonts w:cs="Arial"/>
          <w:color w:val="000000" w:themeColor="text1"/>
          <w:szCs w:val="22"/>
        </w:rPr>
      </w:pPr>
      <w:r w:rsidRPr="00857C48">
        <w:rPr>
          <w:rFonts w:cs="Arial"/>
          <w:color w:val="000000" w:themeColor="text1"/>
          <w:szCs w:val="22"/>
        </w:rPr>
        <w:t xml:space="preserve">The distribution of reactions across a plate and subsequent analyses with </w:t>
      </w:r>
      <w:r w:rsidRPr="00857C48">
        <w:rPr>
          <w:rFonts w:cs="Arial"/>
          <w:szCs w:val="22"/>
        </w:rPr>
        <w:t>FlAsH-EDT</w:t>
      </w:r>
      <w:r w:rsidRPr="00857C48">
        <w:rPr>
          <w:rFonts w:cs="Arial"/>
          <w:szCs w:val="22"/>
          <w:vertAlign w:val="subscript"/>
        </w:rPr>
        <w:t>2</w:t>
      </w:r>
      <w:r w:rsidRPr="00857C48">
        <w:rPr>
          <w:rFonts w:cs="Arial"/>
          <w:szCs w:val="22"/>
        </w:rPr>
        <w:t xml:space="preserve"> and ReAsH-EDT</w:t>
      </w:r>
      <w:r w:rsidRPr="00857C48">
        <w:rPr>
          <w:rFonts w:cs="Arial"/>
          <w:szCs w:val="22"/>
          <w:vertAlign w:val="subscript"/>
        </w:rPr>
        <w:t xml:space="preserve">2 </w:t>
      </w:r>
      <w:r w:rsidRPr="00857C48">
        <w:rPr>
          <w:rFonts w:cs="Arial"/>
          <w:szCs w:val="22"/>
        </w:rPr>
        <w:t>labeling reagents (Thermo Fisher #T34563)</w:t>
      </w:r>
      <w:r w:rsidRPr="00857C48">
        <w:rPr>
          <w:rFonts w:cs="Arial"/>
          <w:color w:val="000000" w:themeColor="text1"/>
          <w:szCs w:val="22"/>
        </w:rPr>
        <w:t xml:space="preserve"> were evaluated to correct for positional effects from the plate and reader</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{"citationItems":[{"id":"ITEM-1","itemData":{"PMID":"32520474","abstract":"High-throughput screening (HTS) can efficiently assay multiple discrete biological reactions using multi-well microplates. The choice of microplate is a crucial yet often overlooked technical decision in HTS and quantitative biology. This chapter reviews key criteria for microplate selection, including: well number, well volume and shape, microplate color, surface treatments/coatings, and considerations for specialized applications such as high-content screening. This chapter then provides important technical advice for microplate handling including mixing, dispensing, incubation, and centrifugation. Special topics are discussed, including microplate surface properties, plate washing, well-to-well contamination, microplate positional effects, well-to-well and inter-lot variability, and troubleshooting. This information and best practices derived from academic, government, and industry screening centers, as well as microplate vendors, should accelerate assay development and enhance assay quality.","author":[{"dropping-particle":"","family":"Douglas S. Auld","given":"Ph.D.","non-dropping-particle":"","parse-names":false,"suffix":""},{"dropping-particle":"","family":"Peter A. Coassin","given":"B.S.","non-dropping-particle":"","parse-names":false,"suffix":""},{"dropping-particle":"","family":"Nathan P. Coussens","given":"Ph.D.","non-dropping-particle":"","parse-names":false,"suffix":""},{"dropping-particle":"","family":"Hensley","given":"Paul","non-dropping-particle":"","parse-names":false,"suffix":""},{"dropping-particle":"","family":"Klumpp-Thomas","given":"Carleen","non-dropping-particle":"","parse-names":false,"suffix":""},{"dropping-particle":"","family":"Michael","given":"Sam","non-dropping-particle":"","parse-names":false,"suffix":""},{"dropping-particle":"","family":"G. Sitta Sittampalam","given":"Ph.D.","non-dropping-particle":"","parse-names":false,"suffix":""},{"dropping-particle":"","family":"O. Joseph Trask","given":"B.S.","non-dropping-particle":"","parse-names":false,"suffix":""},{"dropping-particle":"","family":"Bridget K. Wagner","given":"Ph.D.","non-dropping-particle":"","parse-names":false,"suffix":""},{"dropping-particle":"","family":"Jeffrey R. Weidner","given":"Ph.D.","non-dropping-particle":"","parse-names":false,"suffix":""},{"dropping-particle":"","family":"Mary Jo Wildey","given":"Ph.D.","non-dropping-particle":"","parse-names":false,"suffix":""},{"dropping-particle":"","family":"Jayme L. Dahlin","given":"M.D., Ph.D.","non-dropping-particle":"","parse-names":false,"suffix":""}],"container-title":"Assay Guidance Manual","id":"ITEM-1","issued":{"date-parts":[["2020","6","1"]]},"publisher":"Eli Lilly &amp; Company and the National Center for Advancing Translational Sciences","title":"Microplate Selection and Recommended Practices in High-throughput Screening and Quantitative Biology","type":"article-journal"},"uris":["http://www.mendeley.com/documents/?uuid=3538bbf4-174c-34d1-aa89-c93f4e22f44c"]}],"mendeley":{"formattedCitation":"&lt;sup&gt;227&lt;/sup&gt;","plainTextFormattedCitation":"227","previouslyFormattedCitation":"&lt;sup&gt;227&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227</w:t>
      </w:r>
      <w:r w:rsidRPr="00857C48">
        <w:rPr>
          <w:rFonts w:cs="Arial"/>
          <w:color w:val="000000" w:themeColor="text1"/>
          <w:szCs w:val="22"/>
        </w:rPr>
        <w:fldChar w:fldCharType="end"/>
      </w:r>
      <w:r w:rsidR="00D60D4C">
        <w:rPr>
          <w:rFonts w:cs="Arial"/>
          <w:color w:val="000000" w:themeColor="text1"/>
          <w:szCs w:val="22"/>
        </w:rPr>
        <w:t>.</w:t>
      </w:r>
      <w:r w:rsidRPr="00857C48">
        <w:rPr>
          <w:rFonts w:cs="Arial"/>
          <w:color w:val="000000" w:themeColor="text1"/>
          <w:szCs w:val="22"/>
        </w:rPr>
        <w:t xml:space="preserve"> An appropriate design, tested with protein standards, was then used in all experiments comparing endpoint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measurements among reactions within a single plate read (e.g., different concentrations of PEP). For each condition tested (e.g., specific PEP concentration), a triplicate set of test reactions (with plasmid) and its corresponding triplicate set of control reactions (without plasmid) were prepared (10 µL volumes). Triplicate test reactions were then plated adjacently on one row (e.g., Row H) and control reactions on another row (e.g., Row I). The test set and control set of each condition were laid out symmetrically to minimize well-to-well variation due to plate design.</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{"citationItems":[{"id":"ITEM-1","itemData":{"DOI":"10.1186/1477-9560-11-12","ISSN":"1477-9560","PMID":"23829491","abstract":"Background: Microplate-based thrombin generation test (TGT) is widely used as clinical measure of global hemostatic potential and it becomes a useful tool for control of drug potency and quality by drug manufactures. However, the convenience of the microtiter plate technology can be deceiving: microplate assays are prone to location-based variability in different parts of the microtiter plate.Methods: In this report, we evaluated the well-to-well consistency of the TGT variant specifically applied to the quantitative detection of the thrombogenic substances in the immune globulin product. We also studied the utility of previously described microplate layout designs in the TGT experiment.Results: Location of the sample on the microplate (location effect) contributes to the variability of TGT measurements. Use of manual pipetting techniques and applications of the TGT to the evaluation of procoagulant enzymatic substances are especially sensitive. The effects were not sensitive to temperature or choice of microplate reader. Smallest location effects were observed with automated dispenser-based calibrated thrombogram instrument. Even for an automated instrument, the use of calibration curve resulted in up to 30% bias in thrombogenic potency assignment.Conclusions: Use of symmetrical version of the strip-plot layout was demonstrated to help to minimize location artifacts even under the worst-case conditions. Strip-plot layouts are required for quantitative thrombin-generation based bioassays used in the biotechnological field. © 2013 Liang et al.; licensee BioMed Central Ltd.","author":[{"dropping-particle":"","family":"Liang","given":"Yideng","non-dropping-particle":"","parse-names":false,"suffix":""},{"dropping-particle":"","family":"Woodle","given":"Samuel A.","non-dropping-particle":"","parse-names":false,"suffix":""},{"dropping-particle":"","family":"Shibeko","given":"Alexey M.","non-dropping-particle":"","parse-names":false,"suffix":""},{"dropping-particle":"","family":"Lee","given":"Timothy K.","non-dropping-particle":"","parse-names":false,"suffix":""},{"dropping-particle":"V.","family":"Ovanesov","given":"Mikhail","non-dropping-particle":"","parse-names":false,"suffix":""}],"container-title":"Thrombosis journal","id":"ITEM-1","issue":"1","issued":{"date-parts":[["2013","7","5"]]},"publisher":"Thromb J","title":"Correction of microplate location effects improves performance of the thrombin generation test","type":"article-journal","volume":"11"},"uris":["http://www.mendeley.com/documents/?uuid=9f1b8284-b13c-3141-8e78-b6b9e1fb2275"]},{"id":"ITEM-2","itemData":{"PMID":"32520474","abstract":"High-throughput screening (HTS) can efficiently assay multiple discrete biological reactions using multi-well microplates. The choice of microplate is a crucial yet often overlooked technical decision in HTS and quantitative biology. This chapter reviews key criteria for microplate selection, including: well number, well volume and shape, microplate color, surface treatments/coatings, and considerations for specialized applications such as high-content screening. This chapter then provides important technical advice for microplate handling including mixing, dispensing, incubation, and centrifugation. Special topics are discussed, including microplate surface properties, plate washing, well-to-well contamination, microplate positional effects, well-to-well and inter-lot variability, and troubleshooting. This information and best practices derived from academic, government, and industry screening centers, as well as microplate vendors, should accelerate assay development and enhance assay quality.","author":[{"dropping-particle":"","family":"Douglas S. Auld","given":"Ph.D.","non-dropping-particle":"","parse-names":false,"suffix":""},{"dropping-particle":"","family":"Peter A. Coassin","given":"B.S.","non-dropping-particle":"","parse-names":false,"suffix":""},{"dropping-particle":"","family":"Nathan P. Coussens","given":"Ph.D.","non-dropping-particle":"","parse-names":false,"suffix":""},{"dropping-particle":"","family":"Hensley","given":"Paul","non-dropping-particle":"","parse-names":false,"suffix":""},{"dropping-particle":"","family":"Klumpp-Thomas","given":"Carleen","non-dropping-particle":"","parse-names":false,"suffix":""},{"dropping-particle":"","family":"Michael","given":"Sam","non-dropping-particle":"","parse-names":false,"suffix":""},{"dropping-particle":"","family":"G. Sitta Sittampalam","given":"Ph.D.","non-dropping-particle":"","parse-names":false,"suffix":""},{"dropping-particle":"","family":"O. Joseph Trask","given":"B.S.","non-dropping-particle":"","parse-names":false,"suffix":""},{"dropping-particle":"","family":"Bridget K. Wagner","given":"Ph.D.","non-dropping-particle":"","parse-names":false,"suffix":""},{"dropping-particle":"","family":"Jeffrey R. Weidner","given":"Ph.D.","non-dropping-particle":"","parse-names":false,"suffix":""},{"dropping-particle":"","family":"Mary Jo Wildey","given":"Ph.D.","non-dropping-particle":"","parse-names":false,"suffix":""},{"dropping-particle":"","family":"Jayme L. Dahlin","given":"M.D., Ph.D.","non-dropping-particle":"","parse-names":false,"suffix":""}],"container-title":"Assay Guidance Manual","id":"ITEM-2","issued":{"date-parts":[["2020","6","1"]]},"publisher":"Eli Lilly &amp; Company and the National Center for Advancing Translational Sciences","title":"Microplate Selection and Recommended Practices in High-throughput Screening and Quantitative Biology","type":"article-journal"},"uris":["http://www.mendeley.com/documents/?uuid=3538bbf4-174c-34d1-aa89-c93f4e22f44c"]}],"mendeley":{"formattedCitation":"&lt;sup&gt;227,228&lt;/sup&gt;","plainTextFormattedCitation":"227,228","previouslyFormattedCitation":"&lt;sup&gt;227,228&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227,228</w:t>
      </w:r>
      <w:r w:rsidRPr="00857C48">
        <w:rPr>
          <w:rFonts w:cs="Arial"/>
          <w:color w:val="000000" w:themeColor="text1"/>
          <w:szCs w:val="22"/>
        </w:rPr>
        <w:fldChar w:fldCharType="end"/>
      </w:r>
      <w:r w:rsidRPr="00857C48">
        <w:rPr>
          <w:rFonts w:cs="Arial"/>
          <w:color w:val="000000" w:themeColor="text1"/>
          <w:szCs w:val="22"/>
        </w:rPr>
        <w:t xml:space="preserve"> After reaction incubation, 0.5 µL of the labeling reagent was </w:t>
      </w:r>
      <w:r w:rsidRPr="00857C48">
        <w:rPr>
          <w:rFonts w:cs="Arial"/>
          <w:szCs w:val="22"/>
        </w:rPr>
        <w:t xml:space="preserve">added with gentle swirling of the pipette tip to each well in the triplicate set of test reactions then immediately to the corresponding control set. This was done for each condition before moving to the next. The plate was then read without a lid on a </w:t>
      </w:r>
      <w:proofErr w:type="spellStart"/>
      <w:r w:rsidRPr="00857C48">
        <w:rPr>
          <w:rFonts w:cs="Arial"/>
          <w:szCs w:val="22"/>
        </w:rPr>
        <w:t>BioTek</w:t>
      </w:r>
      <w:proofErr w:type="spellEnd"/>
      <w:r w:rsidRPr="00857C48">
        <w:rPr>
          <w:rFonts w:cs="Arial"/>
          <w:szCs w:val="22"/>
        </w:rPr>
        <w:t xml:space="preserve"> Cyation5 (Agilent) reader. For the experiment comparing labeling reagents, fluorescence measurements were taken with top optics every 5 minutes for almost an hour using appropriate filter sets</w:t>
      </w:r>
      <w:r w:rsidRPr="00857C48">
        <w:rPr>
          <w:rFonts w:cs="Arial"/>
          <w:color w:val="000000" w:themeColor="text1"/>
          <w:szCs w:val="22"/>
        </w:rPr>
        <w:t xml:space="preserve"> (</w:t>
      </w:r>
      <w:proofErr w:type="spellStart"/>
      <w:r w:rsidRPr="00857C48">
        <w:rPr>
          <w:rFonts w:cs="Arial"/>
          <w:color w:val="000000" w:themeColor="text1"/>
          <w:szCs w:val="22"/>
        </w:rPr>
        <w:t>ReAsH</w:t>
      </w:r>
      <w:proofErr w:type="spellEnd"/>
      <w:r w:rsidRPr="00857C48">
        <w:rPr>
          <w:rFonts w:cs="Arial"/>
          <w:color w:val="000000" w:themeColor="text1"/>
          <w:szCs w:val="22"/>
        </w:rPr>
        <w:t xml:space="preserve">: </w:t>
      </w:r>
      <w:proofErr w:type="spellStart"/>
      <w:r w:rsidRPr="00857C48">
        <w:rPr>
          <w:rFonts w:cs="Arial"/>
          <w:color w:val="000000" w:themeColor="text1"/>
          <w:szCs w:val="22"/>
        </w:rPr>
        <w:t>Exc</w:t>
      </w:r>
      <w:proofErr w:type="spellEnd"/>
      <w:r w:rsidRPr="00857C48">
        <w:rPr>
          <w:rFonts w:cs="Arial"/>
          <w:color w:val="000000" w:themeColor="text1"/>
          <w:szCs w:val="22"/>
        </w:rPr>
        <w:t xml:space="preserve"> 590 / 15 nm, </w:t>
      </w:r>
      <w:proofErr w:type="spellStart"/>
      <w:r w:rsidRPr="00857C48">
        <w:rPr>
          <w:rFonts w:cs="Arial"/>
          <w:color w:val="000000" w:themeColor="text1"/>
          <w:szCs w:val="22"/>
        </w:rPr>
        <w:t>Em</w:t>
      </w:r>
      <w:proofErr w:type="spellEnd"/>
      <w:r w:rsidRPr="00857C48">
        <w:rPr>
          <w:rFonts w:cs="Arial"/>
          <w:color w:val="000000" w:themeColor="text1"/>
          <w:szCs w:val="22"/>
        </w:rPr>
        <w:t xml:space="preserve"> 610 / 15 nm;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w:t>
      </w:r>
      <w:proofErr w:type="spellStart"/>
      <w:r w:rsidRPr="00857C48">
        <w:rPr>
          <w:rFonts w:cs="Arial"/>
          <w:color w:val="000000" w:themeColor="text1"/>
          <w:szCs w:val="22"/>
        </w:rPr>
        <w:t>Exc</w:t>
      </w:r>
      <w:proofErr w:type="spellEnd"/>
      <w:r w:rsidRPr="00857C48">
        <w:rPr>
          <w:rFonts w:cs="Arial"/>
          <w:color w:val="000000" w:themeColor="text1"/>
          <w:szCs w:val="22"/>
        </w:rPr>
        <w:t xml:space="preserve"> 510 / 15 nm, </w:t>
      </w:r>
      <w:proofErr w:type="spellStart"/>
      <w:r w:rsidRPr="00857C48">
        <w:rPr>
          <w:rFonts w:cs="Arial"/>
          <w:color w:val="000000" w:themeColor="text1"/>
          <w:szCs w:val="22"/>
        </w:rPr>
        <w:t>Em</w:t>
      </w:r>
      <w:proofErr w:type="spellEnd"/>
      <w:r w:rsidRPr="00857C48">
        <w:rPr>
          <w:rFonts w:cs="Arial"/>
          <w:color w:val="000000" w:themeColor="text1"/>
          <w:szCs w:val="22"/>
        </w:rPr>
        <w:t xml:space="preserve"> 530 /15 nm) and autogain, </w:t>
      </w:r>
      <w:r w:rsidRPr="00857C48">
        <w:rPr>
          <w:rFonts w:cs="Arial"/>
          <w:szCs w:val="22"/>
        </w:rPr>
        <w:t xml:space="preserve">with 2 s shaking at 567 cycles per minute linear frequency before every </w:t>
      </w:r>
      <w:r w:rsidRPr="00857C48">
        <w:rPr>
          <w:rFonts w:cs="Arial"/>
          <w:szCs w:val="22"/>
        </w:rPr>
        <w:lastRenderedPageBreak/>
        <w:t xml:space="preserve">read. For every other experiment with </w:t>
      </w:r>
      <w:proofErr w:type="spellStart"/>
      <w:r w:rsidRPr="00857C48">
        <w:rPr>
          <w:rFonts w:cs="Arial"/>
          <w:szCs w:val="22"/>
        </w:rPr>
        <w:t>FlAsH</w:t>
      </w:r>
      <w:proofErr w:type="spellEnd"/>
      <w:r w:rsidRPr="00857C48">
        <w:rPr>
          <w:rFonts w:cs="Arial"/>
          <w:szCs w:val="22"/>
        </w:rPr>
        <w:t>, measurements were taken after a 10 min incubation period at room temperature (</w:t>
      </w:r>
      <w:proofErr w:type="spellStart"/>
      <w:r w:rsidRPr="00857C48">
        <w:rPr>
          <w:rFonts w:cs="Arial"/>
          <w:color w:val="000000" w:themeColor="text1"/>
          <w:szCs w:val="22"/>
        </w:rPr>
        <w:t>Exc</w:t>
      </w:r>
      <w:proofErr w:type="spellEnd"/>
      <w:r w:rsidRPr="00857C48">
        <w:rPr>
          <w:rFonts w:cs="Arial"/>
          <w:color w:val="000000" w:themeColor="text1"/>
          <w:szCs w:val="22"/>
        </w:rPr>
        <w:t xml:space="preserve"> 510 / 15 nm, </w:t>
      </w:r>
      <w:proofErr w:type="spellStart"/>
      <w:r w:rsidRPr="00857C48">
        <w:rPr>
          <w:rFonts w:cs="Arial"/>
          <w:color w:val="000000" w:themeColor="text1"/>
          <w:szCs w:val="22"/>
        </w:rPr>
        <w:t>Em</w:t>
      </w:r>
      <w:proofErr w:type="spellEnd"/>
      <w:r w:rsidRPr="00857C48">
        <w:rPr>
          <w:rFonts w:cs="Arial"/>
          <w:color w:val="000000" w:themeColor="text1"/>
          <w:szCs w:val="22"/>
        </w:rPr>
        <w:t xml:space="preserve"> 530 / 15 nm, Gain 70). </w:t>
      </w:r>
      <w:r w:rsidRPr="00857C48">
        <w:rPr>
          <w:rFonts w:cs="Arial"/>
          <w:szCs w:val="22"/>
        </w:rPr>
        <w:t>To isolate signals from TC/</w:t>
      </w:r>
      <w:proofErr w:type="spellStart"/>
      <w:r w:rsidRPr="00857C48">
        <w:rPr>
          <w:rFonts w:cs="Arial"/>
          <w:szCs w:val="22"/>
        </w:rPr>
        <w:t>FlAsH</w:t>
      </w:r>
      <w:proofErr w:type="spellEnd"/>
      <w:r w:rsidRPr="00857C48">
        <w:rPr>
          <w:rFonts w:cs="Arial"/>
          <w:szCs w:val="22"/>
        </w:rPr>
        <w:t xml:space="preserve"> complexes in the data, signals from control reactions were subtracted from those of test reactions. </w:t>
      </w:r>
      <w:r w:rsidRPr="00857C48">
        <w:rPr>
          <w:rFonts w:cs="Arial"/>
          <w:color w:val="000000" w:themeColor="text1"/>
          <w:szCs w:val="22"/>
        </w:rPr>
        <w:t>To mitigate row effects from the detector (which were apparent in our data because our microplate reader reads row-wise) all resulting differences were normalized to the minimum value.</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{"citationItems":[{"id":"ITEM-1","itemData":{"PMID":"32520474","abstract":"High-throughput screening (HTS) can efficiently assay multiple discrete biological reactions using multi-well microplates. The choice of microplate is a crucial yet often overlooked technical decision in HTS and quantitative biology. This chapter reviews key criteria for microplate selection, including: well number, well volume and shape, microplate color, surface treatments/coatings, and considerations for specialized applications such as high-content screening. This chapter then provides important technical advice for microplate handling including mixing, dispensing, incubation, and centrifugation. Special topics are discussed, including microplate surface properties, plate washing, well-to-well contamination, microplate positional effects, well-to-well and inter-lot variability, and troubleshooting. This information and best practices derived from academic, government, and industry screening centers, as well as microplate vendors, should accelerate assay development and enhance assay quality.","author":[{"dropping-particle":"","family":"Douglas S. Auld","given":"Ph.D.","non-dropping-particle":"","parse-names":false,"suffix":""},{"dropping-particle":"","family":"Peter A. Coassin","given":"B.S.","non-dropping-particle":"","parse-names":false,"suffix":""},{"dropping-particle":"","family":"Nathan P. Coussens","given":"Ph.D.","non-dropping-particle":"","parse-names":false,"suffix":""},{"dropping-particle":"","family":"Hensley","given":"Paul","non-dropping-particle":"","parse-names":false,"suffix":""},{"dropping-particle":"","family":"Klumpp-Thomas","given":"Carleen","non-dropping-particle":"","parse-names":false,"suffix":""},{"dropping-particle":"","family":"Michael","given":"Sam","non-dropping-particle":"","parse-names":false,"suffix":""},{"dropping-particle":"","family":"G. Sitta Sittampalam","given":"Ph.D.","non-dropping-particle":"","parse-names":false,"suffix":""},{"dropping-particle":"","family":"O. Joseph Trask","given":"B.S.","non-dropping-particle":"","parse-names":false,"suffix":""},{"dropping-particle":"","family":"Bridget K. Wagner","given":"Ph.D.","non-dropping-particle":"","parse-names":false,"suffix":""},{"dropping-particle":"","family":"Jeffrey R. Weidner","given":"Ph.D.","non-dropping-particle":"","parse-names":false,"suffix":""},{"dropping-particle":"","family":"Mary Jo Wildey","given":"Ph.D.","non-dropping-particle":"","parse-names":false,"suffix":""},{"dropping-particle":"","family":"Jayme L. Dahlin","given":"M.D., Ph.D.","non-dropping-particle":"","parse-names":false,"suffix":""}],"container-title":"Assay Guidance Manual","id":"ITEM-1","issued":{"date-parts":[["2020","6","1"]]},"publisher":"Eli Lilly &amp; Company and the National Center for Advancing Translational Sciences","title":"Microplate Selection and Recommended Practices in High-throughput Screening and Quantitative Biology","type":"article-journal"},"uris":["http://www.mendeley.com/documents/?uuid=3538bbf4-174c-34d1-aa89-c93f4e22f44c"]}],"mendeley":{"formattedCitation":"&lt;sup&gt;227&lt;/sup&gt;","plainTextFormattedCitation":"227","previouslyFormattedCitation":"&lt;sup&gt;227&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227</w:t>
      </w:r>
      <w:r w:rsidRPr="00857C48">
        <w:rPr>
          <w:rFonts w:cs="Arial"/>
          <w:color w:val="000000" w:themeColor="text1"/>
          <w:szCs w:val="22"/>
        </w:rPr>
        <w:fldChar w:fldCharType="end"/>
      </w:r>
      <w:r w:rsidRPr="00857C48">
        <w:rPr>
          <w:rFonts w:cs="Arial"/>
          <w:color w:val="000000" w:themeColor="text1"/>
          <w:szCs w:val="22"/>
        </w:rPr>
        <w:t xml:space="preserve"> </w:t>
      </w:r>
      <w:r w:rsidRPr="00857C48">
        <w:rPr>
          <w:rFonts w:cs="Arial"/>
          <w:szCs w:val="22"/>
        </w:rPr>
        <w:t xml:space="preserve">Averages with standard error bars were plotted to visualize relative expression changes. </w:t>
      </w:r>
      <w:r w:rsidRPr="00857C48">
        <w:rPr>
          <w:rFonts w:cs="Arial"/>
          <w:color w:val="000000" w:themeColor="text1"/>
          <w:szCs w:val="22"/>
        </w:rPr>
        <w:t xml:space="preserve">For relative intensity analyses (%), the averaged values and standard errors were recalculated by multiplication to a constant of 100 over the maximum average value. </w:t>
      </w:r>
    </w:p>
    <w:p w14:paraId="0AF67D6B" w14:textId="77777777" w:rsidR="00857C48" w:rsidRPr="00857C48" w:rsidRDefault="00857C48" w:rsidP="00857C48">
      <w:pPr>
        <w:rPr>
          <w:rFonts w:cs="Arial"/>
          <w:b/>
          <w:bCs/>
          <w:color w:val="000000" w:themeColor="text1"/>
          <w:szCs w:val="22"/>
        </w:rPr>
      </w:pPr>
    </w:p>
    <w:p w14:paraId="1379DF88" w14:textId="6BA0779C" w:rsidR="00857C48" w:rsidRPr="00857C48" w:rsidRDefault="00857C48" w:rsidP="00E033D4">
      <w:pPr>
        <w:pStyle w:val="ChapterSub-heading"/>
      </w:pPr>
      <w:bookmarkStart w:id="126" w:name="_Toc129701066"/>
      <w:r>
        <w:t xml:space="preserve">5.3.8. </w:t>
      </w:r>
      <w:proofErr w:type="spellStart"/>
      <w:r w:rsidRPr="00857C48">
        <w:t>BpsA</w:t>
      </w:r>
      <w:proofErr w:type="spellEnd"/>
      <w:r w:rsidRPr="00857C48">
        <w:t xml:space="preserve"> concentration estimation using TC/</w:t>
      </w:r>
      <w:proofErr w:type="spellStart"/>
      <w:r w:rsidRPr="00857C48">
        <w:t>FlAsH</w:t>
      </w:r>
      <w:proofErr w:type="spellEnd"/>
      <w:r w:rsidRPr="00857C48">
        <w:t xml:space="preserve"> measurements</w:t>
      </w:r>
      <w:bookmarkEnd w:id="126"/>
    </w:p>
    <w:p w14:paraId="45811137" w14:textId="69E2F29E" w:rsidR="00857C48" w:rsidRPr="00857C48" w:rsidRDefault="00857C48" w:rsidP="00857C48">
      <w:pPr>
        <w:ind w:firstLine="720"/>
        <w:rPr>
          <w:rFonts w:cs="Arial"/>
          <w:color w:val="000000" w:themeColor="text1"/>
          <w:szCs w:val="22"/>
        </w:rPr>
      </w:pPr>
      <w:r w:rsidRPr="00857C48">
        <w:rPr>
          <w:rFonts w:cs="Arial"/>
          <w:color w:val="000000" w:themeColor="text1"/>
          <w:szCs w:val="22"/>
        </w:rPr>
        <w:t>Triplicate reactions containing pET28a(+)-</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and triplicate controls with no DNA were set up on the same row in a microplate with reaction mixes (without DNA) laid out on an adjacent row. All reactions were prepared in 10 µL volumes. After a ~ 20 h incubation at 25 ˚C, the blank reaction mixes on one row were spiked with 1 µL of water or purified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protein dissolved in water to prepare triplicate sets of reactions containing 0, 50, 100, 200, 400 µg/mL protein for standard curve generation. The test and control reactions on the adjacent row were spiked with 1 µL water to equalize volumes.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(0.5 µL) was added to each well and the plate was read following the protocol described above. Signals for reactions from either row were normalized to the minimal signal within the same row (i.e., lowest signal among the 3 control reactions). The appropriate dilution factor was applied. Linear regression using average normalized values from standard reactions was used to estimate the concentration of expressed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in the test reaction. This analysis was performed for each reaction mix (base vs optimized) when quantifying </w:t>
      </w:r>
      <w:proofErr w:type="spellStart"/>
      <w:r w:rsidRPr="00857C48">
        <w:rPr>
          <w:rFonts w:cs="Arial"/>
          <w:color w:val="000000" w:themeColor="text1"/>
          <w:szCs w:val="22"/>
        </w:rPr>
        <w:t>BpsA</w:t>
      </w:r>
      <w:proofErr w:type="spellEnd"/>
      <w:r w:rsidRPr="00857C48">
        <w:rPr>
          <w:rFonts w:cs="Arial"/>
          <w:color w:val="000000" w:themeColor="text1"/>
          <w:szCs w:val="22"/>
        </w:rPr>
        <w:t>-TC since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complex formation is likely to alter in different reaction backgrounds (</w:t>
      </w:r>
      <w:r w:rsidR="00D60D4C">
        <w:rPr>
          <w:rFonts w:cs="Arial"/>
          <w:b/>
          <w:bCs/>
          <w:color w:val="000000" w:themeColor="text1"/>
          <w:szCs w:val="22"/>
        </w:rPr>
        <w:t>Appendix F</w:t>
      </w:r>
      <w:r w:rsidRPr="00857C48">
        <w:rPr>
          <w:rFonts w:cs="Arial"/>
          <w:b/>
          <w:bCs/>
          <w:color w:val="000000" w:themeColor="text1"/>
          <w:szCs w:val="22"/>
        </w:rPr>
        <w:t>ig</w:t>
      </w:r>
      <w:r w:rsidR="00D60D4C">
        <w:rPr>
          <w:rFonts w:cs="Arial"/>
          <w:b/>
          <w:bCs/>
          <w:color w:val="000000" w:themeColor="text1"/>
          <w:szCs w:val="22"/>
        </w:rPr>
        <w:t>ure</w:t>
      </w:r>
      <w:r w:rsidRPr="00857C48">
        <w:rPr>
          <w:rFonts w:cs="Arial"/>
          <w:b/>
          <w:bCs/>
          <w:color w:val="000000" w:themeColor="text1"/>
          <w:szCs w:val="22"/>
        </w:rPr>
        <w:t xml:space="preserve"> 5</w:t>
      </w:r>
      <w:r w:rsidR="00D60D4C">
        <w:rPr>
          <w:rFonts w:cs="Arial"/>
          <w:b/>
          <w:bCs/>
          <w:color w:val="000000" w:themeColor="text1"/>
          <w:szCs w:val="22"/>
        </w:rPr>
        <w:t>.1</w:t>
      </w:r>
      <w:r w:rsidR="00BD523B">
        <w:rPr>
          <w:rFonts w:cs="Arial"/>
          <w:b/>
          <w:bCs/>
          <w:color w:val="000000" w:themeColor="text1"/>
          <w:szCs w:val="22"/>
        </w:rPr>
        <w:t>0</w:t>
      </w:r>
      <w:r w:rsidRPr="00857C48">
        <w:rPr>
          <w:rFonts w:cs="Arial"/>
          <w:color w:val="000000" w:themeColor="text1"/>
          <w:szCs w:val="22"/>
        </w:rPr>
        <w:t>).</w:t>
      </w:r>
    </w:p>
    <w:p w14:paraId="037E364A" w14:textId="77777777" w:rsidR="00857C48" w:rsidRPr="00857C48" w:rsidRDefault="00857C48" w:rsidP="00857C48">
      <w:pPr>
        <w:rPr>
          <w:rFonts w:cs="Arial"/>
          <w:color w:val="000000" w:themeColor="text1"/>
          <w:szCs w:val="22"/>
        </w:rPr>
      </w:pPr>
    </w:p>
    <w:p w14:paraId="0C2F4CF4" w14:textId="77777777" w:rsidR="00A90B05" w:rsidRDefault="00A90B05">
      <w:pPr>
        <w:rPr>
          <w:rFonts w:cs="Arial"/>
          <w:b/>
          <w:bCs/>
          <w:color w:val="000000" w:themeColor="text1"/>
          <w:szCs w:val="22"/>
        </w:rPr>
      </w:pPr>
      <w:r>
        <w:rPr>
          <w:rFonts w:cs="Arial"/>
          <w:b/>
          <w:bCs/>
          <w:color w:val="000000" w:themeColor="text1"/>
          <w:szCs w:val="22"/>
        </w:rPr>
        <w:br w:type="page"/>
      </w:r>
    </w:p>
    <w:p w14:paraId="2E1960F8" w14:textId="4B155373" w:rsidR="00857C48" w:rsidRPr="00857C48" w:rsidRDefault="00857C48" w:rsidP="00E033D4">
      <w:pPr>
        <w:pStyle w:val="ChapterSub-heading"/>
      </w:pPr>
      <w:bookmarkStart w:id="127" w:name="_Toc129701067"/>
      <w:r>
        <w:lastRenderedPageBreak/>
        <w:t xml:space="preserve">5.3.9. </w:t>
      </w:r>
      <w:proofErr w:type="spellStart"/>
      <w:r w:rsidRPr="00857C48">
        <w:t>TycA</w:t>
      </w:r>
      <w:proofErr w:type="spellEnd"/>
      <w:r w:rsidRPr="00857C48">
        <w:t xml:space="preserve"> and </w:t>
      </w:r>
      <w:proofErr w:type="spellStart"/>
      <w:r w:rsidRPr="00857C48">
        <w:t>Pys</w:t>
      </w:r>
      <w:proofErr w:type="spellEnd"/>
      <w:r w:rsidRPr="00857C48">
        <w:t xml:space="preserve"> concentration estimation</w:t>
      </w:r>
      <w:bookmarkEnd w:id="127"/>
    </w:p>
    <w:p w14:paraId="1EA9DC5E" w14:textId="77777777" w:rsidR="00857C48" w:rsidRPr="00857C48" w:rsidRDefault="00857C48" w:rsidP="00857C48">
      <w:pPr>
        <w:rPr>
          <w:rFonts w:cs="Arial"/>
          <w:b/>
          <w:bCs/>
          <w:color w:val="000000" w:themeColor="text1"/>
          <w:szCs w:val="22"/>
        </w:rPr>
      </w:pPr>
      <w:r w:rsidRPr="00857C48">
        <w:rPr>
          <w:rFonts w:cs="Arial"/>
          <w:b/>
          <w:bCs/>
          <w:color w:val="000000" w:themeColor="text1"/>
          <w:szCs w:val="22"/>
        </w:rPr>
        <w:tab/>
      </w:r>
      <w:r w:rsidRPr="00857C48">
        <w:rPr>
          <w:rFonts w:cs="Arial"/>
          <w:color w:val="000000" w:themeColor="text1"/>
          <w:szCs w:val="22"/>
        </w:rPr>
        <w:t>Triplicate reactions used to make comparative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measurements between base and optimized conditions were pooled. Approximately 45 µL of pooled lysate reactions were run through equilibrated </w:t>
      </w:r>
      <w:proofErr w:type="spellStart"/>
      <w:r w:rsidRPr="00857C48">
        <w:rPr>
          <w:rFonts w:cs="Arial"/>
          <w:color w:val="000000" w:themeColor="text1"/>
          <w:szCs w:val="22"/>
        </w:rPr>
        <w:t>Strep-Tactin®XT</w:t>
      </w:r>
      <w:proofErr w:type="spellEnd"/>
      <w:r w:rsidRPr="00857C48">
        <w:rPr>
          <w:rFonts w:cs="Arial"/>
          <w:color w:val="000000" w:themeColor="text1"/>
          <w:szCs w:val="22"/>
        </w:rPr>
        <w:t xml:space="preserve"> Spin Columns (IBA Life Sciences, #2-4150-025)</w:t>
      </w:r>
      <w:r w:rsidRPr="00857C48">
        <w:rPr>
          <w:rFonts w:cs="Arial"/>
          <w:b/>
          <w:bCs/>
          <w:color w:val="000000" w:themeColor="text1"/>
          <w:szCs w:val="22"/>
        </w:rPr>
        <w:t>.</w:t>
      </w:r>
      <w:r w:rsidRPr="00857C48">
        <w:rPr>
          <w:rFonts w:cs="Arial"/>
          <w:color w:val="000000" w:themeColor="text1"/>
          <w:szCs w:val="22"/>
        </w:rPr>
        <w:t xml:space="preserve"> Columns were washed 4x and eluted with 50 µL elution buffer following the manufacturer’s protocol. </w:t>
      </w:r>
      <w:proofErr w:type="spellStart"/>
      <w:r w:rsidRPr="00857C48">
        <w:rPr>
          <w:rFonts w:cs="Arial"/>
          <w:color w:val="000000" w:themeColor="text1"/>
          <w:szCs w:val="22"/>
        </w:rPr>
        <w:t>Elutions</w:t>
      </w:r>
      <w:proofErr w:type="spellEnd"/>
      <w:r w:rsidRPr="00857C48">
        <w:rPr>
          <w:rFonts w:cs="Arial"/>
          <w:color w:val="000000" w:themeColor="text1"/>
          <w:szCs w:val="22"/>
        </w:rPr>
        <w:t xml:space="preserve"> were loaded onto SDS-PAGE gels to visualize purified proteins. </w:t>
      </w:r>
    </w:p>
    <w:p w14:paraId="7577C68E" w14:textId="77777777" w:rsidR="00857C48" w:rsidRPr="00857C48" w:rsidRDefault="00857C48" w:rsidP="00857C48">
      <w:pPr>
        <w:rPr>
          <w:rFonts w:cs="Arial"/>
          <w:color w:val="000000" w:themeColor="text1"/>
          <w:szCs w:val="22"/>
        </w:rPr>
      </w:pPr>
    </w:p>
    <w:p w14:paraId="6E72C2C9" w14:textId="1F20A98A" w:rsidR="00857C48" w:rsidRPr="00857C48" w:rsidRDefault="00857C48" w:rsidP="00E033D4">
      <w:pPr>
        <w:pStyle w:val="ChapterSub-heading"/>
      </w:pPr>
      <w:bookmarkStart w:id="128" w:name="_Toc129701068"/>
      <w:r>
        <w:t xml:space="preserve">5.3.10. </w:t>
      </w:r>
      <w:r w:rsidRPr="00857C48">
        <w:t>SDS-PAGE gel and Western Blot analyses</w:t>
      </w:r>
      <w:bookmarkEnd w:id="128"/>
    </w:p>
    <w:p w14:paraId="0F2117DE" w14:textId="4314D751" w:rsidR="00857C48" w:rsidRPr="00857C48" w:rsidRDefault="00857C48" w:rsidP="00857C48">
      <w:pPr>
        <w:ind w:firstLine="720"/>
        <w:rPr>
          <w:rFonts w:cs="Arial"/>
          <w:color w:val="000000" w:themeColor="text1"/>
          <w:szCs w:val="22"/>
        </w:rPr>
      </w:pPr>
      <w:r w:rsidRPr="00857C48">
        <w:rPr>
          <w:rFonts w:cs="Arial"/>
          <w:color w:val="000000" w:themeColor="text1"/>
          <w:szCs w:val="22"/>
        </w:rPr>
        <w:t xml:space="preserve">For protein expressed </w:t>
      </w:r>
      <w:r w:rsidRPr="00857C48">
        <w:rPr>
          <w:rFonts w:cs="Arial"/>
          <w:i/>
          <w:iCs/>
          <w:color w:val="000000" w:themeColor="text1"/>
          <w:szCs w:val="22"/>
        </w:rPr>
        <w:t>in vivo</w:t>
      </w:r>
      <w:r w:rsidRPr="00857C48">
        <w:rPr>
          <w:rFonts w:cs="Arial"/>
          <w:color w:val="000000" w:themeColor="text1"/>
          <w:szCs w:val="22"/>
        </w:rPr>
        <w:t xml:space="preserve">, 5 µL of purified </w:t>
      </w:r>
      <w:proofErr w:type="spellStart"/>
      <w:r w:rsidRPr="00857C48">
        <w:rPr>
          <w:rFonts w:cs="Arial"/>
          <w:color w:val="000000" w:themeColor="text1"/>
          <w:szCs w:val="22"/>
        </w:rPr>
        <w:t>BpsA</w:t>
      </w:r>
      <w:proofErr w:type="spellEnd"/>
      <w:r w:rsidRPr="00857C48">
        <w:rPr>
          <w:rFonts w:cs="Arial"/>
          <w:i/>
          <w:iCs/>
          <w:color w:val="000000" w:themeColor="text1"/>
          <w:szCs w:val="22"/>
        </w:rPr>
        <w:t>-</w:t>
      </w:r>
      <w:r w:rsidRPr="00857C48">
        <w:rPr>
          <w:rFonts w:cs="Arial"/>
          <w:color w:val="000000" w:themeColor="text1"/>
          <w:szCs w:val="22"/>
        </w:rPr>
        <w:t xml:space="preserve">TC protein was denatured with 5 µL 2x </w:t>
      </w:r>
      <w:proofErr w:type="spellStart"/>
      <w:r w:rsidRPr="00857C48">
        <w:rPr>
          <w:rFonts w:cs="Arial"/>
          <w:color w:val="000000" w:themeColor="text1"/>
          <w:szCs w:val="22"/>
        </w:rPr>
        <w:t>Laemmli</w:t>
      </w:r>
      <w:proofErr w:type="spellEnd"/>
      <w:r w:rsidRPr="00857C48">
        <w:rPr>
          <w:rFonts w:cs="Arial"/>
          <w:color w:val="000000" w:themeColor="text1"/>
          <w:szCs w:val="22"/>
        </w:rPr>
        <w:t xml:space="preserve"> sample buffer (</w:t>
      </w:r>
      <w:proofErr w:type="spellStart"/>
      <w:r w:rsidRPr="00857C48">
        <w:rPr>
          <w:rFonts w:cs="Arial"/>
          <w:color w:val="000000" w:themeColor="text1"/>
          <w:szCs w:val="22"/>
        </w:rPr>
        <w:t>BioRad</w:t>
      </w:r>
      <w:proofErr w:type="spellEnd"/>
      <w:r w:rsidRPr="00857C48">
        <w:rPr>
          <w:rFonts w:cs="Arial"/>
          <w:color w:val="000000" w:themeColor="text1"/>
          <w:szCs w:val="22"/>
        </w:rPr>
        <w:t xml:space="preserve"> #1610737). After boiling at 98˚C for 7 minutes, 8 µL of the denatured protein was loaded into a pre-cast 4-20% gel ordered from </w:t>
      </w:r>
      <w:proofErr w:type="spellStart"/>
      <w:r w:rsidRPr="00857C48">
        <w:rPr>
          <w:rFonts w:cs="Arial"/>
          <w:color w:val="000000" w:themeColor="text1"/>
          <w:szCs w:val="22"/>
        </w:rPr>
        <w:t>NuSep</w:t>
      </w:r>
      <w:proofErr w:type="spellEnd"/>
      <w:r w:rsidRPr="00857C48">
        <w:rPr>
          <w:rFonts w:cs="Arial"/>
          <w:color w:val="000000" w:themeColor="text1"/>
          <w:szCs w:val="22"/>
        </w:rPr>
        <w:t>. The gel was run for 60 min at 250 V, fast stained (Fisher Scientific #2456)</w:t>
      </w:r>
      <w:r w:rsidRPr="00857C48">
        <w:rPr>
          <w:rFonts w:cs="Arial"/>
          <w:color w:val="000000"/>
          <w:szCs w:val="22"/>
        </w:rPr>
        <w:t xml:space="preserve"> </w:t>
      </w:r>
      <w:r w:rsidRPr="00857C48">
        <w:rPr>
          <w:rFonts w:cs="Arial"/>
          <w:color w:val="000000" w:themeColor="text1"/>
          <w:szCs w:val="22"/>
        </w:rPr>
        <w:t xml:space="preserve">for 20 min, then de-stained in DI water overnight. </w:t>
      </w:r>
    </w:p>
    <w:p w14:paraId="49143B8F" w14:textId="11952382" w:rsidR="00857C48" w:rsidRPr="00857C48" w:rsidRDefault="00857C48" w:rsidP="00857C48">
      <w:pPr>
        <w:ind w:firstLine="720"/>
        <w:rPr>
          <w:rFonts w:cs="Arial"/>
          <w:color w:val="000000" w:themeColor="text1"/>
          <w:szCs w:val="22"/>
        </w:rPr>
      </w:pPr>
      <w:r w:rsidRPr="00857C48">
        <w:rPr>
          <w:rFonts w:cs="Arial"/>
          <w:color w:val="000000" w:themeColor="text1"/>
          <w:szCs w:val="22"/>
        </w:rPr>
        <w:t xml:space="preserve">For protein expressed cell-free, triplicate reactions were pooled into a microcentrifuge tube immediately after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analysis. 5 µL from the reaction was added to 5 µL of a loading buffer mixture containing 20 mM DTT and 2x </w:t>
      </w:r>
      <w:proofErr w:type="spellStart"/>
      <w:r w:rsidRPr="00857C48">
        <w:rPr>
          <w:rFonts w:cs="Arial"/>
          <w:color w:val="000000" w:themeColor="text1"/>
          <w:szCs w:val="22"/>
        </w:rPr>
        <w:t>Laemmli</w:t>
      </w:r>
      <w:proofErr w:type="spellEnd"/>
      <w:r w:rsidRPr="00857C48">
        <w:rPr>
          <w:rFonts w:cs="Arial"/>
          <w:color w:val="000000" w:themeColor="text1"/>
          <w:szCs w:val="22"/>
        </w:rPr>
        <w:t xml:space="preserve"> sample buffer (</w:t>
      </w:r>
      <w:proofErr w:type="spellStart"/>
      <w:r w:rsidRPr="00857C48">
        <w:rPr>
          <w:rFonts w:cs="Arial"/>
          <w:color w:val="000000" w:themeColor="text1"/>
          <w:szCs w:val="22"/>
        </w:rPr>
        <w:t>BioRad</w:t>
      </w:r>
      <w:proofErr w:type="spellEnd"/>
      <w:r w:rsidRPr="00857C48">
        <w:rPr>
          <w:rFonts w:cs="Arial"/>
          <w:color w:val="000000" w:themeColor="text1"/>
          <w:szCs w:val="22"/>
        </w:rPr>
        <w:t xml:space="preserve"> #1610737) in a PCR tube. Tubes were incubated in boiling water for 5 minutes, then 2 µL of each sample was loaded into 7.5% pre-cast gels (</w:t>
      </w:r>
      <w:proofErr w:type="spellStart"/>
      <w:r w:rsidRPr="00857C48">
        <w:rPr>
          <w:rFonts w:cs="Arial"/>
          <w:color w:val="000000" w:themeColor="text1"/>
          <w:szCs w:val="22"/>
        </w:rPr>
        <w:t>BioRad</w:t>
      </w:r>
      <w:proofErr w:type="spellEnd"/>
      <w:r w:rsidRPr="00857C48">
        <w:rPr>
          <w:rFonts w:cs="Arial"/>
          <w:color w:val="000000" w:themeColor="text1"/>
          <w:szCs w:val="22"/>
        </w:rPr>
        <w:t xml:space="preserve"> #4561026). Gels were run for 10 minutes at 80 V then 90 min at 250 V. After being stained (Thermo Fisher #LC6060) for 60 min, gels were de-stained in DI water overnight. This protocol was also used to visualize </w:t>
      </w:r>
      <w:proofErr w:type="spellStart"/>
      <w:r w:rsidRPr="00857C48">
        <w:rPr>
          <w:rFonts w:cs="Arial"/>
          <w:color w:val="000000" w:themeColor="text1"/>
          <w:szCs w:val="22"/>
        </w:rPr>
        <w:t>elutions</w:t>
      </w:r>
      <w:proofErr w:type="spellEnd"/>
      <w:r w:rsidRPr="00857C48">
        <w:rPr>
          <w:rFonts w:cs="Arial"/>
          <w:color w:val="000000" w:themeColor="text1"/>
          <w:szCs w:val="22"/>
        </w:rPr>
        <w:t xml:space="preserve"> of </w:t>
      </w:r>
      <w:proofErr w:type="spellStart"/>
      <w:r w:rsidRPr="00857C48">
        <w:rPr>
          <w:rFonts w:cs="Arial"/>
          <w:color w:val="000000" w:themeColor="text1"/>
          <w:szCs w:val="22"/>
        </w:rPr>
        <w:t>StrepII</w:t>
      </w:r>
      <w:proofErr w:type="spellEnd"/>
      <w:r w:rsidRPr="00857C48">
        <w:rPr>
          <w:rFonts w:cs="Arial"/>
          <w:color w:val="000000" w:themeColor="text1"/>
          <w:szCs w:val="22"/>
        </w:rPr>
        <w:t xml:space="preserve">-tagged </w:t>
      </w:r>
      <w:proofErr w:type="spellStart"/>
      <w:r w:rsidRPr="00857C48">
        <w:rPr>
          <w:rFonts w:cs="Arial"/>
          <w:color w:val="000000" w:themeColor="text1"/>
          <w:szCs w:val="22"/>
        </w:rPr>
        <w:t>TycA</w:t>
      </w:r>
      <w:proofErr w:type="spellEnd"/>
      <w:r w:rsidRPr="00857C48">
        <w:rPr>
          <w:rFonts w:cs="Arial"/>
          <w:color w:val="000000" w:themeColor="text1"/>
          <w:szCs w:val="22"/>
        </w:rPr>
        <w:t xml:space="preserve"> and </w:t>
      </w:r>
      <w:proofErr w:type="spellStart"/>
      <w:r w:rsidRPr="00857C48">
        <w:rPr>
          <w:rFonts w:cs="Arial"/>
          <w:color w:val="000000" w:themeColor="text1"/>
          <w:szCs w:val="22"/>
        </w:rPr>
        <w:t>Pys</w:t>
      </w:r>
      <w:proofErr w:type="spellEnd"/>
      <w:r w:rsidRPr="00857C48">
        <w:rPr>
          <w:rFonts w:cs="Arial"/>
          <w:color w:val="000000" w:themeColor="text1"/>
          <w:szCs w:val="22"/>
        </w:rPr>
        <w:t xml:space="preserve">, but  µL of sample was used to load SDS-PAGE gels. </w:t>
      </w:r>
    </w:p>
    <w:p w14:paraId="27AB26E4" w14:textId="77777777" w:rsidR="00A90B05" w:rsidRDefault="00857C48" w:rsidP="00A90B05">
      <w:pPr>
        <w:ind w:firstLine="720"/>
        <w:rPr>
          <w:rFonts w:cs="Arial"/>
          <w:color w:val="000000" w:themeColor="text1"/>
          <w:szCs w:val="22"/>
        </w:rPr>
      </w:pPr>
      <w:r w:rsidRPr="00857C48">
        <w:rPr>
          <w:rFonts w:cs="Arial"/>
          <w:szCs w:val="22"/>
        </w:rPr>
        <w:t xml:space="preserve">For Western Blot analysis, a </w:t>
      </w:r>
      <w:r w:rsidRPr="00857C48">
        <w:rPr>
          <w:rFonts w:eastAsia="Times New Roman" w:cs="Arial"/>
          <w:color w:val="000000"/>
          <w:szCs w:val="22"/>
          <w:shd w:val="clear" w:color="auto" w:fill="FFFFFF"/>
        </w:rPr>
        <w:t>Bio-Rad Trans-Blot SD Semidry Transfer Cell was used to transfer bands onto a PVDF membrane. The membrane was probed with 6xHis-tag Monoclonal Antibodies (R&amp;D Systems #MAB050) overnight after blocking with BSA in TBS Buffer (Thermo Fisher #37520). Blots were incubated with the relevant secondary antibody, HRP conjugate then developed with CN/DAB Substrate (Thermo Fisher #34000).</w:t>
      </w:r>
    </w:p>
    <w:p w14:paraId="74A1BD28" w14:textId="7E83F717" w:rsidR="00857C48" w:rsidRPr="00A90B05" w:rsidRDefault="00857C48" w:rsidP="00E033D4">
      <w:pPr>
        <w:pStyle w:val="ChapterSub-heading"/>
      </w:pPr>
      <w:bookmarkStart w:id="129" w:name="_Toc129701069"/>
      <w:r>
        <w:lastRenderedPageBreak/>
        <w:t xml:space="preserve">5.3.11. </w:t>
      </w:r>
      <w:r w:rsidRPr="00857C48">
        <w:t xml:space="preserve">Quantification of active </w:t>
      </w:r>
      <w:proofErr w:type="spellStart"/>
      <w:r w:rsidRPr="00857C48">
        <w:t>sfGFP</w:t>
      </w:r>
      <w:bookmarkEnd w:id="129"/>
      <w:proofErr w:type="spellEnd"/>
    </w:p>
    <w:p w14:paraId="50BD663D" w14:textId="77777777" w:rsidR="00A90B05" w:rsidRDefault="00857C48" w:rsidP="00A90B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Cs w:val="22"/>
        </w:rPr>
      </w:pPr>
      <w:r w:rsidRPr="00857C48">
        <w:rPr>
          <w:rFonts w:cs="Arial"/>
          <w:b/>
          <w:bCs/>
          <w:szCs w:val="22"/>
        </w:rPr>
        <w:tab/>
      </w:r>
      <w:r w:rsidRPr="00857C48">
        <w:rPr>
          <w:rFonts w:cs="Arial"/>
          <w:szCs w:val="22"/>
        </w:rPr>
        <w:t xml:space="preserve">Fluorescence measurements of reactions expressing </w:t>
      </w:r>
      <w:proofErr w:type="spellStart"/>
      <w:r w:rsidRPr="00857C48">
        <w:rPr>
          <w:rFonts w:cs="Arial"/>
          <w:szCs w:val="22"/>
        </w:rPr>
        <w:t>sfGFP</w:t>
      </w:r>
      <w:proofErr w:type="spellEnd"/>
      <w:r w:rsidRPr="00857C48">
        <w:rPr>
          <w:rFonts w:cs="Arial"/>
          <w:szCs w:val="22"/>
        </w:rPr>
        <w:t xml:space="preserve"> were taken using top optics on a </w:t>
      </w:r>
      <w:proofErr w:type="spellStart"/>
      <w:r w:rsidRPr="00857C48">
        <w:rPr>
          <w:rFonts w:cs="Arial"/>
          <w:szCs w:val="22"/>
        </w:rPr>
        <w:t>BioTek</w:t>
      </w:r>
      <w:proofErr w:type="spellEnd"/>
      <w:r w:rsidRPr="00857C48">
        <w:rPr>
          <w:rFonts w:cs="Arial"/>
          <w:szCs w:val="22"/>
        </w:rPr>
        <w:t xml:space="preserve"> Cytation5 (Agilent). Excitation and emission filters were set to 485 nm and 538 nm, respectively. </w:t>
      </w:r>
    </w:p>
    <w:p w14:paraId="0784FBE7" w14:textId="77777777" w:rsidR="00A90B05" w:rsidRDefault="00A90B05" w:rsidP="00A90B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Cs w:val="22"/>
        </w:rPr>
      </w:pPr>
    </w:p>
    <w:p w14:paraId="7F544761" w14:textId="13C078E7" w:rsidR="00857C48" w:rsidRPr="00E033D4" w:rsidRDefault="00D60D4C" w:rsidP="00E033D4">
      <w:pPr>
        <w:pStyle w:val="ChapterHeading"/>
      </w:pPr>
      <w:bookmarkStart w:id="130" w:name="_Toc129701070"/>
      <w:r w:rsidRPr="00E033D4">
        <w:t>5.4. Results and Discussion</w:t>
      </w:r>
      <w:bookmarkEnd w:id="130"/>
    </w:p>
    <w:p w14:paraId="32F1BCE8" w14:textId="56B3EF2B" w:rsidR="00857C48" w:rsidRPr="00857C48" w:rsidRDefault="00D60D4C" w:rsidP="00E033D4">
      <w:pPr>
        <w:pStyle w:val="ChapterSub-heading"/>
      </w:pPr>
      <w:bookmarkStart w:id="131" w:name="_Toc129701071"/>
      <w:r>
        <w:t xml:space="preserve">5.4.1. </w:t>
      </w:r>
      <w:r w:rsidR="00857C48" w:rsidRPr="00857C48">
        <w:t xml:space="preserve">Cell-free expression of functional </w:t>
      </w:r>
      <w:proofErr w:type="spellStart"/>
      <w:r w:rsidR="00857C48" w:rsidRPr="00857C48">
        <w:t>BpsA</w:t>
      </w:r>
      <w:proofErr w:type="spellEnd"/>
      <w:r w:rsidR="00857C48" w:rsidRPr="00857C48">
        <w:t xml:space="preserve">-TC in </w:t>
      </w:r>
      <w:r w:rsidR="00857C48" w:rsidRPr="00857C48">
        <w:rPr>
          <w:i/>
          <w:iCs/>
        </w:rPr>
        <w:t xml:space="preserve">E. coli </w:t>
      </w:r>
      <w:r w:rsidR="00857C48" w:rsidRPr="00857C48">
        <w:t>lysates</w:t>
      </w:r>
      <w:bookmarkEnd w:id="131"/>
    </w:p>
    <w:p w14:paraId="48DA93E4" w14:textId="29D072F8" w:rsidR="00857C48" w:rsidRPr="00857C48" w:rsidRDefault="00857C48" w:rsidP="00D60D4C">
      <w:pPr>
        <w:ind w:firstLine="720"/>
        <w:rPr>
          <w:rFonts w:cs="Arial"/>
          <w:szCs w:val="22"/>
        </w:rPr>
      </w:pPr>
      <w:r w:rsidRPr="00857C48">
        <w:rPr>
          <w:rFonts w:cs="Arial"/>
          <w:szCs w:val="22"/>
        </w:rPr>
        <w:t xml:space="preserve">The activities of enzymes can affect their cell-free production if the enzymes’ catalytic domains share substrates with the TX/TL machinery. To study this phenomenon for NRPS CFE using TC tag technology, it is important that the TC tag itself does not abolish the catalytic function of cell-free expressed NRPSs in </w:t>
      </w:r>
      <w:r w:rsidRPr="00857C48">
        <w:rPr>
          <w:rFonts w:cs="Arial"/>
          <w:i/>
          <w:iCs/>
          <w:szCs w:val="22"/>
        </w:rPr>
        <w:t xml:space="preserve">E. coli </w:t>
      </w:r>
      <w:r w:rsidRPr="00857C48">
        <w:rPr>
          <w:rFonts w:cs="Arial"/>
          <w:szCs w:val="22"/>
        </w:rPr>
        <w:t xml:space="preserve">lysates. To this end, a pET28a(+) vector containing the </w:t>
      </w:r>
      <w:proofErr w:type="spellStart"/>
      <w:r w:rsidRPr="00857C48">
        <w:rPr>
          <w:rFonts w:cs="Arial"/>
          <w:szCs w:val="22"/>
        </w:rPr>
        <w:t>BpsA</w:t>
      </w:r>
      <w:proofErr w:type="spellEnd"/>
      <w:r w:rsidRPr="00857C48">
        <w:rPr>
          <w:rFonts w:cs="Arial"/>
          <w:szCs w:val="22"/>
        </w:rPr>
        <w:t xml:space="preserve"> coding sequence and a C-terminal TC tag sequence to express TC-tagged </w:t>
      </w:r>
      <w:proofErr w:type="spellStart"/>
      <w:r w:rsidRPr="00857C48">
        <w:rPr>
          <w:rFonts w:cs="Arial"/>
          <w:szCs w:val="22"/>
        </w:rPr>
        <w:t>BpsA</w:t>
      </w:r>
      <w:proofErr w:type="spellEnd"/>
      <w:r w:rsidRPr="00857C48">
        <w:rPr>
          <w:rFonts w:cs="Arial"/>
          <w:szCs w:val="22"/>
        </w:rPr>
        <w:t xml:space="preserve"> (</w:t>
      </w:r>
      <w:proofErr w:type="spellStart"/>
      <w:r w:rsidRPr="00857C48">
        <w:rPr>
          <w:rFonts w:cs="Arial"/>
          <w:szCs w:val="22"/>
        </w:rPr>
        <w:t>BpsA</w:t>
      </w:r>
      <w:proofErr w:type="spellEnd"/>
      <w:r w:rsidRPr="00857C48">
        <w:rPr>
          <w:rFonts w:cs="Arial"/>
          <w:szCs w:val="22"/>
        </w:rPr>
        <w:t xml:space="preserve">-TC) was constructed. </w:t>
      </w:r>
      <w:proofErr w:type="spellStart"/>
      <w:r w:rsidRPr="00857C48">
        <w:rPr>
          <w:rFonts w:cs="Arial"/>
          <w:szCs w:val="22"/>
        </w:rPr>
        <w:t>BpsA</w:t>
      </w:r>
      <w:proofErr w:type="spellEnd"/>
      <w:r w:rsidRPr="00857C48">
        <w:rPr>
          <w:rFonts w:cs="Arial"/>
          <w:szCs w:val="22"/>
        </w:rPr>
        <w:t xml:space="preserve"> is a great model for investigating NRPS CFE due to its relatively simple structure as a single module NRPS and the optical detectability of its product</w:t>
      </w:r>
      <w:r w:rsidRPr="00857C48">
        <w:rPr>
          <w:rFonts w:cs="Arial"/>
          <w:szCs w:val="22"/>
        </w:rPr>
        <w:fldChar w:fldCharType="begin" w:fldLock="1"/>
      </w:r>
      <w:r w:rsidR="004F3109">
        <w:rPr>
          <w:rFonts w:cs="Arial"/>
          <w:szCs w:val="22"/>
        </w:rPr>
        <w:instrText>ADDIN CSL_CITATION {"citationItems":[{"id":"ITEM-1","itemData":{"DOI":"10.1021/JACS.0C04328/SUPPL_FILE/JA0C04328_SI_002.PDB","ISSN":"15205126","PMID":"32510939","abstract":"Nonribosomal peptide synthetase (NRPS) oxidase (Ox) domains oxidize protein-bound intermediates to install crucial structural motifs in bioactive natural products. The mechanism of this domain remains elusive. Here, by studying indigoidine synthetase, a single-module NRPS involved in the biosynthesis of indigoidine and several other bacterial secondary metabolites, we demonstrate that its Ox domain utilizes an active-site base residue, tyrosine 665, to deprotonate a protein-bound l-glutaminyl residue. We further validate the generality of this active-site residue among NRPS Ox domains. These findings not only resolve the biosynthetic pathway mediated by indigoidine synthetase but enable mechanistic insight into NRPS Ox domains.","author":[{"dropping-particle":"","family":"Pang","given":"Bo","non-dropping-particle":"","parse-names":false,"suffix":""},{"dropping-particle":"","family":"Pang","given":"Bo","non-dropping-particle":"","parse-names":false,"suffix":""},{"dropping-particle":"","family":"Pang","given":"Bo","non-dropping-particle":"","parse-names":false,"suffix":""},{"dropping-particle":"","family":"Chen","given":"Yan","non-dropping-particle":"","parse-names":false,"suffix":""},{"dropping-particle":"","family":"Chen","given":"Yan","non-dropping-particle":"","parse-names":false,"suffix":""},{"dropping-particle":"","family":"Gan","given":"Fei","non-dropping-particle":"","parse-names":false,"suffix":""},{"dropping-particle":"","family":"Gan","given":"Fei","non-dropping-particle":"","parse-names":false,"suffix":""},{"dropping-particle":"","family":"Gan","given":"Fei","non-dropping-particle":"","parse-names":false,"suffix":""},{"dropping-particle":"","family":"Yan","given":"Chunsheng","non-dropping-particle":"","parse-names":false,"suffix":""},{"dropping-particle":"","family":"Jin","given":"Liyuan","non-dropping-particle":"","parse-names":false,"suffix":""},{"dropping-particle":"","family":"Gin","given":"Jennifer W.","non-dropping-particle":"","parse-names":false,"suffix":""},{"dropping-particle":"","family":"Gin","given":"Jennifer W.","non-dropping-particle":"","parse-names":false,"suffix":""},{"dropping-particle":"","family":"Petzold","given":"Christopher J.","non-dropping-particle":"","parse-names":false,"suffix":""},{"dropping-particle":"","family":"Petzold","given":"Christopher J.","non-dropping-particle":"","parse-names":false,"suffix":""},{"dropping-particle":"","family":"Keasling","given":"Jay D.","non-dropping-particle":"","parse-names":false,"suffix":""},{"dropping-particle":"","family":"Keasling","given":"Jay D.","non-dropping-particle":"","parse-names":false,"suffix":""},{"dropping-particle":"","family":"Keasling","given":"Jay D.","non-dropping-particle":"","parse-names":false,"suffix":""},{"dropping-particle":"","family":"Keasling","given":"Jay D.","non-dropping-particle":"","parse-names":false,"suffix":""},{"dropping-particle":"","family":"Keasling","given":"Jay D.","non-dropping-particle":"","parse-names":false,"suffix":""},{"dropping-particle":"","family":"Keasling","given":"Jay D.","non-dropping-particle":"","parse-names":false,"suffix":""}],"container-title":"Journal of the American Chemical Society","id":"ITEM-1","issue":"25","issued":{"date-parts":[["2020","6","24"]]},"page":"10931-10935","publisher":"American Chemical Society","title":"Investigation of Indigoidine Synthetase Reveals a Conserved Active-Site Base Residue of Nonribosomal Peptide Synthetase Oxidases","type":"article-journal","volume":"142"},"uris":["http://www.mendeley.com/documents/?uuid=39d6e815-643e-3278-9267-0113a829d8c7"]},{"id":"ITEM-2","itemData":{"DOI":"10.1042/BJ20110321","ISSN":"02646021","abstract":"PPTases (phosphopantetheinyl transferases) are of great interest owing to their essential roles in activating fatty acid, polyketide and non-ribosomal peptide synthetase enzymes for both primary and secondary metabolism, as well as an increasing number of biotechnological applications. However, existing techniques for PPTase characterization and development are cumbersome and technically challenging. To address this, we have developed the indigoidine-synthesizing non-ribosomal peptide synthetase BpsA as a reporter for PPTase activity. Simple co-transformation allows rapid assessment of the ability of a PPTase candidate to activate BpsA in vivo. Kinetic parameters with respect to either CoA or BpsA as variable substrate can then be derived in vitro by continuously measuring the rate of indigoidine synthesis as the PPTase progressively converts BpsA from its apo into holo form. Subsequently, a competition assay, in which BpsA and purified carrier proteins compete for a limited pool of CoA, enables elucidation of kinetic parameters for a PPTase with those carrier proteins. We used this system to conduct a rapid characterization of three different PPTase enzymes: Sfp of Bacillus subtilis A.T.C.C.6633, PcpS of Pseudomonas aeruginosa PAO1, and the putative PPTase PP1183 of Ps. putida KT2440. We also demonstrate the utility of this system for discovery and characterization of PPTase inhibitors. © The Authors Journal compilation © 2011 Biochemical Society.","author":[{"dropping-particle":"","family":"Owen","given":"Jeremy G.","non-dropping-particle":"","parse-names":false,"suffix":""},{"dropping-particle":"","family":"Copp","given":"Janine N.","non-dropping-particle":"","parse-names":false,"suffix":""},{"dropping-particle":"","family":"Ackerley","given":"David F.","non-dropping-particle":"","parse-names":false,"suffix":""}],"container-title":"Biochemical Journal","id":"ITEM-2","issue":"3","issued":{"date-parts":[["2011","6","15"]]},"page":"709-717","publisher":"Portland Press","title":"Rapid and flexible biochemical assays for evaluating 4′- phosphopantetheinyl transferase activity","type":"article-journal","volume":"436"},"uris":["http://www.mendeley.com/documents/?uuid=c70e94c8-f14e-33d7-94e5-836965bc77a6"]},{"id":"ITEM-3","itemData":{"DOI":"10.1016/J.CHEMBIOL.2016.09.014","ISSN":"2451-9456","PMID":"27984027","abstract":"Non-ribosomal peptide synthetases (NRPSs) are modular enzymatic assembly lines where substrates and intermediates undergo rounds of transformation catalyzed by adenylation (A), condensation (C), and thioesterase (TE) domains. Central to the NRPS biosynthesis are peptidyl carrier protein (PCP) domains, small, catalytically inactive domains that shuttle substrates and intermediates between the catalytic modules and govern product release from TE domains. There is strong interest in recombination of NRPS systems to generate new chemical entities. However, the intrinsic complexity of these systems has been a major challenge. Here, we employ domain substitution and random mutagenesis to recapitulate NRPS evolution, focusing on PCP domains. Using NRPS model systems that produce two different pigmented molecules, pyoverdine and indigoidine, we found that only evolutionarily specialized recombinant PCP domains could interact effectively with the native TE domain for product release. Overall, we highlight that substituted PCP domains require very minor changes to result in functional NRPSs, and infer that positive selection pressure may improve recombinant NRPS outcomes.","author":[{"dropping-particle":"","family":"Owen","given":"Jeremy G.","non-dropping-particle":"","parse-names":false,"suffix":""},{"dropping-particle":"","family":"Calcott","given":"Mark J.","non-dropping-particle":"","parse-names":false,"suffix":""},{"dropping-particle":"","family":"Robins","given":"Katherine J.","non-dropping-particle":"","parse-names":false,"suffix":""},{"dropping-particle":"","family":"Ackerley","given":"David F.","non-dropping-particle":"","parse-names":false,"suffix":""}],"container-title":"Cell Chemical Biology","id":"ITEM-3","issue":"11","issued":{"date-parts":[["2016","11","17"]]},"page":"1395-1406","publisher":"Cell Press","title":"Generating Functional Recombinant NRPS Enzymes in the Laboratory Setting via Peptidyl Carrier Protein Engineering","type":"article-journal","volume":"23"},"uris":["http://www.mendeley.com/documents/?uuid=eb43126d-4f90-3507-8b40-61d3c65ec6f6"]}],"mendeley":{"formattedCitation":"&lt;sup&gt;220–222&lt;/sup&gt;","plainTextFormattedCitation":"220–222","previouslyFormattedCitation":"&lt;sup&gt;220–222&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220–222</w:t>
      </w:r>
      <w:r w:rsidRPr="00857C48">
        <w:rPr>
          <w:rFonts w:cs="Arial"/>
          <w:szCs w:val="22"/>
        </w:rPr>
        <w:fldChar w:fldCharType="end"/>
      </w:r>
      <w:r w:rsidR="00D60D4C">
        <w:rPr>
          <w:rFonts w:cs="Arial"/>
          <w:szCs w:val="22"/>
        </w:rPr>
        <w:t>.</w:t>
      </w:r>
      <w:r w:rsidRPr="00857C48">
        <w:rPr>
          <w:rFonts w:cs="Arial"/>
          <w:szCs w:val="22"/>
        </w:rPr>
        <w:t xml:space="preserve"> </w:t>
      </w:r>
      <w:proofErr w:type="spellStart"/>
      <w:r w:rsidRPr="00857C48">
        <w:rPr>
          <w:rFonts w:cs="Arial"/>
          <w:szCs w:val="22"/>
        </w:rPr>
        <w:t>BpsA</w:t>
      </w:r>
      <w:proofErr w:type="spellEnd"/>
      <w:r w:rsidRPr="00857C48">
        <w:rPr>
          <w:rFonts w:cs="Arial"/>
          <w:szCs w:val="22"/>
        </w:rPr>
        <w:t xml:space="preserve"> synthesizes one molecule of </w:t>
      </w:r>
      <w:proofErr w:type="spellStart"/>
      <w:r w:rsidRPr="00857C48">
        <w:rPr>
          <w:rFonts w:cs="Arial"/>
          <w:szCs w:val="22"/>
        </w:rPr>
        <w:t>indigoidine</w:t>
      </w:r>
      <w:proofErr w:type="spellEnd"/>
      <w:r w:rsidRPr="00857C48">
        <w:rPr>
          <w:rFonts w:cs="Arial"/>
          <w:szCs w:val="22"/>
        </w:rPr>
        <w:t xml:space="preserve">, a blue pigment that absorbs light at a wavelength of 590 nm, from two molecules of </w:t>
      </w:r>
      <w:r w:rsidRPr="00857C48">
        <w:rPr>
          <w:rFonts w:cs="Arial"/>
          <w:smallCaps/>
          <w:szCs w:val="22"/>
        </w:rPr>
        <w:t>L</w:t>
      </w:r>
      <w:r w:rsidRPr="00857C48">
        <w:rPr>
          <w:rFonts w:cs="Arial"/>
          <w:szCs w:val="22"/>
        </w:rPr>
        <w:t>-glutamine (</w:t>
      </w:r>
      <w:r w:rsidRPr="00857C48">
        <w:rPr>
          <w:rFonts w:cs="Arial"/>
          <w:smallCaps/>
          <w:szCs w:val="22"/>
        </w:rPr>
        <w:t>L</w:t>
      </w:r>
      <w:r w:rsidRPr="00857C48">
        <w:rPr>
          <w:rFonts w:cs="Arial"/>
          <w:szCs w:val="22"/>
        </w:rPr>
        <w:t>-Gln) (</w:t>
      </w:r>
      <w:r w:rsidRPr="00857C48">
        <w:rPr>
          <w:rFonts w:cs="Arial"/>
          <w:b/>
          <w:bCs/>
          <w:szCs w:val="22"/>
        </w:rPr>
        <w:t>Fig</w:t>
      </w:r>
      <w:r w:rsidR="00D60D4C">
        <w:rPr>
          <w:rFonts w:cs="Arial"/>
          <w:b/>
          <w:bCs/>
          <w:szCs w:val="22"/>
        </w:rPr>
        <w:t>ure</w:t>
      </w:r>
      <w:r w:rsidRPr="00857C48">
        <w:rPr>
          <w:rFonts w:cs="Arial"/>
          <w:b/>
          <w:bCs/>
          <w:szCs w:val="22"/>
        </w:rPr>
        <w:t xml:space="preserve"> </w:t>
      </w:r>
      <w:r w:rsidR="00D60D4C">
        <w:rPr>
          <w:rFonts w:cs="Arial"/>
          <w:b/>
          <w:bCs/>
          <w:szCs w:val="22"/>
        </w:rPr>
        <w:t>5.</w:t>
      </w:r>
      <w:r w:rsidRPr="00857C48">
        <w:rPr>
          <w:rFonts w:cs="Arial"/>
          <w:b/>
          <w:bCs/>
          <w:szCs w:val="22"/>
        </w:rPr>
        <w:t>1A</w:t>
      </w:r>
      <w:r w:rsidRPr="00857C48">
        <w:rPr>
          <w:rFonts w:cs="Arial"/>
          <w:szCs w:val="22"/>
        </w:rPr>
        <w:t>)</w:t>
      </w:r>
      <w:r w:rsidRPr="00857C48">
        <w:rPr>
          <w:rFonts w:cs="Arial"/>
          <w:szCs w:val="22"/>
        </w:rPr>
        <w:fldChar w:fldCharType="begin" w:fldLock="1"/>
      </w:r>
      <w:r w:rsidR="00567FF4">
        <w:rPr>
          <w:rFonts w:cs="Arial"/>
          <w:szCs w:val="22"/>
        </w:rPr>
        <w:instrText>ADDIN CSL_CITATION {"citationItems":[{"id":"ITEM-1","itemData":{"DOI":"10.1038/srep41745","ISSN":"20452322","abstract":"The ability to rapidly, economically and accurately measure L-glutamine concentrations in biological samples is important for many areas of research, medicine or industry, however there is room for improvement on existing methods. We describe here how the enzyme BpsA, a single-module non-ribosomal peptide synthetase able to convert L-glutamine into the blue pigment indigoidine, can be used to accurately measure L-glutamine in biological samples. Although indigoidine has low solubility in aqueous solutions, meaning direct measurements of indigoidine synthesis do not reliably yield linear standard curves, we demonstrate that resolubilisation of the reaction end-products in DMSO overcomes this issue and that spontaneous reduction to colourless leuco-indigoidine occurs too slowly to interfere with assay accuracy. Our protocol is amenable to a 96-well microtitre format and can be used to measure L-glutamine in common bacterial and mammalian culture media, urine, and deproteinated plasma. We show that active BpsA can be prepared in high yield by expressing it in the apo-form to avoid the toxicity of indigoidine to Escherichia coli host cells, then activating it to the holo-form in cell lysates prior to purification; and that BpsA has a lengthy shelf-life, retaining &gt;95% activity when stored at either -20 °C or 4 °C for 24 weeks.","author":[{"dropping-particle":"","family":"Brown","given":"Alistair S.","non-dropping-particle":"","parse-names":false,"suffix":""},{"dropping-particle":"","family":"Robins","given":"Katherine J.","non-dropping-particle":"","parse-names":false,"suffix":""},{"dropping-particle":"","family":"Ackerley","given":"David F.","non-dropping-particle":"","parse-names":false,"suffix":""}],"container-title":"Scientific Reports","id":"ITEM-1","issue":"1","issued":{"date-parts":[["2017","1","31"]]},"page":"1-13","publisher":"Nature Publishing Group","title":"A sensitive single-enzyme assay system using the non-ribosomal peptide synthetase BpsA for measurement of L-glutamine in biological samples","type":"article-journal","volume":"7"},"uris":["http://www.mendeley.com/documents/?uuid=dda65998-f29d-3848-91b7-4a30a37396e6"]}],"mendeley":{"formattedCitation":"&lt;sup&gt;69&lt;/sup&gt;","plainTextFormattedCitation":"69","previouslyFormattedCitation":"&lt;sup&gt;69&lt;/sup&gt;"},"properties":{"noteIndex":0},"schema":"https://github.com/citation-style-language/schema/raw/master/csl-citation.json"}</w:instrText>
      </w:r>
      <w:r w:rsidRPr="00857C48">
        <w:rPr>
          <w:rFonts w:cs="Arial"/>
          <w:szCs w:val="22"/>
        </w:rPr>
        <w:fldChar w:fldCharType="separate"/>
      </w:r>
      <w:r w:rsidR="00567FF4" w:rsidRPr="00567FF4">
        <w:rPr>
          <w:rFonts w:cs="Arial"/>
          <w:noProof/>
          <w:szCs w:val="22"/>
          <w:vertAlign w:val="superscript"/>
        </w:rPr>
        <w:t>69</w:t>
      </w:r>
      <w:r w:rsidRPr="00857C48">
        <w:rPr>
          <w:rFonts w:cs="Arial"/>
          <w:szCs w:val="22"/>
        </w:rPr>
        <w:fldChar w:fldCharType="end"/>
      </w:r>
      <w:r w:rsidR="00D60D4C">
        <w:rPr>
          <w:rFonts w:cs="Arial"/>
          <w:szCs w:val="22"/>
        </w:rPr>
        <w:t>.</w:t>
      </w:r>
      <w:r w:rsidRPr="00857C48">
        <w:rPr>
          <w:rFonts w:cs="Arial"/>
          <w:szCs w:val="22"/>
        </w:rPr>
        <w:t xml:space="preserve"> To do so, </w:t>
      </w:r>
      <w:proofErr w:type="spellStart"/>
      <w:r w:rsidRPr="00857C48">
        <w:rPr>
          <w:rFonts w:cs="Arial"/>
          <w:szCs w:val="22"/>
        </w:rPr>
        <w:t>BpsA</w:t>
      </w:r>
      <w:proofErr w:type="spellEnd"/>
      <w:r w:rsidRPr="00857C48">
        <w:rPr>
          <w:rFonts w:cs="Arial"/>
          <w:szCs w:val="22"/>
        </w:rPr>
        <w:t xml:space="preserve"> must be functionally activated into its </w:t>
      </w:r>
      <w:r w:rsidRPr="00857C48">
        <w:rPr>
          <w:rFonts w:cs="Arial"/>
          <w:i/>
          <w:iCs/>
          <w:szCs w:val="22"/>
        </w:rPr>
        <w:t>holo</w:t>
      </w:r>
      <w:r w:rsidRPr="00857C48">
        <w:rPr>
          <w:rFonts w:cs="Arial"/>
          <w:szCs w:val="22"/>
        </w:rPr>
        <w:t>-form by a 4′-phosphopantetheinyl transferase (</w:t>
      </w:r>
      <w:proofErr w:type="spellStart"/>
      <w:r w:rsidRPr="00857C48">
        <w:rPr>
          <w:rFonts w:cs="Arial"/>
          <w:szCs w:val="22"/>
        </w:rPr>
        <w:t>PPTase</w:t>
      </w:r>
      <w:proofErr w:type="spellEnd"/>
      <w:r w:rsidRPr="00857C48">
        <w:rPr>
          <w:rFonts w:cs="Arial"/>
          <w:szCs w:val="22"/>
        </w:rPr>
        <w:t xml:space="preserve">) which </w:t>
      </w:r>
      <w:proofErr w:type="spellStart"/>
      <w:r w:rsidRPr="00857C48">
        <w:rPr>
          <w:rFonts w:cs="Arial"/>
          <w:szCs w:val="22"/>
        </w:rPr>
        <w:t>phosphopantetheinylates</w:t>
      </w:r>
      <w:proofErr w:type="spellEnd"/>
      <w:r w:rsidRPr="00857C48">
        <w:rPr>
          <w:rFonts w:cs="Arial"/>
          <w:szCs w:val="22"/>
        </w:rPr>
        <w:t xml:space="preserve"> the PCP domain. BAP1 is a BL21(DE3) derivative strain with a </w:t>
      </w:r>
      <w:proofErr w:type="spellStart"/>
      <w:r w:rsidRPr="00857C48">
        <w:rPr>
          <w:rFonts w:cs="Arial"/>
          <w:szCs w:val="22"/>
        </w:rPr>
        <w:t>genomically</w:t>
      </w:r>
      <w:proofErr w:type="spellEnd"/>
      <w:r w:rsidRPr="00857C48">
        <w:rPr>
          <w:rFonts w:cs="Arial"/>
          <w:szCs w:val="22"/>
        </w:rPr>
        <w:t xml:space="preserve"> integrated </w:t>
      </w:r>
      <w:proofErr w:type="spellStart"/>
      <w:r w:rsidRPr="00857C48">
        <w:rPr>
          <w:rFonts w:cs="Arial"/>
          <w:i/>
          <w:iCs/>
          <w:szCs w:val="22"/>
        </w:rPr>
        <w:t>sfp</w:t>
      </w:r>
      <w:proofErr w:type="spellEnd"/>
      <w:r w:rsidRPr="00857C48">
        <w:rPr>
          <w:rFonts w:cs="Arial"/>
          <w:i/>
          <w:iCs/>
          <w:szCs w:val="22"/>
        </w:rPr>
        <w:t xml:space="preserve"> </w:t>
      </w:r>
      <w:r w:rsidRPr="00857C48">
        <w:rPr>
          <w:rFonts w:cs="Arial"/>
          <w:szCs w:val="22"/>
        </w:rPr>
        <w:t>gene that expresses a PPTase</w:t>
      </w:r>
      <w:r w:rsidRPr="00857C48">
        <w:rPr>
          <w:rFonts w:cs="Arial"/>
          <w:szCs w:val="22"/>
        </w:rPr>
        <w:fldChar w:fldCharType="begin" w:fldLock="1"/>
      </w:r>
      <w:r w:rsidR="004F3109">
        <w:rPr>
          <w:rFonts w:cs="Arial"/>
          <w:szCs w:val="22"/>
        </w:rPr>
        <w:instrText>ADDIN CSL_CITATION {"citationItems":[{"id":"ITEM-1","itemData":{"DOI":"10.1126/SCIENCE.1058092/SUPPL_FILE/1058092S2_THUMB.GIF","ISSN":"00368075","PMID":"11230695","abstract":"The macrocyclic core of the antibiotic erythromycin, 6-deoxyerythronolide B (6dEB), is a complex natural product synthesized by the soil bacterium Saccharopolyspora erythraea through the action of a multifunctional polyketide synthase (PKS). The engineering potential of modular PKSs is hampered by the limited capabilities for molecular biological manipulation of organisms (principally actinomycetes) in which complex polyketides have thus far been produced. To address this problem, a derivative of Escherichia coli has been genetically engineered. The resulting cellular catalyst converts exogenous propionate into 6dEB with a specific productivity that compares well with a high-producing mutant of S. erythraea that has been incrementally enhanced over decades for the industrial production of erythromycin.","author":[{"dropping-particle":"","family":"Pfeifer","given":"B. A.","non-dropping-particle":"","parse-names":false,"suffix":""},{"dropping-particle":"","family":"Admiraal","given":"S. J.","non-dropping-particle":"","parse-names":false,"suffix":""},{"dropping-particle":"","family":"Gramajo","given":"H.","non-dropping-particle":"","parse-names":false,"suffix":""},{"dropping-particle":"","family":"Cane","given":"D. E.","non-dropping-particle":"","parse-names":false,"suffix":""},{"dropping-particle":"","family":"Khosla","given":"C.","non-dropping-particle":"","parse-names":false,"suffix":""}],"container-title":"Science","id":"ITEM-1","issue":"5509","issued":{"date-parts":[["2001","3","2"]]},"page":"1790-1792","publisher":"American Association for the Advancement of Science","title":"Biosynthesis of complex polyketides in a metabolically engineered strain of E. coli","type":"article-journal","volume":"291"},"uris":["http://www.mendeley.com/documents/?uuid=690e4cbf-d8f8-3ebf-9957-11d32e05d136"]}],"mendeley":{"formattedCitation":"&lt;sup&gt;214&lt;/sup&gt;","plainTextFormattedCitation":"214","previouslyFormattedCitation":"&lt;sup&gt;214&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214</w:t>
      </w:r>
      <w:r w:rsidRPr="00857C48">
        <w:rPr>
          <w:rFonts w:cs="Arial"/>
          <w:szCs w:val="22"/>
        </w:rPr>
        <w:fldChar w:fldCharType="end"/>
      </w:r>
      <w:r w:rsidR="00D60D4C">
        <w:rPr>
          <w:rFonts w:cs="Arial"/>
          <w:szCs w:val="22"/>
        </w:rPr>
        <w:t>.</w:t>
      </w:r>
      <w:r w:rsidRPr="00857C48">
        <w:rPr>
          <w:rFonts w:cs="Arial"/>
          <w:szCs w:val="22"/>
        </w:rPr>
        <w:t xml:space="preserve"> </w:t>
      </w:r>
    </w:p>
    <w:p w14:paraId="2DDD6E45" w14:textId="1331F458" w:rsidR="00D60D4C" w:rsidRDefault="00857C48" w:rsidP="00D60D4C">
      <w:pPr>
        <w:ind w:firstLine="720"/>
        <w:rPr>
          <w:rFonts w:cs="Arial"/>
          <w:szCs w:val="22"/>
        </w:rPr>
      </w:pPr>
      <w:r w:rsidRPr="00857C48">
        <w:rPr>
          <w:rFonts w:cs="Arial"/>
          <w:szCs w:val="22"/>
        </w:rPr>
        <w:t>De</w:t>
      </w:r>
      <w:r w:rsidR="00D60D4C">
        <w:rPr>
          <w:rFonts w:cs="Arial"/>
          <w:szCs w:val="22"/>
        </w:rPr>
        <w:t>t</w:t>
      </w:r>
      <w:r w:rsidRPr="00857C48">
        <w:rPr>
          <w:rFonts w:cs="Arial"/>
          <w:szCs w:val="22"/>
        </w:rPr>
        <w:t xml:space="preserve">ecting the blue pigment in BAP1 lysate reactions incubated with the plasmid construct would indicate successful expression of full-length and functional </w:t>
      </w:r>
      <w:proofErr w:type="spellStart"/>
      <w:r w:rsidRPr="00857C48">
        <w:rPr>
          <w:rFonts w:cs="Arial"/>
          <w:szCs w:val="22"/>
        </w:rPr>
        <w:t>BpsA</w:t>
      </w:r>
      <w:proofErr w:type="spellEnd"/>
      <w:r w:rsidRPr="00857C48">
        <w:rPr>
          <w:rFonts w:cs="Arial"/>
          <w:szCs w:val="22"/>
        </w:rPr>
        <w:t xml:space="preserve">-TC protein. An assay was therefore established, allowing </w:t>
      </w:r>
      <w:proofErr w:type="spellStart"/>
      <w:r w:rsidRPr="00857C48">
        <w:rPr>
          <w:rFonts w:cs="Arial"/>
          <w:szCs w:val="22"/>
        </w:rPr>
        <w:t>indigoidine</w:t>
      </w:r>
      <w:proofErr w:type="spellEnd"/>
      <w:r w:rsidRPr="00857C48">
        <w:rPr>
          <w:rFonts w:cs="Arial"/>
          <w:szCs w:val="22"/>
        </w:rPr>
        <w:t xml:space="preserve"> measurement in a lysate-based cell-free system. To achieve this, purified </w:t>
      </w:r>
      <w:proofErr w:type="spellStart"/>
      <w:r w:rsidRPr="00857C48">
        <w:rPr>
          <w:rFonts w:cs="Arial"/>
          <w:szCs w:val="22"/>
        </w:rPr>
        <w:t>indigoidine</w:t>
      </w:r>
      <w:proofErr w:type="spellEnd"/>
      <w:r w:rsidRPr="00857C48">
        <w:rPr>
          <w:rFonts w:cs="Arial"/>
          <w:szCs w:val="22"/>
        </w:rPr>
        <w:t xml:space="preserve"> was spiked into lysate reactions without DNA. A sufficiently broad range of pigment concentrations could be </w:t>
      </w:r>
      <w:r w:rsidRPr="00857C48">
        <w:rPr>
          <w:rFonts w:cs="Arial"/>
          <w:color w:val="000000" w:themeColor="text1"/>
          <w:szCs w:val="22"/>
        </w:rPr>
        <w:t xml:space="preserve">detected by normalizing the absorbance of the pigment at 590 nm to lysate turbidity absorbance at 800 nm, and then coupling these normalized values </w:t>
      </w:r>
      <w:r w:rsidRPr="00857C48">
        <w:rPr>
          <w:rFonts w:cs="Arial"/>
          <w:color w:val="000000" w:themeColor="text1"/>
          <w:szCs w:val="22"/>
        </w:rPr>
        <w:lastRenderedPageBreak/>
        <w:t xml:space="preserve">to the </w:t>
      </w:r>
      <w:r w:rsidRPr="00857C48">
        <w:rPr>
          <w:rFonts w:cs="Arial"/>
          <w:szCs w:val="22"/>
        </w:rPr>
        <w:t>addition of 70 % DMSO directly to the mock reactions (</w:t>
      </w:r>
      <w:r w:rsidRPr="00857C48">
        <w:rPr>
          <w:rFonts w:cs="Arial"/>
          <w:b/>
          <w:bCs/>
          <w:szCs w:val="22"/>
        </w:rPr>
        <w:t>Fig</w:t>
      </w:r>
      <w:r w:rsidR="00D60D4C">
        <w:rPr>
          <w:rFonts w:cs="Arial"/>
          <w:b/>
          <w:bCs/>
          <w:szCs w:val="22"/>
        </w:rPr>
        <w:t>ure</w:t>
      </w:r>
      <w:r w:rsidRPr="00857C48">
        <w:rPr>
          <w:rFonts w:cs="Arial"/>
          <w:b/>
          <w:bCs/>
          <w:szCs w:val="22"/>
        </w:rPr>
        <w:t xml:space="preserve"> </w:t>
      </w:r>
      <w:r w:rsidR="00D60D4C">
        <w:rPr>
          <w:rFonts w:cs="Arial"/>
          <w:b/>
          <w:bCs/>
          <w:szCs w:val="22"/>
        </w:rPr>
        <w:t>5.</w:t>
      </w:r>
      <w:r w:rsidRPr="00857C48">
        <w:rPr>
          <w:rFonts w:cs="Arial"/>
          <w:b/>
          <w:bCs/>
          <w:szCs w:val="22"/>
        </w:rPr>
        <w:t xml:space="preserve">1B, </w:t>
      </w:r>
      <w:r w:rsidR="00D60D4C">
        <w:rPr>
          <w:rFonts w:cs="Arial"/>
          <w:b/>
          <w:bCs/>
          <w:szCs w:val="22"/>
        </w:rPr>
        <w:t>Appendix F</w:t>
      </w:r>
      <w:r w:rsidRPr="00857C48">
        <w:rPr>
          <w:rFonts w:cs="Arial"/>
          <w:b/>
          <w:bCs/>
          <w:szCs w:val="22"/>
        </w:rPr>
        <w:t>ig</w:t>
      </w:r>
      <w:r w:rsidR="00D60D4C">
        <w:rPr>
          <w:rFonts w:cs="Arial"/>
          <w:b/>
          <w:bCs/>
          <w:szCs w:val="22"/>
        </w:rPr>
        <w:t>ure</w:t>
      </w:r>
      <w:r w:rsidRPr="00857C48">
        <w:rPr>
          <w:rFonts w:cs="Arial"/>
          <w:b/>
          <w:bCs/>
          <w:szCs w:val="22"/>
        </w:rPr>
        <w:t xml:space="preserve">. </w:t>
      </w:r>
      <w:r w:rsidR="00D60D4C">
        <w:rPr>
          <w:rFonts w:cs="Arial"/>
          <w:b/>
          <w:bCs/>
          <w:szCs w:val="22"/>
        </w:rPr>
        <w:t>5.</w:t>
      </w:r>
      <w:r w:rsidR="00BD523B">
        <w:rPr>
          <w:rFonts w:cs="Arial"/>
          <w:b/>
          <w:bCs/>
          <w:szCs w:val="22"/>
        </w:rPr>
        <w:t>7</w:t>
      </w:r>
      <w:r w:rsidRPr="00857C48">
        <w:rPr>
          <w:rFonts w:cs="Arial"/>
          <w:szCs w:val="22"/>
        </w:rPr>
        <w:t xml:space="preserve">). This optimized protocol was adapted from previous reports of </w:t>
      </w:r>
      <w:proofErr w:type="spellStart"/>
      <w:r w:rsidRPr="00857C48">
        <w:rPr>
          <w:rFonts w:cs="Arial"/>
          <w:szCs w:val="22"/>
        </w:rPr>
        <w:t>indigoidine</w:t>
      </w:r>
      <w:proofErr w:type="spellEnd"/>
      <w:r w:rsidRPr="00857C48">
        <w:rPr>
          <w:rFonts w:cs="Arial"/>
          <w:szCs w:val="22"/>
        </w:rPr>
        <w:t xml:space="preserve"> measurement in cell cultures and purified samples</w:t>
      </w:r>
      <w:r w:rsidRPr="00857C48">
        <w:rPr>
          <w:rFonts w:cs="Arial"/>
          <w:szCs w:val="22"/>
        </w:rPr>
        <w:fldChar w:fldCharType="begin" w:fldLock="1"/>
      </w:r>
      <w:r w:rsidR="004F3109">
        <w:rPr>
          <w:rFonts w:cs="Arial"/>
          <w:szCs w:val="22"/>
        </w:rPr>
        <w:instrText>ADDIN CSL_CITATION {"citationItems":[{"id":"ITEM-1","itemData":{"DOI":"10.1039/C3MB70594C","ISSN":"1742-2051","PMID":"24457530","abstract":"Non-ribosomal peptide synthetases (NRPSs) are enzymes that catalyze ribosome-independent production of small peptides, most of which are bioactive. NRPSs act as peptide assembly lines where individual, often interconnected modules each incorporate a specific amino acid into the nascent chain. The modules themselves consist of several domains that function in the activation, modification and condensation of the substrate. NRPSs are evidently modular, yet experimental proof of the ability to engineer desired permutations of domains and modules is still sought. Here, we use a synthetic-biology approach to create a small library of engineered NRPSs, in which the domain responsible for carrying the activated amino acid (T domain) is exchanged with natural or synthetic T domains. As a model system, we employ the single-module NRPS IndC from Photorhabdus luminescens that produces the blue pigment indigoidine. As chassis we use Escherichia coli. We demonstrate that heterologous T domain exchange is possible, even for T domains derived from different organisms. Interestingly, substitution of the native T domain with a synthetic one enhanced indigoidine production. Moreover, we show that selection of appropriate inter-domain linker regions is critical for functionality. Taken together, our results extend the engineering avenues for NRPSs, as they point out the possibility of combining domain sequences coming from different pathways, organisms or from conservation criteria. Moreover, our data suggest that NRPSs can be rationally engineered to control the level of production of the corresponding peptides. This could have important implications for industrial and medical applications.","author":[{"dropping-particle":"","family":"Beer","given":"Ralf","non-dropping-particle":"","parse-names":false,"suffix":""},{"dropping-particle":"","family":"Herbst","given":"Konrad","non-dropping-particle":"","parse-names":false,"suffix":""},{"dropping-particle":"","family":"Ignatiadis","given":"Nikolaos","non-dropping-particle":"","parse-names":false,"suffix":""},{"dropping-particle":"","family":"Kats","given":"Ilia","non-dropping-particle":"","parse-names":false,"suffix":""},{"dropping-particle":"","family":"Adlung","given":"Lorenz","non-dropping-particle":"","parse-names":false,"suffix":""},{"dropping-particle":"","family":"Meyer","given":"Hannah","non-dropping-particle":"","parse-names":false,"suffix":""},{"dropping-particle":"","family":"Niopek","given":"Dominik","non-dropping-particle":"","parse-names":false,"suffix":""},{"dropping-particle":"","family":"Christiansen","given":"Tania","non-dropping-particle":"","parse-names":false,"suffix":""},{"dropping-particle":"","family":"Georgi","given":"Fanny","non-dropping-particle":"","parse-names":false,"suffix":""},{"dropping-particle":"","family":"Kurzawa","given":"Nils","non-dropping-particle":"","parse-names":false,"suffix":""},{"dropping-particle":"","family":"Meichsner","given":"Johanna","non-dropping-particle":"","parse-names":false,"suffix":""},{"dropping-particle":"","family":"Rabe","given":"Sophie","non-dropping-particle":"","parse-names":false,"suffix":""},{"dropping-particle":"","family":"Riedel","given":"Anja","non-dropping-particle":"","parse-names":false,"suffix":""},{"dropping-particle":"","family":"Sachs","given":"Joshua","non-dropping-particle":"","parse-names":false,"suffix":""},{"dropping-particle":"","family":"Schessner","given":"Julia","non-dropping-particle":"","parse-names":false,"suffix":""},{"dropping-particle":"","family":"Schmidt","given":"Florian","non-dropping-particle":"","parse-names":false,"suffix":""},{"dropping-particle":"","family":"Walch","given":"Philipp","non-dropping-particle":"","parse-names":false,"suffix":""},{"dropping-particle":"","family":"Niopek","given":"Katharina","non-dropping-particle":"","parse-names":false,"suffix":""},{"dropping-particle":"","family":"Heinemann","given":"Tim","non-dropping-particle":"","parse-names":false,"suffix":""},{"dropping-particle":"","family":"Eils","given":"Roland","non-dropping-particle":"","parse-names":false,"suffix":""},{"dropping-particle":"","family":"Ventura","given":"Barbara","non-dropping-particle":"Di","parse-names":false,"suffix":""}],"container-title":"Molecular BioSystems","id":"ITEM-1","issue":"7","issued":{"date-parts":[["2014","6","3"]]},"page":"1709-1718","publisher":"The Royal Society of Chemistry","title":"Creating functional engineered variants of the single-module non-ribosomal peptide synthetase IndC by T domain exchange","type":"article-journal","volume":"10"},"uris":["http://www.mendeley.com/documents/?uuid=d93e98d4-7621-36cc-9e1f-0d5950ed4ec5"]},{"id":"ITEM-2","itemData":{"DOI":"10.1038/srep41745","ISSN":"20452322","abstract":"The ability to rapidly, economically and accurately measure L-glutamine concentrations in biological samples is important for many areas of research, medicine or industry, however there is room for improvement on existing methods. We describe here how the enzyme BpsA, a single-module non-ribosomal peptide synthetase able to convert L-glutamine into the blue pigment indigoidine, can be used to accurately measure L-glutamine in biological samples. Although indigoidine has low solubility in aqueous solutions, meaning direct measurements of indigoidine synthesis do not reliably yield linear standard curves, we demonstrate that resolubilisation of the reaction end-products in DMSO overcomes this issue and that spontaneous reduction to colourless leuco-indigoidine occurs too slowly to interfere with assay accuracy. Our protocol is amenable to a 96-well microtitre format and can be used to measure L-glutamine in common bacterial and mammalian culture media, urine, and deproteinated plasma. We show that active BpsA can be prepared in high yield by expressing it in the apo-form to avoid the toxicity of indigoidine to Escherichia coli host cells, then activating it to the holo-form in cell lysates prior to purification; and that BpsA has a lengthy shelf-life, retaining &gt;95% activity when stored at either -20 °C or 4 °C for 24 weeks.","author":[{"dropping-particle":"","family":"Brown","given":"Alistair S.","non-dropping-particle":"","parse-names":false,"suffix":""},{"dropping-particle":"","family":"Robins","given":"Katherine J.","non-dropping-particle":"","parse-names":false,"suffix":""},{"dropping-particle":"","family":"Ackerley","given":"David F.","non-dropping-particle":"","parse-names":false,"suffix":""}],"container-title":"Scientific Reports","id":"ITEM-2","issue":"1","issued":{"date-parts":[["2017","1","31"]]},"page":"1-13","publisher":"Nature Publishing Group","title":"A sensitive single-enzyme assay system using the non-ribosomal peptide synthetase BpsA for measurement of L-glutamine in biological samples","type":"article-journal","volume":"7"},"uris":["http://www.mendeley.com/documents/?uuid=dda65998-f29d-3848-91b7-4a30a37396e6"]}],"mendeley":{"formattedCitation":"&lt;sup&gt;69,198&lt;/sup&gt;","plainTextFormattedCitation":"69,198","previouslyFormattedCitation":"&lt;sup&gt;69,198&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69,198</w:t>
      </w:r>
      <w:r w:rsidRPr="00857C48">
        <w:rPr>
          <w:rFonts w:cs="Arial"/>
          <w:szCs w:val="22"/>
        </w:rPr>
        <w:fldChar w:fldCharType="end"/>
      </w:r>
      <w:r w:rsidR="00D60D4C">
        <w:rPr>
          <w:rFonts w:cs="Arial"/>
          <w:szCs w:val="22"/>
        </w:rPr>
        <w:t>.</w:t>
      </w:r>
    </w:p>
    <w:p w14:paraId="1ED5244A" w14:textId="0EF53FC2" w:rsidR="00857C48" w:rsidRDefault="00857C48" w:rsidP="00D60D4C">
      <w:pPr>
        <w:ind w:firstLine="720"/>
        <w:rPr>
          <w:rFonts w:cs="Arial"/>
          <w:szCs w:val="22"/>
        </w:rPr>
      </w:pPr>
      <w:r w:rsidRPr="00857C48">
        <w:rPr>
          <w:rFonts w:cs="Arial"/>
          <w:szCs w:val="22"/>
        </w:rPr>
        <w:t>With an assay established, pigment production from the pET28a(+)-</w:t>
      </w:r>
      <w:proofErr w:type="spellStart"/>
      <w:r w:rsidRPr="00857C48">
        <w:rPr>
          <w:rFonts w:cs="Arial"/>
          <w:szCs w:val="22"/>
        </w:rPr>
        <w:t>BpsA</w:t>
      </w:r>
      <w:proofErr w:type="spellEnd"/>
      <w:r w:rsidRPr="00857C48">
        <w:rPr>
          <w:rFonts w:cs="Arial"/>
          <w:szCs w:val="22"/>
        </w:rPr>
        <w:t xml:space="preserve">-TC construct could be tested in overnight CFE reactions. Reactions initiated with higher concentrations of the </w:t>
      </w:r>
      <w:proofErr w:type="spellStart"/>
      <w:r w:rsidRPr="00857C48">
        <w:rPr>
          <w:rFonts w:cs="Arial"/>
          <w:szCs w:val="22"/>
        </w:rPr>
        <w:t>indigoidine</w:t>
      </w:r>
      <w:proofErr w:type="spellEnd"/>
      <w:r w:rsidRPr="00857C48">
        <w:rPr>
          <w:rFonts w:cs="Arial"/>
          <w:szCs w:val="22"/>
        </w:rPr>
        <w:t xml:space="preserve"> precursor, </w:t>
      </w:r>
      <w:r w:rsidRPr="00857C48">
        <w:rPr>
          <w:rFonts w:cs="Arial"/>
          <w:smallCaps/>
          <w:szCs w:val="22"/>
        </w:rPr>
        <w:t>L</w:t>
      </w:r>
      <w:r w:rsidRPr="00857C48">
        <w:rPr>
          <w:rFonts w:cs="Arial"/>
          <w:szCs w:val="22"/>
        </w:rPr>
        <w:t>-Gln, have increasing normalized absorbance values, implying pigment production (</w:t>
      </w:r>
      <w:r w:rsidRPr="00857C48">
        <w:rPr>
          <w:rFonts w:cs="Arial"/>
          <w:b/>
          <w:bCs/>
          <w:szCs w:val="22"/>
        </w:rPr>
        <w:t>Fig</w:t>
      </w:r>
      <w:r w:rsidR="00D60D4C">
        <w:rPr>
          <w:rFonts w:cs="Arial"/>
          <w:b/>
          <w:bCs/>
          <w:szCs w:val="22"/>
        </w:rPr>
        <w:t>ure</w:t>
      </w:r>
      <w:r w:rsidRPr="00857C48">
        <w:rPr>
          <w:rFonts w:cs="Arial"/>
          <w:b/>
          <w:bCs/>
          <w:szCs w:val="22"/>
        </w:rPr>
        <w:t xml:space="preserve"> </w:t>
      </w:r>
      <w:r w:rsidR="00D60D4C">
        <w:rPr>
          <w:rFonts w:cs="Arial"/>
          <w:b/>
          <w:bCs/>
          <w:szCs w:val="22"/>
        </w:rPr>
        <w:t>5.</w:t>
      </w:r>
      <w:r w:rsidRPr="00857C48">
        <w:rPr>
          <w:rFonts w:cs="Arial"/>
          <w:b/>
          <w:bCs/>
          <w:szCs w:val="22"/>
        </w:rPr>
        <w:t>1C</w:t>
      </w:r>
      <w:r w:rsidRPr="00857C48">
        <w:rPr>
          <w:rFonts w:cs="Arial"/>
          <w:szCs w:val="22"/>
        </w:rPr>
        <w:t xml:space="preserve">). Separately, the base reaction mix was supplemented with CoA, from which the </w:t>
      </w:r>
      <w:proofErr w:type="spellStart"/>
      <w:r w:rsidRPr="00857C48">
        <w:rPr>
          <w:rFonts w:cs="Arial"/>
          <w:szCs w:val="22"/>
        </w:rPr>
        <w:t>PPant</w:t>
      </w:r>
      <w:proofErr w:type="spellEnd"/>
      <w:r w:rsidRPr="00857C48">
        <w:rPr>
          <w:rFonts w:cs="Arial"/>
          <w:szCs w:val="22"/>
        </w:rPr>
        <w:t xml:space="preserve"> post-translational modification that functionalizes the NRPS PCP domain is derived. Absorbance measurements also increase when up to 2 mM CoA was added to the reaction (</w:t>
      </w:r>
      <w:r w:rsidRPr="00857C48">
        <w:rPr>
          <w:rFonts w:cs="Arial"/>
          <w:b/>
          <w:bCs/>
          <w:szCs w:val="22"/>
        </w:rPr>
        <w:t>Fig</w:t>
      </w:r>
      <w:r w:rsidR="00D60D4C">
        <w:rPr>
          <w:rFonts w:cs="Arial"/>
          <w:b/>
          <w:bCs/>
          <w:szCs w:val="22"/>
        </w:rPr>
        <w:t>ure</w:t>
      </w:r>
      <w:r w:rsidRPr="00857C48">
        <w:rPr>
          <w:rFonts w:cs="Arial"/>
          <w:b/>
          <w:bCs/>
          <w:szCs w:val="22"/>
        </w:rPr>
        <w:t xml:space="preserve"> </w:t>
      </w:r>
      <w:r w:rsidR="00D60D4C">
        <w:rPr>
          <w:rFonts w:cs="Arial"/>
          <w:b/>
          <w:bCs/>
          <w:szCs w:val="22"/>
        </w:rPr>
        <w:t>5.</w:t>
      </w:r>
      <w:r w:rsidRPr="00857C48">
        <w:rPr>
          <w:rFonts w:cs="Arial"/>
          <w:b/>
          <w:bCs/>
          <w:szCs w:val="22"/>
        </w:rPr>
        <w:t>1D</w:t>
      </w:r>
      <w:r w:rsidRPr="00857C48">
        <w:rPr>
          <w:rFonts w:cs="Arial"/>
          <w:szCs w:val="22"/>
        </w:rPr>
        <w:t xml:space="preserve">). The improvement in pigment production in CoA-supplemented reactions is drastic even without supplemented </w:t>
      </w:r>
      <w:r w:rsidRPr="00857C48">
        <w:rPr>
          <w:rFonts w:cs="Arial"/>
          <w:smallCaps/>
          <w:szCs w:val="22"/>
        </w:rPr>
        <w:t>L</w:t>
      </w:r>
      <w:r w:rsidRPr="00857C48">
        <w:rPr>
          <w:rFonts w:cs="Arial"/>
          <w:szCs w:val="22"/>
        </w:rPr>
        <w:t xml:space="preserve">-Gln. To further validate that the measurements correspond to functional </w:t>
      </w:r>
      <w:proofErr w:type="spellStart"/>
      <w:r w:rsidRPr="00857C48">
        <w:rPr>
          <w:rFonts w:cs="Arial"/>
          <w:szCs w:val="22"/>
        </w:rPr>
        <w:t>BpsA</w:t>
      </w:r>
      <w:proofErr w:type="spellEnd"/>
      <w:r w:rsidRPr="00857C48">
        <w:rPr>
          <w:rFonts w:cs="Arial"/>
          <w:szCs w:val="22"/>
        </w:rPr>
        <w:t xml:space="preserve"> expressed from construct, 1 mM CoA was added to base reaction mixtures containing varying concentrations of the plasmid. Consistent with previous observations, the DNA template concentration affects protein expression and therefore product formation (</w:t>
      </w:r>
      <w:r w:rsidRPr="00857C48">
        <w:rPr>
          <w:rFonts w:cs="Arial"/>
          <w:b/>
          <w:bCs/>
          <w:szCs w:val="22"/>
        </w:rPr>
        <w:t>Fig</w:t>
      </w:r>
      <w:r w:rsidR="00D60D4C">
        <w:rPr>
          <w:rFonts w:cs="Arial"/>
          <w:b/>
          <w:bCs/>
          <w:szCs w:val="22"/>
        </w:rPr>
        <w:t>ure</w:t>
      </w:r>
      <w:r w:rsidRPr="00857C48">
        <w:rPr>
          <w:rFonts w:cs="Arial"/>
          <w:b/>
          <w:bCs/>
          <w:szCs w:val="22"/>
        </w:rPr>
        <w:t xml:space="preserve"> </w:t>
      </w:r>
      <w:r w:rsidR="00D60D4C">
        <w:rPr>
          <w:rFonts w:cs="Arial"/>
          <w:b/>
          <w:bCs/>
          <w:szCs w:val="22"/>
        </w:rPr>
        <w:t>5.</w:t>
      </w:r>
      <w:r w:rsidRPr="00857C48">
        <w:rPr>
          <w:rFonts w:cs="Arial"/>
          <w:b/>
          <w:bCs/>
          <w:szCs w:val="22"/>
        </w:rPr>
        <w:t>1E</w:t>
      </w:r>
      <w:r w:rsidRPr="00857C48">
        <w:rPr>
          <w:rFonts w:cs="Arial"/>
          <w:szCs w:val="22"/>
        </w:rPr>
        <w:t xml:space="preserve">). Altogether, the system expresses </w:t>
      </w:r>
      <w:proofErr w:type="spellStart"/>
      <w:r w:rsidRPr="00857C48">
        <w:rPr>
          <w:rFonts w:cs="Arial"/>
          <w:szCs w:val="22"/>
        </w:rPr>
        <w:t>BpsA</w:t>
      </w:r>
      <w:proofErr w:type="spellEnd"/>
      <w:r w:rsidRPr="00857C48">
        <w:rPr>
          <w:rFonts w:cs="Arial"/>
          <w:szCs w:val="22"/>
        </w:rPr>
        <w:t xml:space="preserve">-TC and the terminal TC tag does not abolish </w:t>
      </w:r>
      <w:proofErr w:type="spellStart"/>
      <w:r w:rsidRPr="00857C48">
        <w:rPr>
          <w:rFonts w:cs="Arial"/>
          <w:szCs w:val="22"/>
        </w:rPr>
        <w:t>BpsA</w:t>
      </w:r>
      <w:proofErr w:type="spellEnd"/>
      <w:r w:rsidRPr="00857C48">
        <w:rPr>
          <w:rFonts w:cs="Arial"/>
          <w:szCs w:val="22"/>
        </w:rPr>
        <w:t xml:space="preserve"> folding and activity. Additionally, while optimizing enzyme turnover is outside the scope of this work, it is important to note for future efforts to advance NRPS CFE that these lysates generated a maximum concentration of ~ 900 µM or ~ 223 mg/L </w:t>
      </w:r>
      <w:proofErr w:type="spellStart"/>
      <w:r w:rsidRPr="00857C48">
        <w:rPr>
          <w:rFonts w:cs="Arial"/>
          <w:szCs w:val="22"/>
        </w:rPr>
        <w:t>indigoidine</w:t>
      </w:r>
      <w:proofErr w:type="spellEnd"/>
      <w:r w:rsidRPr="00857C48">
        <w:rPr>
          <w:rFonts w:cs="Arial"/>
          <w:szCs w:val="22"/>
        </w:rPr>
        <w:t xml:space="preserve"> which is higher than </w:t>
      </w:r>
      <w:proofErr w:type="spellStart"/>
      <w:r w:rsidRPr="00857C48">
        <w:rPr>
          <w:rFonts w:cs="Arial"/>
          <w:szCs w:val="22"/>
        </w:rPr>
        <w:t>indigoidine</w:t>
      </w:r>
      <w:proofErr w:type="spellEnd"/>
      <w:r w:rsidRPr="00857C48">
        <w:rPr>
          <w:rFonts w:cs="Arial"/>
          <w:szCs w:val="22"/>
        </w:rPr>
        <w:t xml:space="preserve"> titers reported in the PURE cell-free system (250 µM)</w:t>
      </w:r>
      <w:r w:rsidRPr="00857C48">
        <w:rPr>
          <w:rFonts w:cs="Arial"/>
          <w:szCs w:val="22"/>
        </w:rPr>
        <w:fldChar w:fldCharType="begin" w:fldLock="1"/>
      </w:r>
      <w:r w:rsidR="004F3109">
        <w:rPr>
          <w:rFonts w:cs="Arial"/>
          <w:szCs w:val="22"/>
        </w:rPr>
        <w:instrText>ADDIN CSL_CITATION {"citationItems":[{"id":"ITEM-1","itemData":{"DOI":"10.1021/ACSSYNBIO.0C00186/SUPPL_FILE/SB0C00186_SI_001.PDF","ISSN":"21615063","PMID":"32818377","abstract":"A variety of chemicals can be produced in a living host cell via optimized and engineered biosynthetic pathways. Despite the successes, pathway engineering remains demanding because of the lack of specific functions or substrates in the host cell, the cell's sensitivity in vital physiological processes to the heterologous components, or constrained mass transfer across the membrane. In this study, we show that complex multidomain proteins involved in natural compound biosynthesis can be produced from encoding DNA in vitro in a minimal complex PURE system to directly run multistep reactions. Specifically, we synthesize indigoidine and rhabdopeptides with the in vitro produced multidomain nonribosomal peptide synthetases BpsA and KJ12ABC from the organisms Streptomyces lavendulae and Xenorhabdus KJ12.1, respectively. These in vitro produced proteins are analyzed in yield, post-translational modification and in their ability to synthesize the natural compounds, and compared to recombinantly produced proteins. Our study highlights cell-free PURE system as suitable setting for the characterization of biosynthetic gene clusters that can potentially be harnessed for the rapid engineering of biosynthetic pathways.","author":[{"dropping-particle":"","family":"Siebels","given":"Ilka","non-dropping-particle":"","parse-names":false,"suffix":""},{"dropping-particle":"","family":"Nowak","given":"Sarah","non-dropping-particle":"","parse-names":false,"suffix":""},{"dropping-particle":"","family":"Heil","given":"Christina S.","non-dropping-particle":"","parse-names":false,"suffix":""},{"dropping-particle":"","family":"Tufar","given":"Peter","non-dropping-particle":"","parse-names":false,"suffix":""},{"dropping-particle":"","family":"Cortina","given":"Ninã S.","non-dropping-particle":"","parse-names":false,"suffix":""},{"dropping-particle":"","family":"Bode","given":"Helge B.","non-dropping-particle":"","parse-names":false,"suffix":""},{"dropping-particle":"","family":"Grininger","given":"Martin","non-dropping-particle":"","parse-names":false,"suffix":""}],"container-title":"ACS Synthetic Biology","id":"ITEM-1","issue":"9","issued":{"date-parts":[["2020","9","18"]]},"page":"2418-2426","publisher":"American Chemical Society","title":"Cell-Free Synthesis of Natural Compounds from Genomic DNA of Biosynthetic Gene Clusters","type":"article-journal","volume":"9"},"uris":["http://www.mendeley.com/documents/?uuid=8e9e7f20-f160-3ae9-b6ce-21839bb8ab04"]}],"mendeley":{"formattedCitation":"&lt;sup&gt;207&lt;/sup&gt;","plainTextFormattedCitation":"207","previouslyFormattedCitation":"&lt;sup&gt;207&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207</w:t>
      </w:r>
      <w:r w:rsidRPr="00857C48">
        <w:rPr>
          <w:rFonts w:cs="Arial"/>
          <w:szCs w:val="22"/>
        </w:rPr>
        <w:fldChar w:fldCharType="end"/>
      </w:r>
      <w:r w:rsidR="00D60D4C">
        <w:rPr>
          <w:rFonts w:cs="Arial"/>
          <w:szCs w:val="22"/>
        </w:rPr>
        <w:t>.</w:t>
      </w:r>
    </w:p>
    <w:p w14:paraId="444F59E1" w14:textId="77777777" w:rsidR="00A90B05" w:rsidRDefault="00A90B05" w:rsidP="00A90B05">
      <w:pPr>
        <w:rPr>
          <w:rFonts w:cs="Arial"/>
          <w:b/>
          <w:bCs/>
          <w:szCs w:val="22"/>
        </w:rPr>
      </w:pPr>
    </w:p>
    <w:p w14:paraId="63F63908" w14:textId="5475BFE3" w:rsidR="00A90B05" w:rsidRPr="00D60D4C" w:rsidRDefault="00A90B05" w:rsidP="00E033D4">
      <w:pPr>
        <w:pStyle w:val="ChapterSub-heading"/>
      </w:pPr>
      <w:bookmarkStart w:id="132" w:name="_Toc129701072"/>
      <w:r>
        <w:t xml:space="preserve">5.4.2. </w:t>
      </w:r>
      <w:r w:rsidRPr="00857C48">
        <w:t xml:space="preserve">Optimization of a method for TC-based fluorescence measurement in an </w:t>
      </w:r>
      <w:r w:rsidRPr="00857C48">
        <w:rPr>
          <w:i/>
          <w:iCs/>
        </w:rPr>
        <w:t xml:space="preserve">E. coli </w:t>
      </w:r>
      <w:r w:rsidRPr="00857C48">
        <w:t>lysate CFE system</w:t>
      </w:r>
      <w:bookmarkEnd w:id="132"/>
    </w:p>
    <w:p w14:paraId="77F6DC7E" w14:textId="50276B08" w:rsidR="00A90B05" w:rsidRDefault="00A90B05" w:rsidP="00A90B05">
      <w:pPr>
        <w:ind w:firstLine="720"/>
        <w:rPr>
          <w:rFonts w:cs="Arial"/>
          <w:szCs w:val="22"/>
        </w:rPr>
      </w:pPr>
      <w:r w:rsidRPr="00857C48">
        <w:rPr>
          <w:rFonts w:cs="Arial"/>
          <w:szCs w:val="22"/>
        </w:rPr>
        <w:t xml:space="preserve">Given that a functional TC-tagged NRPS can be expressed in the system, a protocol for TC tag detection in lysate-based CFE reactions could be established. The TC tag, optimized for </w:t>
      </w:r>
      <w:r w:rsidRPr="00857C48">
        <w:rPr>
          <w:rFonts w:cs="Arial"/>
          <w:i/>
          <w:iCs/>
          <w:szCs w:val="22"/>
        </w:rPr>
        <w:t xml:space="preserve">in vivo </w:t>
      </w:r>
      <w:r w:rsidRPr="00857C48">
        <w:rPr>
          <w:rFonts w:cs="Arial"/>
          <w:szCs w:val="22"/>
        </w:rPr>
        <w:t xml:space="preserve">applications, has successfully been adapted for an </w:t>
      </w:r>
      <w:r w:rsidRPr="00857C48">
        <w:rPr>
          <w:rFonts w:cs="Arial"/>
          <w:i/>
          <w:iCs/>
          <w:szCs w:val="22"/>
        </w:rPr>
        <w:t xml:space="preserve">in vitro </w:t>
      </w:r>
      <w:r w:rsidRPr="00857C48">
        <w:rPr>
          <w:rFonts w:cs="Arial"/>
          <w:szCs w:val="22"/>
        </w:rPr>
        <w:t xml:space="preserve">expression study in the </w:t>
      </w:r>
      <w:proofErr w:type="spellStart"/>
      <w:r w:rsidRPr="00857C48">
        <w:rPr>
          <w:rFonts w:cs="Arial"/>
          <w:szCs w:val="22"/>
        </w:rPr>
        <w:t>PURExpress</w:t>
      </w:r>
      <w:proofErr w:type="spellEnd"/>
      <w:r w:rsidRPr="00857C48">
        <w:rPr>
          <w:rFonts w:cs="Arial"/>
          <w:szCs w:val="22"/>
        </w:rPr>
        <w:t xml:space="preserve"> system, where the tag was complexed with the </w:t>
      </w:r>
      <w:proofErr w:type="spellStart"/>
      <w:r w:rsidRPr="00857C48">
        <w:rPr>
          <w:rFonts w:cs="Arial"/>
          <w:szCs w:val="22"/>
        </w:rPr>
        <w:t>organoarsenic</w:t>
      </w:r>
      <w:proofErr w:type="spellEnd"/>
      <w:r w:rsidRPr="00857C48">
        <w:rPr>
          <w:rFonts w:cs="Arial"/>
          <w:szCs w:val="22"/>
        </w:rPr>
        <w:t xml:space="preserve"> </w:t>
      </w:r>
      <w:proofErr w:type="spellStart"/>
      <w:r w:rsidRPr="00857C48">
        <w:rPr>
          <w:rFonts w:cs="Arial"/>
          <w:szCs w:val="22"/>
        </w:rPr>
        <w:t>ReAsH</w:t>
      </w:r>
      <w:proofErr w:type="spellEnd"/>
      <w:r w:rsidRPr="00857C48">
        <w:rPr>
          <w:rFonts w:cs="Arial"/>
          <w:szCs w:val="22"/>
        </w:rPr>
        <w:t xml:space="preserve"> reagent to </w:t>
      </w:r>
      <w:r w:rsidRPr="00857C48">
        <w:rPr>
          <w:rFonts w:cs="Arial"/>
          <w:szCs w:val="22"/>
        </w:rPr>
        <w:lastRenderedPageBreak/>
        <w:t>emit a fluorescent signal at 610 nm</w:t>
      </w:r>
      <w:r w:rsidRPr="00857C48">
        <w:rPr>
          <w:rFonts w:cs="Arial"/>
          <w:szCs w:val="22"/>
        </w:rPr>
        <w:fldChar w:fldCharType="begin" w:fldLock="1"/>
      </w:r>
      <w:r w:rsidR="004F3109">
        <w:rPr>
          <w:rFonts w:cs="Arial"/>
          <w:szCs w:val="22"/>
        </w:rPr>
        <w:instrText>ADDIN CSL_CITATION {"citationItems":[{"id":"ITEM-1","itemData":{"DOI":"10.1021/ACSSYNBIO.8B00450/SUPPL_FILE/SB8B00450_SI_001.PDF","ISSN":"21615063","PMID":"30920800","abstract":"Quantification of biology's central dogma (transcription and translation) is pursued by a variety of methods. Direct, immediate, and ongoing quantification of these events is difficult to achieve. Common practice is to use fluorescent or luminescent proteins to report indirectly on prior cellular events, such as turning on a gene in a genetic circuit. We present an alternative approach, PURExpress-ReAsH-Spinach In-vitro Analysis (PERSIA). PERSIA provides information on the production of RNA and protein during cell-free reactions by employing short RNA and peptide tags. Upon synthesis, these tags yield quantifiable fluorescent signal without interfering with other biochemical events. We demonstrate the applicability of PERSIA in measuring cell-free transcription, translation, and other enzymatic activity in a variety of applications: from sequence-structure-function studies, to genetic code engineering, to testing antiviral drug resistance.","author":[{"dropping-particle":"","family":"Wick","given":"Scott","non-dropping-particle":"","parse-names":false,"suffix":""},{"dropping-particle":"","family":"Walsh","given":"David I.","non-dropping-particle":"","parse-names":false,"suffix":""},{"dropping-particle":"","family":"Bobrow","given":"Johanna","non-dropping-particle":"","parse-names":false,"suffix":""},{"dropping-particle":"","family":"Hamad-Schifferli","given":"Kimberly","non-dropping-particle":"","parse-names":false,"suffix":""},{"dropping-particle":"","family":"Kong","given":"David S.","non-dropping-particle":"","parse-names":false,"suffix":""},{"dropping-particle":"","family":"Thorsen","given":"Todd","non-dropping-particle":"","parse-names":false,"suffix":""},{"dropping-particle":"","family":"Mroszczyk","given":"Keri","non-dropping-particle":"","parse-names":false,"suffix":""},{"dropping-particle":"","family":"Carr","given":"Peter A.","non-dropping-particle":"","parse-names":false,"suffix":""}],"container-title":"ACS Synthetic Biology","id":"ITEM-1","issue":"5","issued":{"date-parts":[["2019","5","17"]]},"page":"1010-1025","publisher":"American Chemical Society","title":"PERSIA for Direct Fluorescence Measurements of Transcription, Translation, and Enzyme Activity in Cell-Free Systems","type":"article-journal","volume":"8"},"uris":["http://www.mendeley.com/documents/?uuid=4df47bd9-92e2-3980-9574-d64f24f52a38"]}],"mendeley":{"formattedCitation":"&lt;sup&gt;213&lt;/sup&gt;","plainTextFormattedCitation":"213","previouslyFormattedCitation":"&lt;sup&gt;213&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213</w:t>
      </w:r>
      <w:r w:rsidRPr="00857C48">
        <w:rPr>
          <w:rFonts w:cs="Arial"/>
          <w:szCs w:val="22"/>
        </w:rPr>
        <w:fldChar w:fldCharType="end"/>
      </w:r>
      <w:r>
        <w:rPr>
          <w:rFonts w:cs="Arial"/>
          <w:szCs w:val="22"/>
        </w:rPr>
        <w:t>.</w:t>
      </w:r>
      <w:r w:rsidRPr="00857C48">
        <w:rPr>
          <w:rFonts w:cs="Arial"/>
          <w:szCs w:val="22"/>
        </w:rPr>
        <w:t xml:space="preserve"> Reportedly, the TC/</w:t>
      </w:r>
      <w:proofErr w:type="spellStart"/>
      <w:r w:rsidRPr="00857C48">
        <w:rPr>
          <w:rFonts w:cs="Arial"/>
          <w:szCs w:val="22"/>
        </w:rPr>
        <w:t>ReAsH</w:t>
      </w:r>
      <w:proofErr w:type="spellEnd"/>
      <w:r w:rsidRPr="00857C48">
        <w:rPr>
          <w:rFonts w:cs="Arial"/>
          <w:szCs w:val="22"/>
        </w:rPr>
        <w:t xml:space="preserve"> complex has a low signal-to-noise ratio in lysate reaction backgrounds, but the use of controls to mitigate noise has not been explicitly stated in the literature</w:t>
      </w:r>
      <w:r w:rsidRPr="00857C48">
        <w:rPr>
          <w:rFonts w:cs="Arial"/>
          <w:szCs w:val="22"/>
        </w:rPr>
        <w:fldChar w:fldCharType="begin" w:fldLock="1"/>
      </w:r>
      <w:r w:rsidR="004F3109">
        <w:rPr>
          <w:rFonts w:cs="Arial"/>
          <w:szCs w:val="22"/>
        </w:rPr>
        <w:instrText>ADDIN CSL_CITATION {"citationItems":[{"id":"ITEM-1","itemData":{"DOI":"10.1021/ACSSYNBIO.8B00450/SUPPL_FILE/SB8B00450_SI_001.PDF","ISSN":"21615063","PMID":"30920800","abstract":"Quantification of biology's central dogma (transcription and translation) is pursued by a variety of methods. Direct, immediate, and ongoing quantification of these events is difficult to achieve. Common practice is to use fluorescent or luminescent proteins to report indirectly on prior cellular events, such as turning on a gene in a genetic circuit. We present an alternative approach, PURExpress-ReAsH-Spinach In-vitro Analysis (PERSIA). PERSIA provides information on the production of RNA and protein during cell-free reactions by employing short RNA and peptide tags. Upon synthesis, these tags yield quantifiable fluorescent signal without interfering with other biochemical events. We demonstrate the applicability of PERSIA in measuring cell-free transcription, translation, and other enzymatic activity in a variety of applications: from sequence-structure-function studies, to genetic code engineering, to testing antiviral drug resistance.","author":[{"dropping-particle":"","family":"Wick","given":"Scott","non-dropping-particle":"","parse-names":false,"suffix":""},{"dropping-particle":"","family":"Walsh","given":"David I.","non-dropping-particle":"","parse-names":false,"suffix":""},{"dropping-particle":"","family":"Bobrow","given":"Johanna","non-dropping-particle":"","parse-names":false,"suffix":""},{"dropping-particle":"","family":"Hamad-Schifferli","given":"Kimberly","non-dropping-particle":"","parse-names":false,"suffix":""},{"dropping-particle":"","family":"Kong","given":"David S.","non-dropping-particle":"","parse-names":false,"suffix":""},{"dropping-particle":"","family":"Thorsen","given":"Todd","non-dropping-particle":"","parse-names":false,"suffix":""},{"dropping-particle":"","family":"Mroszczyk","given":"Keri","non-dropping-particle":"","parse-names":false,"suffix":""},{"dropping-particle":"","family":"Carr","given":"Peter A.","non-dropping-particle":"","parse-names":false,"suffix":""}],"container-title":"ACS Synthetic Biology","id":"ITEM-1","issue":"5","issued":{"date-parts":[["2019","5","17"]]},"page":"1010-1025","publisher":"American Chemical Society","title":"PERSIA for Direct Fluorescence Measurements of Transcription, Translation, and Enzyme Activity in Cell-Free Systems","type":"article-journal","volume":"8"},"uris":["http://www.mendeley.com/documents/?uuid=4df47bd9-92e2-3980-9574-d64f24f52a38"]}],"mendeley":{"formattedCitation":"&lt;sup&gt;213&lt;/sup&gt;","plainTextFormattedCitation":"213","previouslyFormattedCitation":"&lt;sup&gt;213&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213</w:t>
      </w:r>
      <w:r w:rsidRPr="00857C48">
        <w:rPr>
          <w:rFonts w:cs="Arial"/>
          <w:szCs w:val="22"/>
        </w:rPr>
        <w:fldChar w:fldCharType="end"/>
      </w:r>
      <w:r>
        <w:rPr>
          <w:rFonts w:cs="Arial"/>
          <w:szCs w:val="22"/>
        </w:rPr>
        <w:t>.</w:t>
      </w:r>
      <w:r w:rsidRPr="00857C48">
        <w:rPr>
          <w:rFonts w:cs="Arial"/>
          <w:szCs w:val="22"/>
        </w:rPr>
        <w:t xml:space="preserve"> Alternatively, the </w:t>
      </w:r>
      <w:proofErr w:type="spellStart"/>
      <w:r w:rsidRPr="00857C48">
        <w:rPr>
          <w:rFonts w:cs="Arial"/>
          <w:szCs w:val="22"/>
        </w:rPr>
        <w:t>organoarsenic</w:t>
      </w:r>
      <w:proofErr w:type="spellEnd"/>
      <w:r w:rsidRPr="00857C48">
        <w:rPr>
          <w:rFonts w:cs="Arial"/>
          <w:szCs w:val="22"/>
        </w:rPr>
        <w:t xml:space="preserve"> </w:t>
      </w:r>
      <w:proofErr w:type="spellStart"/>
      <w:r w:rsidRPr="00857C48">
        <w:rPr>
          <w:rFonts w:cs="Arial"/>
          <w:szCs w:val="22"/>
        </w:rPr>
        <w:t>FlAsH</w:t>
      </w:r>
      <w:proofErr w:type="spellEnd"/>
      <w:r w:rsidRPr="00857C48">
        <w:rPr>
          <w:rFonts w:cs="Arial"/>
          <w:szCs w:val="22"/>
        </w:rPr>
        <w:t xml:space="preserve"> reagent, which emits at 530 nm, has been used to detect TC-tagged proteins with higher specificity than </w:t>
      </w:r>
      <w:proofErr w:type="spellStart"/>
      <w:r w:rsidRPr="00857C48">
        <w:rPr>
          <w:rFonts w:cs="Arial"/>
          <w:szCs w:val="22"/>
        </w:rPr>
        <w:t>ReAsH</w:t>
      </w:r>
      <w:proofErr w:type="spellEnd"/>
      <w:r w:rsidRPr="00857C48">
        <w:rPr>
          <w:rFonts w:cs="Arial"/>
          <w:szCs w:val="22"/>
        </w:rPr>
        <w:t xml:space="preserve"> in cells but has not been tested in lysate reactions</w:t>
      </w:r>
      <w:r w:rsidRPr="00857C48">
        <w:rPr>
          <w:rFonts w:cs="Arial"/>
          <w:szCs w:val="22"/>
        </w:rPr>
        <w:fldChar w:fldCharType="begin" w:fldLock="1"/>
      </w:r>
      <w:r w:rsidR="004F3109">
        <w:rPr>
          <w:rFonts w:cs="Arial"/>
          <w:szCs w:val="22"/>
        </w:rPr>
        <w:instrText>ADDIN CSL_CITATION {"citationItems":[{"id":"ITEM-1","itemData":{"DOI":"10.1038/nprot.2010.129","ISSN":"1750-2799","PMID":"20885379","abstract":"In this paper, we provide a general protocol for labeling proteins with the membrane-permeant fluorogenic biarsenical dye fluorescein arsenical hairpin binder–ethanedithiol (FlAsH-EDT2). Generation of the tetracysteine-tagged protein construct by itself is not described, as this is a protein-specific process. This method allows site-selective labeling of proteins in living cells and has been applied to a wide variety of proteins and biological problems. We provide here a generally applicable labeling procedure and discuss the problems that can occur as well as general considerations that must be taken into account when designing and implementing the procedure. The method can even be applied to proteins with expression below 1 pmol mg−1 of protein, such as G protein–coupled receptors, and it can be used to study the intracellular localization of proteins as well as functional interactions in fluorescence resonance energy transfer experiments. The labeling procedure using FlAsH-EDT2 as described takes 2–3 h, depending on the number of samples to be processed.","author":[{"dropping-particle":"","family":"Hoffmann","given":"Carsten","non-dropping-particle":"","parse-names":false,"suffix":""},{"dropping-particle":"","family":"Gaietta","given":"Guido","non-dropping-particle":"","parse-names":false,"suffix":""},{"dropping-particle":"","family":"Zürn","given":"Alexander","non-dropping-particle":"","parse-names":false,"suffix":""},{"dropping-particle":"","family":"Adams","given":"Stephen R.","non-dropping-particle":"","parse-names":false,"suffix":""},{"dropping-particle":"","family":"Terrillon","given":"Sonia","non-dropping-particle":"","parse-names":false,"suffix":""},{"dropping-particle":"","family":"Ellisman","given":"Mark H.","non-dropping-particle":"","parse-names":false,"suffix":""},{"dropping-particle":"","family":"Tsien","given":"Roger Y.","non-dropping-particle":"","parse-names":false,"suffix":""},{"dropping-particle":"","family":"Lohse","given":"Martin J.","non-dropping-particle":"","parse-names":false,"suffix":""}],"container-title":"Nature Protocols 2010 5:10","id":"ITEM-1","issue":"10","issued":{"date-parts":[["2010","9","23"]]},"page":"1666-1677","publisher":"Nature Publishing Group","title":"Fluorescent labeling of tetracysteine-tagged proteins in intact cells","type":"article-journal","volume":"5"},"uris":["http://www.mendeley.com/documents/?uuid=e5b0cfc4-ee3c-3625-b659-065693b783db"]}],"mendeley":{"formattedCitation":"&lt;sup&gt;223&lt;/sup&gt;","plainTextFormattedCitation":"223","previouslyFormattedCitation":"&lt;sup&gt;223&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223</w:t>
      </w:r>
      <w:r w:rsidRPr="00857C48">
        <w:rPr>
          <w:rFonts w:cs="Arial"/>
          <w:szCs w:val="22"/>
        </w:rPr>
        <w:fldChar w:fldCharType="end"/>
      </w:r>
      <w:r>
        <w:rPr>
          <w:rFonts w:cs="Arial"/>
          <w:szCs w:val="22"/>
        </w:rPr>
        <w:t>.</w:t>
      </w:r>
    </w:p>
    <w:p w14:paraId="18D0B191" w14:textId="6B211386" w:rsidR="00A90B05" w:rsidRDefault="00A90B05" w:rsidP="00A90B05">
      <w:pPr>
        <w:ind w:firstLine="720"/>
        <w:rPr>
          <w:rFonts w:cs="Arial"/>
          <w:b/>
          <w:bCs/>
          <w:color w:val="000000" w:themeColor="text1"/>
          <w:szCs w:val="22"/>
        </w:rPr>
      </w:pPr>
      <w:r w:rsidRPr="00857C48">
        <w:rPr>
          <w:rFonts w:cs="Arial"/>
          <w:szCs w:val="22"/>
        </w:rPr>
        <w:t xml:space="preserve">In overnight reactions that expressed </w:t>
      </w:r>
      <w:proofErr w:type="spellStart"/>
      <w:r w:rsidRPr="00857C48">
        <w:rPr>
          <w:rFonts w:cs="Arial"/>
          <w:szCs w:val="22"/>
        </w:rPr>
        <w:t>BpsA</w:t>
      </w:r>
      <w:proofErr w:type="spellEnd"/>
      <w:r w:rsidRPr="00857C48">
        <w:rPr>
          <w:rFonts w:cs="Arial"/>
          <w:szCs w:val="22"/>
        </w:rPr>
        <w:t>-TC, signals above background are highest after a 10-minute incubation period with the same concentration of either reagent (</w:t>
      </w:r>
      <w:r w:rsidRPr="00857C48">
        <w:rPr>
          <w:rFonts w:cs="Arial"/>
          <w:b/>
          <w:bCs/>
          <w:szCs w:val="22"/>
        </w:rPr>
        <w:t>Fig</w:t>
      </w:r>
      <w:r>
        <w:rPr>
          <w:rFonts w:cs="Arial"/>
          <w:b/>
          <w:bCs/>
          <w:szCs w:val="22"/>
        </w:rPr>
        <w:t>ure</w:t>
      </w:r>
      <w:r w:rsidRPr="00857C48">
        <w:rPr>
          <w:rFonts w:cs="Arial"/>
          <w:b/>
          <w:bCs/>
          <w:szCs w:val="22"/>
        </w:rPr>
        <w:t xml:space="preserve"> </w:t>
      </w:r>
      <w:r>
        <w:rPr>
          <w:rFonts w:cs="Arial"/>
          <w:b/>
          <w:bCs/>
          <w:szCs w:val="22"/>
        </w:rPr>
        <w:t>5.</w:t>
      </w:r>
      <w:r w:rsidRPr="00857C48">
        <w:rPr>
          <w:rFonts w:cs="Arial"/>
          <w:b/>
          <w:bCs/>
          <w:szCs w:val="22"/>
        </w:rPr>
        <w:t>2A</w:t>
      </w:r>
      <w:r w:rsidRPr="00857C48">
        <w:rPr>
          <w:rFonts w:cs="Arial"/>
          <w:szCs w:val="22"/>
        </w:rPr>
        <w:t>). This is sufficient time for the TC/fluorophore complex to form based on a previously described protocol in cells</w:t>
      </w:r>
      <w:r w:rsidRPr="00857C48">
        <w:rPr>
          <w:rFonts w:cs="Arial"/>
          <w:szCs w:val="22"/>
        </w:rPr>
        <w:fldChar w:fldCharType="begin" w:fldLock="1"/>
      </w:r>
      <w:r w:rsidR="004F3109">
        <w:rPr>
          <w:rFonts w:cs="Arial"/>
          <w:szCs w:val="22"/>
        </w:rPr>
        <w:instrText>ADDIN CSL_CITATION {"citationItems":[{"id":"ITEM-1","itemData":{"DOI":"10.1038/nprot.2010.129","ISSN":"1750-2799","PMID":"20885379","abstract":"In this paper, we provide a general protocol for labeling proteins with the membrane-permeant fluorogenic biarsenical dye fluorescein arsenical hairpin binder–ethanedithiol (FlAsH-EDT2). Generation of the tetracysteine-tagged protein construct by itself is not described, as this is a protein-specific process. This method allows site-selective labeling of proteins in living cells and has been applied to a wide variety of proteins and biological problems. We provide here a generally applicable labeling procedure and discuss the problems that can occur as well as general considerations that must be taken into account when designing and implementing the procedure. The method can even be applied to proteins with expression below 1 pmol mg−1 of protein, such as G protein–coupled receptors, and it can be used to study the intracellular localization of proteins as well as functional interactions in fluorescence resonance energy transfer experiments. The labeling procedure using FlAsH-EDT2 as described takes 2–3 h, depending on the number of samples to be processed.","author":[{"dropping-particle":"","family":"Hoffmann","given":"Carsten","non-dropping-particle":"","parse-names":false,"suffix":""},{"dropping-particle":"","family":"Gaietta","given":"Guido","non-dropping-particle":"","parse-names":false,"suffix":""},{"dropping-particle":"","family":"Zürn","given":"Alexander","non-dropping-particle":"","parse-names":false,"suffix":""},{"dropping-particle":"","family":"Adams","given":"Stephen R.","non-dropping-particle":"","parse-names":false,"suffix":""},{"dropping-particle":"","family":"Terrillon","given":"Sonia","non-dropping-particle":"","parse-names":false,"suffix":""},{"dropping-particle":"","family":"Ellisman","given":"Mark H.","non-dropping-particle":"","parse-names":false,"suffix":""},{"dropping-particle":"","family":"Tsien","given":"Roger Y.","non-dropping-particle":"","parse-names":false,"suffix":""},{"dropping-particle":"","family":"Lohse","given":"Martin J.","non-dropping-particle":"","parse-names":false,"suffix":""}],"container-title":"Nature Protocols 2010 5:10","id":"ITEM-1","issue":"10","issued":{"date-parts":[["2010","9","23"]]},"page":"1666-1677","publisher":"Nature Publishing Group","title":"Fluorescent labeling of tetracysteine-tagged proteins in intact cells","type":"article-journal","volume":"5"},"uris":["http://www.mendeley.com/documents/?uuid=e5b0cfc4-ee3c-3625-b659-065693b783db"]}],"mendeley":{"formattedCitation":"&lt;sup&gt;223&lt;/sup&gt;","plainTextFormattedCitation":"223","previouslyFormattedCitation":"&lt;sup&gt;223&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223</w:t>
      </w:r>
      <w:r w:rsidRPr="00857C48">
        <w:rPr>
          <w:rFonts w:cs="Arial"/>
          <w:szCs w:val="22"/>
        </w:rPr>
        <w:fldChar w:fldCharType="end"/>
      </w:r>
      <w:r>
        <w:rPr>
          <w:rFonts w:cs="Arial"/>
          <w:szCs w:val="22"/>
        </w:rPr>
        <w:t>.</w:t>
      </w:r>
      <w:r w:rsidRPr="00857C48">
        <w:rPr>
          <w:rFonts w:cs="Arial"/>
          <w:szCs w:val="22"/>
        </w:rPr>
        <w:t xml:space="preserve"> The signal in </w:t>
      </w:r>
      <w:proofErr w:type="spellStart"/>
      <w:r w:rsidRPr="00857C48">
        <w:rPr>
          <w:rFonts w:cs="Arial"/>
          <w:szCs w:val="22"/>
        </w:rPr>
        <w:t>BpsA</w:t>
      </w:r>
      <w:proofErr w:type="spellEnd"/>
      <w:r w:rsidRPr="00857C48">
        <w:rPr>
          <w:rFonts w:cs="Arial"/>
          <w:szCs w:val="22"/>
        </w:rPr>
        <w:t xml:space="preserve">-TC expressing reactions however decreases at later timepoints, consistent with the manufacturer’s descriptions of these reagents binding to the background. The </w:t>
      </w:r>
      <w:proofErr w:type="spellStart"/>
      <w:r w:rsidRPr="00857C48">
        <w:rPr>
          <w:rFonts w:cs="Arial"/>
          <w:szCs w:val="22"/>
        </w:rPr>
        <w:t>FlAsH</w:t>
      </w:r>
      <w:proofErr w:type="spellEnd"/>
      <w:r w:rsidRPr="00857C48">
        <w:rPr>
          <w:rFonts w:cs="Arial"/>
          <w:szCs w:val="22"/>
        </w:rPr>
        <w:t xml:space="preserve"> reagent was therefore selected over </w:t>
      </w:r>
      <w:proofErr w:type="spellStart"/>
      <w:r w:rsidRPr="00857C48">
        <w:rPr>
          <w:rFonts w:cs="Arial"/>
          <w:szCs w:val="22"/>
        </w:rPr>
        <w:t>ReAsH</w:t>
      </w:r>
      <w:proofErr w:type="spellEnd"/>
      <w:r w:rsidRPr="00857C48">
        <w:rPr>
          <w:rFonts w:cs="Arial"/>
          <w:szCs w:val="22"/>
        </w:rPr>
        <w:t xml:space="preserve"> to obtain end-point measurements of </w:t>
      </w:r>
      <w:proofErr w:type="spellStart"/>
      <w:r w:rsidRPr="00857C48">
        <w:rPr>
          <w:rFonts w:cs="Arial"/>
          <w:szCs w:val="22"/>
        </w:rPr>
        <w:t>BpsA</w:t>
      </w:r>
      <w:proofErr w:type="spellEnd"/>
      <w:r w:rsidRPr="00857C48">
        <w:rPr>
          <w:rFonts w:cs="Arial"/>
          <w:szCs w:val="22"/>
        </w:rPr>
        <w:t xml:space="preserve">-TC production since the former emitted less noisy and variable signals. To verify that the signal obtained at 10 minutes corresponds to synthesized </w:t>
      </w:r>
      <w:proofErr w:type="spellStart"/>
      <w:r w:rsidRPr="00857C48">
        <w:rPr>
          <w:rFonts w:cs="Arial"/>
          <w:szCs w:val="22"/>
        </w:rPr>
        <w:t>BpsA</w:t>
      </w:r>
      <w:proofErr w:type="spellEnd"/>
      <w:r w:rsidRPr="00857C48">
        <w:rPr>
          <w:rFonts w:cs="Arial"/>
          <w:szCs w:val="22"/>
        </w:rPr>
        <w:t xml:space="preserve">-TC, </w:t>
      </w:r>
      <w:proofErr w:type="spellStart"/>
      <w:r w:rsidRPr="00857C48">
        <w:rPr>
          <w:rFonts w:cs="Arial"/>
          <w:szCs w:val="22"/>
        </w:rPr>
        <w:t>FlAsH</w:t>
      </w:r>
      <w:proofErr w:type="spellEnd"/>
      <w:r w:rsidRPr="00857C48">
        <w:rPr>
          <w:rFonts w:cs="Arial"/>
          <w:szCs w:val="22"/>
        </w:rPr>
        <w:t xml:space="preserve"> was added to overnight BAP1 lysate-based reactions prepared with varying DNA concentrations. Evidently, increasing concentrations of the expression template in reactions results in higher fluorescence readouts, suggesting the detectability of </w:t>
      </w:r>
      <w:proofErr w:type="spellStart"/>
      <w:r w:rsidRPr="00857C48">
        <w:rPr>
          <w:rFonts w:cs="Arial"/>
          <w:szCs w:val="22"/>
        </w:rPr>
        <w:t>BpsA</w:t>
      </w:r>
      <w:proofErr w:type="spellEnd"/>
      <w:r w:rsidRPr="00857C48">
        <w:rPr>
          <w:rFonts w:cs="Arial"/>
          <w:szCs w:val="22"/>
        </w:rPr>
        <w:t xml:space="preserve">-TC in lysate reactions with the </w:t>
      </w:r>
      <w:proofErr w:type="spellStart"/>
      <w:r w:rsidRPr="00857C48">
        <w:rPr>
          <w:rFonts w:cs="Arial"/>
          <w:szCs w:val="22"/>
        </w:rPr>
        <w:t>FlAsH</w:t>
      </w:r>
      <w:proofErr w:type="spellEnd"/>
      <w:r w:rsidRPr="00857C48">
        <w:rPr>
          <w:rFonts w:cs="Arial"/>
          <w:szCs w:val="22"/>
        </w:rPr>
        <w:t xml:space="preserve"> reagent (</w:t>
      </w:r>
      <w:r w:rsidRPr="00857C48">
        <w:rPr>
          <w:rFonts w:cs="Arial"/>
          <w:b/>
          <w:bCs/>
          <w:szCs w:val="22"/>
        </w:rPr>
        <w:t>Fig</w:t>
      </w:r>
      <w:r>
        <w:rPr>
          <w:rFonts w:cs="Arial"/>
          <w:b/>
          <w:bCs/>
          <w:szCs w:val="22"/>
        </w:rPr>
        <w:t>ure</w:t>
      </w:r>
      <w:r w:rsidRPr="00857C48">
        <w:rPr>
          <w:rFonts w:cs="Arial"/>
          <w:b/>
          <w:bCs/>
          <w:szCs w:val="22"/>
        </w:rPr>
        <w:t xml:space="preserve"> </w:t>
      </w:r>
      <w:r>
        <w:rPr>
          <w:rFonts w:cs="Arial"/>
          <w:b/>
          <w:bCs/>
          <w:szCs w:val="22"/>
        </w:rPr>
        <w:t>5.</w:t>
      </w:r>
      <w:r w:rsidRPr="00857C48">
        <w:rPr>
          <w:rFonts w:cs="Arial"/>
          <w:b/>
          <w:bCs/>
          <w:szCs w:val="22"/>
        </w:rPr>
        <w:t>2B</w:t>
      </w:r>
      <w:r w:rsidRPr="00857C48">
        <w:rPr>
          <w:rFonts w:cs="Arial"/>
          <w:szCs w:val="22"/>
        </w:rPr>
        <w:t xml:space="preserve">). However, the signal does not increase between the 6 and 13 ng/µL DNA conditions which contradicts the trend in </w:t>
      </w:r>
      <w:proofErr w:type="spellStart"/>
      <w:r w:rsidRPr="00857C48">
        <w:rPr>
          <w:rFonts w:cs="Arial"/>
          <w:szCs w:val="22"/>
        </w:rPr>
        <w:t>indigoidine</w:t>
      </w:r>
      <w:proofErr w:type="spellEnd"/>
      <w:r w:rsidRPr="00857C48">
        <w:rPr>
          <w:rFonts w:cs="Arial"/>
          <w:szCs w:val="22"/>
        </w:rPr>
        <w:t xml:space="preserve"> production in the same lysate (</w:t>
      </w:r>
      <w:r w:rsidRPr="00857C48">
        <w:rPr>
          <w:rFonts w:cs="Arial"/>
          <w:b/>
          <w:bCs/>
          <w:szCs w:val="22"/>
        </w:rPr>
        <w:t>Fig</w:t>
      </w:r>
      <w:r>
        <w:rPr>
          <w:rFonts w:cs="Arial"/>
          <w:b/>
          <w:bCs/>
          <w:szCs w:val="22"/>
        </w:rPr>
        <w:t>ure</w:t>
      </w:r>
      <w:r w:rsidRPr="00857C48">
        <w:rPr>
          <w:rFonts w:cs="Arial"/>
          <w:b/>
          <w:bCs/>
          <w:szCs w:val="22"/>
        </w:rPr>
        <w:t xml:space="preserve"> </w:t>
      </w:r>
      <w:r>
        <w:rPr>
          <w:rFonts w:cs="Arial"/>
          <w:b/>
          <w:bCs/>
          <w:szCs w:val="22"/>
        </w:rPr>
        <w:t>5.</w:t>
      </w:r>
      <w:r w:rsidRPr="00857C48">
        <w:rPr>
          <w:rFonts w:cs="Arial"/>
          <w:b/>
          <w:bCs/>
          <w:szCs w:val="22"/>
        </w:rPr>
        <w:t>1E</w:t>
      </w:r>
      <w:r w:rsidRPr="00857C48">
        <w:rPr>
          <w:rFonts w:cs="Arial"/>
          <w:szCs w:val="22"/>
        </w:rPr>
        <w:t xml:space="preserve">). It was hypothesized that fluorescence signals from reactions that produce significant pigment quenched due to possible overlap in the </w:t>
      </w:r>
      <w:proofErr w:type="spellStart"/>
      <w:r w:rsidRPr="00857C48">
        <w:rPr>
          <w:rFonts w:cs="Arial"/>
          <w:szCs w:val="22"/>
        </w:rPr>
        <w:t>indigoidine</w:t>
      </w:r>
      <w:proofErr w:type="spellEnd"/>
      <w:r w:rsidRPr="00857C48">
        <w:rPr>
          <w:rFonts w:cs="Arial"/>
          <w:szCs w:val="22"/>
        </w:rPr>
        <w:t xml:space="preserve"> absorbance and TC/</w:t>
      </w:r>
      <w:proofErr w:type="spellStart"/>
      <w:r w:rsidRPr="00857C48">
        <w:rPr>
          <w:rFonts w:cs="Arial"/>
          <w:szCs w:val="22"/>
        </w:rPr>
        <w:t>FlAsH</w:t>
      </w:r>
      <w:proofErr w:type="spellEnd"/>
      <w:r w:rsidRPr="00857C48">
        <w:rPr>
          <w:rFonts w:cs="Arial"/>
          <w:szCs w:val="22"/>
        </w:rPr>
        <w:t xml:space="preserve"> emission spectra. To evaluate this possibility, </w:t>
      </w:r>
      <w:r w:rsidRPr="00857C48">
        <w:rPr>
          <w:rFonts w:cs="Arial"/>
          <w:i/>
          <w:iCs/>
          <w:szCs w:val="22"/>
        </w:rPr>
        <w:t>apo-</w:t>
      </w:r>
      <w:r w:rsidRPr="00857C48">
        <w:rPr>
          <w:rFonts w:cs="Arial"/>
          <w:szCs w:val="22"/>
        </w:rPr>
        <w:t xml:space="preserve">form </w:t>
      </w:r>
      <w:proofErr w:type="spellStart"/>
      <w:r w:rsidRPr="00857C48">
        <w:rPr>
          <w:rFonts w:cs="Arial"/>
          <w:szCs w:val="22"/>
        </w:rPr>
        <w:t>BpsA</w:t>
      </w:r>
      <w:proofErr w:type="spellEnd"/>
      <w:r w:rsidRPr="00857C48">
        <w:rPr>
          <w:rFonts w:cs="Arial"/>
          <w:szCs w:val="22"/>
        </w:rPr>
        <w:t xml:space="preserve">-TC was purified from </w:t>
      </w:r>
      <w:r w:rsidRPr="00857C48">
        <w:rPr>
          <w:rFonts w:cs="Arial"/>
          <w:i/>
          <w:iCs/>
          <w:szCs w:val="22"/>
        </w:rPr>
        <w:t xml:space="preserve">E. coli </w:t>
      </w:r>
      <w:r w:rsidRPr="00857C48">
        <w:rPr>
          <w:rFonts w:cs="Arial"/>
          <w:szCs w:val="22"/>
        </w:rPr>
        <w:t xml:space="preserve">BL21(DE3) cells lacking the </w:t>
      </w:r>
      <w:proofErr w:type="spellStart"/>
      <w:r w:rsidRPr="00857C48">
        <w:rPr>
          <w:rFonts w:cs="Arial"/>
          <w:i/>
          <w:iCs/>
          <w:szCs w:val="22"/>
        </w:rPr>
        <w:t>sfp</w:t>
      </w:r>
      <w:proofErr w:type="spellEnd"/>
      <w:r w:rsidRPr="00857C48">
        <w:rPr>
          <w:rFonts w:cs="Arial"/>
          <w:i/>
          <w:iCs/>
          <w:szCs w:val="22"/>
        </w:rPr>
        <w:t xml:space="preserve"> </w:t>
      </w:r>
      <w:r w:rsidRPr="00857C48">
        <w:rPr>
          <w:rFonts w:cs="Arial"/>
          <w:szCs w:val="22"/>
        </w:rPr>
        <w:t xml:space="preserve">gene for </w:t>
      </w:r>
      <w:proofErr w:type="spellStart"/>
      <w:r w:rsidRPr="00857C48">
        <w:rPr>
          <w:rFonts w:cs="Arial"/>
          <w:szCs w:val="22"/>
        </w:rPr>
        <w:t>PPTase</w:t>
      </w:r>
      <w:proofErr w:type="spellEnd"/>
      <w:r w:rsidRPr="00857C48">
        <w:rPr>
          <w:rFonts w:cs="Arial"/>
          <w:szCs w:val="22"/>
        </w:rPr>
        <w:t xml:space="preserve"> expression. Purified </w:t>
      </w:r>
      <w:proofErr w:type="spellStart"/>
      <w:r w:rsidRPr="00857C48">
        <w:rPr>
          <w:rFonts w:cs="Arial"/>
          <w:szCs w:val="22"/>
        </w:rPr>
        <w:t>BpsA</w:t>
      </w:r>
      <w:proofErr w:type="spellEnd"/>
      <w:r w:rsidRPr="00857C48">
        <w:rPr>
          <w:rFonts w:cs="Arial"/>
          <w:szCs w:val="22"/>
        </w:rPr>
        <w:t xml:space="preserve">-TC was then added into BL21(DE3) lysate-based reaction mixes with or without </w:t>
      </w:r>
      <w:r w:rsidRPr="00857C48">
        <w:rPr>
          <w:rFonts w:cs="Arial"/>
          <w:color w:val="000000" w:themeColor="text1"/>
          <w:szCs w:val="22"/>
        </w:rPr>
        <w:t xml:space="preserve">purified </w:t>
      </w:r>
      <w:proofErr w:type="spellStart"/>
      <w:r w:rsidRPr="00857C48">
        <w:rPr>
          <w:rFonts w:cs="Arial"/>
          <w:color w:val="000000" w:themeColor="text1"/>
          <w:szCs w:val="22"/>
        </w:rPr>
        <w:t>indigoidine</w:t>
      </w:r>
      <w:proofErr w:type="spellEnd"/>
      <w:r w:rsidRPr="00857C48">
        <w:rPr>
          <w:rFonts w:cs="Arial"/>
          <w:color w:val="000000" w:themeColor="text1"/>
          <w:szCs w:val="22"/>
        </w:rPr>
        <w:t>, demonstrating that the presence of pigment does dampen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emissions (</w:t>
      </w:r>
      <w:r w:rsidRPr="00857C48">
        <w:rPr>
          <w:rFonts w:cs="Arial"/>
          <w:b/>
          <w:bCs/>
          <w:color w:val="000000" w:themeColor="text1"/>
          <w:szCs w:val="22"/>
        </w:rPr>
        <w:t>Fig</w:t>
      </w:r>
      <w:r>
        <w:rPr>
          <w:rFonts w:cs="Arial"/>
          <w:b/>
          <w:bCs/>
          <w:color w:val="000000" w:themeColor="text1"/>
          <w:szCs w:val="22"/>
        </w:rPr>
        <w:t>ure</w:t>
      </w:r>
      <w:r w:rsidRPr="00857C48">
        <w:rPr>
          <w:rFonts w:cs="Arial"/>
          <w:b/>
          <w:bCs/>
          <w:color w:val="000000" w:themeColor="text1"/>
          <w:szCs w:val="22"/>
        </w:rPr>
        <w:t xml:space="preserve"> </w:t>
      </w:r>
      <w:r>
        <w:rPr>
          <w:rFonts w:cs="Arial"/>
          <w:b/>
          <w:bCs/>
          <w:color w:val="000000" w:themeColor="text1"/>
          <w:szCs w:val="22"/>
        </w:rPr>
        <w:t>5.</w:t>
      </w:r>
      <w:r w:rsidRPr="00857C48">
        <w:rPr>
          <w:rFonts w:cs="Arial"/>
          <w:b/>
          <w:bCs/>
          <w:color w:val="000000" w:themeColor="text1"/>
          <w:szCs w:val="22"/>
        </w:rPr>
        <w:t>2C</w:t>
      </w:r>
      <w:r w:rsidRPr="00857C48">
        <w:rPr>
          <w:rFonts w:cs="Arial"/>
          <w:color w:val="000000" w:themeColor="text1"/>
          <w:szCs w:val="22"/>
        </w:rPr>
        <w:t>). This quenching issue should thus be considered when pairing the fluorescence protein labeling method with the detection of other enzymatic products with optical properties. Moving forward, the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method is further</w:t>
      </w:r>
    </w:p>
    <w:p w14:paraId="61948DEE" w14:textId="299373DD" w:rsidR="00A90B05" w:rsidRPr="00A90B05" w:rsidRDefault="00857C48" w:rsidP="00A90B05">
      <w:pPr>
        <w:rPr>
          <w:rFonts w:cs="Arial"/>
          <w:b/>
          <w:bCs/>
          <w:color w:val="000000" w:themeColor="text1"/>
          <w:szCs w:val="22"/>
        </w:rPr>
      </w:pPr>
      <w:bookmarkStart w:id="133" w:name="_Toc129701167"/>
      <w:r w:rsidRPr="00F256F4">
        <w:rPr>
          <w:rStyle w:val="FigurecaptionChar"/>
        </w:rPr>
        <w:lastRenderedPageBreak/>
        <w:t xml:space="preserve">Figure </w:t>
      </w:r>
      <w:r w:rsidR="00D60D4C" w:rsidRPr="00F256F4">
        <w:rPr>
          <w:rStyle w:val="FigurecaptionChar"/>
        </w:rPr>
        <w:t>5.</w:t>
      </w:r>
      <w:r w:rsidRPr="00F256F4">
        <w:rPr>
          <w:rStyle w:val="FigurecaptionChar"/>
        </w:rPr>
        <w:t xml:space="preserve">1. </w:t>
      </w:r>
      <w:proofErr w:type="spellStart"/>
      <w:r w:rsidRPr="00F256F4">
        <w:rPr>
          <w:rStyle w:val="FigurecaptionChar"/>
        </w:rPr>
        <w:t>Indigoidine</w:t>
      </w:r>
      <w:proofErr w:type="spellEnd"/>
      <w:r w:rsidRPr="00F256F4">
        <w:rPr>
          <w:rStyle w:val="FigurecaptionChar"/>
        </w:rPr>
        <w:t xml:space="preserve"> production via </w:t>
      </w:r>
      <w:proofErr w:type="spellStart"/>
      <w:r w:rsidRPr="00F256F4">
        <w:rPr>
          <w:rStyle w:val="FigurecaptionChar"/>
        </w:rPr>
        <w:t>BpsA</w:t>
      </w:r>
      <w:proofErr w:type="spellEnd"/>
      <w:r w:rsidRPr="00F256F4">
        <w:rPr>
          <w:rStyle w:val="FigurecaptionChar"/>
        </w:rPr>
        <w:t xml:space="preserve"> in CFE reactions.</w:t>
      </w:r>
      <w:bookmarkEnd w:id="133"/>
      <w:r w:rsidRPr="00857C48">
        <w:rPr>
          <w:rFonts w:cs="Arial"/>
          <w:b/>
          <w:bCs/>
          <w:szCs w:val="22"/>
        </w:rPr>
        <w:t xml:space="preserve"> A) </w:t>
      </w:r>
      <w:r w:rsidRPr="00857C48">
        <w:rPr>
          <w:rFonts w:cs="Arial"/>
          <w:szCs w:val="22"/>
        </w:rPr>
        <w:t xml:space="preserve">Schematic of </w:t>
      </w:r>
      <w:proofErr w:type="spellStart"/>
      <w:r w:rsidRPr="00857C48">
        <w:rPr>
          <w:rFonts w:cs="Arial"/>
          <w:szCs w:val="22"/>
        </w:rPr>
        <w:t>BpsA-catalysed</w:t>
      </w:r>
      <w:proofErr w:type="spellEnd"/>
      <w:r w:rsidRPr="00857C48">
        <w:rPr>
          <w:rFonts w:cs="Arial"/>
          <w:szCs w:val="22"/>
        </w:rPr>
        <w:t xml:space="preserve"> conversion of 2x </w:t>
      </w:r>
      <w:r w:rsidRPr="00857C48">
        <w:rPr>
          <w:rFonts w:cs="Arial"/>
          <w:smallCaps/>
          <w:szCs w:val="22"/>
        </w:rPr>
        <w:t>L</w:t>
      </w:r>
      <w:r w:rsidRPr="00857C48">
        <w:rPr>
          <w:rFonts w:cs="Arial"/>
          <w:szCs w:val="22"/>
        </w:rPr>
        <w:t>-</w:t>
      </w:r>
      <w:proofErr w:type="spellStart"/>
      <w:r w:rsidRPr="00857C48">
        <w:rPr>
          <w:rFonts w:cs="Arial"/>
          <w:szCs w:val="22"/>
        </w:rPr>
        <w:t>Glnto</w:t>
      </w:r>
      <w:proofErr w:type="spellEnd"/>
      <w:r w:rsidRPr="00857C48">
        <w:rPr>
          <w:rFonts w:cs="Arial"/>
          <w:szCs w:val="22"/>
        </w:rPr>
        <w:t xml:space="preserve"> 1x </w:t>
      </w:r>
      <w:proofErr w:type="spellStart"/>
      <w:r w:rsidRPr="00857C48">
        <w:rPr>
          <w:rFonts w:cs="Arial"/>
          <w:szCs w:val="22"/>
        </w:rPr>
        <w:t>indigoidine</w:t>
      </w:r>
      <w:proofErr w:type="spellEnd"/>
      <w:r w:rsidRPr="00857C48">
        <w:rPr>
          <w:rFonts w:cs="Arial"/>
          <w:szCs w:val="22"/>
        </w:rPr>
        <w:t xml:space="preserve">. The </w:t>
      </w:r>
      <w:r w:rsidRPr="00857C48">
        <w:rPr>
          <w:rFonts w:cs="Arial"/>
          <w:i/>
          <w:iCs/>
          <w:szCs w:val="22"/>
        </w:rPr>
        <w:t>apo</w:t>
      </w:r>
      <w:r w:rsidRPr="00857C48">
        <w:rPr>
          <w:rFonts w:cs="Arial"/>
          <w:szCs w:val="22"/>
        </w:rPr>
        <w:t>-form of</w:t>
      </w:r>
      <w:r w:rsidRPr="00857C48">
        <w:rPr>
          <w:rFonts w:cs="Arial"/>
          <w:i/>
          <w:iCs/>
          <w:szCs w:val="22"/>
        </w:rPr>
        <w:t xml:space="preserve"> </w:t>
      </w:r>
      <w:proofErr w:type="spellStart"/>
      <w:r w:rsidRPr="00857C48">
        <w:rPr>
          <w:rFonts w:cs="Arial"/>
          <w:szCs w:val="22"/>
        </w:rPr>
        <w:t>BpsA</w:t>
      </w:r>
      <w:proofErr w:type="spellEnd"/>
      <w:r w:rsidRPr="00857C48">
        <w:rPr>
          <w:rFonts w:cs="Arial"/>
          <w:szCs w:val="22"/>
        </w:rPr>
        <w:t xml:space="preserve"> is activated by the addition of a coenzyme A and the presence of </w:t>
      </w:r>
      <w:proofErr w:type="spellStart"/>
      <w:r w:rsidRPr="00857C48">
        <w:rPr>
          <w:rFonts w:cs="Arial"/>
          <w:szCs w:val="22"/>
        </w:rPr>
        <w:t>PPTase</w:t>
      </w:r>
      <w:proofErr w:type="spellEnd"/>
      <w:r w:rsidRPr="00857C48">
        <w:rPr>
          <w:rFonts w:cs="Arial"/>
          <w:szCs w:val="22"/>
        </w:rPr>
        <w:t xml:space="preserve">. The active </w:t>
      </w:r>
      <w:r w:rsidRPr="00857C48">
        <w:rPr>
          <w:rFonts w:cs="Arial"/>
          <w:i/>
          <w:iCs/>
          <w:szCs w:val="22"/>
        </w:rPr>
        <w:t>holo-</w:t>
      </w:r>
      <w:r w:rsidRPr="00857C48">
        <w:rPr>
          <w:rFonts w:cs="Arial"/>
          <w:szCs w:val="22"/>
        </w:rPr>
        <w:t xml:space="preserve">form </w:t>
      </w:r>
      <w:proofErr w:type="spellStart"/>
      <w:r w:rsidRPr="00857C48">
        <w:rPr>
          <w:rFonts w:cs="Arial"/>
          <w:szCs w:val="22"/>
        </w:rPr>
        <w:t>BpsA</w:t>
      </w:r>
      <w:proofErr w:type="spellEnd"/>
      <w:r w:rsidRPr="00857C48">
        <w:rPr>
          <w:rFonts w:cs="Arial"/>
          <w:szCs w:val="22"/>
        </w:rPr>
        <w:t xml:space="preserve"> converts two </w:t>
      </w:r>
      <w:r w:rsidRPr="00857C48">
        <w:rPr>
          <w:rFonts w:cs="Arial"/>
          <w:smallCaps/>
          <w:szCs w:val="22"/>
        </w:rPr>
        <w:t>L</w:t>
      </w:r>
      <w:r w:rsidRPr="00857C48">
        <w:rPr>
          <w:rFonts w:cs="Arial"/>
          <w:szCs w:val="22"/>
        </w:rPr>
        <w:t xml:space="preserve">-Gln molecules to </w:t>
      </w:r>
      <w:proofErr w:type="spellStart"/>
      <w:r w:rsidRPr="00857C48">
        <w:rPr>
          <w:rFonts w:cs="Arial"/>
          <w:szCs w:val="22"/>
        </w:rPr>
        <w:t>indigoidine</w:t>
      </w:r>
      <w:proofErr w:type="spellEnd"/>
      <w:r w:rsidRPr="00857C48">
        <w:rPr>
          <w:rFonts w:cs="Arial"/>
          <w:szCs w:val="22"/>
        </w:rPr>
        <w:t xml:space="preserve">, involving oxidation (Ox), adenylation (A), peptide carrier protein (PCP), and </w:t>
      </w:r>
      <w:proofErr w:type="spellStart"/>
      <w:r w:rsidRPr="00857C48">
        <w:rPr>
          <w:rFonts w:cs="Arial"/>
          <w:szCs w:val="22"/>
        </w:rPr>
        <w:t>thioesterase</w:t>
      </w:r>
      <w:proofErr w:type="spellEnd"/>
      <w:r w:rsidRPr="00857C48">
        <w:rPr>
          <w:rFonts w:cs="Arial"/>
          <w:szCs w:val="22"/>
        </w:rPr>
        <w:t xml:space="preserve"> (TE) domains. </w:t>
      </w:r>
      <w:r w:rsidRPr="00857C48">
        <w:rPr>
          <w:rFonts w:cs="Arial"/>
          <w:b/>
          <w:bCs/>
          <w:szCs w:val="22"/>
        </w:rPr>
        <w:t xml:space="preserve">B) </w:t>
      </w:r>
      <w:r w:rsidRPr="00857C48">
        <w:rPr>
          <w:rFonts w:cs="Arial"/>
          <w:szCs w:val="22"/>
        </w:rPr>
        <w:t xml:space="preserve">Standard curve of </w:t>
      </w:r>
      <w:proofErr w:type="spellStart"/>
      <w:r w:rsidRPr="00857C48">
        <w:rPr>
          <w:rFonts w:cs="Arial"/>
          <w:szCs w:val="22"/>
        </w:rPr>
        <w:t>indigoidine</w:t>
      </w:r>
      <w:proofErr w:type="spellEnd"/>
      <w:r w:rsidRPr="00857C48">
        <w:rPr>
          <w:rFonts w:cs="Arial"/>
          <w:szCs w:val="22"/>
        </w:rPr>
        <w:t xml:space="preserve"> generated by spiking increasing concentrations of purified </w:t>
      </w:r>
      <w:proofErr w:type="spellStart"/>
      <w:r w:rsidRPr="00857C48">
        <w:rPr>
          <w:rFonts w:cs="Arial"/>
          <w:szCs w:val="22"/>
        </w:rPr>
        <w:t>indigoidine</w:t>
      </w:r>
      <w:proofErr w:type="spellEnd"/>
      <w:r w:rsidRPr="00857C48">
        <w:rPr>
          <w:rFonts w:cs="Arial"/>
          <w:szCs w:val="22"/>
        </w:rPr>
        <w:t xml:space="preserve"> into BAP1 lysate CFE mock reactions. </w:t>
      </w:r>
      <w:proofErr w:type="spellStart"/>
      <w:r w:rsidRPr="00857C48">
        <w:rPr>
          <w:rFonts w:cs="Arial"/>
          <w:szCs w:val="22"/>
        </w:rPr>
        <w:t>Indigoidine</w:t>
      </w:r>
      <w:proofErr w:type="spellEnd"/>
      <w:r w:rsidRPr="00857C48">
        <w:rPr>
          <w:rFonts w:cs="Arial"/>
          <w:szCs w:val="22"/>
        </w:rPr>
        <w:t xml:space="preserve"> in the lysate background was solubilized by adding 70 % DMSO directly to individual reactions. Absorbance measurements were taken at 590 nm (A590) and divided by signals at 800 nm (A800) to deconvolute pigment absorbance from lysate turbidit</w:t>
      </w:r>
      <w:r w:rsidR="00D60D4C">
        <w:rPr>
          <w:rFonts w:cs="Arial"/>
          <w:szCs w:val="22"/>
        </w:rPr>
        <w:t>y.</w:t>
      </w:r>
      <w:r w:rsidRPr="00857C48">
        <w:rPr>
          <w:rFonts w:cs="Arial"/>
          <w:szCs w:val="22"/>
        </w:rPr>
        <w:t xml:space="preserve"> Afterwards, A590/A800 signals before DMSO addition were then subtracted from measurements after 70 % DMSO addition to measure soluble pigment.</w:t>
      </w:r>
      <w:r w:rsidRPr="00857C48">
        <w:rPr>
          <w:rFonts w:cs="Arial"/>
          <w:szCs w:val="22"/>
          <w:vertAlign w:val="superscript"/>
        </w:rPr>
        <w:t>42</w:t>
      </w:r>
      <w:r w:rsidRPr="00857C48">
        <w:rPr>
          <w:rFonts w:cs="Arial"/>
          <w:szCs w:val="22"/>
        </w:rPr>
        <w:t xml:space="preserve"> For visualization of trends, values were averaged, compared to a baseline condition, and plotted with error bars representing the standard error of the mean (n=3). </w:t>
      </w:r>
      <w:r w:rsidRPr="00857C48">
        <w:rPr>
          <w:rFonts w:cs="Arial"/>
          <w:b/>
          <w:bCs/>
          <w:szCs w:val="22"/>
        </w:rPr>
        <w:t>C, D, E)</w:t>
      </w:r>
      <w:r w:rsidRPr="00857C48">
        <w:rPr>
          <w:rFonts w:cs="Arial"/>
          <w:szCs w:val="22"/>
        </w:rPr>
        <w:t xml:space="preserve"> Validation of </w:t>
      </w:r>
      <w:proofErr w:type="spellStart"/>
      <w:r w:rsidRPr="00857C48">
        <w:rPr>
          <w:rFonts w:cs="Arial"/>
          <w:szCs w:val="22"/>
        </w:rPr>
        <w:t>indigoidine</w:t>
      </w:r>
      <w:proofErr w:type="spellEnd"/>
      <w:r w:rsidRPr="00857C48">
        <w:rPr>
          <w:rFonts w:cs="Arial"/>
          <w:szCs w:val="22"/>
        </w:rPr>
        <w:t xml:space="preserve"> production from functional </w:t>
      </w:r>
      <w:proofErr w:type="spellStart"/>
      <w:r w:rsidRPr="00857C48">
        <w:rPr>
          <w:rFonts w:cs="Arial"/>
          <w:szCs w:val="22"/>
        </w:rPr>
        <w:t>BpsA</w:t>
      </w:r>
      <w:proofErr w:type="spellEnd"/>
      <w:r w:rsidRPr="00857C48">
        <w:rPr>
          <w:rFonts w:cs="Arial"/>
          <w:szCs w:val="22"/>
        </w:rPr>
        <w:t xml:space="preserve">-TC protein in CFE reactions using the </w:t>
      </w:r>
      <w:proofErr w:type="spellStart"/>
      <w:r w:rsidRPr="00857C48">
        <w:rPr>
          <w:rFonts w:cs="Arial"/>
          <w:szCs w:val="22"/>
        </w:rPr>
        <w:t>indigoidine</w:t>
      </w:r>
      <w:proofErr w:type="spellEnd"/>
      <w:r w:rsidRPr="00857C48">
        <w:rPr>
          <w:rFonts w:cs="Arial"/>
          <w:szCs w:val="22"/>
        </w:rPr>
        <w:t xml:space="preserve"> detection method established here. CFE reactions with 13 ng/µL plasmid were initiated with increasing concentrations of </w:t>
      </w:r>
      <w:r w:rsidRPr="00857C48">
        <w:rPr>
          <w:rFonts w:cs="Arial"/>
          <w:b/>
          <w:bCs/>
          <w:szCs w:val="22"/>
        </w:rPr>
        <w:t>C)</w:t>
      </w:r>
      <w:r w:rsidRPr="00857C48">
        <w:rPr>
          <w:rFonts w:cs="Arial"/>
          <w:szCs w:val="22"/>
        </w:rPr>
        <w:t xml:space="preserve"> supplemented </w:t>
      </w:r>
      <w:r w:rsidRPr="00857C48">
        <w:rPr>
          <w:rFonts w:cs="Arial"/>
          <w:smallCaps/>
          <w:szCs w:val="22"/>
        </w:rPr>
        <w:t>L</w:t>
      </w:r>
      <w:r w:rsidRPr="00857C48">
        <w:rPr>
          <w:rFonts w:cs="Arial"/>
          <w:szCs w:val="22"/>
        </w:rPr>
        <w:t xml:space="preserve">-Gln (no CoA) or </w:t>
      </w:r>
      <w:r w:rsidRPr="00857C48">
        <w:rPr>
          <w:rFonts w:cs="Arial"/>
          <w:b/>
          <w:bCs/>
          <w:szCs w:val="22"/>
        </w:rPr>
        <w:t>D)</w:t>
      </w:r>
      <w:r w:rsidRPr="00857C48">
        <w:rPr>
          <w:rFonts w:cs="Arial"/>
          <w:szCs w:val="22"/>
        </w:rPr>
        <w:t xml:space="preserve"> supplemented CoA (no </w:t>
      </w:r>
      <w:r w:rsidRPr="00857C48">
        <w:rPr>
          <w:rFonts w:cs="Arial"/>
          <w:smallCaps/>
          <w:szCs w:val="22"/>
        </w:rPr>
        <w:t>L</w:t>
      </w:r>
      <w:r w:rsidRPr="00857C48">
        <w:rPr>
          <w:rFonts w:cs="Arial"/>
          <w:szCs w:val="22"/>
        </w:rPr>
        <w:t xml:space="preserve">-Gln). </w:t>
      </w:r>
      <w:r w:rsidRPr="00857C48">
        <w:rPr>
          <w:rFonts w:cs="Arial"/>
          <w:b/>
          <w:bCs/>
          <w:szCs w:val="22"/>
        </w:rPr>
        <w:t>E)</w:t>
      </w:r>
      <w:r w:rsidRPr="00857C48">
        <w:rPr>
          <w:rFonts w:cs="Arial"/>
          <w:szCs w:val="22"/>
        </w:rPr>
        <w:t xml:space="preserve"> CFE reactions containing 1 mM CoA were initiated with different concentrations of plasmid DNA. Asterisks represent significant differences compared to the no </w:t>
      </w:r>
      <w:r w:rsidRPr="00857C48">
        <w:rPr>
          <w:rFonts w:cs="Arial"/>
          <w:smallCaps/>
          <w:szCs w:val="22"/>
        </w:rPr>
        <w:t>L</w:t>
      </w:r>
      <w:r w:rsidRPr="00857C48">
        <w:rPr>
          <w:rFonts w:cs="Arial"/>
          <w:szCs w:val="22"/>
        </w:rPr>
        <w:t>-Gln, no CoA, or no DNA conditions, evaluated with a Student’s t-test. * p-value &lt; 0.05, ** p-value &lt; 0.01.</w:t>
      </w:r>
    </w:p>
    <w:p w14:paraId="3F9E893F" w14:textId="77777777" w:rsidR="00A90B05" w:rsidRDefault="00A90B05">
      <w:pPr>
        <w:rPr>
          <w:rFonts w:cs="Arial"/>
          <w:szCs w:val="22"/>
        </w:rPr>
      </w:pPr>
      <w:r>
        <w:rPr>
          <w:rFonts w:cs="Arial"/>
          <w:szCs w:val="22"/>
        </w:rPr>
        <w:br w:type="page"/>
      </w:r>
    </w:p>
    <w:p w14:paraId="188C8A56" w14:textId="40040F0D" w:rsidR="00857C48" w:rsidRPr="00857C48" w:rsidRDefault="00A90B05" w:rsidP="00D60D4C">
      <w:pPr>
        <w:rPr>
          <w:rFonts w:cs="Arial"/>
          <w:b/>
          <w:bCs/>
          <w:szCs w:val="22"/>
        </w:rPr>
      </w:pPr>
      <w:r w:rsidRPr="00857C48">
        <w:rPr>
          <w:rFonts w:cs="Arial"/>
          <w:noProof/>
          <w:szCs w:val="22"/>
        </w:rPr>
        <w:lastRenderedPageBreak/>
        <w:drawing>
          <wp:inline distT="0" distB="0" distL="0" distR="0" wp14:anchorId="76C24567" wp14:editId="5E92C95B">
            <wp:extent cx="5943600" cy="3367405"/>
            <wp:effectExtent l="0" t="0" r="0" b="0"/>
            <wp:docPr id="60" name="Picture 60"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Description automatically generated with low confidence"/>
                    <pic:cNvPicPr/>
                  </pic:nvPicPr>
                  <pic:blipFill>
                    <a:blip r:embed="rId44" cstate="screen">
                      <a:extLst>
                        <a:ext uri="{28A0092B-C50C-407E-A947-70E740481C1C}">
                          <a14:useLocalDpi xmlns:a14="http://schemas.microsoft.com/office/drawing/2010/main"/>
                        </a:ext>
                      </a:extLst>
                    </a:blip>
                    <a:stretch>
                      <a:fillRect/>
                    </a:stretch>
                  </pic:blipFill>
                  <pic:spPr>
                    <a:xfrm>
                      <a:off x="0" y="0"/>
                      <a:ext cx="5943600" cy="3367405"/>
                    </a:xfrm>
                    <a:prstGeom prst="rect">
                      <a:avLst/>
                    </a:prstGeom>
                  </pic:spPr>
                </pic:pic>
              </a:graphicData>
            </a:graphic>
          </wp:inline>
        </w:drawing>
      </w:r>
    </w:p>
    <w:p w14:paraId="1B15CC23" w14:textId="77777777" w:rsidR="00857C48" w:rsidRPr="00857C48" w:rsidRDefault="00857C48" w:rsidP="00D60D4C">
      <w:pPr>
        <w:rPr>
          <w:rFonts w:cs="Arial"/>
          <w:szCs w:val="22"/>
        </w:rPr>
      </w:pPr>
    </w:p>
    <w:p w14:paraId="19FD4287" w14:textId="77777777" w:rsidR="00A90B05" w:rsidRDefault="00A90B05">
      <w:pPr>
        <w:rPr>
          <w:rFonts w:cs="Arial"/>
          <w:color w:val="000000" w:themeColor="text1"/>
          <w:szCs w:val="22"/>
        </w:rPr>
      </w:pPr>
      <w:r>
        <w:rPr>
          <w:rFonts w:cs="Arial"/>
          <w:color w:val="000000" w:themeColor="text1"/>
          <w:szCs w:val="22"/>
        </w:rPr>
        <w:br w:type="page"/>
      </w:r>
    </w:p>
    <w:p w14:paraId="7A6B1790" w14:textId="77777777" w:rsidR="00A90B05" w:rsidRDefault="00A90B05" w:rsidP="00A90B05">
      <w:pPr>
        <w:rPr>
          <w:rFonts w:cs="Arial"/>
          <w:b/>
          <w:bCs/>
          <w:color w:val="000000" w:themeColor="text1"/>
          <w:szCs w:val="22"/>
        </w:rPr>
      </w:pPr>
      <w:r w:rsidRPr="00857C48">
        <w:rPr>
          <w:rFonts w:cs="Arial"/>
          <w:color w:val="000000" w:themeColor="text1"/>
          <w:szCs w:val="22"/>
        </w:rPr>
        <w:lastRenderedPageBreak/>
        <w:t xml:space="preserve">optimized in lysates from the </w:t>
      </w:r>
      <w:r w:rsidRPr="00857C48">
        <w:rPr>
          <w:rFonts w:cs="Arial"/>
          <w:i/>
          <w:iCs/>
          <w:color w:val="000000" w:themeColor="text1"/>
          <w:szCs w:val="22"/>
        </w:rPr>
        <w:t xml:space="preserve">E. coli </w:t>
      </w:r>
      <w:r w:rsidRPr="00857C48">
        <w:rPr>
          <w:rFonts w:cs="Arial"/>
          <w:color w:val="000000" w:themeColor="text1"/>
          <w:szCs w:val="22"/>
        </w:rPr>
        <w:t xml:space="preserve">BL21(DE3) strain, which lack the </w:t>
      </w:r>
      <w:proofErr w:type="spellStart"/>
      <w:r w:rsidRPr="00857C48">
        <w:rPr>
          <w:rFonts w:cs="Arial"/>
          <w:color w:val="000000" w:themeColor="text1"/>
          <w:szCs w:val="22"/>
        </w:rPr>
        <w:t>PPTase</w:t>
      </w:r>
      <w:proofErr w:type="spellEnd"/>
      <w:r w:rsidRPr="00857C48">
        <w:rPr>
          <w:rFonts w:cs="Arial"/>
          <w:color w:val="000000" w:themeColor="text1"/>
          <w:szCs w:val="22"/>
        </w:rPr>
        <w:t xml:space="preserve"> and do not produce pigment after overnight </w:t>
      </w:r>
      <w:proofErr w:type="spellStart"/>
      <w:r w:rsidRPr="00857C48">
        <w:rPr>
          <w:rFonts w:cs="Arial"/>
          <w:color w:val="000000" w:themeColor="text1"/>
          <w:szCs w:val="22"/>
        </w:rPr>
        <w:t>BpsA</w:t>
      </w:r>
      <w:proofErr w:type="spellEnd"/>
      <w:r w:rsidRPr="00857C48">
        <w:rPr>
          <w:rFonts w:cs="Arial"/>
          <w:color w:val="000000" w:themeColor="text1"/>
          <w:szCs w:val="22"/>
        </w:rPr>
        <w:t>-TC expression (</w:t>
      </w:r>
      <w:r w:rsidRPr="00857C48">
        <w:rPr>
          <w:rFonts w:cs="Arial"/>
          <w:b/>
          <w:bCs/>
          <w:color w:val="000000" w:themeColor="text1"/>
          <w:szCs w:val="22"/>
        </w:rPr>
        <w:t>Fig</w:t>
      </w:r>
      <w:r>
        <w:rPr>
          <w:rFonts w:cs="Arial"/>
          <w:b/>
          <w:bCs/>
          <w:color w:val="000000" w:themeColor="text1"/>
          <w:szCs w:val="22"/>
        </w:rPr>
        <w:t>ure</w:t>
      </w:r>
      <w:r w:rsidRPr="00857C48">
        <w:rPr>
          <w:rFonts w:cs="Arial"/>
          <w:b/>
          <w:bCs/>
          <w:color w:val="000000" w:themeColor="text1"/>
          <w:szCs w:val="22"/>
        </w:rPr>
        <w:t xml:space="preserve"> </w:t>
      </w:r>
      <w:r>
        <w:rPr>
          <w:rFonts w:cs="Arial"/>
          <w:b/>
          <w:bCs/>
          <w:color w:val="000000" w:themeColor="text1"/>
          <w:szCs w:val="22"/>
        </w:rPr>
        <w:t>5.</w:t>
      </w:r>
      <w:r w:rsidRPr="00857C48">
        <w:rPr>
          <w:rFonts w:cs="Arial"/>
          <w:b/>
          <w:bCs/>
          <w:color w:val="000000" w:themeColor="text1"/>
          <w:szCs w:val="22"/>
        </w:rPr>
        <w:t>2D</w:t>
      </w:r>
      <w:r w:rsidRPr="00857C48">
        <w:rPr>
          <w:rFonts w:cs="Arial"/>
          <w:color w:val="000000" w:themeColor="text1"/>
          <w:szCs w:val="22"/>
        </w:rPr>
        <w:t xml:space="preserve">), and in its derivative BL21 Star(DE3) strain, which should similarly express the </w:t>
      </w:r>
      <w:r w:rsidRPr="00857C48">
        <w:rPr>
          <w:rFonts w:cs="Arial"/>
          <w:i/>
          <w:iCs/>
          <w:color w:val="000000" w:themeColor="text1"/>
          <w:szCs w:val="22"/>
        </w:rPr>
        <w:t>apo-</w:t>
      </w:r>
      <w:r w:rsidRPr="00857C48">
        <w:rPr>
          <w:rFonts w:cs="Arial"/>
          <w:color w:val="000000" w:themeColor="text1"/>
          <w:szCs w:val="22"/>
        </w:rPr>
        <w:t>form of the enzyme</w:t>
      </w:r>
      <w:r w:rsidRPr="00857C48">
        <w:rPr>
          <w:rFonts w:cs="Arial"/>
          <w:b/>
          <w:bCs/>
          <w:color w:val="000000" w:themeColor="text1"/>
          <w:szCs w:val="22"/>
        </w:rPr>
        <w:t xml:space="preserve">. </w:t>
      </w:r>
    </w:p>
    <w:p w14:paraId="1DEE80C4" w14:textId="3E7A8437" w:rsidR="00857C48" w:rsidRDefault="00857C48" w:rsidP="00A90B05">
      <w:pPr>
        <w:ind w:firstLine="720"/>
        <w:rPr>
          <w:rFonts w:cs="Arial"/>
          <w:b/>
          <w:bCs/>
          <w:color w:val="000000" w:themeColor="text1"/>
          <w:szCs w:val="22"/>
        </w:rPr>
      </w:pPr>
      <w:r w:rsidRPr="00857C48">
        <w:rPr>
          <w:rFonts w:cs="Arial"/>
          <w:szCs w:val="22"/>
        </w:rPr>
        <w:t xml:space="preserve">In overnight reactions that expressed </w:t>
      </w:r>
      <w:proofErr w:type="spellStart"/>
      <w:r w:rsidRPr="00857C48">
        <w:rPr>
          <w:rFonts w:cs="Arial"/>
          <w:szCs w:val="22"/>
        </w:rPr>
        <w:t>BpsA</w:t>
      </w:r>
      <w:proofErr w:type="spellEnd"/>
      <w:r w:rsidRPr="00857C48">
        <w:rPr>
          <w:rFonts w:cs="Arial"/>
          <w:szCs w:val="22"/>
        </w:rPr>
        <w:t>-TC, signals above background are highest after a 10-minute incubation period with the same concentration of either reagent (</w:t>
      </w:r>
      <w:r w:rsidRPr="00857C48">
        <w:rPr>
          <w:rFonts w:cs="Arial"/>
          <w:b/>
          <w:bCs/>
          <w:szCs w:val="22"/>
        </w:rPr>
        <w:t>Fig</w:t>
      </w:r>
      <w:r w:rsidR="00D60D4C">
        <w:rPr>
          <w:rFonts w:cs="Arial"/>
          <w:b/>
          <w:bCs/>
          <w:szCs w:val="22"/>
        </w:rPr>
        <w:t>ure</w:t>
      </w:r>
      <w:r w:rsidRPr="00857C48">
        <w:rPr>
          <w:rFonts w:cs="Arial"/>
          <w:b/>
          <w:bCs/>
          <w:szCs w:val="22"/>
        </w:rPr>
        <w:t xml:space="preserve"> </w:t>
      </w:r>
      <w:r w:rsidR="00D60D4C">
        <w:rPr>
          <w:rFonts w:cs="Arial"/>
          <w:b/>
          <w:bCs/>
          <w:szCs w:val="22"/>
        </w:rPr>
        <w:t>5.</w:t>
      </w:r>
      <w:r w:rsidRPr="00857C48">
        <w:rPr>
          <w:rFonts w:cs="Arial"/>
          <w:b/>
          <w:bCs/>
          <w:szCs w:val="22"/>
        </w:rPr>
        <w:t>2A</w:t>
      </w:r>
      <w:r w:rsidRPr="00857C48">
        <w:rPr>
          <w:rFonts w:cs="Arial"/>
          <w:szCs w:val="22"/>
        </w:rPr>
        <w:t>). This is sufficient time for the TC/fluorophore complex to form based on a previously described protocol in cells</w:t>
      </w:r>
      <w:r w:rsidRPr="00857C48">
        <w:rPr>
          <w:rFonts w:cs="Arial"/>
          <w:szCs w:val="22"/>
        </w:rPr>
        <w:fldChar w:fldCharType="begin" w:fldLock="1"/>
      </w:r>
      <w:r w:rsidR="004F3109">
        <w:rPr>
          <w:rFonts w:cs="Arial"/>
          <w:szCs w:val="22"/>
        </w:rPr>
        <w:instrText>ADDIN CSL_CITATION {"citationItems":[{"id":"ITEM-1","itemData":{"DOI":"10.1038/nprot.2010.129","ISSN":"1750-2799","PMID":"20885379","abstract":"In this paper, we provide a general protocol for labeling proteins with the membrane-permeant fluorogenic biarsenical dye fluorescein arsenical hairpin binder–ethanedithiol (FlAsH-EDT2). Generation of the tetracysteine-tagged protein construct by itself is not described, as this is a protein-specific process. This method allows site-selective labeling of proteins in living cells and has been applied to a wide variety of proteins and biological problems. We provide here a generally applicable labeling procedure and discuss the problems that can occur as well as general considerations that must be taken into account when designing and implementing the procedure. The method can even be applied to proteins with expression below 1 pmol mg−1 of protein, such as G protein–coupled receptors, and it can be used to study the intracellular localization of proteins as well as functional interactions in fluorescence resonance energy transfer experiments. The labeling procedure using FlAsH-EDT2 as described takes 2–3 h, depending on the number of samples to be processed.","author":[{"dropping-particle":"","family":"Hoffmann","given":"Carsten","non-dropping-particle":"","parse-names":false,"suffix":""},{"dropping-particle":"","family":"Gaietta","given":"Guido","non-dropping-particle":"","parse-names":false,"suffix":""},{"dropping-particle":"","family":"Zürn","given":"Alexander","non-dropping-particle":"","parse-names":false,"suffix":""},{"dropping-particle":"","family":"Adams","given":"Stephen R.","non-dropping-particle":"","parse-names":false,"suffix":""},{"dropping-particle":"","family":"Terrillon","given":"Sonia","non-dropping-particle":"","parse-names":false,"suffix":""},{"dropping-particle":"","family":"Ellisman","given":"Mark H.","non-dropping-particle":"","parse-names":false,"suffix":""},{"dropping-particle":"","family":"Tsien","given":"Roger Y.","non-dropping-particle":"","parse-names":false,"suffix":""},{"dropping-particle":"","family":"Lohse","given":"Martin J.","non-dropping-particle":"","parse-names":false,"suffix":""}],"container-title":"Nature Protocols 2010 5:10","id":"ITEM-1","issue":"10","issued":{"date-parts":[["2010","9","23"]]},"page":"1666-1677","publisher":"Nature Publishing Group","title":"Fluorescent labeling of tetracysteine-tagged proteins in intact cells","type":"article-journal","volume":"5"},"uris":["http://www.mendeley.com/documents/?uuid=e5b0cfc4-ee3c-3625-b659-065693b783db"]}],"mendeley":{"formattedCitation":"&lt;sup&gt;223&lt;/sup&gt;","plainTextFormattedCitation":"223","previouslyFormattedCitation":"&lt;sup&gt;223&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223</w:t>
      </w:r>
      <w:r w:rsidRPr="00857C48">
        <w:rPr>
          <w:rFonts w:cs="Arial"/>
          <w:szCs w:val="22"/>
        </w:rPr>
        <w:fldChar w:fldCharType="end"/>
      </w:r>
      <w:r w:rsidR="00D60D4C">
        <w:rPr>
          <w:rFonts w:cs="Arial"/>
          <w:szCs w:val="22"/>
        </w:rPr>
        <w:t>.</w:t>
      </w:r>
      <w:r w:rsidRPr="00857C48">
        <w:rPr>
          <w:rFonts w:cs="Arial"/>
          <w:szCs w:val="22"/>
        </w:rPr>
        <w:t xml:space="preserve"> The signal in </w:t>
      </w:r>
      <w:proofErr w:type="spellStart"/>
      <w:r w:rsidRPr="00857C48">
        <w:rPr>
          <w:rFonts w:cs="Arial"/>
          <w:szCs w:val="22"/>
        </w:rPr>
        <w:t>BpsA</w:t>
      </w:r>
      <w:proofErr w:type="spellEnd"/>
      <w:r w:rsidRPr="00857C48">
        <w:rPr>
          <w:rFonts w:cs="Arial"/>
          <w:szCs w:val="22"/>
        </w:rPr>
        <w:t xml:space="preserve">-TC expressing reactions however decreases at later timepoints, consistent with the manufacturer’s descriptions of these reagents binding to the background. The </w:t>
      </w:r>
      <w:proofErr w:type="spellStart"/>
      <w:r w:rsidRPr="00857C48">
        <w:rPr>
          <w:rFonts w:cs="Arial"/>
          <w:szCs w:val="22"/>
        </w:rPr>
        <w:t>FlAsH</w:t>
      </w:r>
      <w:proofErr w:type="spellEnd"/>
      <w:r w:rsidRPr="00857C48">
        <w:rPr>
          <w:rFonts w:cs="Arial"/>
          <w:szCs w:val="22"/>
        </w:rPr>
        <w:t xml:space="preserve"> reagent was therefore selected over </w:t>
      </w:r>
      <w:proofErr w:type="spellStart"/>
      <w:r w:rsidRPr="00857C48">
        <w:rPr>
          <w:rFonts w:cs="Arial"/>
          <w:szCs w:val="22"/>
        </w:rPr>
        <w:t>ReAsH</w:t>
      </w:r>
      <w:proofErr w:type="spellEnd"/>
      <w:r w:rsidRPr="00857C48">
        <w:rPr>
          <w:rFonts w:cs="Arial"/>
          <w:szCs w:val="22"/>
        </w:rPr>
        <w:t xml:space="preserve"> to obtain end-point measurements of </w:t>
      </w:r>
      <w:proofErr w:type="spellStart"/>
      <w:r w:rsidRPr="00857C48">
        <w:rPr>
          <w:rFonts w:cs="Arial"/>
          <w:szCs w:val="22"/>
        </w:rPr>
        <w:t>BpsA</w:t>
      </w:r>
      <w:proofErr w:type="spellEnd"/>
      <w:r w:rsidRPr="00857C48">
        <w:rPr>
          <w:rFonts w:cs="Arial"/>
          <w:szCs w:val="22"/>
        </w:rPr>
        <w:t xml:space="preserve">-TC production since the former emitted less noisy and variable signals. To verify that the signal obtained at 10 minutes corresponds to synthesized </w:t>
      </w:r>
      <w:proofErr w:type="spellStart"/>
      <w:r w:rsidRPr="00857C48">
        <w:rPr>
          <w:rFonts w:cs="Arial"/>
          <w:szCs w:val="22"/>
        </w:rPr>
        <w:t>BpsA</w:t>
      </w:r>
      <w:proofErr w:type="spellEnd"/>
      <w:r w:rsidRPr="00857C48">
        <w:rPr>
          <w:rFonts w:cs="Arial"/>
          <w:szCs w:val="22"/>
        </w:rPr>
        <w:t xml:space="preserve">-TC, </w:t>
      </w:r>
      <w:proofErr w:type="spellStart"/>
      <w:r w:rsidRPr="00857C48">
        <w:rPr>
          <w:rFonts w:cs="Arial"/>
          <w:szCs w:val="22"/>
        </w:rPr>
        <w:t>FlAsH</w:t>
      </w:r>
      <w:proofErr w:type="spellEnd"/>
      <w:r w:rsidRPr="00857C48">
        <w:rPr>
          <w:rFonts w:cs="Arial"/>
          <w:szCs w:val="22"/>
        </w:rPr>
        <w:t xml:space="preserve"> was added to overnight BAP1 lysate-based reactions prepared with varying DNA concentrations. Evidently, increasing concentrations of the expression template in reactions results in higher fluorescence readouts, suggesting the detectability of </w:t>
      </w:r>
      <w:proofErr w:type="spellStart"/>
      <w:r w:rsidRPr="00857C48">
        <w:rPr>
          <w:rFonts w:cs="Arial"/>
          <w:szCs w:val="22"/>
        </w:rPr>
        <w:t>BpsA</w:t>
      </w:r>
      <w:proofErr w:type="spellEnd"/>
      <w:r w:rsidRPr="00857C48">
        <w:rPr>
          <w:rFonts w:cs="Arial"/>
          <w:szCs w:val="22"/>
        </w:rPr>
        <w:t xml:space="preserve">-TC in lysate reactions with the </w:t>
      </w:r>
      <w:proofErr w:type="spellStart"/>
      <w:r w:rsidRPr="00857C48">
        <w:rPr>
          <w:rFonts w:cs="Arial"/>
          <w:szCs w:val="22"/>
        </w:rPr>
        <w:t>FlAsH</w:t>
      </w:r>
      <w:proofErr w:type="spellEnd"/>
      <w:r w:rsidRPr="00857C48">
        <w:rPr>
          <w:rFonts w:cs="Arial"/>
          <w:szCs w:val="22"/>
        </w:rPr>
        <w:t xml:space="preserve"> reagent (</w:t>
      </w:r>
      <w:r w:rsidRPr="00857C48">
        <w:rPr>
          <w:rFonts w:cs="Arial"/>
          <w:b/>
          <w:bCs/>
          <w:szCs w:val="22"/>
        </w:rPr>
        <w:t>Fig</w:t>
      </w:r>
      <w:r w:rsidR="00D60D4C">
        <w:rPr>
          <w:rFonts w:cs="Arial"/>
          <w:b/>
          <w:bCs/>
          <w:szCs w:val="22"/>
        </w:rPr>
        <w:t>ure</w:t>
      </w:r>
      <w:r w:rsidRPr="00857C48">
        <w:rPr>
          <w:rFonts w:cs="Arial"/>
          <w:b/>
          <w:bCs/>
          <w:szCs w:val="22"/>
        </w:rPr>
        <w:t xml:space="preserve"> </w:t>
      </w:r>
      <w:r w:rsidR="00D60D4C">
        <w:rPr>
          <w:rFonts w:cs="Arial"/>
          <w:b/>
          <w:bCs/>
          <w:szCs w:val="22"/>
        </w:rPr>
        <w:t>5.</w:t>
      </w:r>
      <w:r w:rsidRPr="00857C48">
        <w:rPr>
          <w:rFonts w:cs="Arial"/>
          <w:b/>
          <w:bCs/>
          <w:szCs w:val="22"/>
        </w:rPr>
        <w:t>2B</w:t>
      </w:r>
      <w:r w:rsidRPr="00857C48">
        <w:rPr>
          <w:rFonts w:cs="Arial"/>
          <w:szCs w:val="22"/>
        </w:rPr>
        <w:t xml:space="preserve">). However, the signal does not increase between the 6 and 13 ng/µL DNA conditions which contradicts the trend in </w:t>
      </w:r>
      <w:proofErr w:type="spellStart"/>
      <w:r w:rsidRPr="00857C48">
        <w:rPr>
          <w:rFonts w:cs="Arial"/>
          <w:szCs w:val="22"/>
        </w:rPr>
        <w:t>indigoidine</w:t>
      </w:r>
      <w:proofErr w:type="spellEnd"/>
      <w:r w:rsidRPr="00857C48">
        <w:rPr>
          <w:rFonts w:cs="Arial"/>
          <w:szCs w:val="22"/>
        </w:rPr>
        <w:t xml:space="preserve"> production in the same lysate (</w:t>
      </w:r>
      <w:r w:rsidRPr="00857C48">
        <w:rPr>
          <w:rFonts w:cs="Arial"/>
          <w:b/>
          <w:bCs/>
          <w:szCs w:val="22"/>
        </w:rPr>
        <w:t>Fig</w:t>
      </w:r>
      <w:r w:rsidR="00D60D4C">
        <w:rPr>
          <w:rFonts w:cs="Arial"/>
          <w:b/>
          <w:bCs/>
          <w:szCs w:val="22"/>
        </w:rPr>
        <w:t>ure</w:t>
      </w:r>
      <w:r w:rsidRPr="00857C48">
        <w:rPr>
          <w:rFonts w:cs="Arial"/>
          <w:b/>
          <w:bCs/>
          <w:szCs w:val="22"/>
        </w:rPr>
        <w:t xml:space="preserve"> </w:t>
      </w:r>
      <w:r w:rsidR="00D60D4C">
        <w:rPr>
          <w:rFonts w:cs="Arial"/>
          <w:b/>
          <w:bCs/>
          <w:szCs w:val="22"/>
        </w:rPr>
        <w:t>5.</w:t>
      </w:r>
      <w:r w:rsidRPr="00857C48">
        <w:rPr>
          <w:rFonts w:cs="Arial"/>
          <w:b/>
          <w:bCs/>
          <w:szCs w:val="22"/>
        </w:rPr>
        <w:t>1E</w:t>
      </w:r>
      <w:r w:rsidRPr="00857C48">
        <w:rPr>
          <w:rFonts w:cs="Arial"/>
          <w:szCs w:val="22"/>
        </w:rPr>
        <w:t xml:space="preserve">). It was hypothesized that fluorescence signals from reactions that produce significant pigment quenched due to possible overlap in the </w:t>
      </w:r>
      <w:proofErr w:type="spellStart"/>
      <w:r w:rsidRPr="00857C48">
        <w:rPr>
          <w:rFonts w:cs="Arial"/>
          <w:szCs w:val="22"/>
        </w:rPr>
        <w:t>indigoidine</w:t>
      </w:r>
      <w:proofErr w:type="spellEnd"/>
      <w:r w:rsidRPr="00857C48">
        <w:rPr>
          <w:rFonts w:cs="Arial"/>
          <w:szCs w:val="22"/>
        </w:rPr>
        <w:t xml:space="preserve"> absorbance and TC/</w:t>
      </w:r>
      <w:proofErr w:type="spellStart"/>
      <w:r w:rsidRPr="00857C48">
        <w:rPr>
          <w:rFonts w:cs="Arial"/>
          <w:szCs w:val="22"/>
        </w:rPr>
        <w:t>FlAsH</w:t>
      </w:r>
      <w:proofErr w:type="spellEnd"/>
      <w:r w:rsidRPr="00857C48">
        <w:rPr>
          <w:rFonts w:cs="Arial"/>
          <w:szCs w:val="22"/>
        </w:rPr>
        <w:t xml:space="preserve"> emission spectra. To evaluate this possibility, </w:t>
      </w:r>
      <w:r w:rsidRPr="00857C48">
        <w:rPr>
          <w:rFonts w:cs="Arial"/>
          <w:i/>
          <w:iCs/>
          <w:szCs w:val="22"/>
        </w:rPr>
        <w:t>apo-</w:t>
      </w:r>
      <w:r w:rsidRPr="00857C48">
        <w:rPr>
          <w:rFonts w:cs="Arial"/>
          <w:szCs w:val="22"/>
        </w:rPr>
        <w:t xml:space="preserve">form </w:t>
      </w:r>
      <w:proofErr w:type="spellStart"/>
      <w:r w:rsidRPr="00857C48">
        <w:rPr>
          <w:rFonts w:cs="Arial"/>
          <w:szCs w:val="22"/>
        </w:rPr>
        <w:t>BpsA</w:t>
      </w:r>
      <w:proofErr w:type="spellEnd"/>
      <w:r w:rsidRPr="00857C48">
        <w:rPr>
          <w:rFonts w:cs="Arial"/>
          <w:szCs w:val="22"/>
        </w:rPr>
        <w:t xml:space="preserve">-TC was purified from </w:t>
      </w:r>
      <w:r w:rsidRPr="00857C48">
        <w:rPr>
          <w:rFonts w:cs="Arial"/>
          <w:i/>
          <w:iCs/>
          <w:szCs w:val="22"/>
        </w:rPr>
        <w:t xml:space="preserve">E. coli </w:t>
      </w:r>
      <w:r w:rsidRPr="00857C48">
        <w:rPr>
          <w:rFonts w:cs="Arial"/>
          <w:szCs w:val="22"/>
        </w:rPr>
        <w:t xml:space="preserve">BL21(DE3) cells lacking the </w:t>
      </w:r>
      <w:proofErr w:type="spellStart"/>
      <w:r w:rsidRPr="00857C48">
        <w:rPr>
          <w:rFonts w:cs="Arial"/>
          <w:i/>
          <w:iCs/>
          <w:szCs w:val="22"/>
        </w:rPr>
        <w:t>sfp</w:t>
      </w:r>
      <w:proofErr w:type="spellEnd"/>
      <w:r w:rsidRPr="00857C48">
        <w:rPr>
          <w:rFonts w:cs="Arial"/>
          <w:i/>
          <w:iCs/>
          <w:szCs w:val="22"/>
        </w:rPr>
        <w:t xml:space="preserve"> </w:t>
      </w:r>
      <w:r w:rsidRPr="00857C48">
        <w:rPr>
          <w:rFonts w:cs="Arial"/>
          <w:szCs w:val="22"/>
        </w:rPr>
        <w:t xml:space="preserve">gene for </w:t>
      </w:r>
      <w:proofErr w:type="spellStart"/>
      <w:r w:rsidRPr="00857C48">
        <w:rPr>
          <w:rFonts w:cs="Arial"/>
          <w:szCs w:val="22"/>
        </w:rPr>
        <w:t>PPTase</w:t>
      </w:r>
      <w:proofErr w:type="spellEnd"/>
      <w:r w:rsidRPr="00857C48">
        <w:rPr>
          <w:rFonts w:cs="Arial"/>
          <w:szCs w:val="22"/>
        </w:rPr>
        <w:t xml:space="preserve"> expression. Purified </w:t>
      </w:r>
      <w:proofErr w:type="spellStart"/>
      <w:r w:rsidRPr="00857C48">
        <w:rPr>
          <w:rFonts w:cs="Arial"/>
          <w:szCs w:val="22"/>
        </w:rPr>
        <w:t>BpsA</w:t>
      </w:r>
      <w:proofErr w:type="spellEnd"/>
      <w:r w:rsidRPr="00857C48">
        <w:rPr>
          <w:rFonts w:cs="Arial"/>
          <w:szCs w:val="22"/>
        </w:rPr>
        <w:t xml:space="preserve">-TC was then added into BL21(DE3) lysate-based reaction mixes with or without </w:t>
      </w:r>
      <w:r w:rsidRPr="00857C48">
        <w:rPr>
          <w:rFonts w:cs="Arial"/>
          <w:color w:val="000000" w:themeColor="text1"/>
          <w:szCs w:val="22"/>
        </w:rPr>
        <w:t xml:space="preserve">purified </w:t>
      </w:r>
      <w:proofErr w:type="spellStart"/>
      <w:r w:rsidRPr="00857C48">
        <w:rPr>
          <w:rFonts w:cs="Arial"/>
          <w:color w:val="000000" w:themeColor="text1"/>
          <w:szCs w:val="22"/>
        </w:rPr>
        <w:t>indigoidine</w:t>
      </w:r>
      <w:proofErr w:type="spellEnd"/>
      <w:r w:rsidRPr="00857C48">
        <w:rPr>
          <w:rFonts w:cs="Arial"/>
          <w:color w:val="000000" w:themeColor="text1"/>
          <w:szCs w:val="22"/>
        </w:rPr>
        <w:t>, demonstrating that the presence of pigment does dampen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emissions (</w:t>
      </w:r>
      <w:r w:rsidRPr="00857C48">
        <w:rPr>
          <w:rFonts w:cs="Arial"/>
          <w:b/>
          <w:bCs/>
          <w:color w:val="000000" w:themeColor="text1"/>
          <w:szCs w:val="22"/>
        </w:rPr>
        <w:t>Fig</w:t>
      </w:r>
      <w:r w:rsidR="00D60D4C">
        <w:rPr>
          <w:rFonts w:cs="Arial"/>
          <w:b/>
          <w:bCs/>
          <w:color w:val="000000" w:themeColor="text1"/>
          <w:szCs w:val="22"/>
        </w:rPr>
        <w:t>ure</w:t>
      </w:r>
      <w:r w:rsidRPr="00857C48">
        <w:rPr>
          <w:rFonts w:cs="Arial"/>
          <w:b/>
          <w:bCs/>
          <w:color w:val="000000" w:themeColor="text1"/>
          <w:szCs w:val="22"/>
        </w:rPr>
        <w:t xml:space="preserve"> </w:t>
      </w:r>
      <w:r w:rsidR="00D60D4C">
        <w:rPr>
          <w:rFonts w:cs="Arial"/>
          <w:b/>
          <w:bCs/>
          <w:color w:val="000000" w:themeColor="text1"/>
          <w:szCs w:val="22"/>
        </w:rPr>
        <w:t>5.</w:t>
      </w:r>
      <w:r w:rsidRPr="00857C48">
        <w:rPr>
          <w:rFonts w:cs="Arial"/>
          <w:b/>
          <w:bCs/>
          <w:color w:val="000000" w:themeColor="text1"/>
          <w:szCs w:val="22"/>
        </w:rPr>
        <w:t>2C</w:t>
      </w:r>
      <w:r w:rsidRPr="00857C48">
        <w:rPr>
          <w:rFonts w:cs="Arial"/>
          <w:color w:val="000000" w:themeColor="text1"/>
          <w:szCs w:val="22"/>
        </w:rPr>
        <w:t>). This quenching issue should thus be considered when pairing the fluorescence protein labeling method with the detection of other enzymatic products with optical properties. Moving forward, the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method is further optimized in lysates from the </w:t>
      </w:r>
      <w:r w:rsidRPr="00857C48">
        <w:rPr>
          <w:rFonts w:cs="Arial"/>
          <w:i/>
          <w:iCs/>
          <w:color w:val="000000" w:themeColor="text1"/>
          <w:szCs w:val="22"/>
        </w:rPr>
        <w:t xml:space="preserve">E. coli </w:t>
      </w:r>
      <w:r w:rsidRPr="00857C48">
        <w:rPr>
          <w:rFonts w:cs="Arial"/>
          <w:color w:val="000000" w:themeColor="text1"/>
          <w:szCs w:val="22"/>
        </w:rPr>
        <w:t xml:space="preserve">BL21(DE3) strain, which lack the </w:t>
      </w:r>
      <w:proofErr w:type="spellStart"/>
      <w:r w:rsidRPr="00857C48">
        <w:rPr>
          <w:rFonts w:cs="Arial"/>
          <w:color w:val="000000" w:themeColor="text1"/>
          <w:szCs w:val="22"/>
        </w:rPr>
        <w:t>PPTase</w:t>
      </w:r>
      <w:proofErr w:type="spellEnd"/>
      <w:r w:rsidRPr="00857C48">
        <w:rPr>
          <w:rFonts w:cs="Arial"/>
          <w:color w:val="000000" w:themeColor="text1"/>
          <w:szCs w:val="22"/>
        </w:rPr>
        <w:t xml:space="preserve"> and do not produce </w:t>
      </w:r>
      <w:r w:rsidRPr="00857C48">
        <w:rPr>
          <w:rFonts w:cs="Arial"/>
          <w:color w:val="000000" w:themeColor="text1"/>
          <w:szCs w:val="22"/>
        </w:rPr>
        <w:lastRenderedPageBreak/>
        <w:t xml:space="preserve">pigment after overnight </w:t>
      </w:r>
      <w:proofErr w:type="spellStart"/>
      <w:r w:rsidRPr="00857C48">
        <w:rPr>
          <w:rFonts w:cs="Arial"/>
          <w:color w:val="000000" w:themeColor="text1"/>
          <w:szCs w:val="22"/>
        </w:rPr>
        <w:t>BpsA</w:t>
      </w:r>
      <w:proofErr w:type="spellEnd"/>
      <w:r w:rsidRPr="00857C48">
        <w:rPr>
          <w:rFonts w:cs="Arial"/>
          <w:color w:val="000000" w:themeColor="text1"/>
          <w:szCs w:val="22"/>
        </w:rPr>
        <w:t>-TC expression (</w:t>
      </w:r>
      <w:r w:rsidRPr="00857C48">
        <w:rPr>
          <w:rFonts w:cs="Arial"/>
          <w:b/>
          <w:bCs/>
          <w:color w:val="000000" w:themeColor="text1"/>
          <w:szCs w:val="22"/>
        </w:rPr>
        <w:t>Fig</w:t>
      </w:r>
      <w:r w:rsidR="00D60D4C">
        <w:rPr>
          <w:rFonts w:cs="Arial"/>
          <w:b/>
          <w:bCs/>
          <w:color w:val="000000" w:themeColor="text1"/>
          <w:szCs w:val="22"/>
        </w:rPr>
        <w:t>ure</w:t>
      </w:r>
      <w:r w:rsidRPr="00857C48">
        <w:rPr>
          <w:rFonts w:cs="Arial"/>
          <w:b/>
          <w:bCs/>
          <w:color w:val="000000" w:themeColor="text1"/>
          <w:szCs w:val="22"/>
        </w:rPr>
        <w:t xml:space="preserve"> </w:t>
      </w:r>
      <w:r w:rsidR="00D60D4C">
        <w:rPr>
          <w:rFonts w:cs="Arial"/>
          <w:b/>
          <w:bCs/>
          <w:color w:val="000000" w:themeColor="text1"/>
          <w:szCs w:val="22"/>
        </w:rPr>
        <w:t>5.</w:t>
      </w:r>
      <w:r w:rsidRPr="00857C48">
        <w:rPr>
          <w:rFonts w:cs="Arial"/>
          <w:b/>
          <w:bCs/>
          <w:color w:val="000000" w:themeColor="text1"/>
          <w:szCs w:val="22"/>
        </w:rPr>
        <w:t>2D</w:t>
      </w:r>
      <w:r w:rsidRPr="00857C48">
        <w:rPr>
          <w:rFonts w:cs="Arial"/>
          <w:color w:val="000000" w:themeColor="text1"/>
          <w:szCs w:val="22"/>
        </w:rPr>
        <w:t xml:space="preserve">), and in its derivative BL21 Star(DE3) strain, which should similarly express the </w:t>
      </w:r>
      <w:r w:rsidRPr="00857C48">
        <w:rPr>
          <w:rFonts w:cs="Arial"/>
          <w:i/>
          <w:iCs/>
          <w:color w:val="000000" w:themeColor="text1"/>
          <w:szCs w:val="22"/>
        </w:rPr>
        <w:t>apo-</w:t>
      </w:r>
      <w:r w:rsidRPr="00857C48">
        <w:rPr>
          <w:rFonts w:cs="Arial"/>
          <w:color w:val="000000" w:themeColor="text1"/>
          <w:szCs w:val="22"/>
        </w:rPr>
        <w:t>form of the enzyme</w:t>
      </w:r>
      <w:r w:rsidRPr="00857C48">
        <w:rPr>
          <w:rFonts w:cs="Arial"/>
          <w:b/>
          <w:bCs/>
          <w:color w:val="000000" w:themeColor="text1"/>
          <w:szCs w:val="22"/>
        </w:rPr>
        <w:t xml:space="preserve">. </w:t>
      </w:r>
    </w:p>
    <w:p w14:paraId="1AD6CC5C" w14:textId="1C4D26AB" w:rsidR="00A90B05" w:rsidRPr="00A90B05" w:rsidRDefault="00A90B05" w:rsidP="00A90B05">
      <w:pPr>
        <w:ind w:firstLine="720"/>
        <w:rPr>
          <w:rFonts w:cs="Arial"/>
          <w:color w:val="000000" w:themeColor="text1"/>
          <w:szCs w:val="22"/>
        </w:rPr>
      </w:pPr>
      <w:r w:rsidRPr="00857C48">
        <w:rPr>
          <w:rFonts w:cs="Arial"/>
          <w:szCs w:val="22"/>
        </w:rPr>
        <w:t>To use TC/</w:t>
      </w:r>
      <w:proofErr w:type="spellStart"/>
      <w:r w:rsidRPr="00857C48">
        <w:rPr>
          <w:rFonts w:cs="Arial"/>
          <w:szCs w:val="22"/>
        </w:rPr>
        <w:t>FlAsH</w:t>
      </w:r>
      <w:proofErr w:type="spellEnd"/>
      <w:r w:rsidRPr="00857C48">
        <w:rPr>
          <w:rFonts w:cs="Arial"/>
          <w:szCs w:val="22"/>
        </w:rPr>
        <w:t xml:space="preserve"> signals for measuring</w:t>
      </w:r>
      <w:r w:rsidRPr="00857C48">
        <w:rPr>
          <w:rFonts w:cs="Arial"/>
          <w:color w:val="000000" w:themeColor="text1"/>
          <w:szCs w:val="22"/>
        </w:rPr>
        <w:t xml:space="preserve"> protein CFE in lysate reactions, an optimal concentration of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for detecting a range of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concentrations in </w:t>
      </w:r>
      <w:r w:rsidRPr="00857C48">
        <w:rPr>
          <w:rFonts w:cs="Arial"/>
          <w:i/>
          <w:iCs/>
          <w:color w:val="000000" w:themeColor="text1"/>
          <w:szCs w:val="22"/>
        </w:rPr>
        <w:t>E. coli</w:t>
      </w:r>
      <w:r w:rsidRPr="00857C48">
        <w:rPr>
          <w:rFonts w:cs="Arial"/>
          <w:color w:val="000000" w:themeColor="text1"/>
          <w:szCs w:val="22"/>
        </w:rPr>
        <w:t xml:space="preserve"> lysates should be established. To this end,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expressed and purified </w:t>
      </w:r>
      <w:r w:rsidRPr="00857C48">
        <w:rPr>
          <w:rFonts w:cs="Arial"/>
          <w:i/>
          <w:iCs/>
          <w:color w:val="000000" w:themeColor="text1"/>
          <w:szCs w:val="22"/>
        </w:rPr>
        <w:t xml:space="preserve">in vivo </w:t>
      </w:r>
      <w:r w:rsidRPr="00857C48">
        <w:rPr>
          <w:rFonts w:cs="Arial"/>
          <w:color w:val="000000" w:themeColor="text1"/>
          <w:szCs w:val="22"/>
        </w:rPr>
        <w:t>was used to generate standards for optimization of the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method (</w:t>
      </w:r>
      <w:r>
        <w:rPr>
          <w:rFonts w:cs="Arial"/>
          <w:b/>
          <w:bCs/>
          <w:color w:val="000000" w:themeColor="text1"/>
          <w:szCs w:val="22"/>
        </w:rPr>
        <w:t>Appendix Figure 5.</w:t>
      </w:r>
      <w:r w:rsidR="00BD523B">
        <w:rPr>
          <w:rFonts w:cs="Arial"/>
          <w:b/>
          <w:bCs/>
          <w:color w:val="000000" w:themeColor="text1"/>
          <w:szCs w:val="22"/>
        </w:rPr>
        <w:t>8</w:t>
      </w:r>
      <w:r w:rsidRPr="00857C48">
        <w:rPr>
          <w:rFonts w:cs="Arial"/>
          <w:color w:val="000000" w:themeColor="text1"/>
          <w:szCs w:val="22"/>
        </w:rPr>
        <w:t>)</w:t>
      </w:r>
      <w:r w:rsidRPr="00857C48">
        <w:rPr>
          <w:rFonts w:cs="Arial"/>
          <w:i/>
          <w:iCs/>
          <w:color w:val="000000" w:themeColor="text1"/>
          <w:szCs w:val="22"/>
        </w:rPr>
        <w:t xml:space="preserve">. </w:t>
      </w:r>
      <w:r w:rsidRPr="00857C48">
        <w:rPr>
          <w:rFonts w:cs="Arial"/>
          <w:color w:val="000000" w:themeColor="text1"/>
          <w:szCs w:val="22"/>
        </w:rPr>
        <w:t xml:space="preserve">Evidently, fluorescence signals for a range of protein concentrations (0 to 400 µg/mL) in BL21(DE3) lysates are most distinguishable with 30 µM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reagent compared against concentrations of 7.5 and 15 mM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seemingly because these lower concentrations are insufficient to overcome background noise from the lysate </w:t>
      </w:r>
      <w:r w:rsidRPr="00857C48">
        <w:rPr>
          <w:rFonts w:cs="Arial"/>
          <w:b/>
          <w:bCs/>
          <w:color w:val="000000" w:themeColor="text1"/>
          <w:szCs w:val="22"/>
        </w:rPr>
        <w:t>(Fig</w:t>
      </w:r>
      <w:r>
        <w:rPr>
          <w:rFonts w:cs="Arial"/>
          <w:b/>
          <w:bCs/>
          <w:color w:val="000000" w:themeColor="text1"/>
          <w:szCs w:val="22"/>
        </w:rPr>
        <w:t>ure</w:t>
      </w:r>
      <w:r w:rsidRPr="00857C48">
        <w:rPr>
          <w:rFonts w:cs="Arial"/>
          <w:b/>
          <w:bCs/>
          <w:color w:val="000000" w:themeColor="text1"/>
          <w:szCs w:val="22"/>
        </w:rPr>
        <w:t xml:space="preserve"> </w:t>
      </w:r>
      <w:r>
        <w:rPr>
          <w:rFonts w:cs="Arial"/>
          <w:b/>
          <w:bCs/>
          <w:color w:val="000000" w:themeColor="text1"/>
          <w:szCs w:val="22"/>
        </w:rPr>
        <w:t>5.</w:t>
      </w:r>
      <w:r w:rsidRPr="00857C48">
        <w:rPr>
          <w:rFonts w:cs="Arial"/>
          <w:b/>
          <w:bCs/>
          <w:color w:val="000000" w:themeColor="text1"/>
          <w:szCs w:val="22"/>
        </w:rPr>
        <w:t xml:space="preserve">2E, </w:t>
      </w:r>
      <w:r>
        <w:rPr>
          <w:rFonts w:cs="Arial"/>
          <w:b/>
          <w:bCs/>
          <w:color w:val="000000" w:themeColor="text1"/>
          <w:szCs w:val="22"/>
        </w:rPr>
        <w:t xml:space="preserve">Appendix </w:t>
      </w:r>
      <w:r w:rsidRPr="00857C48">
        <w:rPr>
          <w:rFonts w:cs="Arial"/>
          <w:b/>
          <w:bCs/>
          <w:color w:val="000000" w:themeColor="text1"/>
          <w:szCs w:val="22"/>
        </w:rPr>
        <w:t>Fig</w:t>
      </w:r>
      <w:r>
        <w:rPr>
          <w:rFonts w:cs="Arial"/>
          <w:b/>
          <w:bCs/>
          <w:color w:val="000000" w:themeColor="text1"/>
          <w:szCs w:val="22"/>
        </w:rPr>
        <w:t>ure 5.</w:t>
      </w:r>
      <w:r w:rsidR="00BD523B">
        <w:rPr>
          <w:rFonts w:cs="Arial"/>
          <w:b/>
          <w:bCs/>
          <w:color w:val="000000" w:themeColor="text1"/>
          <w:szCs w:val="22"/>
        </w:rPr>
        <w:t>9</w:t>
      </w:r>
      <w:r w:rsidRPr="00857C48">
        <w:rPr>
          <w:rFonts w:cs="Arial"/>
          <w:b/>
          <w:bCs/>
          <w:color w:val="000000" w:themeColor="text1"/>
          <w:szCs w:val="22"/>
        </w:rPr>
        <w:t>)</w:t>
      </w:r>
      <w:r w:rsidRPr="00857C48">
        <w:rPr>
          <w:rFonts w:cs="Arial"/>
          <w:color w:val="000000" w:themeColor="text1"/>
          <w:szCs w:val="22"/>
        </w:rPr>
        <w:t xml:space="preserve">. 30 µM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is similarly useful in BL21 Star(DE3) lysate reactions (</w:t>
      </w:r>
      <w:r w:rsidRPr="00857C48">
        <w:rPr>
          <w:rFonts w:cs="Arial"/>
          <w:b/>
          <w:bCs/>
          <w:color w:val="000000" w:themeColor="text1"/>
          <w:szCs w:val="22"/>
        </w:rPr>
        <w:t>Fig</w:t>
      </w:r>
      <w:r>
        <w:rPr>
          <w:rFonts w:cs="Arial"/>
          <w:b/>
          <w:bCs/>
          <w:color w:val="000000" w:themeColor="text1"/>
          <w:szCs w:val="22"/>
        </w:rPr>
        <w:t>ure</w:t>
      </w:r>
      <w:r w:rsidRPr="00857C48">
        <w:rPr>
          <w:rFonts w:cs="Arial"/>
          <w:b/>
          <w:bCs/>
          <w:color w:val="000000" w:themeColor="text1"/>
          <w:szCs w:val="22"/>
        </w:rPr>
        <w:t xml:space="preserve"> </w:t>
      </w:r>
      <w:r>
        <w:rPr>
          <w:rFonts w:cs="Arial"/>
          <w:b/>
          <w:bCs/>
          <w:color w:val="000000" w:themeColor="text1"/>
          <w:szCs w:val="22"/>
        </w:rPr>
        <w:t>5.</w:t>
      </w:r>
      <w:r w:rsidRPr="00857C48">
        <w:rPr>
          <w:rFonts w:cs="Arial"/>
          <w:b/>
          <w:bCs/>
          <w:color w:val="000000" w:themeColor="text1"/>
          <w:szCs w:val="22"/>
        </w:rPr>
        <w:t>2F</w:t>
      </w:r>
      <w:r w:rsidRPr="00857C48">
        <w:rPr>
          <w:rFonts w:cs="Arial"/>
          <w:color w:val="000000" w:themeColor="text1"/>
          <w:szCs w:val="22"/>
        </w:rPr>
        <w:t>). Thus,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measurements can be obtained when either lysate is used as an expression platform for </w:t>
      </w:r>
      <w:proofErr w:type="spellStart"/>
      <w:r w:rsidRPr="00857C48">
        <w:rPr>
          <w:rFonts w:cs="Arial"/>
          <w:color w:val="000000" w:themeColor="text1"/>
          <w:szCs w:val="22"/>
        </w:rPr>
        <w:t>BpsA</w:t>
      </w:r>
      <w:proofErr w:type="spellEnd"/>
      <w:r w:rsidRPr="00857C48">
        <w:rPr>
          <w:rFonts w:cs="Arial"/>
          <w:color w:val="000000" w:themeColor="text1"/>
          <w:szCs w:val="22"/>
        </w:rPr>
        <w:t xml:space="preserve">. However, </w:t>
      </w:r>
      <w:proofErr w:type="spellStart"/>
      <w:r w:rsidRPr="00857C48">
        <w:rPr>
          <w:rFonts w:cs="Arial"/>
          <w:color w:val="000000" w:themeColor="text1"/>
          <w:szCs w:val="22"/>
        </w:rPr>
        <w:t>BpsA</w:t>
      </w:r>
      <w:proofErr w:type="spellEnd"/>
      <w:r w:rsidRPr="00857C48">
        <w:rPr>
          <w:rFonts w:cs="Arial"/>
          <w:color w:val="000000" w:themeColor="text1"/>
          <w:szCs w:val="22"/>
        </w:rPr>
        <w:t>-TC can be best validated via SDS-PAGE when expressed in BL21 Star(DE3) lysate reactions incubated at 25 ˚C (</w:t>
      </w:r>
      <w:r>
        <w:rPr>
          <w:rFonts w:cs="Arial"/>
          <w:b/>
          <w:bCs/>
          <w:color w:val="000000" w:themeColor="text1"/>
          <w:szCs w:val="22"/>
        </w:rPr>
        <w:t>Appendix Figure</w:t>
      </w:r>
      <w:r w:rsidRPr="00857C48">
        <w:rPr>
          <w:rFonts w:cs="Arial"/>
          <w:b/>
          <w:bCs/>
          <w:color w:val="000000" w:themeColor="text1"/>
          <w:szCs w:val="22"/>
        </w:rPr>
        <w:t xml:space="preserve"> </w:t>
      </w:r>
      <w:r>
        <w:rPr>
          <w:rFonts w:cs="Arial"/>
          <w:b/>
          <w:bCs/>
          <w:color w:val="000000" w:themeColor="text1"/>
          <w:szCs w:val="22"/>
        </w:rPr>
        <w:t>5.1</w:t>
      </w:r>
      <w:r w:rsidR="00BD523B">
        <w:rPr>
          <w:rFonts w:cs="Arial"/>
          <w:b/>
          <w:bCs/>
          <w:color w:val="000000" w:themeColor="text1"/>
          <w:szCs w:val="22"/>
        </w:rPr>
        <w:t>1</w:t>
      </w:r>
      <w:r w:rsidRPr="00857C48">
        <w:rPr>
          <w:rFonts w:cs="Arial"/>
          <w:color w:val="000000" w:themeColor="text1"/>
          <w:szCs w:val="22"/>
        </w:rPr>
        <w:t>). Since SDS-PAGE can serve as an orthogonal method for validating correlations of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signal trends to protein CFE, succeeding reactions were performed in these lysates at this temperature. </w:t>
      </w:r>
    </w:p>
    <w:p w14:paraId="322C6400" w14:textId="0729A84F" w:rsidR="00A90B05" w:rsidRDefault="00A90B05" w:rsidP="00A90B05">
      <w:pPr>
        <w:ind w:firstLine="720"/>
        <w:rPr>
          <w:rFonts w:cs="Arial"/>
          <w:color w:val="000000" w:themeColor="text1"/>
          <w:szCs w:val="22"/>
        </w:rPr>
      </w:pPr>
      <w:r w:rsidRPr="00857C48">
        <w:rPr>
          <w:rFonts w:cs="Arial"/>
          <w:color w:val="000000" w:themeColor="text1"/>
          <w:szCs w:val="22"/>
        </w:rPr>
        <w:t xml:space="preserve">Having established parameters for detecting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in lysates using </w:t>
      </w:r>
      <w:proofErr w:type="spellStart"/>
      <w:r w:rsidRPr="00857C48">
        <w:rPr>
          <w:rFonts w:cs="Arial"/>
          <w:color w:val="000000" w:themeColor="text1"/>
          <w:szCs w:val="22"/>
        </w:rPr>
        <w:t>FlAsH</w:t>
      </w:r>
      <w:proofErr w:type="spellEnd"/>
      <w:r w:rsidRPr="00857C48">
        <w:rPr>
          <w:rFonts w:cs="Arial"/>
          <w:color w:val="000000" w:themeColor="text1"/>
          <w:szCs w:val="22"/>
        </w:rPr>
        <w:t>-based and orthogonal SDS-PAGE methods, the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complex’s utility for measuring NRPS CFE under different reaction conditions could be evaluated. The large sizes, complex structures, catalytically active domains, and precursor (i.e., amino acids) and cofactor requirements (i.e., magnesium and ATP for adenylation) of NRPSs could constrain TX/TL processes and therefore their full-length synthesis, but evidence of such limitations and methods for probing these with high throughput have not been reported</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{"citationItems":[{"id":"ITEM-1","itemData":{"DOI":"10.1021/ACS.ANALCHEM.7B02555/SUPPL_FILE/AC7B02555_SI_003.XLSX","ISSN":"15206882","PMID":"29039646","abstract":"Cell-free protein synthesis (CFPS) has the potential to produce enzymes, therapeutic agents, and other proteins, while circumventing difficulties associated with in vivo heterologous expression. However, the contents of the cell-free extracts used to carry out synthesis are generally not characterized, which hampers progress toward enhancing yield or functional activity of the target protein. We explored the utility of mass spectrometry (MS)-based proteomics for characterizing the bacterial extracts used for transcribing and translating gene sequences into proteins as well as the products of CFPS reactions. Full proteome experiments identified over 1000 proteins per reaction. The complete set of proteins necessary for transcription and translation were found, demonstrating the ability to define potential metabolic capabilities of the extract. Further, MS-based techniques allowed characterization of the CFPS product and provided insight into the synthesis reaction and potential functional activity of the product. These capabilities were demonstrated using two different CFPS products, the commonly used standard green fluorescent protein (GFP, 27 kDa) and the polyketide synthase DEBS1 (394 kDa). For the large, multidomain DEBS1, substantial premature termination of protein translation was observed. Additionally, MS/MS analysis, as part of a conventional full proteomics workflow, identified post-translational modifications, including the chromophore in GFP, as well as the three phosphopantetheinylation sites in DEBS1. A hypothesis-driven approach focused on these three sites identified that all were correctly modified for DEBS1 expressed in vivo but with less complete coverage for protein expressed in CFPS reactions. These post-translational modifications are essential for functional activity, and the ability to identify them with mass spectrometry is valuable for judging the success of the CFPS reaction. Collectively, the use of MS-based proteomics will prove advantageous for advancing the application of CFPS and related techniques.","author":[{"dropping-particle":"","family":"Hurst","given":"Gregory B.","non-dropping-particle":"","parse-names":false,"suffix":""},{"dropping-particle":"","family":"Asano","given":"Keiji G.","non-dropping-particle":"","parse-names":false,"suffix":""},{"dropping-particle":"","family":"Doktycz","given":"Charles J.","non-dropping-particle":"","parse-names":false,"suffix":""},{"dropping-particle":"","family":"Consoli","given":"Elliot J.","non-dropping-particle":"","parse-names":false,"suffix":""},{"dropping-particle":"","family":"Doktycz","given":"William L.","non-dropping-particle":"","parse-names":false,"suffix":""},{"dropping-particle":"","family":"Foster","given":"Carmen M.","non-dropping-particle":"","parse-names":false,"suffix":""},{"dropping-particle":"","family":"Morrell-Falvey","given":"Jennifer L.","non-dropping-particle":"","parse-names":false,"suffix":""},{"dropping-particle":"","family":"Standaert","given":"Robert F.","non-dropping-particle":"","parse-names":false,"suffix":""},{"dropping-particle":"","family":"Doktycz","given":"Mitchel J.","non-dropping-particle":"","parse-names":false,"suffix":""}],"container-title":"Analytical Chemistry","id":"ITEM-1","issue":"21","issued":{"date-parts":[["2017","11","7"]]},"page":"11443-11451","publisher":"American Chemical Society","title":"Proteomics-Based Tools for Evaluation of Cell-Free Protein Synthesis","type":"article-journal","volume":"89"},"uris":["http://www.mendeley.com/documents/?uuid=1a092bfc-64ef-3ac6-a827-3d0fe37304d5"]}],"mendeley":{"formattedCitation":"&lt;sup&gt;212&lt;/sup&gt;","plainTextFormattedCitation":"212","previouslyFormattedCitation":"&lt;sup&gt;212&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212</w:t>
      </w:r>
      <w:r w:rsidRPr="00857C48">
        <w:rPr>
          <w:rFonts w:cs="Arial"/>
          <w:color w:val="000000" w:themeColor="text1"/>
          <w:szCs w:val="22"/>
        </w:rPr>
        <w:fldChar w:fldCharType="end"/>
      </w:r>
      <w:r>
        <w:rPr>
          <w:rFonts w:cs="Arial"/>
          <w:color w:val="000000" w:themeColor="text1"/>
          <w:szCs w:val="22"/>
        </w:rPr>
        <w:t>.</w:t>
      </w:r>
      <w:r w:rsidRPr="00857C48">
        <w:rPr>
          <w:rFonts w:cs="Arial"/>
          <w:color w:val="000000" w:themeColor="text1"/>
          <w:szCs w:val="22"/>
        </w:rPr>
        <w:t xml:space="preserve"> To address this, the ability of the optimized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detection protocol to interrogate NRPS CFE is assessed using </w:t>
      </w:r>
      <w:proofErr w:type="spellStart"/>
      <w:r w:rsidRPr="00857C48">
        <w:rPr>
          <w:rFonts w:cs="Arial"/>
          <w:color w:val="000000" w:themeColor="text1"/>
          <w:szCs w:val="22"/>
        </w:rPr>
        <w:t>BpsA</w:t>
      </w:r>
      <w:proofErr w:type="spellEnd"/>
      <w:r w:rsidRPr="00857C48">
        <w:rPr>
          <w:rFonts w:cs="Arial"/>
          <w:color w:val="000000" w:themeColor="text1"/>
          <w:szCs w:val="22"/>
        </w:rPr>
        <w:t xml:space="preserve"> with an active A domain (a core component of NRPSs) as a model</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{"citationItems":[{"id":"ITEM-1","itemData":{"DOI":"10.1007/978-1-4939-3375-4_1","ISSN":"10643745","PMID":"26831698","abstract":"The nonribosomal peptide synthetases are modular enzymes that catalyze synthesis of important peptide products from a variety of standard and non-proteinogenic amino acid substrates. Within a single module are multiple catalytic domains that are responsible for incorporation of a single residue. After the amino acid is activated and covalently attached to an integrated carrier protein domain, the substrates and intermediates are delivered to neighboring catalytic domains for peptide bond formation or, in some modules, chemical modifi cation. In the fi nal module, the peptide is delivered to a terminal thioesterase domain that catalyzes release of the peptide product. This multi-domain modular architecture raises questions about the structural features that enable this assembly line synthesis in an effi cient manner. The structures of the core component domains have been determined and demonstrate insights into the catalytic activity. More recently, multi-domain structures have been determined and are providing clues to the features of these enzyme systems that govern the functional interaction between multiple domains. This chapter describes the structures of NRPS proteins and the strategies that are being used to assist structural studies of these dynamic proteins, including careful consideration of domain boundaries for generation of truncated proteins and the use of mechanism-based inhibitors that trap interactions between the catalytic and carrier protein domains.","author":[{"dropping-particle":"","family":"Miller","given":"Bradley R.","non-dropping-particle":"","parse-names":false,"suffix":""},{"dropping-particle":"","family":"Gulick","given":"Andrew M.","non-dropping-particle":"","parse-names":false,"suffix":""}],"container-title":"Methods in Molecular Biology","id":"ITEM-1","issued":{"date-parts":[["2016"]]},"page":"3-29","publisher":"Humana Press, New York, NY","title":"Structural Biology of Nonribosomal Peptide Synthetases","type":"article-journal","volume":"1401"},"uris":["http://www.mendeley.com/documents/?uuid=ee2e0b4b-e117-3ff4-adab-95214d8b0fb9"]}],"mendeley":{"formattedCitation":"&lt;sup&gt;190&lt;/sup&gt;","plainTextFormattedCitation":"190","previouslyFormattedCitation":"&lt;sup&gt;190&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190</w:t>
      </w:r>
      <w:r w:rsidRPr="00857C48">
        <w:rPr>
          <w:rFonts w:cs="Arial"/>
          <w:color w:val="000000" w:themeColor="text1"/>
          <w:szCs w:val="22"/>
        </w:rPr>
        <w:fldChar w:fldCharType="end"/>
      </w:r>
      <w:r>
        <w:rPr>
          <w:rFonts w:cs="Arial"/>
          <w:color w:val="000000" w:themeColor="text1"/>
          <w:szCs w:val="22"/>
        </w:rPr>
        <w:t>.</w:t>
      </w:r>
      <w:r w:rsidRPr="00857C48">
        <w:rPr>
          <w:rFonts w:cs="Arial"/>
          <w:color w:val="000000" w:themeColor="text1"/>
          <w:szCs w:val="22"/>
        </w:rPr>
        <w:t xml:space="preserve"> This strategy is specifically applied here to determine whether resource competition problems exist for three crucial CFE reaction components that are</w:t>
      </w:r>
    </w:p>
    <w:p w14:paraId="7FBE2194" w14:textId="6137B775" w:rsidR="00A90B05" w:rsidRPr="00A90B05" w:rsidRDefault="00A90B05" w:rsidP="00A90B05">
      <w:pPr>
        <w:rPr>
          <w:rFonts w:cs="Arial"/>
          <w:color w:val="000000" w:themeColor="text1"/>
          <w:szCs w:val="22"/>
        </w:rPr>
      </w:pPr>
      <w:bookmarkStart w:id="134" w:name="_Toc129701168"/>
      <w:r w:rsidRPr="00F256F4">
        <w:rPr>
          <w:rStyle w:val="FigurecaptionChar"/>
        </w:rPr>
        <w:lastRenderedPageBreak/>
        <w:t xml:space="preserve">Figure </w:t>
      </w:r>
      <w:r w:rsidR="00F256F4">
        <w:rPr>
          <w:rStyle w:val="FigurecaptionChar"/>
        </w:rPr>
        <w:t>5.</w:t>
      </w:r>
      <w:r w:rsidRPr="00F256F4">
        <w:rPr>
          <w:rStyle w:val="FigurecaptionChar"/>
        </w:rPr>
        <w:t>2. Optimization of TC/</w:t>
      </w:r>
      <w:proofErr w:type="spellStart"/>
      <w:r w:rsidRPr="00F256F4">
        <w:rPr>
          <w:rStyle w:val="FigurecaptionChar"/>
        </w:rPr>
        <w:t>FlAsH</w:t>
      </w:r>
      <w:proofErr w:type="spellEnd"/>
      <w:r w:rsidRPr="00F256F4">
        <w:rPr>
          <w:rStyle w:val="FigurecaptionChar"/>
        </w:rPr>
        <w:t xml:space="preserve"> complex measurements in E. coli lysate-based CFE reactions.</w:t>
      </w:r>
      <w:bookmarkEnd w:id="134"/>
      <w:r w:rsidRPr="00857C48">
        <w:rPr>
          <w:rFonts w:cs="Arial"/>
          <w:b/>
          <w:bCs/>
          <w:color w:val="000000" w:themeColor="text1"/>
          <w:szCs w:val="22"/>
        </w:rPr>
        <w:t xml:space="preserve"> A)</w:t>
      </w:r>
      <w:r w:rsidRPr="00857C48">
        <w:rPr>
          <w:rFonts w:cs="Arial"/>
          <w:color w:val="000000" w:themeColor="text1"/>
          <w:szCs w:val="22"/>
        </w:rPr>
        <w:t xml:space="preserve"> Analysis of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vs </w:t>
      </w:r>
      <w:proofErr w:type="spellStart"/>
      <w:r w:rsidRPr="00857C48">
        <w:rPr>
          <w:rFonts w:cs="Arial"/>
          <w:color w:val="000000" w:themeColor="text1"/>
          <w:szCs w:val="22"/>
        </w:rPr>
        <w:t>ReAsH</w:t>
      </w:r>
      <w:proofErr w:type="spellEnd"/>
      <w:r w:rsidRPr="00857C48">
        <w:rPr>
          <w:rFonts w:cs="Arial"/>
          <w:color w:val="000000" w:themeColor="text1"/>
          <w:szCs w:val="22"/>
        </w:rPr>
        <w:t xml:space="preserve"> utility for measuring purified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spiked into BAP1 lysates containing 1 mM CoA. 15 µM of each </w:t>
      </w:r>
      <w:proofErr w:type="spellStart"/>
      <w:r w:rsidRPr="00857C48">
        <w:rPr>
          <w:rFonts w:cs="Arial"/>
          <w:color w:val="000000" w:themeColor="text1"/>
          <w:szCs w:val="22"/>
        </w:rPr>
        <w:t>organoarsenic</w:t>
      </w:r>
      <w:proofErr w:type="spellEnd"/>
      <w:r w:rsidRPr="00857C48">
        <w:rPr>
          <w:rFonts w:cs="Arial"/>
          <w:color w:val="000000" w:themeColor="text1"/>
          <w:szCs w:val="22"/>
        </w:rPr>
        <w:t xml:space="preserve"> reagent was added to overnight reactions started with pET28a(+)-</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and their corresponding controls. Fluorescence measurements were taken every 5 minutes for 1 h and signals from reactions with cell-free expressed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were normalized to controls. </w:t>
      </w:r>
      <w:r w:rsidRPr="00857C48">
        <w:rPr>
          <w:rFonts w:cs="Arial"/>
          <w:b/>
          <w:bCs/>
          <w:color w:val="000000" w:themeColor="text1"/>
          <w:szCs w:val="22"/>
        </w:rPr>
        <w:t>B)</w:t>
      </w:r>
      <w:r w:rsidRPr="00857C48">
        <w:rPr>
          <w:rFonts w:cs="Arial"/>
          <w:color w:val="000000" w:themeColor="text1"/>
          <w:szCs w:val="22"/>
        </w:rPr>
        <w:t xml:space="preserve"> End-point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measurements in BAP1 lysate-based reactions incubated overnight with 1 mM CoA and increasing amounts of starting pET28a(+)-</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DNA concentrations. Values are normalized RFUs taken after 10 min of reaction incubation with 15 µM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w:t>
      </w:r>
      <w:r w:rsidRPr="00857C48">
        <w:rPr>
          <w:rFonts w:cs="Arial"/>
          <w:b/>
          <w:bCs/>
          <w:color w:val="000000" w:themeColor="text1"/>
          <w:szCs w:val="22"/>
        </w:rPr>
        <w:t>C)</w:t>
      </w:r>
      <w:r w:rsidRPr="00857C48">
        <w:rPr>
          <w:rFonts w:cs="Arial"/>
          <w:color w:val="000000" w:themeColor="text1"/>
          <w:szCs w:val="22"/>
        </w:rPr>
        <w:t xml:space="preserve"> Signal interference due to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fluorescence quenching by </w:t>
      </w:r>
      <w:proofErr w:type="spellStart"/>
      <w:r w:rsidRPr="00857C48">
        <w:rPr>
          <w:rFonts w:cs="Arial"/>
          <w:color w:val="000000" w:themeColor="text1"/>
          <w:szCs w:val="22"/>
        </w:rPr>
        <w:t>indigoidine</w:t>
      </w:r>
      <w:proofErr w:type="spellEnd"/>
      <w:r w:rsidRPr="00857C48">
        <w:rPr>
          <w:rFonts w:cs="Arial"/>
          <w:color w:val="000000" w:themeColor="text1"/>
          <w:szCs w:val="22"/>
        </w:rPr>
        <w:t>.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fluorescence measurements of purified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protein (100 µg/mL) in mock lysate reaction mixes with or without 200 µg/mL </w:t>
      </w:r>
      <w:proofErr w:type="spellStart"/>
      <w:r w:rsidRPr="00857C48">
        <w:rPr>
          <w:rFonts w:cs="Arial"/>
          <w:color w:val="000000" w:themeColor="text1"/>
          <w:szCs w:val="22"/>
        </w:rPr>
        <w:t>indigoidine</w:t>
      </w:r>
      <w:proofErr w:type="spellEnd"/>
      <w:r w:rsidRPr="00857C48">
        <w:rPr>
          <w:rFonts w:cs="Arial"/>
          <w:color w:val="000000" w:themeColor="text1"/>
          <w:szCs w:val="22"/>
        </w:rPr>
        <w:t xml:space="preserve">. RFUs were taken after 10 min reaction incubation with 15 µM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and normalized to respective no protein controls. </w:t>
      </w:r>
      <w:r w:rsidRPr="00857C48">
        <w:rPr>
          <w:rFonts w:cs="Arial"/>
          <w:b/>
          <w:bCs/>
          <w:color w:val="000000" w:themeColor="text1"/>
          <w:szCs w:val="22"/>
        </w:rPr>
        <w:t>D)</w:t>
      </w:r>
      <w:r w:rsidRPr="00857C48">
        <w:rPr>
          <w:rFonts w:cs="Arial"/>
          <w:color w:val="000000" w:themeColor="text1"/>
          <w:szCs w:val="22"/>
        </w:rPr>
        <w:t xml:space="preserve"> Absorbance measurements of </w:t>
      </w:r>
      <w:proofErr w:type="spellStart"/>
      <w:r w:rsidRPr="00857C48">
        <w:rPr>
          <w:rFonts w:cs="Arial"/>
          <w:color w:val="000000" w:themeColor="text1"/>
          <w:szCs w:val="22"/>
        </w:rPr>
        <w:t>indigoidine</w:t>
      </w:r>
      <w:proofErr w:type="spellEnd"/>
      <w:r w:rsidRPr="00857C48">
        <w:rPr>
          <w:rFonts w:cs="Arial"/>
          <w:color w:val="000000" w:themeColor="text1"/>
          <w:szCs w:val="22"/>
        </w:rPr>
        <w:t xml:space="preserve"> in BAP1 and BL21(DE3) lysate-based reactions after overnight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expression, normalized to appropriate controls without DNA template. </w:t>
      </w:r>
      <w:r w:rsidRPr="00857C48">
        <w:rPr>
          <w:rFonts w:cs="Arial"/>
          <w:b/>
          <w:bCs/>
          <w:color w:val="000000" w:themeColor="text1"/>
          <w:szCs w:val="22"/>
        </w:rPr>
        <w:t xml:space="preserve">E, F) </w:t>
      </w:r>
      <w:r w:rsidRPr="00857C48">
        <w:rPr>
          <w:rFonts w:cs="Arial"/>
          <w:color w:val="000000" w:themeColor="text1"/>
          <w:szCs w:val="22"/>
        </w:rPr>
        <w:t>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fluorescence standard curves generated by adding 30 µM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to </w:t>
      </w:r>
      <w:r w:rsidRPr="00857C48">
        <w:rPr>
          <w:rFonts w:cs="Arial"/>
          <w:i/>
          <w:iCs/>
          <w:color w:val="000000" w:themeColor="text1"/>
          <w:szCs w:val="22"/>
        </w:rPr>
        <w:t xml:space="preserve">E. coli </w:t>
      </w:r>
      <w:r w:rsidRPr="00857C48">
        <w:rPr>
          <w:rFonts w:cs="Arial"/>
          <w:b/>
          <w:bCs/>
          <w:color w:val="000000" w:themeColor="text1"/>
          <w:szCs w:val="22"/>
        </w:rPr>
        <w:t>E)</w:t>
      </w:r>
      <w:r w:rsidRPr="00857C48">
        <w:rPr>
          <w:rFonts w:cs="Arial"/>
          <w:color w:val="000000" w:themeColor="text1"/>
          <w:szCs w:val="22"/>
        </w:rPr>
        <w:t xml:space="preserve"> BL21(DE3) and </w:t>
      </w:r>
      <w:r w:rsidRPr="00857C48">
        <w:rPr>
          <w:rFonts w:cs="Arial"/>
          <w:b/>
          <w:bCs/>
          <w:color w:val="000000" w:themeColor="text1"/>
          <w:szCs w:val="22"/>
        </w:rPr>
        <w:t xml:space="preserve">F) </w:t>
      </w:r>
      <w:r w:rsidRPr="00857C48">
        <w:rPr>
          <w:rFonts w:cs="Arial"/>
          <w:color w:val="000000" w:themeColor="text1"/>
          <w:szCs w:val="22"/>
        </w:rPr>
        <w:t xml:space="preserve">BL21 Star (DE3) lysate reaction backgrounds carrying purified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standards. The dotted line in each graph represents the least squares regression. Reactions were run in triplicate. For all graphs, averaged normalized values are visualized with error bars representing the standard error of the mean (n=3). </w:t>
      </w:r>
    </w:p>
    <w:p w14:paraId="1F6D49AB" w14:textId="3EAFF7B1" w:rsidR="00A90B05" w:rsidRDefault="00A90B05">
      <w:pPr>
        <w:rPr>
          <w:rFonts w:cs="Arial"/>
          <w:b/>
          <w:bCs/>
          <w:color w:val="000000" w:themeColor="text1"/>
          <w:szCs w:val="22"/>
        </w:rPr>
      </w:pPr>
    </w:p>
    <w:p w14:paraId="51C3367F" w14:textId="1C205518" w:rsidR="00857C48" w:rsidRPr="00857C48" w:rsidRDefault="00857C48" w:rsidP="00D60D4C">
      <w:pPr>
        <w:jc w:val="center"/>
        <w:rPr>
          <w:rFonts w:cs="Arial"/>
          <w:b/>
          <w:bCs/>
          <w:color w:val="000000" w:themeColor="text1"/>
          <w:szCs w:val="22"/>
        </w:rPr>
      </w:pPr>
      <w:r w:rsidRPr="00857C48">
        <w:rPr>
          <w:rFonts w:cs="Arial"/>
          <w:b/>
          <w:bCs/>
          <w:noProof/>
          <w:color w:val="000000" w:themeColor="text1"/>
          <w:szCs w:val="22"/>
        </w:rPr>
        <w:lastRenderedPageBreak/>
        <w:drawing>
          <wp:inline distT="0" distB="0" distL="0" distR="0" wp14:anchorId="314DFEC4" wp14:editId="470B03F3">
            <wp:extent cx="5724056" cy="5943600"/>
            <wp:effectExtent l="0" t="0" r="0" b="0"/>
            <wp:docPr id="61" name="Picture 6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45" cstate="screen">
                      <a:extLst>
                        <a:ext uri="{28A0092B-C50C-407E-A947-70E740481C1C}">
                          <a14:useLocalDpi xmlns:a14="http://schemas.microsoft.com/office/drawing/2010/main"/>
                        </a:ext>
                      </a:extLst>
                    </a:blip>
                    <a:stretch>
                      <a:fillRect/>
                    </a:stretch>
                  </pic:blipFill>
                  <pic:spPr>
                    <a:xfrm>
                      <a:off x="0" y="0"/>
                      <a:ext cx="5796343" cy="6018660"/>
                    </a:xfrm>
                    <a:prstGeom prst="rect">
                      <a:avLst/>
                    </a:prstGeom>
                  </pic:spPr>
                </pic:pic>
              </a:graphicData>
            </a:graphic>
          </wp:inline>
        </w:drawing>
      </w:r>
    </w:p>
    <w:p w14:paraId="4D30A167" w14:textId="6C0510EA" w:rsidR="00857C48" w:rsidRDefault="00857C48" w:rsidP="00D60D4C">
      <w:pPr>
        <w:rPr>
          <w:rFonts w:cs="Arial"/>
          <w:szCs w:val="22"/>
        </w:rPr>
      </w:pPr>
    </w:p>
    <w:p w14:paraId="1966D4B3" w14:textId="18FA9BE4" w:rsidR="00A90B05" w:rsidRDefault="00A90B05">
      <w:pPr>
        <w:rPr>
          <w:rFonts w:cs="Arial"/>
          <w:szCs w:val="22"/>
        </w:rPr>
      </w:pPr>
      <w:r>
        <w:rPr>
          <w:rFonts w:cs="Arial"/>
          <w:szCs w:val="22"/>
        </w:rPr>
        <w:br w:type="page"/>
      </w:r>
    </w:p>
    <w:p w14:paraId="613B2A88" w14:textId="34864844" w:rsidR="00A90B05" w:rsidRPr="00A90B05" w:rsidRDefault="00A90B05" w:rsidP="00D60D4C">
      <w:pPr>
        <w:rPr>
          <w:rFonts w:cs="Arial"/>
          <w:color w:val="000000" w:themeColor="text1"/>
          <w:szCs w:val="22"/>
        </w:rPr>
      </w:pPr>
      <w:r w:rsidRPr="00857C48">
        <w:rPr>
          <w:rFonts w:cs="Arial"/>
          <w:color w:val="000000" w:themeColor="text1"/>
          <w:szCs w:val="22"/>
        </w:rPr>
        <w:lastRenderedPageBreak/>
        <w:t>known to energize TX/TL and background lysate metabolism, but could also feed into the typical NRPS A domains—PEP, magnesium, and amino acids. However, a potential caveat of the current fluorescence labeling method is the influence of the physicochemical environment on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complex formation. Indeed, drastically changing the composition of reactions by removing all or one of these three components affects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signals (</w:t>
      </w:r>
      <w:r>
        <w:rPr>
          <w:rFonts w:cs="Arial"/>
          <w:b/>
          <w:bCs/>
          <w:color w:val="000000" w:themeColor="text1"/>
          <w:szCs w:val="22"/>
        </w:rPr>
        <w:t>Appendix Figure 5.1</w:t>
      </w:r>
      <w:r w:rsidR="00BD523B">
        <w:rPr>
          <w:rFonts w:cs="Arial"/>
          <w:b/>
          <w:bCs/>
          <w:color w:val="000000" w:themeColor="text1"/>
          <w:szCs w:val="22"/>
        </w:rPr>
        <w:t>1</w:t>
      </w:r>
      <w:r w:rsidRPr="00857C48">
        <w:rPr>
          <w:rFonts w:cs="Arial"/>
          <w:color w:val="000000" w:themeColor="text1"/>
          <w:szCs w:val="22"/>
        </w:rPr>
        <w:t xml:space="preserve">). A possible explanation for this is that altering the ionic strength (by removing magnesium) and pH (by removing amino acids or PEP) of the system impacts binding of fluorophore’s arsenic groups to the tag’s cysteine groups. For this reason, the effect of each reagent on </w:t>
      </w:r>
      <w:proofErr w:type="spellStart"/>
      <w:r w:rsidRPr="00857C48">
        <w:rPr>
          <w:rFonts w:cs="Arial"/>
          <w:color w:val="000000" w:themeColor="text1"/>
          <w:szCs w:val="22"/>
        </w:rPr>
        <w:t>BpsA</w:t>
      </w:r>
      <w:proofErr w:type="spellEnd"/>
      <w:r w:rsidRPr="00857C48">
        <w:rPr>
          <w:rFonts w:cs="Arial"/>
          <w:color w:val="000000" w:themeColor="text1"/>
          <w:szCs w:val="22"/>
        </w:rPr>
        <w:t>-TC CFE was evaluated separately and optimized sequentially. SDS-PAGE gels were crucial for validating a testable range of reaction concentrations wherein trends in fluorescence measurements correlate with TC-tagged protein. The results show that despite the method’s caveats, expression trends can be determined from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measurements for the reported ranges of reagent concentrations that are still relevant to lysate-based CFE. </w:t>
      </w:r>
    </w:p>
    <w:p w14:paraId="2AD86A27" w14:textId="77777777" w:rsidR="00857C48" w:rsidRPr="00857C48" w:rsidRDefault="00857C48" w:rsidP="00D60D4C">
      <w:pPr>
        <w:rPr>
          <w:rFonts w:cs="Arial"/>
          <w:b/>
          <w:bCs/>
          <w:color w:val="000000" w:themeColor="text1"/>
          <w:szCs w:val="22"/>
        </w:rPr>
      </w:pPr>
    </w:p>
    <w:p w14:paraId="376582EB" w14:textId="7359D557" w:rsidR="00857C48" w:rsidRPr="00D60D4C" w:rsidRDefault="00D60D4C" w:rsidP="00E033D4">
      <w:pPr>
        <w:pStyle w:val="ChapterSub-heading"/>
      </w:pPr>
      <w:bookmarkStart w:id="135" w:name="_Toc129701073"/>
      <w:r>
        <w:t xml:space="preserve">5.4.3. </w:t>
      </w:r>
      <w:r w:rsidR="00857C48" w:rsidRPr="00857C48">
        <w:t>Unique reaction conditions are required for the full-length synthesis of different functional proteins</w:t>
      </w:r>
      <w:bookmarkEnd w:id="135"/>
    </w:p>
    <w:p w14:paraId="4C5C34E2" w14:textId="6C12CD2F" w:rsidR="00857C48" w:rsidRPr="00857C48" w:rsidRDefault="00D60D4C" w:rsidP="00E033D4">
      <w:pPr>
        <w:pStyle w:val="Subsubheading"/>
      </w:pPr>
      <w:r>
        <w:t xml:space="preserve">5.4.3.1. </w:t>
      </w:r>
      <w:r w:rsidR="00857C48" w:rsidRPr="00857C48">
        <w:t>PEP</w:t>
      </w:r>
      <w:r>
        <w:t xml:space="preserve"> conditions</w:t>
      </w:r>
    </w:p>
    <w:p w14:paraId="3B2534DB" w14:textId="207E3522" w:rsidR="00857C48" w:rsidRPr="00857C48" w:rsidRDefault="00857C48" w:rsidP="00D60D4C">
      <w:pPr>
        <w:ind w:firstLine="720"/>
        <w:rPr>
          <w:rFonts w:cs="Arial"/>
          <w:color w:val="000000" w:themeColor="text1"/>
          <w:szCs w:val="22"/>
        </w:rPr>
      </w:pPr>
      <w:r w:rsidRPr="00857C48">
        <w:rPr>
          <w:rFonts w:cs="Arial"/>
          <w:color w:val="000000" w:themeColor="text1"/>
          <w:szCs w:val="22"/>
        </w:rPr>
        <w:t>An obvious potential limitation to functional NRPS CFE is ATP availability. TX/TL processes that depend on ATP include dNTP synthesis, aminoacyl-tRNA charging, and GTP regeneration for peptide bond formation</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{"citationItems":[{"id":"ITEM-1","itemData":{"DOI":"10.1002/BIT.20026","ISSN":"1097-0290","PMID":"15007837","abstract":"Cell-free translation systems generally utilize high-energy phosphate compounds to regenerate the adenosine triphosphate (ATP) necessary to drive protein synthesis. This hampers the widespread use and practical implementation of this technology in a batch format due to expensive reagent costs; the accumulation of inhibitory byproducts, such as phosphate; and pH change. To address these problems, a cell-free protein synthesis system has been engineered that is capable of using pyruvate as an energy source to produce high yields of protein. The \"Cytomim\" system, synthesizes chloramphenicol acetyl-transferase (CAT) for up to 6 h in a batch reaction to yield 700 μg/mL of protein. By more closely replicating the physiological conditions of the cytoplasm of Escherichia coli, the Cytomim system provides a stable energy supply for protein expression without phosphate accumulation, pH change, exogenous enzyme addition, or the need for expensive high-energy phosphate compounds. © 2004 Wiley Periodicals, Inc.","author":[{"dropping-particle":"","family":"Jewett","given":"Michael C.","non-dropping-particle":"","parse-names":false,"suffix":""},{"dropping-particle":"","family":"Swartz","given":"James R.","non-dropping-particle":"","parse-names":false,"suffix":""}],"container-title":"Biotechnology and Bioengineering","id":"ITEM-1","issue":"1","issued":{"date-parts":[["2004","4","5"]]},"page":"19-26","publisher":"John Wiley &amp; Sons, Ltd","title":"Mimicking the Escherichia coli cytoplasmic environment activates long-lived and efficient cell-free protein synthesis","type":"article-journal","volume":"86"},"uris":["http://www.mendeley.com/documents/?uuid=3688e2b6-c0d8-3dfa-b534-71099d5ffd5d"]}],"mendeley":{"formattedCitation":"&lt;sup&gt;209&lt;/sup&gt;","plainTextFormattedCitation":"209","previouslyFormattedCitation":"&lt;sup&gt;209&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209</w:t>
      </w:r>
      <w:r w:rsidRPr="00857C48">
        <w:rPr>
          <w:rFonts w:cs="Arial"/>
          <w:color w:val="000000" w:themeColor="text1"/>
          <w:szCs w:val="22"/>
        </w:rPr>
        <w:fldChar w:fldCharType="end"/>
      </w:r>
      <w:r w:rsidR="00D60D4C">
        <w:rPr>
          <w:rFonts w:cs="Arial"/>
          <w:color w:val="000000" w:themeColor="text1"/>
          <w:szCs w:val="22"/>
        </w:rPr>
        <w:t>.</w:t>
      </w:r>
      <w:r w:rsidRPr="00857C48">
        <w:rPr>
          <w:rFonts w:cs="Arial"/>
          <w:color w:val="000000" w:themeColor="text1"/>
          <w:szCs w:val="22"/>
        </w:rPr>
        <w:t xml:space="preserve"> In the </w:t>
      </w:r>
      <w:proofErr w:type="spellStart"/>
      <w:r w:rsidRPr="00857C48">
        <w:rPr>
          <w:rFonts w:cs="Arial"/>
          <w:color w:val="000000" w:themeColor="text1"/>
          <w:szCs w:val="22"/>
        </w:rPr>
        <w:t>PANOx</w:t>
      </w:r>
      <w:proofErr w:type="spellEnd"/>
      <w:r w:rsidRPr="00857C48">
        <w:rPr>
          <w:rFonts w:cs="Arial"/>
          <w:color w:val="000000" w:themeColor="text1"/>
          <w:szCs w:val="22"/>
        </w:rPr>
        <w:t xml:space="preserve">-SP system, ATP generation is sustained by ADP phosphorylation when the energy substrate PEP is converted to pyruvate. Without other limiting factors, a higher PEP requirement should theoretically better fuel the sufficient expression of a large protein (&gt; 100 </w:t>
      </w:r>
      <w:proofErr w:type="spellStart"/>
      <w:r w:rsidRPr="00857C48">
        <w:rPr>
          <w:rFonts w:cs="Arial"/>
          <w:color w:val="000000" w:themeColor="text1"/>
          <w:szCs w:val="22"/>
        </w:rPr>
        <w:t>kDa</w:t>
      </w:r>
      <w:proofErr w:type="spellEnd"/>
      <w:r w:rsidRPr="00857C48">
        <w:rPr>
          <w:rFonts w:cs="Arial"/>
          <w:color w:val="000000" w:themeColor="text1"/>
          <w:szCs w:val="22"/>
        </w:rPr>
        <w:t xml:space="preserve">) compared to smaller model CFE proteins (e.g. CAT and </w:t>
      </w:r>
      <w:proofErr w:type="spellStart"/>
      <w:r w:rsidRPr="00857C48">
        <w:rPr>
          <w:rFonts w:cs="Arial"/>
          <w:color w:val="000000" w:themeColor="text1"/>
          <w:szCs w:val="22"/>
        </w:rPr>
        <w:t>sfGFP</w:t>
      </w:r>
      <w:proofErr w:type="spellEnd"/>
      <w:r w:rsidRPr="00857C48">
        <w:rPr>
          <w:rFonts w:cs="Arial"/>
          <w:color w:val="000000" w:themeColor="text1"/>
          <w:szCs w:val="22"/>
        </w:rPr>
        <w:t>) which are &lt; 30 kDa</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{"citationItems":[{"id":"ITEM-1","itemData":{"DOI":"10.1002/BIT.20026","ISSN":"1097-0290","PMID":"15007837","abstract":"Cell-free translation systems generally utilize high-energy phosphate compounds to regenerate the adenosine triphosphate (ATP) necessary to drive protein synthesis. This hampers the widespread use and practical implementation of this technology in a batch format due to expensive reagent costs; the accumulation of inhibitory byproducts, such as phosphate; and pH change. To address these problems, a cell-free protein synthesis system has been engineered that is capable of using pyruvate as an energy source to produce high yields of protein. The \"Cytomim\" system, synthesizes chloramphenicol acetyl-transferase (CAT) for up to 6 h in a batch reaction to yield 700 μg/mL of protein. By more closely replicating the physiological conditions of the cytoplasm of Escherichia coli, the Cytomim system provides a stable energy supply for protein expression without phosphate accumulation, pH change, exogenous enzyme addition, or the need for expensive high-energy phosphate compounds. © 2004 Wiley Periodicals, Inc.","author":[{"dropping-particle":"","family":"Jewett","given":"Michael C.","non-dropping-particle":"","parse-names":false,"suffix":""},{"dropping-particle":"","family":"Swartz","given":"James R.","non-dropping-particle":"","parse-names":false,"suffix":""}],"container-title":"Biotechnology and Bioengineering","id":"ITEM-1","issue":"1","issued":{"date-parts":[["2004","4","5"]]},"page":"19-26","publisher":"John Wiley &amp; Sons, Ltd","title":"Mimicking the Escherichia coli cytoplasmic environment activates long-lived and efficient cell-free protein synthesis","type":"article-journal","volume":"86"},"uris":["http://www.mendeley.com/documents/?uuid=3688e2b6-c0d8-3dfa-b534-71099d5ffd5d"]}],"mendeley":{"formattedCitation":"&lt;sup&gt;209&lt;/sup&gt;","plainTextFormattedCitation":"209","previouslyFormattedCitation":"&lt;sup&gt;209&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209</w:t>
      </w:r>
      <w:r w:rsidRPr="00857C48">
        <w:rPr>
          <w:rFonts w:cs="Arial"/>
          <w:color w:val="000000" w:themeColor="text1"/>
          <w:szCs w:val="22"/>
        </w:rPr>
        <w:fldChar w:fldCharType="end"/>
      </w:r>
      <w:r w:rsidR="00D60D4C">
        <w:rPr>
          <w:rFonts w:cs="Arial"/>
          <w:color w:val="000000" w:themeColor="text1"/>
          <w:szCs w:val="22"/>
        </w:rPr>
        <w:t>.</w:t>
      </w:r>
      <w:r w:rsidRPr="00857C48">
        <w:rPr>
          <w:rFonts w:cs="Arial"/>
          <w:color w:val="000000" w:themeColor="text1"/>
          <w:szCs w:val="22"/>
        </w:rPr>
        <w:t xml:space="preserve"> The degradation of PEP itself however contributes to inorganic phosphate accumulation which in turn inhibits cell-free protein synthesis</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{"citationItems":[{"id":"ITEM-1","itemData":{"DOI":"10.1002/(SICI)1097-0290(1999)66:3&lt;180::AID-BIT6&gt;3.0.CO;2-S","ISSN":"00063592","PMID":"10577472","abstract":"A new approach for the regeneration of adenosine triphosphate (ATP) during cell-free protein synthesis was developed to prolong the synthesis and also to avoid the accumulation of inorganic phosphate. This approach was demonstrated in a batch system derived from Escherichia coli. Contrary to the conventional methods in which exogenous energy sources contain high-energy phosphate bonds, the new system was designed to generate continuously the required high-energy phosphate bonds within the reaction mixture, thereby recycling the phosphate released during protein synthesis. If allowed to accumulate, phosphate inhibits protein synthesis, most likely by reducing the concentration of free magnesium ion. Pediococcus sp. pyruvate oxidase, when introduced in the reaction mixture along with thiamine pyrophosphate (TPP) and flavin adenine dinucleotide (FAD), catalyzed the generation of acetyl phosphate from pyruvate and inorganic phosphate. Acetyl kinase, already present with sufficient activity in Escherichia coli S30 extract, then catalyzed the regeneration of ATP. Oxygen is required for the generation of acetyl phosphate and the H2O2 produced as a byproduct is sufficiently degraded by endogenous catalase activity. Through the continuous supply of chemical energy, and also through the prevention of inorganic phosphate accumulation, the duration of protein synthesis is extended up to 2 h. Protein accumulation levels also increase. The synthesis of human lymphotoxin receives greater benefit than than that of chloramphenicol acetyl transferase, because the former is more sensitive to phosphate inhibition. Finally, through repeated addition of pyruvate and amino acids during the reaction period, protein synthesis continued for 6 h in the new system, resulting in a final yield of 0.7 mg/mL.","author":[{"dropping-particle":"","family":"Kim","given":"Dong Myung","non-dropping-particle":"","parse-names":false,"suffix":""},{"dropping-particle":"","family":"Swartz","given":"James R.","non-dropping-particle":"","parse-names":false,"suffix":""}],"container-title":"Biotechnology and Bioengineering","id":"ITEM-1","issue":"3","issued":{"date-parts":[["1999"]]},"page":"180-188","title":"Prolonging cell-free protein synthesis with a novel ATP regeneration system","type":"article-journal","volume":"66"},"uris":["http://www.mendeley.com/documents/?uuid=c1a1979e-739e-4e0e-9f81-aa98bad6dce6"]}],"mendeley":{"formattedCitation":"&lt;sup&gt;229&lt;/sup&gt;","plainTextFormattedCitation":"229","previouslyFormattedCitation":"&lt;sup&gt;229&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229</w:t>
      </w:r>
      <w:r w:rsidRPr="00857C48">
        <w:rPr>
          <w:rFonts w:cs="Arial"/>
          <w:color w:val="000000" w:themeColor="text1"/>
          <w:szCs w:val="22"/>
        </w:rPr>
        <w:fldChar w:fldCharType="end"/>
      </w:r>
      <w:r w:rsidR="00D60D4C">
        <w:rPr>
          <w:rFonts w:cs="Arial"/>
          <w:color w:val="000000" w:themeColor="text1"/>
          <w:szCs w:val="22"/>
        </w:rPr>
        <w:t>.</w:t>
      </w:r>
      <w:r w:rsidRPr="00857C48">
        <w:rPr>
          <w:rFonts w:cs="Arial"/>
          <w:color w:val="000000" w:themeColor="text1"/>
          <w:szCs w:val="22"/>
        </w:rPr>
        <w:t xml:space="preserve"> Furthermore, ATP overproduction negatively impacts CFE efficiency</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{"citationItems":[{"id":"ITEM-1","itemData":{"DOI":"10.1021/ACSSYNBIO.7B00465/ASSET/IMAGES/MEDIUM/SB-2017-00465A_M024.GIF","ISSN":"21615063","PMID":"29944340","abstract":"Cell-free protein synthesis (CFPS) is a widely used research tool in systems and synthetic biology. However, if CFPS is to become a mainstream technology for applications such as point of care manufacturing, we must understand the performance limits and costs of these systems. Toward this question, we used sequence specific constraint based modeling to evaluate the performance of E. Coli cell-free protein synthesis. A core E. Coli metabolic network, describing glycolysis, the pentose phosphate pathway, energy metabolism, amino acid biosynthesis, and degradation was augmented with sequence specific descriptions of transcription and translation and effective models of promoter function. Model parameters were largely taken from literature; thus the constraint based approach coupled the transcription and translation of the protein product, and the regulation of gene expression, with the availability of metabolic resources using only a limited number of adjustable model parameters. We tested this approach by simulating the expression of two model proteins: chloramphenicol acetyltransferase and dual emission green fluorescent protein, for which we have data sets; we then expanded the simulations to a range of additional proteins. Protein expression simulations were consistent with measurements for a variety of cases. The constraint based simulations confirmed that oxidative phosphorylation was active in the CAT cell-free extract, as without it there was no feasible solution within the experimental constraints of the system. We then compared the metabolism of theoretically optimal and experimentally constrained CFPS reactions, and developed parameter free correlations which could be used to estimate productivity as a function of carbon number and promoter type. Lastly, global sensitivity analysis identified the key metabolic processes that controlled CFPS productivity and energy efficiency. In summary, sequence specific constraint based modeling of CFPS offered a novel means to a priori estimate the performance of a cell-free system, using only a limited number of adjustable parameters. While we modeled the production of a single protein in this study, the approach could easily be extended to multiprotein synthetic circuits, RNA circuits, or the cell-free production of small molecule products.","author":[{"dropping-particle":"","family":"Vilkhovoy","given":"Michael","non-dropping-particle":"","parse-names":false,"suffix":""},{"dropping-particle":"","family":"Horvath","given":"Nicholas","non-dropping-particle":"","parse-names":false,"suffix":""},{"dropping-particle":"","family":"Shih","given":"Che Hsiao","non-dropping-particle":"","parse-names":false,"suffix":""},{"dropping-particle":"","family":"Wayman","given":"Joseph A.","non-dropping-particle":"","parse-names":false,"suffix":""},{"dropping-particle":"","family":"Calhoun","given":"Kara","non-dropping-particle":"","parse-names":false,"suffix":""},{"dropping-particle":"","family":"Swartz","given":"James","non-dropping-particle":"","parse-names":false,"suffix":""},{"dropping-particle":"","family":"Varner","given":"Jeffrey D.","non-dropping-particle":"","parse-names":false,"suffix":""}],"container-title":"ACS Synthetic Biology","id":"ITEM-1","issue":"8","issued":{"date-parts":[["2018","8","17"]]},"page":"1844-1857","publisher":"American Chemical Society","title":"Sequence Specific Modeling of E. Coli Cell-Free Protein Synthesis","type":"article-journal","volume":"7"},"uris":["http://www.mendeley.com/documents/?uuid=20e0b46d-77de-3b46-8fe5-8405968e23f9"]}],"mendeley":{"formattedCitation":"&lt;sup&gt;210&lt;/sup&gt;","plainTextFormattedCitation":"210","previouslyFormattedCitation":"&lt;sup&gt;210&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210</w:t>
      </w:r>
      <w:r w:rsidRPr="00857C48">
        <w:rPr>
          <w:rFonts w:cs="Arial"/>
          <w:color w:val="000000" w:themeColor="text1"/>
          <w:szCs w:val="22"/>
        </w:rPr>
        <w:fldChar w:fldCharType="end"/>
      </w:r>
      <w:r w:rsidR="00D60D4C">
        <w:rPr>
          <w:rFonts w:cs="Arial"/>
          <w:color w:val="000000" w:themeColor="text1"/>
          <w:szCs w:val="22"/>
        </w:rPr>
        <w:t>.</w:t>
      </w:r>
      <w:r w:rsidRPr="00857C48">
        <w:rPr>
          <w:rFonts w:cs="Arial"/>
          <w:color w:val="000000" w:themeColor="text1"/>
          <w:szCs w:val="22"/>
        </w:rPr>
        <w:t xml:space="preserve"> Thus, for any given </w:t>
      </w:r>
      <w:r w:rsidRPr="00857C48">
        <w:rPr>
          <w:rFonts w:cs="Arial"/>
          <w:color w:val="000000" w:themeColor="text1"/>
          <w:szCs w:val="22"/>
        </w:rPr>
        <w:lastRenderedPageBreak/>
        <w:t>protein, an optimal range of initial reaction PEP concentrations exists where PEP energizes but is not inhibitory towards TX/TL</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{"citationItems":[{"id":"ITEM-1","itemData":{"DOI":"10.3390/MOLECULES27154684","ISSN":"1420-3049","PMID":"35897861","abstract":"Cell-free protein synthesis (CFPS) systems are emerging as powerful platforms for in vitro protein production, which leads to the development of new CFPS systems for different applications. To expand the current CFPS toolkit, here we develop a novel CFPS system derived from a chassis microorganism Klebsiella pneumoniae, an important industrial host for heterologous protein expression and the production of many useful chemicals. First, we engineered the K. pneumoniae strain by deleting a capsule formation-associated wzy gene. This capsule-deficient strain enabled easy collection of the cell biomass for preparing cell extracts. Then, we optimized the procedure of cell extract preparation and the reaction conditions for CFPS. Finally, the optimized CFPS system was able to synthesize a reporter protein (superfolder green fluorescent protein, sfGFP) with a maximum yield of 253 &amp;plusmn; 15.79 &amp;mu;g/mL. Looking forward, our K. pneumoniae-based CFPS system will not only expand the toolkit for protein synthesis, but also provide a new platform for constructing in vitro metabolic pathways for the synthesis of high-value chemicals.","author":[{"dropping-particle":"","family":"Yang","given":"C ;","non-dropping-particle":"","parse-names":false,"suffix":""},{"dropping-particle":"","family":"Yang","given":"M ;","non-dropping-particle":"","parse-names":false,"suffix":""},{"dropping-particle":"","family":"Zhao","given":"W ;","non-dropping-particle":"","parse-names":false,"suffix":""},{"dropping-particle":"","family":"Ding","given":"Y ;","non-dropping-particle":"","parse-names":false,"suffix":""},{"dropping-particle":"","family":"Wang","given":"Y ;","non-dropping-particle":"","parse-names":false,"suffix":""},{"dropping-particle":"","family":"Li","given":"J","non-dropping-particle":"","parse-names":false,"suffix":""},{"dropping-particle":"","family":"Yang","given":"Chen","non-dropping-particle":"","parse-names":false,"suffix":""},{"dropping-particle":"","family":"Yang","given":"Miaomiao","non-dropping-particle":"","parse-names":false,"suffix":""},{"dropping-particle":"","family":"Zhao","given":"Wanhua","non-dropping-particle":"","parse-names":false,"suffix":""},{"dropping-particle":"","family":"Ding","given":"Yue","non-dropping-particle":"","parse-names":false,"suffix":""},{"dropping-particle":"","family":"Wang","given":"Yu","non-dropping-particle":"","parse-names":false,"suffix":""},{"dropping-particle":"","family":"Li","given":"Jian","non-dropping-particle":"","parse-names":false,"suffix":""}],"container-title":"Molecules 2022, Vol. 27, Page 4684","id":"ITEM-1","issue":"15","issued":{"date-parts":[["2022","7","22"]]},"page":"4684","publisher":"Multidisciplinary Digital Publishing Institute","title":"Establishing a Klebsiella pneumoniae-Based Cell-Free Protein Synthesis System","type":"article-journal","volume":"27"},"uris":["http://www.mendeley.com/documents/?uuid=da482f86-3844-3377-a0b9-6bcf69435d75"]},{"id":"ITEM-2","itemData":{"DOI":"10.1021/acssynbio.8b00252","ISSN":"21615063","abstract":"A new wave of interest in cell-free protein synthesis (CFPS) systems has shown their utility for producing proteins at high titers, establishing genetic regulatory element libraries (e.g., promoters, ribosome binding sites) in nonmodel organisms, optimizing biosynthetic pathways before implementation in cells, and sensing biomarkers for diagnostic applications. Unfortunately, most previous efforts have focused on a select few model systems, such as Escherichia coli. Broadening the spectrum of organisms used for CFPS promises to better mimic host cell processes in prototyping applications and open up new areas of research. Here, we describe the development and characterization of a facile CFPS platform based on lysates derived from the fast-growing bacterium Vibrio natriegens, which is an emerging host organism for biotechnology. We demonstrate robust preparation of highly active extracts using sonication, without specialized and costly equipment. After optimizing the extract preparation procedure and cell-free reaction conditions, we show synthesis of 1.6 ± 0.05 g/L of superfolder green fluorescent protein in batch mode CFPS, making it competitive with existing E. coli CFPS platforms. To showcase the flexibility of the system, we demonstrate that it can be lyophilized and retain biosynthesis capability, that it is capable of producing antimicrobial peptides, and that our extract preparation procedure can be coupled with the recently described Vmax Express strain in a one-pot system. Finally, to further increase system productivity, we explore a knockout library in which putative negative effectors of CFPS are genetically removed from the source strain. Our V. natriegens-derived CFPS platform is versatile and simple to prepare and use. We expect it will facilitate expansion of CFPS systems into new laboratories and fields for compelling applications in synthetic biology.","author":[{"dropping-particle":"","family":"Soye","given":"Benjamin J.","non-dropping-particle":"Des","parse-names":false,"suffix":""},{"dropping-particle":"","family":"Davidson","given":"Samuel R.","non-dropping-particle":"","parse-names":false,"suffix":""},{"dropping-particle":"","family":"Weinstock","given":"Matthew T.","non-dropping-particle":"","parse-names":false,"suffix":""},{"dropping-particle":"","family":"Gibson","given":"Daniel G.","non-dropping-particle":"","parse-names":false,"suffix":""},{"dropping-particle":"","family":"Jewett","given":"Michael C.","non-dropping-particle":"","parse-names":false,"suffix":""}],"container-title":"ACS Synthetic Biology","genre":"research-article","id":"ITEM-2","issue":"9","issued":{"date-parts":[["2018"]]},"page":"2245-2255","publisher":"American Chemical Society","title":"Establishing a High-Yielding Cell-Free Protein Synthesis Platform Derived from Vibrio natriegens","type":"article-journal","volume":"7"},"uris":["http://www.mendeley.com/documents/?uuid=d11afab8-ca83-49d5-9ca6-c82a7eb9f69e"]},{"id":"ITEM-3","itemData":{"DOI":"10.1002/(SICI)1097-0290(1999)66:3&lt;180::AID-BIT6&gt;3.0.CO;2-S","ISSN":"00063592","PMID":"10577472","abstract":"A new approach for the regeneration of adenosine triphosphate (ATP) during cell-free protein synthesis was developed to prolong the synthesis and also to avoid the accumulation of inorganic phosphate. This approach was demonstrated in a batch system derived from Escherichia coli. Contrary to the conventional methods in which exogenous energy sources contain high-energy phosphate bonds, the new system was designed to generate continuously the required high-energy phosphate bonds within the reaction mixture, thereby recycling the phosphate released during protein synthesis. If allowed to accumulate, phosphate inhibits protein synthesis, most likely by reducing the concentration of free magnesium ion. Pediococcus sp. pyruvate oxidase, when introduced in the reaction mixture along with thiamine pyrophosphate (TPP) and flavin adenine dinucleotide (FAD), catalyzed the generation of acetyl phosphate from pyruvate and inorganic phosphate. Acetyl kinase, already present with sufficient activity in Escherichia coli S30 extract, then catalyzed the regeneration of ATP. Oxygen is required for the generation of acetyl phosphate and the H2O2 produced as a byproduct is sufficiently degraded by endogenous catalase activity. Through the continuous supply of chemical energy, and also through the prevention of inorganic phosphate accumulation, the duration of protein synthesis is extended up to 2 h. Protein accumulation levels also increase. The synthesis of human lymphotoxin receives greater benefit than than that of chloramphenicol acetyl transferase, because the former is more sensitive to phosphate inhibition. Finally, through repeated addition of pyruvate and amino acids during the reaction period, protein synthesis continued for 6 h in the new system, resulting in a final yield of 0.7 mg/mL.","author":[{"dropping-particle":"","family":"Kim","given":"Dong Myung","non-dropping-particle":"","parse-names":false,"suffix":""},{"dropping-particle":"","family":"Swartz","given":"James R.","non-dropping-particle":"","parse-names":false,"suffix":""}],"container-title":"Biotechnology and Bioengineering","id":"ITEM-3","issue":"3","issued":{"date-parts":[["1999"]]},"page":"180-188","title":"Prolonging cell-free protein synthesis with a novel ATP regeneration system","type":"article-journal","volume":"66"},"uris":["http://www.mendeley.com/documents/?uuid=c1a1979e-739e-4e0e-9f81-aa98bad6dce6"]}],"mendeley":{"formattedCitation":"&lt;sup&gt;229–231&lt;/sup&gt;","plainTextFormattedCitation":"229–231","previouslyFormattedCitation":"&lt;sup&gt;229–231&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229–231</w:t>
      </w:r>
      <w:r w:rsidRPr="00857C48">
        <w:rPr>
          <w:rFonts w:cs="Arial"/>
          <w:color w:val="000000" w:themeColor="text1"/>
          <w:szCs w:val="22"/>
        </w:rPr>
        <w:fldChar w:fldCharType="end"/>
      </w:r>
      <w:r w:rsidR="00D60D4C">
        <w:rPr>
          <w:rFonts w:cs="Arial"/>
          <w:color w:val="000000" w:themeColor="text1"/>
          <w:szCs w:val="22"/>
        </w:rPr>
        <w:t>.</w:t>
      </w:r>
      <w:r w:rsidRPr="00857C48">
        <w:rPr>
          <w:rFonts w:cs="Arial"/>
          <w:color w:val="FF0000"/>
          <w:szCs w:val="22"/>
        </w:rPr>
        <w:t xml:space="preserve"> </w:t>
      </w:r>
      <w:r w:rsidRPr="00857C48">
        <w:rPr>
          <w:rFonts w:cs="Arial"/>
          <w:color w:val="000000" w:themeColor="text1"/>
          <w:szCs w:val="22"/>
        </w:rPr>
        <w:t>This range is further defined by central metabolic reactions that consume ATP in an unproductive manner  (i.e., not contributing to protein expression)</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{"citationItems":[{"id":"ITEM-1","itemData":{"DOI":"10.1021/ACSSYNBIO.7B00465/ASSET/IMAGES/MEDIUM/SB-2017-00465A_M024.GIF","ISSN":"21615063","PMID":"29944340","abstract":"Cell-free protein synthesis (CFPS) is a widely used research tool in systems and synthetic biology. However, if CFPS is to become a mainstream technology for applications such as point of care manufacturing, we must understand the performance limits and costs of these systems. Toward this question, we used sequence specific constraint based modeling to evaluate the performance of E. Coli cell-free protein synthesis. A core E. Coli metabolic network, describing glycolysis, the pentose phosphate pathway, energy metabolism, amino acid biosynthesis, and degradation was augmented with sequence specific descriptions of transcription and translation and effective models of promoter function. Model parameters were largely taken from literature; thus the constraint based approach coupled the transcription and translation of the protein product, and the regulation of gene expression, with the availability of metabolic resources using only a limited number of adjustable model parameters. We tested this approach by simulating the expression of two model proteins: chloramphenicol acetyltransferase and dual emission green fluorescent protein, for which we have data sets; we then expanded the simulations to a range of additional proteins. Protein expression simulations were consistent with measurements for a variety of cases. The constraint based simulations confirmed that oxidative phosphorylation was active in the CAT cell-free extract, as without it there was no feasible solution within the experimental constraints of the system. We then compared the metabolism of theoretically optimal and experimentally constrained CFPS reactions, and developed parameter free correlations which could be used to estimate productivity as a function of carbon number and promoter type. Lastly, global sensitivity analysis identified the key metabolic processes that controlled CFPS productivity and energy efficiency. In summary, sequence specific constraint based modeling of CFPS offered a novel means to a priori estimate the performance of a cell-free system, using only a limited number of adjustable parameters. While we modeled the production of a single protein in this study, the approach could easily be extended to multiprotein synthetic circuits, RNA circuits, or the cell-free production of small molecule products.","author":[{"dropping-particle":"","family":"Vilkhovoy","given":"Michael","non-dropping-particle":"","parse-names":false,"suffix":""},{"dropping-particle":"","family":"Horvath","given":"Nicholas","non-dropping-particle":"","parse-names":false,"suffix":""},{"dropping-particle":"","family":"Shih","given":"Che Hsiao","non-dropping-particle":"","parse-names":false,"suffix":""},{"dropping-particle":"","family":"Wayman","given":"Joseph A.","non-dropping-particle":"","parse-names":false,"suffix":""},{"dropping-particle":"","family":"Calhoun","given":"Kara","non-dropping-particle":"","parse-names":false,"suffix":""},{"dropping-particle":"","family":"Swartz","given":"James","non-dropping-particle":"","parse-names":false,"suffix":""},{"dropping-particle":"","family":"Varner","given":"Jeffrey D.","non-dropping-particle":"","parse-names":false,"suffix":""}],"container-title":"ACS Synthetic Biology","id":"ITEM-1","issue":"8","issued":{"date-parts":[["2018","8","17"]]},"page":"1844-1857","publisher":"American Chemical Society","title":"Sequence Specific Modeling of E. Coli Cell-Free Protein Synthesis","type":"article-journal","volume":"7"},"uris":["http://www.mendeley.com/documents/?uuid=20e0b46d-77de-3b46-8fe5-8405968e23f9"]},{"id":"ITEM-2","itemData":{"DOI":"10.1016/j.mec.2021.e00162","ISSN":"22140301","abstract":"Cell-free systems present a significant opportunity to harness the metabolic potential of diverse organisms. Removing the cellular context provides the ability to produce biological products without the need to maintain cell viability and enables metabolic engineers to explore novel chemical transformation systems. Crude extracts maintain much of a cell's capabilities. However, only limited tools are available for engineering the contents of the extracts used for cell-free systems. Thus, our ability to take full advantage of the potential of crude extracts for cell-free metabolic engineering is constrained. Here, we employ Multiplex Automated Genomic Engineering (MAGE) to tag proteins for selective depletion from crude extracts so as to specifically direct chemical production. Specific edits to central metabolism are possible without significantly impacting cell growth. Selective removal of pyruvate degrading enzymes resulted in engineered crude lysates that are capable of up to 40-fold increases in pyruvate production when compared to the non-engineered extract. The described approach melds the tools of systems and synthetic biology to showcase the effectiveness of cell-free metabolic engineering for applications like bioprototyping and bioproduction.","author":[{"dropping-particle":"","family":"Garcia","given":"David C.","non-dropping-particle":"","parse-names":false,"suffix":""},{"dropping-particle":"","family":"Dinglasan","given":"Jaime Lorenzo N.","non-dropping-particle":"","parse-names":false,"suffix":""},{"dropping-particle":"","family":"Shrestha","given":"Him","non-dropping-particle":"","parse-names":false,"suffix":""},{"dropping-particle":"","family":"Abraham","given":"Paul E.","non-dropping-particle":"","parse-names":false,"suffix":""},{"dropping-particle":"","family":"Hettich","given":"Robert L.","non-dropping-particle":"","parse-names":false,"suffix":""},{"dropping-particle":"","family":"Doktycz","given":"Mitchel J.","non-dropping-particle":"","parse-names":false,"suffix":""}],"container-title":"Metabolic Engineering Communications","id":"ITEM-2","issued":{"date-parts":[["2021","6","1"]]},"page":"e00162","publisher":"Elsevier B.V.","title":"A lysate proteome engineering strategy for enhancing cell-free metabolite production","type":"article-journal","volume":"12"},"uris":["http://www.mendeley.com/documents/?uuid=babcd1d7-dd2c-32bc-b636-c7ebdf6b2dd4"]},{"id":"ITEM-3","itemData":{"DOI":"10.3791/62852","ISSN":"1940087X","abstract":"Engineering cellular metabolism for targeted biosynthesis can require extensive design-build-test-learn (DBTL) cycles as the engineer works around the cell's survival requirements. Alternatively, carrying out DBTL cycles in cell-free environments can accelerate this process and alleviate concerns with host compatibility. A promising approach to cell-free metabolic engineering (CFME) leverages metabolically active crude cell extracts as platforms for biomanufacturing and for rapidly discovering and prototyping modified proteins and pathways. Realizing these capabilities and optimizing CFME performance requires methods to characterize the metabolome of lysate-based cell-free platforms. That is, analytical tools are necessary for monitoring improvements in targeted metabolite conversions and in elucidating alterations to metabolite flux when manipulating lysate metabolism. Here, metabolite analyses using high-performance liquid chromatography (HPLC) coupled with either optical or mass spectrometric detection were applied to characterize metabolite production and flux in E. coli S30 lysates. Specifically, this report describes the preparation of samples from CFME lysates for HPLC analyses using refractive index detection (RID) to quantify the generation of central metabolic intermediates and by-products in the conversion of low-cost substrates (i.e., glucose) to various high-value products. The analysis of metabolite conversion in CFME reactions fed with13 C-labeled glucose through reversed-phase liquid chromatography coupled to tandem mass spectrometry (MS/ MS), a powerful tool for characterizing specific metabolite yields and lysate metabolic flux from starting materials, is also presented. Altogether, applying these analytical methods to CFME lysate metabolism enables the advancement of these systems as alternative platforms for executing faster or novel metabolic engineering tasks.","author":[{"dropping-particle":"","family":"Dinglasan","given":"Jaime Lorenzo N.","non-dropping-particle":"","parse-names":false,"suffix":""},{"dropping-particle":"","family":"Reeves","given":"David T.","non-dropping-particle":"","parse-names":false,"suffix":""},{"dropping-particle":"","family":"Hettich","given":"Robert L.","non-dropping-particle":"","parse-names":false,"suffix":""},{"dropping-particle":"","family":"Doktycz","given":"Mitchel J.","non-dropping-particle":"","parse-names":false,"suffix":""}],"container-title":"Journal of Visualized Experiments","id":"ITEM-3","issue":"175","issued":{"date-parts":[["2021"]]},"title":"Liquid chromatography coupled to refractive index or mass spectrometric detection for metabolite profiling in lysate-based cell-free systems","type":"article-journal","volume":"2021"},"uris":["http://www.mendeley.com/documents/?uuid=7ea0affb-ee39-3abd-8eb2-d52c093f6376"]}],"mendeley":{"formattedCitation":"&lt;sup&gt;74,154,210&lt;/sup&gt;","plainTextFormattedCitation":"74,154,210","previouslyFormattedCitation":"&lt;sup&gt;74,154,210&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74,154,210</w:t>
      </w:r>
      <w:r w:rsidRPr="00857C48">
        <w:rPr>
          <w:rFonts w:cs="Arial"/>
          <w:color w:val="000000" w:themeColor="text1"/>
          <w:szCs w:val="22"/>
        </w:rPr>
        <w:fldChar w:fldCharType="end"/>
      </w:r>
      <w:r w:rsidR="00D60D4C">
        <w:rPr>
          <w:rFonts w:cs="Arial"/>
          <w:color w:val="000000" w:themeColor="text1"/>
          <w:szCs w:val="22"/>
        </w:rPr>
        <w:t>.</w:t>
      </w:r>
      <w:r w:rsidRPr="00857C48">
        <w:rPr>
          <w:rFonts w:cs="Arial"/>
          <w:color w:val="000000" w:themeColor="text1"/>
          <w:szCs w:val="22"/>
        </w:rPr>
        <w:t xml:space="preserve"> In the case of NRPS CFE, the A domain that is characteristic of these enzymes could also deplete the ATP pool, further contributing to expression limitations</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{"citationItems":[{"id":"ITEM-1","itemData":{"DOI":"10.1007/978-1-4939-3375-4_1","ISSN":"10643745","PMID":"26831698","abstract":"The nonribosomal peptide synthetases are modular enzymes that catalyze synthesis of important peptide products from a variety of standard and non-proteinogenic amino acid substrates. Within a single module are multiple catalytic domains that are responsible for incorporation of a single residue. After the amino acid is activated and covalently attached to an integrated carrier protein domain, the substrates and intermediates are delivered to neighboring catalytic domains for peptide bond formation or, in some modules, chemical modifi cation. In the fi nal module, the peptide is delivered to a terminal thioesterase domain that catalyzes release of the peptide product. This multi-domain modular architecture raises questions about the structural features that enable this assembly line synthesis in an effi cient manner. The structures of the core component domains have been determined and demonstrate insights into the catalytic activity. More recently, multi-domain structures have been determined and are providing clues to the features of these enzyme systems that govern the functional interaction between multiple domains. This chapter describes the structures of NRPS proteins and the strategies that are being used to assist structural studies of these dynamic proteins, including careful consideration of domain boundaries for generation of truncated proteins and the use of mechanism-based inhibitors that trap interactions between the catalytic and carrier protein domains.","author":[{"dropping-particle":"","family":"Miller","given":"Bradley R.","non-dropping-particle":"","parse-names":false,"suffix":""},{"dropping-particle":"","family":"Gulick","given":"Andrew M.","non-dropping-particle":"","parse-names":false,"suffix":""}],"container-title":"Methods in Molecular Biology","id":"ITEM-1","issued":{"date-parts":[["2016"]]},"page":"3-29","publisher":"Humana Press, New York, NY","title":"Structural Biology of Nonribosomal Peptide Synthetases","type":"article-journal","volume":"1401"},"uris":["http://www.mendeley.com/documents/?uuid=ee2e0b4b-e117-3ff4-adab-95214d8b0fb9"]},{"id":"ITEM-2","itemData":{"DOI":"10.1016/J.SBI.2004.10.005","ISSN":"0959-440X","PMID":"15582399","abstract":"Small peptides have powerful biological activities ranging from antibiotic to immune suppression. These peptides are synthesized by non-ribosomal peptide synthetases (NRPS). Structural understanding of NRPS took a huge leap forward in 2002; this information has led to several detailed biochemical studies and further structural studies. NRPS are complex molecular machines composed of multiple modules and each module contains several autonomously folded catalytic domains. Structural studies have largely focused on individual domains, isolated from the context of the multienzyme. Biochemical studies have looked at individual domains, isolated whole modules and intact NRPS, and the combined data begin to allow us to visualize the process of peptide assembly by NRPS. © 2004 Elsevier Ltd. All rights reserved.","author":[{"dropping-particle":"","family":"Challis","given":"Gregory L.","non-dropping-particle":"","parse-names":false,"suffix":""},{"dropping-particle":"","family":"Naismith","given":"James H.","non-dropping-particle":"","parse-names":false,"suffix":""}],"container-title":"Current Opinion in Structural Biology","id":"ITEM-2","issue":"6","issued":{"date-parts":[["2004","12","1"]]},"page":"748-756","publisher":"Elsevier Current Trends","title":"Structural aspects of non-ribosomal peptide biosynthesis","type":"article-journal","volume":"14"},"uris":["http://www.mendeley.com/documents/?uuid=508cc342-cb2b-3341-bdf4-1970d7beffce"]}],"mendeley":{"formattedCitation":"&lt;sup&gt;190,204&lt;/sup&gt;","plainTextFormattedCitation":"190,204","previouslyFormattedCitation":"&lt;sup&gt;190,204&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190,204</w:t>
      </w:r>
      <w:r w:rsidRPr="00857C48">
        <w:rPr>
          <w:rFonts w:cs="Arial"/>
          <w:color w:val="000000" w:themeColor="text1"/>
          <w:szCs w:val="22"/>
        </w:rPr>
        <w:fldChar w:fldCharType="end"/>
      </w:r>
      <w:r w:rsidR="00D60D4C">
        <w:rPr>
          <w:rFonts w:cs="Arial"/>
          <w:color w:val="000000" w:themeColor="text1"/>
          <w:szCs w:val="22"/>
        </w:rPr>
        <w:t>.</w:t>
      </w:r>
      <w:r w:rsidRPr="00857C48">
        <w:rPr>
          <w:rFonts w:cs="Arial"/>
          <w:color w:val="000000" w:themeColor="text1"/>
          <w:szCs w:val="22"/>
        </w:rPr>
        <w:t xml:space="preserve"> The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protocol was thus tested as a potential strategy for assessing the sensitivity of </w:t>
      </w:r>
      <w:proofErr w:type="spellStart"/>
      <w:r w:rsidRPr="00857C48">
        <w:rPr>
          <w:rFonts w:cs="Arial"/>
          <w:color w:val="000000" w:themeColor="text1"/>
          <w:szCs w:val="22"/>
        </w:rPr>
        <w:t>BpsA</w:t>
      </w:r>
      <w:proofErr w:type="spellEnd"/>
      <w:r w:rsidRPr="00857C48">
        <w:rPr>
          <w:rFonts w:cs="Arial"/>
          <w:color w:val="000000" w:themeColor="text1"/>
          <w:szCs w:val="22"/>
        </w:rPr>
        <w:t xml:space="preserve"> expression to PEP concentrations, and for investigating whether the catalytic A domain also competes for this TX/TL resource.</w:t>
      </w:r>
    </w:p>
    <w:p w14:paraId="7475BBD2" w14:textId="588090F7" w:rsidR="00857C48" w:rsidRPr="00857C48" w:rsidRDefault="00857C48" w:rsidP="00D60D4C">
      <w:pPr>
        <w:ind w:firstLine="720"/>
        <w:rPr>
          <w:rFonts w:cs="Arial"/>
          <w:color w:val="000000" w:themeColor="text1"/>
          <w:szCs w:val="22"/>
        </w:rPr>
      </w:pPr>
      <w:r w:rsidRPr="00857C48">
        <w:rPr>
          <w:rFonts w:cs="Arial"/>
          <w:color w:val="000000" w:themeColor="text1"/>
          <w:szCs w:val="22"/>
        </w:rPr>
        <w:t xml:space="preserve">Fluorescence reads of the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reactions supplemented with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reagent show a trend in signals that were corroborated by an SDS-PAGE analysis, demonstrating the method’s applicability for measuring relative expression in reactions fed different concentrations of PEP. To interrogate the interdependency between NRPS TX/TL and NRPS catalytic </w:t>
      </w:r>
      <w:r w:rsidRPr="00857C48">
        <w:rPr>
          <w:rFonts w:cs="Arial"/>
          <w:szCs w:val="22"/>
        </w:rPr>
        <w:t xml:space="preserve">activity, a construct that would express </w:t>
      </w:r>
      <w:proofErr w:type="spellStart"/>
      <w:r w:rsidRPr="00857C48">
        <w:rPr>
          <w:rFonts w:cs="Arial"/>
          <w:szCs w:val="22"/>
        </w:rPr>
        <w:t>BpsA</w:t>
      </w:r>
      <w:proofErr w:type="spellEnd"/>
      <w:r w:rsidRPr="00857C48">
        <w:rPr>
          <w:rFonts w:cs="Arial"/>
          <w:szCs w:val="22"/>
        </w:rPr>
        <w:t>-TC with a glutamine-to-alanine substitution at a catalytically essential residue in the active site of the A domain was generated. This point mutation (E315A) disrupts magnesium ion binding which stabilizes ATP in the active site (</w:t>
      </w:r>
      <w:r w:rsidR="00D60D4C">
        <w:rPr>
          <w:rFonts w:cs="Arial"/>
          <w:b/>
          <w:bCs/>
          <w:szCs w:val="22"/>
        </w:rPr>
        <w:t>Appendix Figure 5.1</w:t>
      </w:r>
      <w:r w:rsidR="00BD523B">
        <w:rPr>
          <w:rFonts w:cs="Arial"/>
          <w:b/>
          <w:bCs/>
          <w:szCs w:val="22"/>
        </w:rPr>
        <w:t>2</w:t>
      </w:r>
      <w:r w:rsidRPr="00857C48">
        <w:rPr>
          <w:rFonts w:cs="Arial"/>
          <w:szCs w:val="22"/>
        </w:rPr>
        <w:t>)</w:t>
      </w:r>
      <w:r w:rsidRPr="00857C48">
        <w:rPr>
          <w:rFonts w:cs="Arial"/>
          <w:szCs w:val="22"/>
        </w:rPr>
        <w:fldChar w:fldCharType="begin" w:fldLock="1"/>
      </w:r>
      <w:r w:rsidR="004F3109">
        <w:rPr>
          <w:rFonts w:cs="Arial"/>
          <w:szCs w:val="22"/>
        </w:rPr>
        <w:instrText>ADDIN CSL_CITATION {"citationItems":[{"id":"ITEM-1","itemData":{"DOI":"10.1093/EMBOJ/16.14.4174","ISSN":"1460-2075","PMID":"9250661","abstract":"The non-ribosomal synthesis of the cyclic peptide antibiotic gramicidin S is accomplished by two large multifunctional enzymes, the peptide synthetases 1 and 2. The enzyme complex contains five conserved subunits of ~ 60 kDa which carry out ATP-dependent activation of specific amino acids and share extensive regions of sequence similarity with adenylating enzymes such as firefly luciferases and acyl-CoA ligases. We have determined the crystal structure of the N-terminal adenylation subunit in a complex with AMP and L-phenylalanine to 1.9 Å resolution. The 556 amino acid residue fragment is folded into two domains with the active site situated at their interface. Each domain of the enzyme has a similar topology to the corresponding domain of unliganded firefly luciferase, but a remarkable relative domain rotation of 94°occurs. This conformation places the absolutely conserved Lys517 in a position to form electrostatic interactions with both ligands. The AMP is bound with the phosphate moiety interacting with Lys517 and the hydroxyl groups of the ribose forming hydrogen bonds with Asp413. The phenylalanine substrate binds in a hydrophobic pocket with the carboxylate group interacting with Lys517 and the α-amino group with Asp235. The structure reveals the role of the invariant residues within the superfamily of adenylate-forming enzymes and indicates a conserved mechanism of nucleotide binding and substrate activation.","author":[{"dropping-particle":"","family":"Conti","given":"Elena","non-dropping-particle":"","parse-names":false,"suffix":""},{"dropping-particle":"","family":"Stachelhaus","given":"Torsten","non-dropping-particle":"","parse-names":false,"suffix":""},{"dropping-particle":"","family":"Marahiel","given":"Mohamed A.","non-dropping-particle":"","parse-names":false,"suffix":""},{"dropping-particle":"","family":"Brick","given":"Peter","non-dropping-particle":"","parse-names":false,"suffix":""}],"container-title":"The EMBO Journal","id":"ITEM-1","issue":"14","issued":{"date-parts":[["1997","7","15"]]},"page":"4174-4183","publisher":"John Wiley &amp; Sons, Ltd","title":"Structural basis for the activation of phenylalanine in the non-ribosomal biosynthesis of gramicidin S","type":"article-journal","volume":"16"},"uris":["http://www.mendeley.com/documents/?uuid=99182672-7ec7-3a32-8f14-a3b20a5d8792"]}],"mendeley":{"formattedCitation":"&lt;sup&gt;232&lt;/sup&gt;","plainTextFormattedCitation":"232","previouslyFormattedCitation":"&lt;sup&gt;232&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232</w:t>
      </w:r>
      <w:r w:rsidRPr="00857C48">
        <w:rPr>
          <w:rFonts w:cs="Arial"/>
          <w:szCs w:val="22"/>
        </w:rPr>
        <w:fldChar w:fldCharType="end"/>
      </w:r>
      <w:r w:rsidR="00D60D4C">
        <w:rPr>
          <w:rFonts w:cs="Arial"/>
          <w:szCs w:val="22"/>
        </w:rPr>
        <w:t>.</w:t>
      </w:r>
      <w:r w:rsidRPr="00857C48">
        <w:rPr>
          <w:rFonts w:cs="Arial"/>
          <w:szCs w:val="22"/>
        </w:rPr>
        <w:t xml:space="preserve"> The mutant protein, BpsA-TC_E315A, would thus have an inactive A domain due to disrupted ATP binding. </w:t>
      </w:r>
      <w:r w:rsidRPr="00857C48">
        <w:rPr>
          <w:rFonts w:cs="Arial"/>
          <w:color w:val="000000" w:themeColor="text1"/>
          <w:szCs w:val="22"/>
        </w:rPr>
        <w:t xml:space="preserve">Where </w:t>
      </w:r>
      <w:proofErr w:type="spellStart"/>
      <w:r w:rsidRPr="00857C48">
        <w:rPr>
          <w:rFonts w:cs="Arial"/>
          <w:color w:val="000000" w:themeColor="text1"/>
          <w:szCs w:val="22"/>
        </w:rPr>
        <w:t>BpsA</w:t>
      </w:r>
      <w:proofErr w:type="spellEnd"/>
      <w:r w:rsidRPr="00857C48">
        <w:rPr>
          <w:rFonts w:cs="Arial"/>
          <w:color w:val="000000" w:themeColor="text1"/>
          <w:szCs w:val="22"/>
        </w:rPr>
        <w:t>-TC synthesis in this system peaks with higher starting PEP concentrations (55-77 mM), the maximal BpsA-TC_E315A expression already occurs in the reaction initiated with 33 mM PEP (</w:t>
      </w:r>
      <w:r w:rsidRPr="00857C48">
        <w:rPr>
          <w:rFonts w:cs="Arial"/>
          <w:b/>
          <w:bCs/>
          <w:color w:val="000000" w:themeColor="text1"/>
          <w:szCs w:val="22"/>
        </w:rPr>
        <w:t>Fig</w:t>
      </w:r>
      <w:r w:rsidR="00D60D4C">
        <w:rPr>
          <w:rFonts w:cs="Arial"/>
          <w:b/>
          <w:bCs/>
          <w:color w:val="000000" w:themeColor="text1"/>
          <w:szCs w:val="22"/>
        </w:rPr>
        <w:t>ures</w:t>
      </w:r>
      <w:r w:rsidRPr="00857C48">
        <w:rPr>
          <w:rFonts w:cs="Arial"/>
          <w:b/>
          <w:bCs/>
          <w:color w:val="000000" w:themeColor="text1"/>
          <w:szCs w:val="22"/>
        </w:rPr>
        <w:t xml:space="preserve"> </w:t>
      </w:r>
      <w:r w:rsidR="00D60D4C">
        <w:rPr>
          <w:rFonts w:cs="Arial"/>
          <w:b/>
          <w:bCs/>
          <w:color w:val="000000" w:themeColor="text1"/>
          <w:szCs w:val="22"/>
        </w:rPr>
        <w:t>5.</w:t>
      </w:r>
      <w:r w:rsidRPr="00857C48">
        <w:rPr>
          <w:rFonts w:cs="Arial"/>
          <w:b/>
          <w:bCs/>
          <w:color w:val="000000" w:themeColor="text1"/>
          <w:szCs w:val="22"/>
        </w:rPr>
        <w:t>3A &amp; B</w:t>
      </w:r>
      <w:r w:rsidRPr="00857C48">
        <w:rPr>
          <w:rFonts w:cs="Arial"/>
          <w:color w:val="000000" w:themeColor="text1"/>
          <w:szCs w:val="22"/>
        </w:rPr>
        <w:t xml:space="preserve">). Trends for </w:t>
      </w:r>
      <w:proofErr w:type="spellStart"/>
      <w:r w:rsidRPr="00857C48">
        <w:rPr>
          <w:rFonts w:cs="Arial"/>
          <w:color w:val="000000" w:themeColor="text1"/>
          <w:szCs w:val="22"/>
        </w:rPr>
        <w:t>BpsA</w:t>
      </w:r>
      <w:proofErr w:type="spellEnd"/>
      <w:r w:rsidRPr="00857C48">
        <w:rPr>
          <w:rFonts w:cs="Arial"/>
          <w:color w:val="000000" w:themeColor="text1"/>
          <w:szCs w:val="22"/>
        </w:rPr>
        <w:t>-TC expression under the tested PEP concentrations can be corroborated by SDS-PAGE gels (</w:t>
      </w:r>
      <w:r w:rsidR="00D60D4C">
        <w:rPr>
          <w:rFonts w:cs="Arial"/>
          <w:b/>
          <w:bCs/>
          <w:color w:val="000000" w:themeColor="text1"/>
          <w:szCs w:val="22"/>
        </w:rPr>
        <w:t>Appendix Figure 5.1</w:t>
      </w:r>
      <w:r w:rsidR="00BD523B">
        <w:rPr>
          <w:rFonts w:cs="Arial"/>
          <w:b/>
          <w:bCs/>
          <w:color w:val="000000" w:themeColor="text1"/>
          <w:szCs w:val="22"/>
        </w:rPr>
        <w:t>3</w:t>
      </w:r>
      <w:r w:rsidR="00D60D4C">
        <w:rPr>
          <w:rFonts w:cs="Arial"/>
          <w:b/>
          <w:bCs/>
          <w:color w:val="000000" w:themeColor="text1"/>
          <w:szCs w:val="22"/>
        </w:rPr>
        <w:t>A</w:t>
      </w:r>
      <w:r w:rsidRPr="00857C48">
        <w:rPr>
          <w:rFonts w:cs="Arial"/>
          <w:color w:val="000000" w:themeColor="text1"/>
          <w:szCs w:val="22"/>
        </w:rPr>
        <w:t xml:space="preserve">). These results confirm that functional NRPS TX/TL can have higher energy substrate requirements than proteins of the same size because the catalytically active A domain contributes to the additional catabolism of ATP. Indeed, BpsA-TC_E315A is expressed more than </w:t>
      </w:r>
      <w:proofErr w:type="spellStart"/>
      <w:r w:rsidRPr="00857C48">
        <w:rPr>
          <w:rFonts w:cs="Arial"/>
          <w:color w:val="000000" w:themeColor="text1"/>
          <w:szCs w:val="22"/>
        </w:rPr>
        <w:t>BpsA</w:t>
      </w:r>
      <w:proofErr w:type="spellEnd"/>
      <w:r w:rsidRPr="00857C48">
        <w:rPr>
          <w:rFonts w:cs="Arial"/>
          <w:color w:val="000000" w:themeColor="text1"/>
          <w:szCs w:val="22"/>
        </w:rPr>
        <w:t>-TC in reactions that are read at the same time and that were initiated with the same amount of PEP.</w:t>
      </w:r>
    </w:p>
    <w:p w14:paraId="72D8927D" w14:textId="15C6C7CD" w:rsidR="00857C48" w:rsidRPr="00857C48" w:rsidRDefault="00857C48" w:rsidP="00D60D4C">
      <w:pPr>
        <w:ind w:firstLine="720"/>
        <w:rPr>
          <w:rFonts w:cs="Arial"/>
          <w:color w:val="000000" w:themeColor="text1"/>
          <w:szCs w:val="22"/>
        </w:rPr>
      </w:pPr>
      <w:r w:rsidRPr="00857C48">
        <w:rPr>
          <w:rFonts w:cs="Arial"/>
          <w:color w:val="000000" w:themeColor="text1"/>
          <w:szCs w:val="22"/>
        </w:rPr>
        <w:t xml:space="preserve">Reactions were also set up with </w:t>
      </w:r>
      <w:proofErr w:type="spellStart"/>
      <w:r w:rsidRPr="00857C48">
        <w:rPr>
          <w:rFonts w:cs="Arial"/>
          <w:color w:val="000000" w:themeColor="text1"/>
          <w:szCs w:val="22"/>
        </w:rPr>
        <w:t>sfGFP</w:t>
      </w:r>
      <w:proofErr w:type="spellEnd"/>
      <w:r w:rsidRPr="00857C48">
        <w:rPr>
          <w:rFonts w:cs="Arial"/>
          <w:color w:val="000000" w:themeColor="text1"/>
          <w:szCs w:val="22"/>
        </w:rPr>
        <w:t xml:space="preserve"> to compare the </w:t>
      </w:r>
      <w:proofErr w:type="spellStart"/>
      <w:r w:rsidRPr="00857C48">
        <w:rPr>
          <w:rFonts w:cs="Arial"/>
          <w:color w:val="000000" w:themeColor="text1"/>
          <w:szCs w:val="22"/>
        </w:rPr>
        <w:t>BpsA</w:t>
      </w:r>
      <w:proofErr w:type="spellEnd"/>
      <w:r w:rsidRPr="00857C48">
        <w:rPr>
          <w:rFonts w:cs="Arial"/>
          <w:color w:val="000000" w:themeColor="text1"/>
          <w:szCs w:val="22"/>
        </w:rPr>
        <w:t xml:space="preserve"> trends to those of a smaller, robustly folding protein (</w:t>
      </w:r>
      <w:r w:rsidRPr="00857C48">
        <w:rPr>
          <w:rFonts w:cs="Arial"/>
          <w:b/>
          <w:bCs/>
          <w:color w:val="000000" w:themeColor="text1"/>
          <w:szCs w:val="22"/>
        </w:rPr>
        <w:t>Fig</w:t>
      </w:r>
      <w:r w:rsidR="00D60D4C">
        <w:rPr>
          <w:rFonts w:cs="Arial"/>
          <w:b/>
          <w:bCs/>
          <w:color w:val="000000" w:themeColor="text1"/>
          <w:szCs w:val="22"/>
        </w:rPr>
        <w:t>ure</w:t>
      </w:r>
      <w:r w:rsidRPr="00857C48">
        <w:rPr>
          <w:rFonts w:cs="Arial"/>
          <w:b/>
          <w:bCs/>
          <w:color w:val="000000" w:themeColor="text1"/>
          <w:szCs w:val="22"/>
        </w:rPr>
        <w:t xml:space="preserve"> </w:t>
      </w:r>
      <w:r w:rsidR="00D60D4C">
        <w:rPr>
          <w:rFonts w:cs="Arial"/>
          <w:b/>
          <w:bCs/>
          <w:color w:val="000000" w:themeColor="text1"/>
          <w:szCs w:val="22"/>
        </w:rPr>
        <w:t>5.</w:t>
      </w:r>
      <w:r w:rsidRPr="00857C48">
        <w:rPr>
          <w:rFonts w:cs="Arial"/>
          <w:b/>
          <w:bCs/>
          <w:color w:val="000000" w:themeColor="text1"/>
          <w:szCs w:val="22"/>
        </w:rPr>
        <w:t>3C</w:t>
      </w:r>
      <w:r w:rsidRPr="00857C48">
        <w:rPr>
          <w:rFonts w:cs="Arial"/>
          <w:color w:val="000000" w:themeColor="text1"/>
          <w:szCs w:val="22"/>
        </w:rPr>
        <w:t xml:space="preserve">). Interestingly, relative expression patterns for </w:t>
      </w:r>
      <w:proofErr w:type="spellStart"/>
      <w:r w:rsidRPr="00857C48">
        <w:rPr>
          <w:rFonts w:cs="Arial"/>
          <w:color w:val="000000" w:themeColor="text1"/>
          <w:szCs w:val="22"/>
        </w:rPr>
        <w:t>sfGFP</w:t>
      </w:r>
      <w:proofErr w:type="spellEnd"/>
      <w:r w:rsidRPr="00857C48">
        <w:rPr>
          <w:rFonts w:cs="Arial"/>
          <w:color w:val="000000" w:themeColor="text1"/>
          <w:szCs w:val="22"/>
        </w:rPr>
        <w:t xml:space="preserve"> </w:t>
      </w:r>
      <w:r w:rsidRPr="00857C48">
        <w:rPr>
          <w:rFonts w:cs="Arial"/>
          <w:color w:val="000000" w:themeColor="text1"/>
          <w:szCs w:val="22"/>
        </w:rPr>
        <w:lastRenderedPageBreak/>
        <w:t xml:space="preserve">resemble those of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However, </w:t>
      </w:r>
      <w:proofErr w:type="spellStart"/>
      <w:r w:rsidRPr="00857C48">
        <w:rPr>
          <w:rFonts w:cs="Arial"/>
          <w:color w:val="000000" w:themeColor="text1"/>
          <w:szCs w:val="22"/>
        </w:rPr>
        <w:t>sfGFP</w:t>
      </w:r>
      <w:proofErr w:type="spellEnd"/>
      <w:r w:rsidRPr="00857C48">
        <w:rPr>
          <w:rFonts w:cs="Arial"/>
          <w:color w:val="000000" w:themeColor="text1"/>
          <w:szCs w:val="22"/>
        </w:rPr>
        <w:t xml:space="preserve"> yields significantly increase as initial PEP concentrations rise to 77 mM while BpsA-TC_E315A expression has no significant change beyond the 33 mM PEP condition. Both BpsA-TC_E315A and </w:t>
      </w:r>
      <w:proofErr w:type="spellStart"/>
      <w:r w:rsidRPr="00857C48">
        <w:rPr>
          <w:rFonts w:cs="Arial"/>
          <w:color w:val="000000" w:themeColor="text1"/>
          <w:szCs w:val="22"/>
        </w:rPr>
        <w:t>sfGFP</w:t>
      </w:r>
      <w:proofErr w:type="spellEnd"/>
      <w:r w:rsidRPr="00857C48">
        <w:rPr>
          <w:rFonts w:cs="Arial"/>
          <w:color w:val="000000" w:themeColor="text1"/>
          <w:szCs w:val="22"/>
        </w:rPr>
        <w:t xml:space="preserve"> should not compete with TX/TL processes for ATP, so the disparity in these trends may be attributed to other factors that limit the full-length synthesis of a larger and likely less soluble protein than </w:t>
      </w:r>
      <w:proofErr w:type="spellStart"/>
      <w:r w:rsidRPr="00857C48">
        <w:rPr>
          <w:rFonts w:cs="Arial"/>
          <w:color w:val="000000" w:themeColor="text1"/>
          <w:szCs w:val="22"/>
        </w:rPr>
        <w:t>sfGFP</w:t>
      </w:r>
      <w:proofErr w:type="spellEnd"/>
      <w:r w:rsidRPr="00857C48">
        <w:rPr>
          <w:rFonts w:cs="Arial"/>
          <w:color w:val="000000" w:themeColor="text1"/>
          <w:szCs w:val="22"/>
        </w:rPr>
        <w:t>.</w:t>
      </w:r>
    </w:p>
    <w:p w14:paraId="272E21C9" w14:textId="40A7D37F" w:rsidR="00857C48" w:rsidRDefault="00857C48" w:rsidP="00D60D4C">
      <w:pPr>
        <w:ind w:firstLine="720"/>
        <w:rPr>
          <w:rFonts w:cs="Arial"/>
          <w:color w:val="000000" w:themeColor="text1"/>
          <w:szCs w:val="22"/>
        </w:rPr>
      </w:pPr>
      <w:r w:rsidRPr="00857C48">
        <w:rPr>
          <w:rFonts w:cs="Arial"/>
          <w:color w:val="000000" w:themeColor="text1"/>
          <w:szCs w:val="22"/>
        </w:rPr>
        <w:t xml:space="preserve">Unexpectedly, </w:t>
      </w:r>
      <w:proofErr w:type="spellStart"/>
      <w:r w:rsidRPr="00857C48">
        <w:rPr>
          <w:rFonts w:cs="Arial"/>
          <w:color w:val="000000" w:themeColor="text1"/>
          <w:szCs w:val="22"/>
        </w:rPr>
        <w:t>BpsA</w:t>
      </w:r>
      <w:proofErr w:type="spellEnd"/>
      <w:r w:rsidRPr="00857C48">
        <w:rPr>
          <w:rFonts w:cs="Arial"/>
          <w:color w:val="000000" w:themeColor="text1"/>
          <w:szCs w:val="22"/>
        </w:rPr>
        <w:t>-TC synthesis in reactions initiated with 100 mM PEP is substantially reduced which may also be attributed to the active A domain (</w:t>
      </w:r>
      <w:r w:rsidRPr="00857C48">
        <w:rPr>
          <w:rFonts w:cs="Arial"/>
          <w:b/>
          <w:bCs/>
          <w:color w:val="000000" w:themeColor="text1"/>
          <w:szCs w:val="22"/>
        </w:rPr>
        <w:t>Fig</w:t>
      </w:r>
      <w:r w:rsidR="00D60D4C">
        <w:rPr>
          <w:rFonts w:cs="Arial"/>
          <w:b/>
          <w:bCs/>
          <w:color w:val="000000" w:themeColor="text1"/>
          <w:szCs w:val="22"/>
        </w:rPr>
        <w:t>ure</w:t>
      </w:r>
      <w:r w:rsidRPr="00857C48">
        <w:rPr>
          <w:rFonts w:cs="Arial"/>
          <w:b/>
          <w:bCs/>
          <w:color w:val="000000" w:themeColor="text1"/>
          <w:szCs w:val="22"/>
        </w:rPr>
        <w:t xml:space="preserve"> </w:t>
      </w:r>
      <w:r w:rsidR="00D60D4C">
        <w:rPr>
          <w:rFonts w:cs="Arial"/>
          <w:b/>
          <w:bCs/>
          <w:color w:val="000000" w:themeColor="text1"/>
          <w:szCs w:val="22"/>
        </w:rPr>
        <w:t>5.</w:t>
      </w:r>
      <w:r w:rsidRPr="00857C48">
        <w:rPr>
          <w:rFonts w:cs="Arial"/>
          <w:b/>
          <w:bCs/>
          <w:color w:val="000000" w:themeColor="text1"/>
          <w:szCs w:val="22"/>
        </w:rPr>
        <w:t>3A</w:t>
      </w:r>
      <w:r w:rsidRPr="00857C48">
        <w:rPr>
          <w:rFonts w:cs="Arial"/>
          <w:color w:val="000000" w:themeColor="text1"/>
          <w:szCs w:val="22"/>
        </w:rPr>
        <w:t xml:space="preserve">). In the conventional </w:t>
      </w:r>
      <w:proofErr w:type="spellStart"/>
      <w:r w:rsidRPr="00857C48">
        <w:rPr>
          <w:rFonts w:cs="Arial"/>
          <w:color w:val="000000" w:themeColor="text1"/>
          <w:szCs w:val="22"/>
        </w:rPr>
        <w:t>PANOx</w:t>
      </w:r>
      <w:proofErr w:type="spellEnd"/>
      <w:r w:rsidRPr="00857C48">
        <w:rPr>
          <w:rFonts w:cs="Arial"/>
          <w:color w:val="000000" w:themeColor="text1"/>
          <w:szCs w:val="22"/>
        </w:rPr>
        <w:t>-SP system, PEP concentrations beyond the optimum cause high inorganic phosphate accumulation due to the degradation of PEP itself</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{"citationItems":[{"id":"ITEM-1","itemData":{"DOI":"10.1002/(SICI)1097-0290(1999)66:3&lt;180::AID-BIT6&gt;3.0.CO;2-S","ISSN":"00063592","PMID":"10577472","abstract":"A new approach for the regeneration of adenosine triphosphate (ATP) during cell-free protein synthesis was developed to prolong the synthesis and also to avoid the accumulation of inorganic phosphate. This approach was demonstrated in a batch system derived from Escherichia coli. Contrary to the conventional methods in which exogenous energy sources contain high-energy phosphate bonds, the new system was designed to generate continuously the required high-energy phosphate bonds within the reaction mixture, thereby recycling the phosphate released during protein synthesis. If allowed to accumulate, phosphate inhibits protein synthesis, most likely by reducing the concentration of free magnesium ion. Pediococcus sp. pyruvate oxidase, when introduced in the reaction mixture along with thiamine pyrophosphate (TPP) and flavin adenine dinucleotide (FAD), catalyzed the generation of acetyl phosphate from pyruvate and inorganic phosphate. Acetyl kinase, already present with sufficient activity in Escherichia coli S30 extract, then catalyzed the regeneration of ATP. Oxygen is required for the generation of acetyl phosphate and the H2O2 produced as a byproduct is sufficiently degraded by endogenous catalase activity. Through the continuous supply of chemical energy, and also through the prevention of inorganic phosphate accumulation, the duration of protein synthesis is extended up to 2 h. Protein accumulation levels also increase. The synthesis of human lymphotoxin receives greater benefit than than that of chloramphenicol acetyl transferase, because the former is more sensitive to phosphate inhibition. Finally, through repeated addition of pyruvate and amino acids during the reaction period, protein synthesis continued for 6 h in the new system, resulting in a final yield of 0.7 mg/mL.","author":[{"dropping-particle":"","family":"Kim","given":"Dong Myung","non-dropping-particle":"","parse-names":false,"suffix":""},{"dropping-particle":"","family":"Swartz","given":"James R.","non-dropping-particle":"","parse-names":false,"suffix":""}],"container-title":"Biotechnology and Bioengineering","id":"ITEM-1","issue":"3","issued":{"date-parts":[["1999"]]},"page":"180-188","title":"Prolonging cell-free protein synthesis with a novel ATP regeneration system","type":"article-journal","volume":"66"},"uris":["http://www.mendeley.com/documents/?uuid=c1a1979e-739e-4e0e-9f81-aa98bad6dce6"]}],"mendeley":{"formattedCitation":"&lt;sup&gt;229&lt;/sup&gt;","plainTextFormattedCitation":"229","previouslyFormattedCitation":"&lt;sup&gt;229&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229</w:t>
      </w:r>
      <w:r w:rsidRPr="00857C48">
        <w:rPr>
          <w:rFonts w:cs="Arial"/>
          <w:color w:val="000000" w:themeColor="text1"/>
          <w:szCs w:val="22"/>
        </w:rPr>
        <w:fldChar w:fldCharType="end"/>
      </w:r>
      <w:r w:rsidR="00D60D4C">
        <w:rPr>
          <w:rFonts w:cs="Arial"/>
          <w:color w:val="000000" w:themeColor="text1"/>
          <w:szCs w:val="22"/>
        </w:rPr>
        <w:t>.</w:t>
      </w:r>
      <w:r w:rsidRPr="00857C48">
        <w:rPr>
          <w:rFonts w:cs="Arial"/>
          <w:color w:val="000000" w:themeColor="text1"/>
          <w:szCs w:val="22"/>
        </w:rPr>
        <w:t xml:space="preserve"> In the current system, this phenomenon may be partially responsible for the significant inhibition of </w:t>
      </w:r>
      <w:proofErr w:type="spellStart"/>
      <w:r w:rsidRPr="00857C48">
        <w:rPr>
          <w:rFonts w:cs="Arial"/>
          <w:color w:val="000000" w:themeColor="text1"/>
          <w:szCs w:val="22"/>
        </w:rPr>
        <w:t>BpsA</w:t>
      </w:r>
      <w:proofErr w:type="spellEnd"/>
      <w:r w:rsidRPr="00857C48">
        <w:rPr>
          <w:rFonts w:cs="Arial"/>
          <w:color w:val="000000" w:themeColor="text1"/>
          <w:szCs w:val="22"/>
        </w:rPr>
        <w:t>-TC synthesis in the 100 mM PEP reactions compared to all other conditions. However, BpsA-TC_E315A yields in reactions started with 100 mM PEP are not as drastically reduced (</w:t>
      </w:r>
      <w:r w:rsidRPr="00857C48">
        <w:rPr>
          <w:rFonts w:cs="Arial"/>
          <w:b/>
          <w:bCs/>
          <w:color w:val="000000" w:themeColor="text1"/>
          <w:szCs w:val="22"/>
        </w:rPr>
        <w:t>Fig</w:t>
      </w:r>
      <w:r w:rsidR="00D60D4C">
        <w:rPr>
          <w:rFonts w:cs="Arial"/>
          <w:b/>
          <w:bCs/>
          <w:color w:val="000000" w:themeColor="text1"/>
          <w:szCs w:val="22"/>
        </w:rPr>
        <w:t>ure</w:t>
      </w:r>
      <w:r w:rsidRPr="00857C48">
        <w:rPr>
          <w:rFonts w:cs="Arial"/>
          <w:b/>
          <w:bCs/>
          <w:color w:val="000000" w:themeColor="text1"/>
          <w:szCs w:val="22"/>
        </w:rPr>
        <w:t xml:space="preserve"> </w:t>
      </w:r>
      <w:r w:rsidR="00D60D4C">
        <w:rPr>
          <w:rFonts w:cs="Arial"/>
          <w:b/>
          <w:bCs/>
          <w:color w:val="000000" w:themeColor="text1"/>
          <w:szCs w:val="22"/>
        </w:rPr>
        <w:t>5.</w:t>
      </w:r>
      <w:r w:rsidRPr="00857C48">
        <w:rPr>
          <w:rFonts w:cs="Arial"/>
          <w:b/>
          <w:bCs/>
          <w:color w:val="000000" w:themeColor="text1"/>
          <w:szCs w:val="22"/>
        </w:rPr>
        <w:t>3B</w:t>
      </w:r>
      <w:r w:rsidRPr="00857C48">
        <w:rPr>
          <w:rFonts w:cs="Arial"/>
          <w:color w:val="000000" w:themeColor="text1"/>
          <w:szCs w:val="22"/>
        </w:rPr>
        <w:t>). These data imply that the A domain contributes to the inhibition of NRPS TX/TL when PEP is increasingly available, hypothetically because there is a larger ATP pool to liberate pyrophosphates from during amino acid adenylation</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{"citationItems":[{"id":"ITEM-1","itemData":{"DOI":"10.1007/978-1-4939-3375-4_1","ISSN":"10643745","PMID":"26831698","abstract":"The nonribosomal peptide synthetases are modular enzymes that catalyze synthesis of important peptide products from a variety of standard and non-proteinogenic amino acid substrates. Within a single module are multiple catalytic domains that are responsible for incorporation of a single residue. After the amino acid is activated and covalently attached to an integrated carrier protein domain, the substrates and intermediates are delivered to neighboring catalytic domains for peptide bond formation or, in some modules, chemical modifi cation. In the fi nal module, the peptide is delivered to a terminal thioesterase domain that catalyzes release of the peptide product. This multi-domain modular architecture raises questions about the structural features that enable this assembly line synthesis in an effi cient manner. The structures of the core component domains have been determined and demonstrate insights into the catalytic activity. More recently, multi-domain structures have been determined and are providing clues to the features of these enzyme systems that govern the functional interaction between multiple domains. This chapter describes the structures of NRPS proteins and the strategies that are being used to assist structural studies of these dynamic proteins, including careful consideration of domain boundaries for generation of truncated proteins and the use of mechanism-based inhibitors that trap interactions between the catalytic and carrier protein domains.","author":[{"dropping-particle":"","family":"Miller","given":"Bradley R.","non-dropping-particle":"","parse-names":false,"suffix":""},{"dropping-particle":"","family":"Gulick","given":"Andrew M.","non-dropping-particle":"","parse-names":false,"suffix":""}],"container-title":"Methods in Molecular Biology","id":"ITEM-1","issued":{"date-parts":[["2016"]]},"page":"3-29","publisher":"Humana Press, New York, NY","title":"Structural Biology of Nonribosomal Peptide Synthetases","type":"article-journal","volume":"1401"},"uris":["http://www.mendeley.com/documents/?uuid=ee2e0b4b-e117-3ff4-adab-95214d8b0fb9"]},{"id":"ITEM-2","itemData":{"DOI":"10.1002/(SICI)1097-0290(1999)66:3&lt;180::AID-BIT6&gt;3.0.CO;2-S","ISSN":"00063592","PMID":"10577472","abstract":"A new approach for the regeneration of adenosine triphosphate (ATP) during cell-free protein synthesis was developed to prolong the synthesis and also to avoid the accumulation of inorganic phosphate. This approach was demonstrated in a batch system derived from Escherichia coli. Contrary to the conventional methods in which exogenous energy sources contain high-energy phosphate bonds, the new system was designed to generate continuously the required high-energy phosphate bonds within the reaction mixture, thereby recycling the phosphate released during protein synthesis. If allowed to accumulate, phosphate inhibits protein synthesis, most likely by reducing the concentration of free magnesium ion. Pediococcus sp. pyruvate oxidase, when introduced in the reaction mixture along with thiamine pyrophosphate (TPP) and flavin adenine dinucleotide (FAD), catalyzed the generation of acetyl phosphate from pyruvate and inorganic phosphate. Acetyl kinase, already present with sufficient activity in Escherichia coli S30 extract, then catalyzed the regeneration of ATP. Oxygen is required for the generation of acetyl phosphate and the H2O2 produced as a byproduct is sufficiently degraded by endogenous catalase activity. Through the continuous supply of chemical energy, and also through the prevention of inorganic phosphate accumulation, the duration of protein synthesis is extended up to 2 h. Protein accumulation levels also increase. The synthesis of human lymphotoxin receives greater benefit than than that of chloramphenicol acetyl transferase, because the former is more sensitive to phosphate inhibition. Finally, through repeated addition of pyruvate and amino acids during the reaction period, protein synthesis continued for 6 h in the new system, resulting in a final yield of 0.7 mg/mL.","author":[{"dropping-particle":"","family":"Kim","given":"Dong Myung","non-dropping-particle":"","parse-names":false,"suffix":""},{"dropping-particle":"","family":"Swartz","given":"James R.","non-dropping-particle":"","parse-names":false,"suffix":""}],"container-title":"Biotechnology and Bioengineering","id":"ITEM-2","issue":"3","issued":{"date-parts":[["1999"]]},"page":"180-188","title":"Prolonging cell-free protein synthesis with a novel ATP regeneration system","type":"article-journal","volume":"66"},"uris":["http://www.mendeley.com/documents/?uuid=c1a1979e-739e-4e0e-9f81-aa98bad6dce6"]}],"mendeley":{"formattedCitation":"&lt;sup&gt;190,229&lt;/sup&gt;","plainTextFormattedCitation":"190,229","previouslyFormattedCitation":"&lt;sup&gt;190,229&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190,229</w:t>
      </w:r>
      <w:r w:rsidRPr="00857C48">
        <w:rPr>
          <w:rFonts w:cs="Arial"/>
          <w:color w:val="000000" w:themeColor="text1"/>
          <w:szCs w:val="22"/>
        </w:rPr>
        <w:fldChar w:fldCharType="end"/>
      </w:r>
      <w:r w:rsidR="00D60D4C">
        <w:rPr>
          <w:rFonts w:cs="Arial"/>
          <w:color w:val="000000" w:themeColor="text1"/>
          <w:szCs w:val="22"/>
        </w:rPr>
        <w:t>.</w:t>
      </w:r>
      <w:r w:rsidRPr="00857C48">
        <w:rPr>
          <w:rFonts w:cs="Arial"/>
          <w:color w:val="000000" w:themeColor="text1"/>
          <w:szCs w:val="22"/>
        </w:rPr>
        <w:t xml:space="preserve"> To test whether the active A domain indeed leads to lower expression of </w:t>
      </w:r>
      <w:proofErr w:type="spellStart"/>
      <w:r w:rsidRPr="00857C48">
        <w:rPr>
          <w:rFonts w:cs="Arial"/>
          <w:color w:val="000000" w:themeColor="text1"/>
          <w:szCs w:val="22"/>
        </w:rPr>
        <w:t>BpsA</w:t>
      </w:r>
      <w:proofErr w:type="spellEnd"/>
      <w:r w:rsidRPr="00857C48">
        <w:rPr>
          <w:rFonts w:cs="Arial"/>
          <w:color w:val="000000" w:themeColor="text1"/>
          <w:szCs w:val="22"/>
        </w:rPr>
        <w:t xml:space="preserve"> when more ATP is available, reactions containing constructs for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or BpsA-TC_E315A were fed 77 mM PEP and increasing supplemental concentrations of ATP. PEP was still added to the system because adding ATP alone resulted in no protein expression. Compared to reactions without additional ATP, increasing ATP concentrations only reduces </w:t>
      </w:r>
      <w:proofErr w:type="spellStart"/>
      <w:r w:rsidRPr="00857C48">
        <w:rPr>
          <w:rFonts w:cs="Arial"/>
          <w:color w:val="000000" w:themeColor="text1"/>
          <w:szCs w:val="22"/>
        </w:rPr>
        <w:t>BpsA</w:t>
      </w:r>
      <w:proofErr w:type="spellEnd"/>
      <w:r w:rsidRPr="00857C48">
        <w:rPr>
          <w:rFonts w:cs="Arial"/>
          <w:color w:val="000000" w:themeColor="text1"/>
          <w:szCs w:val="22"/>
        </w:rPr>
        <w:t>-TC expression (</w:t>
      </w:r>
      <w:r w:rsidRPr="00857C48">
        <w:rPr>
          <w:rFonts w:cs="Arial"/>
          <w:b/>
          <w:bCs/>
          <w:color w:val="000000" w:themeColor="text1"/>
          <w:szCs w:val="22"/>
        </w:rPr>
        <w:t>Fig</w:t>
      </w:r>
      <w:r w:rsidR="00D60D4C">
        <w:rPr>
          <w:rFonts w:cs="Arial"/>
          <w:b/>
          <w:bCs/>
          <w:color w:val="000000" w:themeColor="text1"/>
          <w:szCs w:val="22"/>
        </w:rPr>
        <w:t>ure</w:t>
      </w:r>
      <w:r w:rsidRPr="00857C48">
        <w:rPr>
          <w:rFonts w:cs="Arial"/>
          <w:b/>
          <w:bCs/>
          <w:color w:val="000000" w:themeColor="text1"/>
          <w:szCs w:val="22"/>
        </w:rPr>
        <w:t xml:space="preserve"> </w:t>
      </w:r>
      <w:r w:rsidR="00D60D4C">
        <w:rPr>
          <w:rFonts w:cs="Arial"/>
          <w:b/>
          <w:bCs/>
          <w:color w:val="000000" w:themeColor="text1"/>
          <w:szCs w:val="22"/>
        </w:rPr>
        <w:t>5.</w:t>
      </w:r>
      <w:r w:rsidRPr="00857C48">
        <w:rPr>
          <w:rFonts w:cs="Arial"/>
          <w:b/>
          <w:bCs/>
          <w:color w:val="000000" w:themeColor="text1"/>
          <w:szCs w:val="22"/>
        </w:rPr>
        <w:t>3D</w:t>
      </w:r>
      <w:r w:rsidRPr="00857C48">
        <w:rPr>
          <w:rFonts w:cs="Arial"/>
          <w:color w:val="000000" w:themeColor="text1"/>
          <w:szCs w:val="22"/>
        </w:rPr>
        <w:t xml:space="preserve">, </w:t>
      </w:r>
      <w:r w:rsidR="00D60D4C">
        <w:rPr>
          <w:rFonts w:cs="Arial"/>
          <w:b/>
          <w:bCs/>
          <w:color w:val="000000" w:themeColor="text1"/>
          <w:szCs w:val="22"/>
        </w:rPr>
        <w:t>Appendix Figure 5.1</w:t>
      </w:r>
      <w:r w:rsidR="00BD523B">
        <w:rPr>
          <w:rFonts w:cs="Arial"/>
          <w:b/>
          <w:bCs/>
          <w:color w:val="000000" w:themeColor="text1"/>
          <w:szCs w:val="22"/>
        </w:rPr>
        <w:t>3</w:t>
      </w:r>
      <w:r w:rsidRPr="00857C48">
        <w:rPr>
          <w:rFonts w:cs="Arial"/>
          <w:b/>
          <w:bCs/>
          <w:color w:val="000000" w:themeColor="text1"/>
          <w:szCs w:val="22"/>
        </w:rPr>
        <w:t>B</w:t>
      </w:r>
      <w:r w:rsidRPr="00857C48">
        <w:rPr>
          <w:rFonts w:cs="Arial"/>
          <w:color w:val="000000" w:themeColor="text1"/>
          <w:szCs w:val="22"/>
        </w:rPr>
        <w:t>) but improves or has no significant effect on BpsA-TC_E315A synthesis (</w:t>
      </w:r>
      <w:r w:rsidRPr="00857C48">
        <w:rPr>
          <w:rFonts w:cs="Arial"/>
          <w:b/>
          <w:bCs/>
          <w:color w:val="000000" w:themeColor="text1"/>
          <w:szCs w:val="22"/>
        </w:rPr>
        <w:t>Fig</w:t>
      </w:r>
      <w:r w:rsidR="00D60D4C">
        <w:rPr>
          <w:rFonts w:cs="Arial"/>
          <w:b/>
          <w:bCs/>
          <w:color w:val="000000" w:themeColor="text1"/>
          <w:szCs w:val="22"/>
        </w:rPr>
        <w:t>ure</w:t>
      </w:r>
      <w:r w:rsidRPr="00857C48">
        <w:rPr>
          <w:rFonts w:cs="Arial"/>
          <w:b/>
          <w:bCs/>
          <w:color w:val="000000" w:themeColor="text1"/>
          <w:szCs w:val="22"/>
        </w:rPr>
        <w:t xml:space="preserve"> </w:t>
      </w:r>
      <w:r w:rsidR="00D60D4C">
        <w:rPr>
          <w:rFonts w:cs="Arial"/>
          <w:b/>
          <w:bCs/>
          <w:color w:val="000000" w:themeColor="text1"/>
          <w:szCs w:val="22"/>
        </w:rPr>
        <w:t>5.</w:t>
      </w:r>
      <w:r w:rsidRPr="00857C48">
        <w:rPr>
          <w:rFonts w:cs="Arial"/>
          <w:b/>
          <w:bCs/>
          <w:color w:val="000000" w:themeColor="text1"/>
          <w:szCs w:val="22"/>
        </w:rPr>
        <w:t>3E</w:t>
      </w:r>
      <w:r w:rsidRPr="00857C48">
        <w:rPr>
          <w:rFonts w:cs="Arial"/>
          <w:color w:val="000000" w:themeColor="text1"/>
          <w:szCs w:val="22"/>
        </w:rPr>
        <w:t>). However, BpsA-TC_E315A synthesis decreases when reactions are supplemented with inorganic phosphates (</w:t>
      </w:r>
      <w:r w:rsidRPr="00857C48">
        <w:rPr>
          <w:rFonts w:cs="Arial"/>
          <w:b/>
          <w:bCs/>
          <w:color w:val="000000" w:themeColor="text1"/>
          <w:szCs w:val="22"/>
        </w:rPr>
        <w:t>Fig</w:t>
      </w:r>
      <w:r w:rsidR="00D60D4C">
        <w:rPr>
          <w:rFonts w:cs="Arial"/>
          <w:b/>
          <w:bCs/>
          <w:color w:val="000000" w:themeColor="text1"/>
          <w:szCs w:val="22"/>
        </w:rPr>
        <w:t>ure</w:t>
      </w:r>
      <w:r w:rsidRPr="00857C48">
        <w:rPr>
          <w:rFonts w:cs="Arial"/>
          <w:b/>
          <w:bCs/>
          <w:color w:val="000000" w:themeColor="text1"/>
          <w:szCs w:val="22"/>
        </w:rPr>
        <w:t xml:space="preserve"> </w:t>
      </w:r>
      <w:r w:rsidR="00D60D4C">
        <w:rPr>
          <w:rFonts w:cs="Arial"/>
          <w:b/>
          <w:bCs/>
          <w:color w:val="000000" w:themeColor="text1"/>
          <w:szCs w:val="22"/>
        </w:rPr>
        <w:t>5.</w:t>
      </w:r>
      <w:r w:rsidRPr="00857C48">
        <w:rPr>
          <w:rFonts w:cs="Arial"/>
          <w:b/>
          <w:bCs/>
          <w:color w:val="000000" w:themeColor="text1"/>
          <w:szCs w:val="22"/>
        </w:rPr>
        <w:t>3F</w:t>
      </w:r>
      <w:r w:rsidRPr="00857C48">
        <w:rPr>
          <w:rFonts w:cs="Arial"/>
          <w:color w:val="000000" w:themeColor="text1"/>
          <w:szCs w:val="22"/>
        </w:rPr>
        <w:t>). Altogether these data imply that the active A domain’s liberation of free phosphates is increasingly deleterious to expression when higher ATP pools are available.</w:t>
      </w:r>
    </w:p>
    <w:p w14:paraId="3F11AC60" w14:textId="240EC621" w:rsidR="00A90B05" w:rsidRDefault="00A90B05" w:rsidP="00A90B05">
      <w:pPr>
        <w:rPr>
          <w:rFonts w:cs="Arial"/>
          <w:color w:val="000000" w:themeColor="text1"/>
          <w:szCs w:val="22"/>
        </w:rPr>
      </w:pPr>
    </w:p>
    <w:p w14:paraId="483335E8" w14:textId="77777777" w:rsidR="00857C48" w:rsidRPr="00857C48" w:rsidRDefault="00857C48" w:rsidP="00D60D4C">
      <w:pPr>
        <w:rPr>
          <w:rFonts w:cs="Arial"/>
          <w:color w:val="000000" w:themeColor="text1"/>
          <w:szCs w:val="22"/>
        </w:rPr>
      </w:pPr>
    </w:p>
    <w:p w14:paraId="6FA7D899" w14:textId="77777777" w:rsidR="00857C48" w:rsidRPr="00857C48" w:rsidRDefault="00857C48" w:rsidP="00D60D4C">
      <w:pPr>
        <w:rPr>
          <w:rFonts w:cs="Arial"/>
          <w:color w:val="000000" w:themeColor="text1"/>
          <w:szCs w:val="22"/>
        </w:rPr>
      </w:pPr>
      <w:r w:rsidRPr="00857C48">
        <w:rPr>
          <w:rFonts w:cs="Arial"/>
          <w:noProof/>
          <w:color w:val="000000" w:themeColor="text1"/>
          <w:szCs w:val="22"/>
        </w:rPr>
        <w:lastRenderedPageBreak/>
        <w:drawing>
          <wp:inline distT="0" distB="0" distL="0" distR="0" wp14:anchorId="0A641D42" wp14:editId="3DC325B3">
            <wp:extent cx="5943600" cy="2816860"/>
            <wp:effectExtent l="0" t="0" r="0" b="0"/>
            <wp:docPr id="39" name="Picture 3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Icon&#10;&#10;Description automatically generated"/>
                    <pic:cNvPicPr/>
                  </pic:nvPicPr>
                  <pic:blipFill>
                    <a:blip r:embed="rId46" cstate="screen">
                      <a:extLst>
                        <a:ext uri="{28A0092B-C50C-407E-A947-70E740481C1C}">
                          <a14:useLocalDpi xmlns:a14="http://schemas.microsoft.com/office/drawing/2010/main"/>
                        </a:ext>
                      </a:extLst>
                    </a:blip>
                    <a:stretch>
                      <a:fillRect/>
                    </a:stretch>
                  </pic:blipFill>
                  <pic:spPr>
                    <a:xfrm>
                      <a:off x="0" y="0"/>
                      <a:ext cx="5943600" cy="2816860"/>
                    </a:xfrm>
                    <a:prstGeom prst="rect">
                      <a:avLst/>
                    </a:prstGeom>
                  </pic:spPr>
                </pic:pic>
              </a:graphicData>
            </a:graphic>
          </wp:inline>
        </w:drawing>
      </w:r>
    </w:p>
    <w:p w14:paraId="152D6530" w14:textId="65830CE6" w:rsidR="00857C48" w:rsidRPr="00857C48" w:rsidRDefault="00857C48" w:rsidP="00D60D4C">
      <w:pPr>
        <w:rPr>
          <w:rFonts w:cs="Arial"/>
          <w:color w:val="000000" w:themeColor="text1"/>
          <w:szCs w:val="22"/>
        </w:rPr>
      </w:pPr>
      <w:bookmarkStart w:id="136" w:name="_Toc129701169"/>
      <w:r w:rsidRPr="00F256F4">
        <w:rPr>
          <w:rStyle w:val="FigurecaptionChar"/>
        </w:rPr>
        <w:t xml:space="preserve">Figure </w:t>
      </w:r>
      <w:r w:rsidR="00F256F4" w:rsidRPr="00F256F4">
        <w:rPr>
          <w:rStyle w:val="FigurecaptionChar"/>
        </w:rPr>
        <w:t>5.</w:t>
      </w:r>
      <w:r w:rsidRPr="00F256F4">
        <w:rPr>
          <w:rStyle w:val="FigurecaptionChar"/>
        </w:rPr>
        <w:t>3</w:t>
      </w:r>
      <w:r w:rsidR="00F256F4" w:rsidRPr="00F256F4">
        <w:rPr>
          <w:rStyle w:val="FigurecaptionChar"/>
        </w:rPr>
        <w:t>.</w:t>
      </w:r>
      <w:r w:rsidRPr="00F256F4">
        <w:rPr>
          <w:rStyle w:val="FigurecaptionChar"/>
        </w:rPr>
        <w:t xml:space="preserve"> TC/</w:t>
      </w:r>
      <w:proofErr w:type="spellStart"/>
      <w:r w:rsidRPr="00F256F4">
        <w:rPr>
          <w:rStyle w:val="FigurecaptionChar"/>
        </w:rPr>
        <w:t>FlAsH</w:t>
      </w:r>
      <w:proofErr w:type="spellEnd"/>
      <w:r w:rsidRPr="00F256F4">
        <w:rPr>
          <w:rStyle w:val="FigurecaptionChar"/>
        </w:rPr>
        <w:t xml:space="preserve"> analysis of energy substrate requirements in NRPS CFE using </w:t>
      </w:r>
      <w:proofErr w:type="spellStart"/>
      <w:r w:rsidRPr="00F256F4">
        <w:rPr>
          <w:rStyle w:val="FigurecaptionChar"/>
        </w:rPr>
        <w:t>BpsA</w:t>
      </w:r>
      <w:proofErr w:type="spellEnd"/>
      <w:r w:rsidRPr="00F256F4">
        <w:rPr>
          <w:rStyle w:val="FigurecaptionChar"/>
        </w:rPr>
        <w:t xml:space="preserve"> as a model.</w:t>
      </w:r>
      <w:bookmarkEnd w:id="136"/>
      <w:r w:rsidRPr="00857C48">
        <w:rPr>
          <w:rFonts w:cs="Arial"/>
          <w:b/>
          <w:bCs/>
          <w:color w:val="000000" w:themeColor="text1"/>
          <w:szCs w:val="22"/>
        </w:rPr>
        <w:t xml:space="preserve"> A, B, C) </w:t>
      </w:r>
      <w:r w:rsidRPr="00857C48">
        <w:rPr>
          <w:rFonts w:cs="Arial"/>
          <w:color w:val="000000" w:themeColor="text1"/>
          <w:szCs w:val="22"/>
        </w:rPr>
        <w:t>Reactions were initiated with varying amounts of PEP to determine cell-free expression changes for</w:t>
      </w:r>
      <w:r w:rsidRPr="00857C48">
        <w:rPr>
          <w:rFonts w:cs="Arial"/>
          <w:b/>
          <w:bCs/>
          <w:color w:val="000000" w:themeColor="text1"/>
          <w:szCs w:val="22"/>
        </w:rPr>
        <w:t xml:space="preserve"> A)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w:t>
      </w:r>
      <w:r w:rsidRPr="00857C48">
        <w:rPr>
          <w:rFonts w:cs="Arial"/>
          <w:b/>
          <w:bCs/>
          <w:color w:val="000000" w:themeColor="text1"/>
          <w:szCs w:val="22"/>
        </w:rPr>
        <w:t xml:space="preserve">B) </w:t>
      </w:r>
      <w:r w:rsidRPr="00857C48">
        <w:rPr>
          <w:rFonts w:cs="Arial"/>
          <w:color w:val="000000" w:themeColor="text1"/>
          <w:szCs w:val="22"/>
        </w:rPr>
        <w:t>BpsA-TC_E315A,</w:t>
      </w:r>
      <w:r w:rsidRPr="00857C48">
        <w:rPr>
          <w:rFonts w:cs="Arial"/>
          <w:b/>
          <w:bCs/>
          <w:color w:val="000000" w:themeColor="text1"/>
          <w:szCs w:val="22"/>
        </w:rPr>
        <w:t xml:space="preserve"> </w:t>
      </w:r>
      <w:r w:rsidRPr="00857C48">
        <w:rPr>
          <w:rFonts w:cs="Arial"/>
          <w:color w:val="000000" w:themeColor="text1"/>
          <w:szCs w:val="22"/>
        </w:rPr>
        <w:t xml:space="preserve">and </w:t>
      </w:r>
      <w:r w:rsidRPr="00857C48">
        <w:rPr>
          <w:rFonts w:cs="Arial"/>
          <w:b/>
          <w:bCs/>
          <w:color w:val="000000" w:themeColor="text1"/>
          <w:szCs w:val="22"/>
        </w:rPr>
        <w:t xml:space="preserve">C) </w:t>
      </w:r>
      <w:proofErr w:type="spellStart"/>
      <w:r w:rsidRPr="00857C48">
        <w:rPr>
          <w:rFonts w:cs="Arial"/>
          <w:color w:val="000000" w:themeColor="text1"/>
          <w:szCs w:val="22"/>
        </w:rPr>
        <w:t>sfGFP</w:t>
      </w:r>
      <w:proofErr w:type="spellEnd"/>
      <w:r w:rsidRPr="00857C48">
        <w:rPr>
          <w:rFonts w:cs="Arial"/>
          <w:color w:val="000000" w:themeColor="text1"/>
          <w:szCs w:val="22"/>
        </w:rPr>
        <w:t>.</w:t>
      </w:r>
      <w:r w:rsidRPr="00857C48">
        <w:rPr>
          <w:rFonts w:cs="Arial"/>
          <w:b/>
          <w:bCs/>
          <w:color w:val="000000" w:themeColor="text1"/>
          <w:szCs w:val="22"/>
        </w:rPr>
        <w:t xml:space="preserve"> D, E) </w:t>
      </w:r>
      <w:r w:rsidRPr="00857C48">
        <w:rPr>
          <w:rFonts w:cs="Arial"/>
          <w:color w:val="000000" w:themeColor="text1"/>
          <w:szCs w:val="22"/>
        </w:rPr>
        <w:t xml:space="preserve">The tolerance of </w:t>
      </w:r>
      <w:proofErr w:type="spellStart"/>
      <w:r w:rsidRPr="00857C48">
        <w:rPr>
          <w:rFonts w:cs="Arial"/>
          <w:color w:val="000000" w:themeColor="text1"/>
          <w:szCs w:val="22"/>
        </w:rPr>
        <w:t>BpsA</w:t>
      </w:r>
      <w:proofErr w:type="spellEnd"/>
      <w:r w:rsidRPr="00857C48">
        <w:rPr>
          <w:rFonts w:cs="Arial"/>
          <w:color w:val="000000" w:themeColor="text1"/>
          <w:szCs w:val="22"/>
        </w:rPr>
        <w:t xml:space="preserve"> with or without an active A domain to ATP was similarly analyzed. Reactions with 77 mM PEP plus varying concentrations of ATP were started with plasmid expressing </w:t>
      </w:r>
      <w:r w:rsidRPr="00857C48">
        <w:rPr>
          <w:rFonts w:cs="Arial"/>
          <w:b/>
          <w:bCs/>
          <w:color w:val="000000" w:themeColor="text1"/>
          <w:szCs w:val="22"/>
        </w:rPr>
        <w:t xml:space="preserve">D)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and </w:t>
      </w:r>
      <w:r w:rsidRPr="00857C48">
        <w:rPr>
          <w:rFonts w:cs="Arial"/>
          <w:b/>
          <w:bCs/>
          <w:color w:val="000000" w:themeColor="text1"/>
          <w:szCs w:val="22"/>
        </w:rPr>
        <w:t xml:space="preserve">E) </w:t>
      </w:r>
      <w:r w:rsidRPr="00857C48">
        <w:rPr>
          <w:rFonts w:cs="Arial"/>
          <w:color w:val="000000" w:themeColor="text1"/>
          <w:szCs w:val="22"/>
        </w:rPr>
        <w:t xml:space="preserve">BpsA-TC_E315A. </w:t>
      </w:r>
      <w:r w:rsidRPr="00857C48">
        <w:rPr>
          <w:rFonts w:cs="Arial"/>
          <w:b/>
          <w:bCs/>
          <w:color w:val="000000" w:themeColor="text1"/>
          <w:szCs w:val="22"/>
        </w:rPr>
        <w:t xml:space="preserve">F) </w:t>
      </w:r>
      <w:r w:rsidRPr="00857C48">
        <w:rPr>
          <w:rFonts w:cs="Arial"/>
          <w:color w:val="000000" w:themeColor="text1"/>
          <w:szCs w:val="22"/>
        </w:rPr>
        <w:t xml:space="preserve">Reactions expressing BpsA-TC_E315A were initiated with or without 2 mM  phosphate solution. All reactions were prepared with </w:t>
      </w:r>
      <w:r w:rsidRPr="00857C48">
        <w:rPr>
          <w:rFonts w:cs="Arial"/>
          <w:i/>
          <w:iCs/>
          <w:color w:val="000000" w:themeColor="text1"/>
          <w:szCs w:val="22"/>
        </w:rPr>
        <w:t xml:space="preserve">E. coli </w:t>
      </w:r>
      <w:r w:rsidRPr="00857C48">
        <w:rPr>
          <w:rFonts w:cs="Arial"/>
          <w:color w:val="000000" w:themeColor="text1"/>
          <w:szCs w:val="22"/>
        </w:rPr>
        <w:t>BL21 (Star)DE3 lysates. Reactions were run in triplicate and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measurements were obtained by adding 30 µM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reagent to each reaction after ~ 20 h incubation.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measurements are presented as % relative intensities for visual comparison of trends between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and BpsA-TC_E315A data since these experiments were run on separate days. Error bars represent the standard error of the mean (n=3). </w:t>
      </w:r>
    </w:p>
    <w:p w14:paraId="098FA2CE" w14:textId="6CA3CA71" w:rsidR="00857C48" w:rsidRDefault="00857C48" w:rsidP="00D60D4C">
      <w:pPr>
        <w:rPr>
          <w:rFonts w:cs="Arial"/>
          <w:color w:val="000000" w:themeColor="text1"/>
          <w:szCs w:val="22"/>
        </w:rPr>
      </w:pPr>
    </w:p>
    <w:p w14:paraId="541D8254" w14:textId="77777777" w:rsidR="00A90B05" w:rsidRDefault="00A90B05" w:rsidP="00D60D4C">
      <w:pPr>
        <w:rPr>
          <w:rFonts w:cs="Arial"/>
          <w:color w:val="000000" w:themeColor="text1"/>
          <w:szCs w:val="22"/>
        </w:rPr>
      </w:pPr>
    </w:p>
    <w:p w14:paraId="0F2DF36E" w14:textId="77777777" w:rsidR="00A90B05" w:rsidRDefault="00A90B05" w:rsidP="00D60D4C">
      <w:pPr>
        <w:rPr>
          <w:rFonts w:cs="Arial"/>
          <w:color w:val="000000" w:themeColor="text1"/>
          <w:szCs w:val="22"/>
        </w:rPr>
      </w:pPr>
    </w:p>
    <w:p w14:paraId="54015A16" w14:textId="77777777" w:rsidR="00BD523B" w:rsidRDefault="00BD523B" w:rsidP="00BD523B">
      <w:pPr>
        <w:pStyle w:val="Subsubheading"/>
      </w:pPr>
    </w:p>
    <w:p w14:paraId="24FE24C7" w14:textId="53789538" w:rsidR="00BD523B" w:rsidRPr="00857C48" w:rsidRDefault="00BD523B" w:rsidP="00BD523B">
      <w:pPr>
        <w:pStyle w:val="Subsubheading"/>
      </w:pPr>
      <w:r>
        <w:lastRenderedPageBreak/>
        <w:t xml:space="preserve">5.4.3.2. </w:t>
      </w:r>
      <w:r w:rsidRPr="00857C48">
        <w:t>Magnesium</w:t>
      </w:r>
      <w:r>
        <w:t xml:space="preserve"> conditions</w:t>
      </w:r>
    </w:p>
    <w:p w14:paraId="723DDC0B" w14:textId="6C3194A6" w:rsidR="00857C48" w:rsidRPr="00857C48" w:rsidRDefault="00BD523B" w:rsidP="00BD523B">
      <w:pPr>
        <w:ind w:firstLine="720"/>
        <w:rPr>
          <w:rFonts w:cs="Arial"/>
          <w:color w:val="000000" w:themeColor="text1"/>
          <w:szCs w:val="22"/>
        </w:rPr>
      </w:pPr>
      <w:r w:rsidRPr="00857C48">
        <w:rPr>
          <w:rFonts w:cs="Arial"/>
          <w:color w:val="000000" w:themeColor="text1"/>
          <w:szCs w:val="22"/>
        </w:rPr>
        <w:t>Magnesium ions are essential in almost all stages of TX/TL. Among a multitude of roles, they stabilize mRNA molecules and ribosomes, are required in the aminoacylation of tRNAs,</w:t>
      </w:r>
      <w:r>
        <w:rPr>
          <w:rFonts w:cs="Arial"/>
          <w:color w:val="000000" w:themeColor="text1"/>
          <w:szCs w:val="22"/>
        </w:rPr>
        <w:t xml:space="preserve"> </w:t>
      </w:r>
      <w:r w:rsidRPr="00857C48">
        <w:rPr>
          <w:rFonts w:cs="Arial"/>
          <w:color w:val="000000" w:themeColor="text1"/>
          <w:szCs w:val="22"/>
        </w:rPr>
        <w:t xml:space="preserve">regulate </w:t>
      </w:r>
      <w:r w:rsidR="00A90B05" w:rsidRPr="00857C48">
        <w:rPr>
          <w:rFonts w:cs="Arial"/>
          <w:color w:val="000000" w:themeColor="text1"/>
          <w:szCs w:val="22"/>
        </w:rPr>
        <w:t>the ionic strength of the lysate reaction environment, and serve as a co-factor for several TX/TL relevant enzymes</w:t>
      </w:r>
      <w:r w:rsidR="00A90B05"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{"citationItems":[{"id":"ITEM-1","itemData":{"DOI":"10.1021/ACSSYNBIO.9B00508/SUPPL_FILE/SB9B00508_SI_001.PDF","ISSN":"21615063","PMID":"32216368","abstract":"Cell-free protein synthesis (CFPS) is a promising platform for protein engineering and synthetic biology. The storage of a CFPS system usually involves lyophilization, during which preventing the conformational damage of involved enzymes is critical to the activity. Herein, we report the protection role of magnesium ions on coupled transcription and translation in a lyophilized cell-free system. Mg2+ prevents the inactivation of the CFPS system from direct colyophilization of enzymes and substrates (nucleotides, and amino acids), and furthermore activates the CFPS system. We propose two-metal-ion regulation of Mg2+: Mg2+ (I) acts as an allosteric role for enzymes to prevent the conformational damage of enzymes from direct binding with substrates during lyophilization which locks up inactive enzyme-substrate complex; Mg2+ (II) consequently binds to enzymes to activate the CFPS system. Our work provides important implications for maximizing protein yields by using a cell-free system in protein engineering and understanding the functions of Mg2+ in biological systems.","author":[{"dropping-particle":"","family":"Guo","given":"Xiaocui","non-dropping-particle":"","parse-names":false,"suffix":""},{"dropping-particle":"","family":"Zhu","given":"Yi","non-dropping-particle":"","parse-names":false,"suffix":""},{"dropping-particle":"","family":"Bai","given":"Lihui","non-dropping-particle":"","parse-names":false,"suffix":""},{"dropping-particle":"","family":"Yang","given":"Dayong","non-dropping-particle":"","parse-names":false,"suffix":""}],"container-title":"ACS Synthetic Biology","id":"ITEM-1","issue":"4","issued":{"date-parts":[["2020","4","17"]]},"page":"856-863","publisher":"American Chemical Society","title":"The Protection Role of Magnesium Ions on Coupled Transcription and Translation in Lyophilized Cell-Free System","type":"article-journal","volume":"9"},"uris":["http://www.mendeley.com/documents/?uuid=e4ab57ca-3335-3261-adac-dfdbf21cc799"]},{"id":"ITEM-2","itemData":{"DOI":"10.3389/fmicb.2018.01146","ISSN":"1664-302X","abstract":"Vibrio natriegens constitutes one of the fastest-growing nonpathogenic bacteria and a potential novel workhorse for many biotechnological applications. Here, we report the development of a Vibrio-based cell-free protein synthesis system (CFPS). Specifically, up to 0.4 g L-1 eGFP could be successfully synthesized in small-scale batch reactions using cell-free extract obtained from fast-growing V. natriegens cultures. Versatile CFPS system characterization attained by combining the analyses of key metabolites for translation and ribosomes revealed limitations regarding rRNA stability and critical substrate consumption (e.g., amino acids). Alternatively, rRNA showed increased stability by inducing Mg2+homeostasis in the reaction. Although the enormous translation capacity of the CFPS system based on the available ribosome concentration could not yet be fully exploited, its potential was successfully demonstrated by activating an endogenous transcription unit with V. natriegensRNA polymerase (RNAP) for protein expression. This allowed the use of in vitro screening for promoter strength, a critical factor for efficient gene expression in vitro and in vivo. Three different promoters were tested and output signals corresponded well with the expected affinity for V. natriegens RNAP. This established CFPS toolbox may provide a foundation to establish V. natriegens as a valuable platform in biotechnology as well as synthetic biology.","author":[{"dropping-particle":"","family":"Failmezger","given":"Jurek","non-dropping-particle":"","parse-names":false,"suffix":""},{"dropping-particle":"","family":"Scholz","given":"Steffen","non-dropping-particle":"","parse-names":false,"suffix":""},{"dropping-particle":"","family":"Blombach","given":"Bastian","non-dropping-particle":"","parse-names":false,"suffix":""},{"dropping-particle":"","family":"Siemann-Herzberg","given":"Martin","non-dropping-particle":"","parse-names":false,"suffix":""}],"container-title":"Frontiers in Microbiology","id":"ITEM-2","issue":"JUN","issued":{"date-parts":[["2018","6","1"]]},"page":"1146","publisher":"Frontiers Media S.A.","title":"Cell-Free Protein Synthesis From Fast-Growing Vibrio natriegens","type":"article-journal","volume":"9"},"uris":["http://www.mendeley.com/documents/?uuid=d17d5380-0a9c-3268-9da0-1d3b06d86f4c"]}],"mendeley":{"formattedCitation":"&lt;sup&gt;233,234&lt;/sup&gt;","plainTextFormattedCitation":"233,234","previouslyFormattedCitation":"&lt;sup&gt;233,234&lt;/sup&gt;"},"properties":{"noteIndex":0},"schema":"https://github.com/citation-style-language/schema/raw/master/csl-citation.json"}</w:instrText>
      </w:r>
      <w:r w:rsidR="00A90B05" w:rsidRPr="00857C48">
        <w:rPr>
          <w:rFonts w:cs="Arial"/>
          <w:color w:val="000000" w:themeColor="text1"/>
          <w:szCs w:val="22"/>
        </w:rPr>
        <w:fldChar w:fldCharType="separate"/>
      </w:r>
      <w:r w:rsidR="00A91591" w:rsidRPr="00A91591">
        <w:rPr>
          <w:rFonts w:cs="Arial"/>
          <w:noProof/>
          <w:color w:val="000000" w:themeColor="text1"/>
          <w:szCs w:val="22"/>
          <w:vertAlign w:val="superscript"/>
        </w:rPr>
        <w:t>233,234</w:t>
      </w:r>
      <w:r w:rsidR="00A90B05" w:rsidRPr="00857C48">
        <w:rPr>
          <w:rFonts w:cs="Arial"/>
          <w:color w:val="000000" w:themeColor="text1"/>
          <w:szCs w:val="22"/>
        </w:rPr>
        <w:fldChar w:fldCharType="end"/>
      </w:r>
      <w:r w:rsidR="00A90B05">
        <w:rPr>
          <w:rFonts w:cs="Arial"/>
          <w:color w:val="000000" w:themeColor="text1"/>
          <w:szCs w:val="22"/>
        </w:rPr>
        <w:t xml:space="preserve">. </w:t>
      </w:r>
      <w:r w:rsidR="00857C48" w:rsidRPr="00857C48">
        <w:rPr>
          <w:rFonts w:cs="Arial"/>
          <w:color w:val="000000" w:themeColor="text1"/>
          <w:szCs w:val="22"/>
        </w:rPr>
        <w:t>Particularly in cell extracts, where magnesium is also sequestered by enzymes of central metabolism, the magnesium requirement for maximum synthesis can vary per protein and even per batch of lysate</w:t>
      </w:r>
      <w:r w:rsidR="00857C48"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{"citationItems":[{"id":"ITEM-1","itemData":{"DOI":"10.1002/BIT.20026","ISSN":"1097-0290","PMID":"15007837","abstract":"Cell-free translation systems generally utilize high-energy phosphate compounds to regenerate the adenosine triphosphate (ATP) necessary to drive protein synthesis. This hampers the widespread use and practical implementation of this technology in a batch format due to expensive reagent costs; the accumulation of inhibitory byproducts, such as phosphate; and pH change. To address these problems, a cell-free protein synthesis system has been engineered that is capable of using pyruvate as an energy source to produce high yields of protein. The \"Cytomim\" system, synthesizes chloramphenicol acetyl-transferase (CAT) for up to 6 h in a batch reaction to yield 700 μg/mL of protein. By more closely replicating the physiological conditions of the cytoplasm of Escherichia coli, the Cytomim system provides a stable energy supply for protein expression without phosphate accumulation, pH change, exogenous enzyme addition, or the need for expensive high-energy phosphate compounds. © 2004 Wiley Periodicals, Inc.","author":[{"dropping-particle":"","family":"Jewett","given":"Michael C.","non-dropping-particle":"","parse-names":false,"suffix":""},{"dropping-particle":"","family":"Swartz","given":"James R.","non-dropping-particle":"","parse-names":false,"suffix":""}],"container-title":"Biotechnology and Bioengineering","id":"ITEM-1","issue":"1","issued":{"date-parts":[["2004","4","5"]]},"page":"19-26","publisher":"John Wiley &amp; Sons, Ltd","title":"Mimicking the Escherichia coli cytoplasmic environment activates long-lived and efficient cell-free protein synthesis","type":"article-journal","volume":"86"},"uris":["http://www.mendeley.com/documents/?uuid=3688e2b6-c0d8-3dfa-b534-71099d5ffd5d"]},{"id":"ITEM-2","itemData":{"DOI":"10.1002/(SICI)1097-0290(1999)66:3&lt;180::AID-BIT6&gt;3.0.CO;2-S","ISSN":"00063592","PMID":"10577472","abstract":"A new approach for the regeneration of adenosine triphosphate (ATP) during cell-free protein synthesis was developed to prolong the synthesis and also to avoid the accumulation of inorganic phosphate. This approach was demonstrated in a batch system derived from Escherichia coli. Contrary to the conventional methods in which exogenous energy sources contain high-energy phosphate bonds, the new system was designed to generate continuously the required high-energy phosphate bonds within the reaction mixture, thereby recycling the phosphate released during protein synthesis. If allowed to accumulate, phosphate inhibits protein synthesis, most likely by reducing the concentration of free magnesium ion. Pediococcus sp. pyruvate oxidase, when introduced in the reaction mixture along with thiamine pyrophosphate (TPP) and flavin adenine dinucleotide (FAD), catalyzed the generation of acetyl phosphate from pyruvate and inorganic phosphate. Acetyl kinase, already present with sufficient activity in Escherichia coli S30 extract, then catalyzed the regeneration of ATP. Oxygen is required for the generation of acetyl phosphate and the H2O2 produced as a byproduct is sufficiently degraded by endogenous catalase activity. Through the continuous supply of chemical energy, and also through the prevention of inorganic phosphate accumulation, the duration of protein synthesis is extended up to 2 h. Protein accumulation levels also increase. The synthesis of human lymphotoxin receives greater benefit than than that of chloramphenicol acetyl transferase, because the former is more sensitive to phosphate inhibition. Finally, through repeated addition of pyruvate and amino acids during the reaction period, protein synthesis continued for 6 h in the new system, resulting in a final yield of 0.7 mg/mL.","author":[{"dropping-particle":"","family":"Kim","given":"Dong Myung","non-dropping-particle":"","parse-names":false,"suffix":""},{"dropping-particle":"","family":"Swartz","given":"James R.","non-dropping-particle":"","parse-names":false,"suffix":""}],"container-title":"Biotechnology and Bioengineering","id":"ITEM-2","issue":"3","issued":{"date-parts":[["1999"]]},"page":"180-188","title":"Prolonging cell-free protein synthesis with a novel ATP regeneration system","type":"article-journal","volume":"66"},"uris":["http://www.mendeley.com/documents/?uuid=c1a1979e-739e-4e0e-9f81-aa98bad6dce6"]},{"id":"ITEM-3","itemData":{"DOI":"10.3389/FBIOE.2020.590341/FULL","ISSN":"22964185","abstract":"The modern cell-free protein synthesis (CFPS) system is expanding the opportunity of cell-free biomanufacturing as a versatile platform for synthesizing various therapeutic proteins. However, synthesizing human protein in the bacterial CFPS system remains challenging due to the low expression level, protein misfolding, inactivity, and more. These challenges limit the use of a bacterial CFPS system for human therapeutic protein synthesis. In this study, we demonstrated the improved performance of a customized CFPS platform for human therapeutic protein production by investigating the factors that limit cell-free transcription–translation. The improvement of the CFPS platform has been made in three ways. First, the cell extract was prepared from the rare tRNA expressed host strain, and CFPS was performed with a codon-optimized gene for Escherichia coli codon usage bias. The soluble protein yield was 15.2 times greater with the rare tRNA overexpressing host strain as cell extract and codon-optimized gene in the CFPS system. Next, we identify and prioritize the critical biomanufacturing factors for highly active crude cell lysate for human protein synthesis. Lastly, we engineer the CFPS reaction conditions to enhance protein yield. In this model, the therapeutic protein filaggrin expression was significantly improved by up to 23-fold, presenting 28 ± 5 μM of soluble protein yield. The customized CFPS system for filaggrin biomanufacturing described here demonstrates the potential of the CFPS system to be adapted for studying therapeutic proteins.","author":[{"dropping-particle":"","family":"Kim","given":"Jeehye","non-dropping-particle":"","parse-names":false,"suffix":""},{"dropping-particle":"","family":"Copeland","given":"Caroline E.","non-dropping-particle":"","parse-names":false,"suffix":""},{"dropping-particle":"","family":"Seki","given":"Kosuke","non-dropping-particle":"","parse-names":false,"suffix":""},{"dropping-particle":"","family":"Vögeli","given":"Bastian","non-dropping-particle":"","parse-names":false,"suffix":""},{"dropping-particle":"","family":"Kwon","given":"Yong Chan","non-dropping-particle":"","parse-names":false,"suffix":""}],"container-title":"Frontiers in Bioengineering and Biotechnology","id":"ITEM-3","issued":{"date-parts":[["2020","10","29"]]},"publisher":"Frontiers Media S.A.","title":"Tuning the Cell-Free Protein Synthesis System for Biomanufacturing of Monomeric Human Filaggrin","type":"article-journal","volume":"8"},"uris":["http://www.mendeley.com/documents/?uuid=bf1e3b4e-a413-34ff-91c2-4904de920ec9"]}],"mendeley":{"formattedCitation":"&lt;sup&gt;209,229,235&lt;/sup&gt;","plainTextFormattedCitation":"209,229,235","previouslyFormattedCitation":"&lt;sup&gt;209,229,235&lt;/sup&gt;"},"properties":{"noteIndex":0},"schema":"https://github.com/citation-style-language/schema/raw/master/csl-citation.json"}</w:instrText>
      </w:r>
      <w:r w:rsidR="00857C48" w:rsidRPr="00857C48">
        <w:rPr>
          <w:rFonts w:cs="Arial"/>
          <w:color w:val="000000" w:themeColor="text1"/>
          <w:szCs w:val="22"/>
        </w:rPr>
        <w:fldChar w:fldCharType="separate"/>
      </w:r>
      <w:r w:rsidR="00A91591" w:rsidRPr="00A91591">
        <w:rPr>
          <w:rFonts w:cs="Arial"/>
          <w:noProof/>
          <w:color w:val="000000" w:themeColor="text1"/>
          <w:szCs w:val="22"/>
          <w:vertAlign w:val="superscript"/>
        </w:rPr>
        <w:t>209,229,235</w:t>
      </w:r>
      <w:r w:rsidR="00857C48" w:rsidRPr="00857C48">
        <w:rPr>
          <w:rFonts w:cs="Arial"/>
          <w:color w:val="000000" w:themeColor="text1"/>
          <w:szCs w:val="22"/>
        </w:rPr>
        <w:fldChar w:fldCharType="end"/>
      </w:r>
      <w:r w:rsidR="00D60D4C">
        <w:rPr>
          <w:rFonts w:cs="Arial"/>
          <w:color w:val="000000" w:themeColor="text1"/>
          <w:szCs w:val="22"/>
        </w:rPr>
        <w:t>.</w:t>
      </w:r>
      <w:r w:rsidR="00857C48" w:rsidRPr="00857C48">
        <w:rPr>
          <w:rFonts w:cs="Arial"/>
          <w:color w:val="000000" w:themeColor="text1"/>
          <w:szCs w:val="22"/>
        </w:rPr>
        <w:t xml:space="preserve"> Methods for routinely optimizing the magnesium concentration of a specific target protein in a lysate-based cell-free system are thus necessary. Such protocols would be particularly beneficial in NRPS CFE efforts, given that enzymes belonging to this structurally diverse family may have varying magnesium concentration optima for TX/TL based on size differences alone</w:t>
      </w:r>
      <w:r w:rsidR="00857C48"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{"citationItems":[{"id":"ITEM-1","itemData":{"DOI":"10.1002/(SICI)1097-0290(1999)66:3&lt;180::AID-BIT6&gt;3.0.CO;2-S","ISSN":"00063592","PMID":"10577472","abstract":"A new approach for the regeneration of adenosine triphosphate (ATP) during cell-free protein synthesis was developed to prolong the synthesis and also to avoid the accumulation of inorganic phosphate. This approach was demonstrated in a batch system derived from Escherichia coli. Contrary to the conventional methods in which exogenous energy sources contain high-energy phosphate bonds, the new system was designed to generate continuously the required high-energy phosphate bonds within the reaction mixture, thereby recycling the phosphate released during protein synthesis. If allowed to accumulate, phosphate inhibits protein synthesis, most likely by reducing the concentration of free magnesium ion. Pediococcus sp. pyruvate oxidase, when introduced in the reaction mixture along with thiamine pyrophosphate (TPP) and flavin adenine dinucleotide (FAD), catalyzed the generation of acetyl phosphate from pyruvate and inorganic phosphate. Acetyl kinase, already present with sufficient activity in Escherichia coli S30 extract, then catalyzed the regeneration of ATP. Oxygen is required for the generation of acetyl phosphate and the H2O2 produced as a byproduct is sufficiently degraded by endogenous catalase activity. Through the continuous supply of chemical energy, and also through the prevention of inorganic phosphate accumulation, the duration of protein synthesis is extended up to 2 h. Protein accumulation levels also increase. The synthesis of human lymphotoxin receives greater benefit than than that of chloramphenicol acetyl transferase, because the former is more sensitive to phosphate inhibition. Finally, through repeated addition of pyruvate and amino acids during the reaction period, protein synthesis continued for 6 h in the new system, resulting in a final yield of 0.7 mg/mL.","author":[{"dropping-particle":"","family":"Kim","given":"Dong Myung","non-dropping-particle":"","parse-names":false,"suffix":""},{"dropping-particle":"","family":"Swartz","given":"James R.","non-dropping-particle":"","parse-names":false,"suffix":""}],"container-title":"Biotechnology and Bioengineering","id":"ITEM-1","issue":"3","issued":{"date-parts":[["1999"]]},"page":"180-188","title":"Prolonging cell-free protein synthesis with a novel ATP regeneration system","type":"article-journal","volume":"66"},"uris":["http://www.mendeley.com/documents/?uuid=c1a1979e-739e-4e0e-9f81-aa98bad6dce6"]},{"id":"ITEM-2","itemData":{"DOI":"10.3389/FBIOE.2020.590341/FULL","ISSN":"22964185","abstract":"The modern cell-free protein synthesis (CFPS) system is expanding the opportunity of cell-free biomanufacturing as a versatile platform for synthesizing various therapeutic proteins. However, synthesizing human protein in the bacterial CFPS system remains challenging due to the low expression level, protein misfolding, inactivity, and more. These challenges limit the use of a bacterial CFPS system for human therapeutic protein synthesis. In this study, we demonstrated the improved performance of a customized CFPS platform for human therapeutic protein production by investigating the factors that limit cell-free transcription–translation. The improvement of the CFPS platform has been made in three ways. First, the cell extract was prepared from the rare tRNA expressed host strain, and CFPS was performed with a codon-optimized gene for Escherichia coli codon usage bias. The soluble protein yield was 15.2 times greater with the rare tRNA overexpressing host strain as cell extract and codon-optimized gene in the CFPS system. Next, we identify and prioritize the critical biomanufacturing factors for highly active crude cell lysate for human protein synthesis. Lastly, we engineer the CFPS reaction conditions to enhance protein yield. In this model, the therapeutic protein filaggrin expression was significantly improved by up to 23-fold, presenting 28 ± 5 μM of soluble protein yield. The customized CFPS system for filaggrin biomanufacturing described here demonstrates the potential of the CFPS system to be adapted for studying therapeutic proteins.","author":[{"dropping-particle":"","family":"Kim","given":"Jeehye","non-dropping-particle":"","parse-names":false,"suffix":""},{"dropping-particle":"","family":"Copeland","given":"Caroline E.","non-dropping-particle":"","parse-names":false,"suffix":""},{"dropping-particle":"","family":"Seki","given":"Kosuke","non-dropping-particle":"","parse-names":false,"suffix":""},{"dropping-particle":"","family":"Vögeli","given":"Bastian","non-dropping-particle":"","parse-names":false,"suffix":""},{"dropping-particle":"","family":"Kwon","given":"Yong Chan","non-dropping-particle":"","parse-names":false,"suffix":""}],"container-title":"Frontiers in Bioengineering and Biotechnology","id":"ITEM-2","issued":{"date-parts":[["2020","10","29"]]},"publisher":"Frontiers Media S.A.","title":"Tuning the Cell-Free Protein Synthesis System for Biomanufacturing of Monomeric Human Filaggrin","type":"article-journal","volume":"8"},"uris":["http://www.mendeley.com/documents/?uuid=bf1e3b4e-a413-34ff-91c2-4904de920ec9"]}],"mendeley":{"formattedCitation":"&lt;sup&gt;229,235&lt;/sup&gt;","plainTextFormattedCitation":"229,235","previouslyFormattedCitation":"&lt;sup&gt;229,235&lt;/sup&gt;"},"properties":{"noteIndex":0},"schema":"https://github.com/citation-style-language/schema/raw/master/csl-citation.json"}</w:instrText>
      </w:r>
      <w:r w:rsidR="00857C48" w:rsidRPr="00857C48">
        <w:rPr>
          <w:rFonts w:cs="Arial"/>
          <w:color w:val="000000" w:themeColor="text1"/>
          <w:szCs w:val="22"/>
        </w:rPr>
        <w:fldChar w:fldCharType="separate"/>
      </w:r>
      <w:r w:rsidR="00A91591" w:rsidRPr="00A91591">
        <w:rPr>
          <w:rFonts w:cs="Arial"/>
          <w:noProof/>
          <w:color w:val="000000" w:themeColor="text1"/>
          <w:szCs w:val="22"/>
          <w:vertAlign w:val="superscript"/>
        </w:rPr>
        <w:t>229,235</w:t>
      </w:r>
      <w:r w:rsidR="00857C48" w:rsidRPr="00857C48">
        <w:rPr>
          <w:rFonts w:cs="Arial"/>
          <w:color w:val="000000" w:themeColor="text1"/>
          <w:szCs w:val="22"/>
        </w:rPr>
        <w:fldChar w:fldCharType="end"/>
      </w:r>
      <w:r w:rsidR="00D60D4C">
        <w:rPr>
          <w:rFonts w:cs="Arial"/>
          <w:color w:val="000000" w:themeColor="text1"/>
          <w:szCs w:val="22"/>
        </w:rPr>
        <w:t>.</w:t>
      </w:r>
      <w:r w:rsidR="00857C48" w:rsidRPr="00857C48">
        <w:rPr>
          <w:rFonts w:cs="Arial"/>
          <w:color w:val="000000" w:themeColor="text1"/>
          <w:szCs w:val="22"/>
        </w:rPr>
        <w:t xml:space="preserve"> Additionally, NRPSs themselves use magnesium at their A domains to stabilize ATP binding when adenylating an amino acid substrate.</w:t>
      </w:r>
      <w:r w:rsidR="00857C48"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{"citationItems":[{"id":"ITEM-1","itemData":{"DOI":"10.1093/EMBOJ/16.14.4174","ISSN":"1460-2075","PMID":"9250661","abstract":"The non-ribosomal synthesis of the cyclic peptide antibiotic gramicidin S is accomplished by two large multifunctional enzymes, the peptide synthetases 1 and 2. The enzyme complex contains five conserved subunits of ~ 60 kDa which carry out ATP-dependent activation of specific amino acids and share extensive regions of sequence similarity with adenylating enzymes such as firefly luciferases and acyl-CoA ligases. We have determined the crystal structure of the N-terminal adenylation subunit in a complex with AMP and L-phenylalanine to 1.9 Å resolution. The 556 amino acid residue fragment is folded into two domains with the active site situated at their interface. Each domain of the enzyme has a similar topology to the corresponding domain of unliganded firefly luciferase, but a remarkable relative domain rotation of 94°occurs. This conformation places the absolutely conserved Lys517 in a position to form electrostatic interactions with both ligands. The AMP is bound with the phosphate moiety interacting with Lys517 and the hydroxyl groups of the ribose forming hydrogen bonds with Asp413. The phenylalanine substrate binds in a hydrophobic pocket with the carboxylate group interacting with Lys517 and the α-amino group with Asp235. The structure reveals the role of the invariant residues within the superfamily of adenylate-forming enzymes and indicates a conserved mechanism of nucleotide binding and substrate activation.","author":[{"dropping-particle":"","family":"Conti","given":"Elena","non-dropping-particle":"","parse-names":false,"suffix":""},{"dropping-particle":"","family":"Stachelhaus","given":"Torsten","non-dropping-particle":"","parse-names":false,"suffix":""},{"dropping-particle":"","family":"Marahiel","given":"Mohamed A.","non-dropping-particle":"","parse-names":false,"suffix":""},{"dropping-particle":"","family":"Brick","given":"Peter","non-dropping-particle":"","parse-names":false,"suffix":""}],"container-title":"The EMBO Journal","id":"ITEM-1","issue":"14","issued":{"date-parts":[["1997","7","15"]]},"page":"4174-4183","publisher":"John Wiley &amp; Sons, Ltd","title":"Structural basis for the activation of phenylalanine in the non-ribosomal biosynthesis of gramicidin S","type":"article-journal","volume":"16"},"uris":["http://www.mendeley.com/documents/?uuid=99182672-7ec7-3a32-8f14-a3b20a5d8792"]},{"id":"ITEM-2","itemData":{"DOI":"10.1016/J.SBI.2004.10.005","ISSN":"0959-440X","PMID":"15582399","abstract":"Small peptides have powerful biological activities ranging from antibiotic to immune suppression. These peptides are synthesized by non-ribosomal peptide synthetases (NRPS). Structural understanding of NRPS took a huge leap forward in 2002; this information has led to several detailed biochemical studies and further structural studies. NRPS are complex molecular machines composed of multiple modules and each module contains several autonomously folded catalytic domains. Structural studies have largely focused on individual domains, isolated from the context of the multienzyme. Biochemical studies have looked at individual domains, isolated whole modules and intact NRPS, and the combined data begin to allow us to visualize the process of peptide assembly by NRPS. © 2004 Elsevier Ltd. All rights reserved.","author":[{"dropping-particle":"","family":"Challis","given":"Gregory L.","non-dropping-particle":"","parse-names":false,"suffix":""},{"dropping-particle":"","family":"Naismith","given":"James H.","non-dropping-particle":"","parse-names":false,"suffix":""}],"container-title":"Current Opinion in Structural Biology","id":"ITEM-2","issue":"6","issued":{"date-parts":[["2004","12","1"]]},"page":"748-756","publisher":"Elsevier Current Trends","title":"Structural aspects of non-ribosomal peptide biosynthesis","type":"article-journal","volume":"14"},"uris":["http://www.mendeley.com/documents/?uuid=508cc342-cb2b-3341-bdf4-1970d7beffce"]},{"id":"ITEM-3","itemData":{"DOI":"10.1007/978-1-4939-3375-4_1","ISSN":"10643745","PMID":"26831698","abstract":"The nonribosomal peptide synthetases are modular enzymes that catalyze synthesis of important peptide products from a variety of standard and non-proteinogenic amino acid substrates. Within a single module are multiple catalytic domains that are responsible for incorporation of a single residue. After the amino acid is activated and covalently attached to an integrated carrier protein domain, the substrates and intermediates are delivered to neighboring catalytic domains for peptide bond formation or, in some modules, chemical modifi cation. In the fi nal module, the peptide is delivered to a terminal thioesterase domain that catalyzes release of the peptide product. This multi-domain modular architecture raises questions about the structural features that enable this assembly line synthesis in an effi cient manner. The structures of the core component domains have been determined and demonstrate insights into the catalytic activity. More recently, multi-domain structures have been determined and are providing clues to the features of these enzyme systems that govern the functional interaction between multiple domains. This chapter describes the structures of NRPS proteins and the strategies that are being used to assist structural studies of these dynamic proteins, including careful consideration of domain boundaries for generation of truncated proteins and the use of mechanism-based inhibitors that trap interactions between the catalytic and carrier protein domains.","author":[{"dropping-particle":"","family":"Miller","given":"Bradley R.","non-dropping-particle":"","parse-names":false,"suffix":""},{"dropping-particle":"","family":"Gulick","given":"Andrew M.","non-dropping-particle":"","parse-names":false,"suffix":""}],"container-title":"Methods in Molecular Biology","id":"ITEM-3","issued":{"date-parts":[["2016"]]},"page":"3-29","publisher":"Humana Press, New York, NY","title":"Structural Biology of Nonribosomal Peptide Synthetases","type":"article-journal","volume":"1401"},"uris":["http://www.mendeley.com/documents/?uuid=ee2e0b4b-e117-3ff4-adab-95214d8b0fb9"]}],"mendeley":{"formattedCitation":"&lt;sup&gt;190,204,232&lt;/sup&gt;","plainTextFormattedCitation":"190,204,232","previouslyFormattedCitation":"&lt;sup&gt;190,204,232&lt;/sup&gt;"},"properties":{"noteIndex":0},"schema":"https://github.com/citation-style-language/schema/raw/master/csl-citation.json"}</w:instrText>
      </w:r>
      <w:r w:rsidR="00857C48" w:rsidRPr="00857C48">
        <w:rPr>
          <w:rFonts w:cs="Arial"/>
          <w:color w:val="000000" w:themeColor="text1"/>
          <w:szCs w:val="22"/>
        </w:rPr>
        <w:fldChar w:fldCharType="separate"/>
      </w:r>
      <w:r w:rsidR="00A91591" w:rsidRPr="00A91591">
        <w:rPr>
          <w:rFonts w:cs="Arial"/>
          <w:noProof/>
          <w:color w:val="000000" w:themeColor="text1"/>
          <w:szCs w:val="22"/>
          <w:vertAlign w:val="superscript"/>
        </w:rPr>
        <w:t>190,204,232</w:t>
      </w:r>
      <w:r w:rsidR="00857C48" w:rsidRPr="00857C48">
        <w:rPr>
          <w:rFonts w:cs="Arial"/>
          <w:color w:val="000000" w:themeColor="text1"/>
          <w:szCs w:val="22"/>
        </w:rPr>
        <w:fldChar w:fldCharType="end"/>
      </w:r>
      <w:r w:rsidR="00857C48" w:rsidRPr="00857C48">
        <w:rPr>
          <w:rFonts w:cs="Arial"/>
          <w:color w:val="000000" w:themeColor="text1"/>
          <w:szCs w:val="22"/>
        </w:rPr>
        <w:t xml:space="preserve"> Thus, along with metabolic processes that are counterproductive to TX/TL, this domain could also affect magnesium homeostasis in NRPS CFE reactions if it were to sequester free magnesium during </w:t>
      </w:r>
      <w:r w:rsidR="00857C48" w:rsidRPr="00857C48">
        <w:rPr>
          <w:rFonts w:cs="Arial"/>
          <w:i/>
          <w:iCs/>
          <w:color w:val="000000" w:themeColor="text1"/>
          <w:szCs w:val="22"/>
        </w:rPr>
        <w:t>in vitro</w:t>
      </w:r>
      <w:r w:rsidR="00857C48" w:rsidRPr="00857C48">
        <w:rPr>
          <w:rFonts w:cs="Arial"/>
          <w:color w:val="000000" w:themeColor="text1"/>
          <w:szCs w:val="22"/>
        </w:rPr>
        <w:t xml:space="preserve"> synthesis. </w:t>
      </w:r>
    </w:p>
    <w:p w14:paraId="3DC94844" w14:textId="402A9C96" w:rsidR="00857C48" w:rsidRPr="00857C48" w:rsidRDefault="00857C48" w:rsidP="00D60D4C">
      <w:pPr>
        <w:ind w:firstLine="720"/>
        <w:rPr>
          <w:rFonts w:cs="Arial"/>
          <w:color w:val="000000" w:themeColor="text1"/>
          <w:szCs w:val="22"/>
        </w:rPr>
      </w:pPr>
      <w:r w:rsidRPr="00857C48">
        <w:rPr>
          <w:rFonts w:cs="Arial"/>
          <w:color w:val="000000" w:themeColor="text1"/>
          <w:szCs w:val="22"/>
        </w:rPr>
        <w:t xml:space="preserve">If applicable, the TC tag and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fluorophore can be leveraged to understand and meet the magnesium requirements for the functional expression of an NRPS.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reactions were therefore prepared with varying concentrations of magnesium and 77 mM PEP since this concentration allowed the highest </w:t>
      </w:r>
      <w:proofErr w:type="spellStart"/>
      <w:r w:rsidRPr="00857C48">
        <w:rPr>
          <w:rFonts w:cs="Arial"/>
          <w:color w:val="000000" w:themeColor="text1"/>
          <w:szCs w:val="22"/>
        </w:rPr>
        <w:t>BpsA</w:t>
      </w:r>
      <w:proofErr w:type="spellEnd"/>
      <w:r w:rsidRPr="00857C48">
        <w:rPr>
          <w:rFonts w:cs="Arial"/>
          <w:color w:val="000000" w:themeColor="text1"/>
          <w:szCs w:val="22"/>
        </w:rPr>
        <w:t xml:space="preserve"> expression. The results, confirmed by SDS-PAGE, show that an optimal magnesium concentration for expression of the wild-type enzyme can be defined by the approach (</w:t>
      </w:r>
      <w:r w:rsidRPr="00857C48">
        <w:rPr>
          <w:rFonts w:cs="Arial"/>
          <w:b/>
          <w:bCs/>
          <w:color w:val="000000" w:themeColor="text1"/>
          <w:szCs w:val="22"/>
        </w:rPr>
        <w:t>Fig</w:t>
      </w:r>
      <w:r w:rsidR="00D60D4C">
        <w:rPr>
          <w:rFonts w:cs="Arial"/>
          <w:b/>
          <w:bCs/>
          <w:color w:val="000000" w:themeColor="text1"/>
          <w:szCs w:val="22"/>
        </w:rPr>
        <w:t>ure</w:t>
      </w:r>
      <w:r w:rsidRPr="00857C48">
        <w:rPr>
          <w:rFonts w:cs="Arial"/>
          <w:b/>
          <w:bCs/>
          <w:color w:val="000000" w:themeColor="text1"/>
          <w:szCs w:val="22"/>
        </w:rPr>
        <w:t xml:space="preserve"> 4A, </w:t>
      </w:r>
      <w:r w:rsidR="00D60D4C">
        <w:rPr>
          <w:rFonts w:cs="Arial"/>
          <w:b/>
          <w:bCs/>
          <w:color w:val="000000" w:themeColor="text1"/>
          <w:szCs w:val="22"/>
        </w:rPr>
        <w:t>Appendix Figure</w:t>
      </w:r>
      <w:r w:rsidRPr="00857C48">
        <w:rPr>
          <w:rFonts w:cs="Arial"/>
          <w:b/>
          <w:bCs/>
          <w:color w:val="000000" w:themeColor="text1"/>
          <w:szCs w:val="22"/>
        </w:rPr>
        <w:t xml:space="preserve"> </w:t>
      </w:r>
      <w:r w:rsidR="00D60D4C">
        <w:rPr>
          <w:rFonts w:cs="Arial"/>
          <w:b/>
          <w:bCs/>
          <w:color w:val="000000" w:themeColor="text1"/>
          <w:szCs w:val="22"/>
        </w:rPr>
        <w:t>5.1</w:t>
      </w:r>
      <w:r w:rsidR="00BD523B">
        <w:rPr>
          <w:rFonts w:cs="Arial"/>
          <w:b/>
          <w:bCs/>
          <w:color w:val="000000" w:themeColor="text1"/>
          <w:szCs w:val="22"/>
        </w:rPr>
        <w:t>4</w:t>
      </w:r>
      <w:r w:rsidRPr="00857C48">
        <w:rPr>
          <w:rFonts w:cs="Arial"/>
          <w:color w:val="000000" w:themeColor="text1"/>
          <w:szCs w:val="22"/>
        </w:rPr>
        <w:t xml:space="preserve">). The expression trend for these reactions differ from those of BpsA-TC_E315A and </w:t>
      </w:r>
      <w:proofErr w:type="spellStart"/>
      <w:r w:rsidRPr="00857C48">
        <w:rPr>
          <w:rFonts w:cs="Arial"/>
          <w:color w:val="000000" w:themeColor="text1"/>
          <w:szCs w:val="22"/>
        </w:rPr>
        <w:t>sfGFP</w:t>
      </w:r>
      <w:proofErr w:type="spellEnd"/>
      <w:r w:rsidRPr="00857C48">
        <w:rPr>
          <w:rFonts w:cs="Arial"/>
          <w:color w:val="000000" w:themeColor="text1"/>
          <w:szCs w:val="22"/>
        </w:rPr>
        <w:t xml:space="preserve"> in the same reaction backgrounds, showing that the active A domain impacts NRPS CFE magnesium requirements and reinforcing that the optimal concentration of this TX/TL resource can vary from protein to protein (</w:t>
      </w:r>
      <w:r w:rsidRPr="00857C48">
        <w:rPr>
          <w:rFonts w:cs="Arial"/>
          <w:b/>
          <w:bCs/>
          <w:color w:val="000000" w:themeColor="text1"/>
          <w:szCs w:val="22"/>
        </w:rPr>
        <w:t>Fig</w:t>
      </w:r>
      <w:r w:rsidR="00D60D4C">
        <w:rPr>
          <w:rFonts w:cs="Arial"/>
          <w:b/>
          <w:bCs/>
          <w:color w:val="000000" w:themeColor="text1"/>
          <w:szCs w:val="22"/>
        </w:rPr>
        <w:t>ures</w:t>
      </w:r>
      <w:r w:rsidRPr="00857C48">
        <w:rPr>
          <w:rFonts w:cs="Arial"/>
          <w:b/>
          <w:bCs/>
          <w:color w:val="000000" w:themeColor="text1"/>
          <w:szCs w:val="22"/>
        </w:rPr>
        <w:t xml:space="preserve"> </w:t>
      </w:r>
      <w:r w:rsidR="00D60D4C">
        <w:rPr>
          <w:rFonts w:cs="Arial"/>
          <w:b/>
          <w:bCs/>
          <w:color w:val="000000" w:themeColor="text1"/>
          <w:szCs w:val="22"/>
        </w:rPr>
        <w:t>5.</w:t>
      </w:r>
      <w:r w:rsidRPr="00857C48">
        <w:rPr>
          <w:rFonts w:cs="Arial"/>
          <w:b/>
          <w:bCs/>
          <w:color w:val="000000" w:themeColor="text1"/>
          <w:szCs w:val="22"/>
        </w:rPr>
        <w:t>4B &amp; C</w:t>
      </w:r>
      <w:r w:rsidRPr="00857C48">
        <w:rPr>
          <w:rFonts w:cs="Arial"/>
          <w:color w:val="000000" w:themeColor="text1"/>
          <w:szCs w:val="22"/>
        </w:rPr>
        <w:t>).</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{"citationItems":[{"id":"ITEM-1","itemData":{"DOI":"10.3389/FBIOE.2020.590341/FULL","ISSN":"22964185","abstract":"The modern cell-free protein synthesis (CFPS) system is expanding the opportunity of cell-free biomanufacturing as a versatile platform for synthesizing various therapeutic proteins. However, synthesizing human protein in the bacterial CFPS system remains challenging due to the low expression level, protein misfolding, inactivity, and more. These challenges limit the use of a bacterial CFPS system for human therapeutic protein synthesis. In this study, we demonstrated the improved performance of a customized CFPS platform for human therapeutic protein production by investigating the factors that limit cell-free transcription–translation. The improvement of the CFPS platform has been made in three ways. First, the cell extract was prepared from the rare tRNA expressed host strain, and CFPS was performed with a codon-optimized gene for Escherichia coli codon usage bias. The soluble protein yield was 15.2 times greater with the rare tRNA overexpressing host strain as cell extract and codon-optimized gene in the CFPS system. Next, we identify and prioritize the critical biomanufacturing factors for highly active crude cell lysate for human protein synthesis. Lastly, we engineer the CFPS reaction conditions to enhance protein yield. In this model, the therapeutic protein filaggrin expression was significantly improved by up to 23-fold, presenting 28 ± 5 μM of soluble protein yield. The customized CFPS system for filaggrin biomanufacturing described here demonstrates the potential of the CFPS system to be adapted for studying therapeutic proteins.","author":[{"dropping-particle":"","family":"Kim","given":"Jeehye","non-dropping-particle":"","parse-names":false,"suffix":""},{"dropping-particle":"","family":"Copeland","given":"Caroline E.","non-dropping-particle":"","parse-names":false,"suffix":""},{"dropping-particle":"","family":"Seki","given":"Kosuke","non-dropping-particle":"","parse-names":false,"suffix":""},{"dropping-particle":"","family":"Vögeli","given":"Bastian","non-dropping-particle":"","parse-names":false,"suffix":""},{"dropping-particle":"","family":"Kwon","given":"Yong Chan","non-dropping-particle":"","parse-names":false,"suffix":""}],"container-title":"Frontiers in Bioengineering and Biotechnology","id":"ITEM-1","issued":{"date-parts":[["2020","10","29"]]},"publisher":"Frontiers Media S.A.","title":"Tuning the Cell-Free Protein Synthesis System for Biomanufacturing of Monomeric Human Filaggrin","type":"article-journal","volume":"8"},"uris":["http://www.mendeley.com/documents/?uuid=bf1e3b4e-a413-34ff-91c2-4904de920ec9"]}],"mendeley":{"formattedCitation":"&lt;sup&gt;235&lt;/sup&gt;","plainTextFormattedCitation":"235","previouslyFormattedCitation":"&lt;sup&gt;235&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235</w:t>
      </w:r>
      <w:r w:rsidRPr="00857C48">
        <w:rPr>
          <w:rFonts w:cs="Arial"/>
          <w:color w:val="000000" w:themeColor="text1"/>
          <w:szCs w:val="22"/>
        </w:rPr>
        <w:fldChar w:fldCharType="end"/>
      </w:r>
      <w:r w:rsidRPr="00857C48">
        <w:rPr>
          <w:rFonts w:cs="Arial"/>
          <w:color w:val="000000" w:themeColor="text1"/>
          <w:szCs w:val="22"/>
        </w:rPr>
        <w:t xml:space="preserve"> Compared to </w:t>
      </w:r>
      <w:proofErr w:type="spellStart"/>
      <w:r w:rsidRPr="00857C48">
        <w:rPr>
          <w:rFonts w:cs="Arial"/>
          <w:color w:val="000000" w:themeColor="text1"/>
          <w:szCs w:val="22"/>
        </w:rPr>
        <w:t>sfGFP</w:t>
      </w:r>
      <w:proofErr w:type="spellEnd"/>
      <w:r w:rsidRPr="00857C48">
        <w:rPr>
          <w:rFonts w:cs="Arial"/>
          <w:color w:val="000000" w:themeColor="text1"/>
          <w:szCs w:val="22"/>
        </w:rPr>
        <w:t xml:space="preserve"> and BpsA-TC_E315A,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requires more magnesium for peak </w:t>
      </w:r>
    </w:p>
    <w:p w14:paraId="3319B113" w14:textId="77777777" w:rsidR="00857C48" w:rsidRPr="00857C48" w:rsidRDefault="00857C48" w:rsidP="00D60D4C">
      <w:pPr>
        <w:rPr>
          <w:rFonts w:cs="Arial"/>
          <w:color w:val="000000" w:themeColor="text1"/>
          <w:szCs w:val="22"/>
        </w:rPr>
      </w:pPr>
    </w:p>
    <w:p w14:paraId="7BAAF5D9" w14:textId="77777777" w:rsidR="00857C48" w:rsidRPr="00857C48" w:rsidRDefault="00857C48" w:rsidP="00D60D4C">
      <w:pPr>
        <w:rPr>
          <w:rFonts w:cs="Arial"/>
          <w:color w:val="000000" w:themeColor="text1"/>
          <w:szCs w:val="22"/>
        </w:rPr>
      </w:pPr>
      <w:r w:rsidRPr="00857C48">
        <w:rPr>
          <w:rFonts w:cs="Arial"/>
          <w:noProof/>
          <w:color w:val="000000" w:themeColor="text1"/>
          <w:szCs w:val="22"/>
        </w:rPr>
        <w:lastRenderedPageBreak/>
        <w:drawing>
          <wp:inline distT="0" distB="0" distL="0" distR="0" wp14:anchorId="028A0AC4" wp14:editId="04CBA04D">
            <wp:extent cx="5943600" cy="1369060"/>
            <wp:effectExtent l="0" t="0" r="0" b="0"/>
            <wp:docPr id="37" name="Picture 37"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Icon&#10;&#10;Description automatically generated with low confidence"/>
                    <pic:cNvPicPr/>
                  </pic:nvPicPr>
                  <pic:blipFill>
                    <a:blip r:embed="rId47" cstate="screen">
                      <a:extLst>
                        <a:ext uri="{28A0092B-C50C-407E-A947-70E740481C1C}">
                          <a14:useLocalDpi xmlns:a14="http://schemas.microsoft.com/office/drawing/2010/main"/>
                        </a:ext>
                      </a:extLst>
                    </a:blip>
                    <a:stretch>
                      <a:fillRect/>
                    </a:stretch>
                  </pic:blipFill>
                  <pic:spPr>
                    <a:xfrm>
                      <a:off x="0" y="0"/>
                      <a:ext cx="5943600" cy="1369060"/>
                    </a:xfrm>
                    <a:prstGeom prst="rect">
                      <a:avLst/>
                    </a:prstGeom>
                  </pic:spPr>
                </pic:pic>
              </a:graphicData>
            </a:graphic>
          </wp:inline>
        </w:drawing>
      </w:r>
    </w:p>
    <w:p w14:paraId="68A67EC4" w14:textId="2F83BBB3" w:rsidR="00857C48" w:rsidRPr="00857C48" w:rsidRDefault="00857C48" w:rsidP="00D60D4C">
      <w:pPr>
        <w:rPr>
          <w:rFonts w:cs="Arial"/>
          <w:color w:val="000000" w:themeColor="text1"/>
          <w:szCs w:val="22"/>
        </w:rPr>
      </w:pPr>
      <w:bookmarkStart w:id="137" w:name="_Toc129701170"/>
      <w:r w:rsidRPr="00F256F4">
        <w:rPr>
          <w:rStyle w:val="FigurecaptionChar"/>
        </w:rPr>
        <w:t xml:space="preserve">Figure </w:t>
      </w:r>
      <w:r w:rsidR="00F256F4" w:rsidRPr="00F256F4">
        <w:rPr>
          <w:rStyle w:val="FigurecaptionChar"/>
        </w:rPr>
        <w:t>5.</w:t>
      </w:r>
      <w:r w:rsidRPr="00F256F4">
        <w:rPr>
          <w:rStyle w:val="FigurecaptionChar"/>
        </w:rPr>
        <w:t>4</w:t>
      </w:r>
      <w:r w:rsidR="00F256F4" w:rsidRPr="00F256F4">
        <w:rPr>
          <w:rStyle w:val="FigurecaptionChar"/>
        </w:rPr>
        <w:t>.</w:t>
      </w:r>
      <w:r w:rsidRPr="00F256F4">
        <w:rPr>
          <w:rStyle w:val="FigurecaptionChar"/>
        </w:rPr>
        <w:t xml:space="preserve"> TC/</w:t>
      </w:r>
      <w:proofErr w:type="spellStart"/>
      <w:r w:rsidRPr="00F256F4">
        <w:rPr>
          <w:rStyle w:val="FigurecaptionChar"/>
        </w:rPr>
        <w:t>FlAsH</w:t>
      </w:r>
      <w:proofErr w:type="spellEnd"/>
      <w:r w:rsidRPr="00F256F4">
        <w:rPr>
          <w:rStyle w:val="FigurecaptionChar"/>
        </w:rPr>
        <w:t xml:space="preserve"> analysis of magnesium requirements in NRPS CFE using </w:t>
      </w:r>
      <w:proofErr w:type="spellStart"/>
      <w:r w:rsidRPr="00F256F4">
        <w:rPr>
          <w:rStyle w:val="FigurecaptionChar"/>
        </w:rPr>
        <w:t>BpsA</w:t>
      </w:r>
      <w:proofErr w:type="spellEnd"/>
      <w:r w:rsidRPr="00F256F4">
        <w:rPr>
          <w:rStyle w:val="FigurecaptionChar"/>
        </w:rPr>
        <w:t xml:space="preserve"> as a model.</w:t>
      </w:r>
      <w:bookmarkEnd w:id="137"/>
      <w:r w:rsidRPr="00857C48">
        <w:rPr>
          <w:rFonts w:cs="Arial"/>
          <w:color w:val="000000" w:themeColor="text1"/>
          <w:szCs w:val="22"/>
        </w:rPr>
        <w:t xml:space="preserve"> Reactions were initiated with varying amounts of Mg</w:t>
      </w:r>
      <w:r w:rsidRPr="00857C48">
        <w:rPr>
          <w:rFonts w:cs="Arial"/>
          <w:color w:val="000000" w:themeColor="text1"/>
          <w:szCs w:val="22"/>
          <w:vertAlign w:val="superscript"/>
        </w:rPr>
        <w:t>2+</w:t>
      </w:r>
      <w:r w:rsidRPr="00857C48">
        <w:rPr>
          <w:rFonts w:cs="Arial"/>
          <w:color w:val="000000" w:themeColor="text1"/>
          <w:szCs w:val="22"/>
        </w:rPr>
        <w:t xml:space="preserve"> to determine cell-free expression changes for </w:t>
      </w:r>
      <w:r w:rsidRPr="00857C48">
        <w:rPr>
          <w:rFonts w:cs="Arial"/>
          <w:b/>
          <w:bCs/>
          <w:color w:val="000000" w:themeColor="text1"/>
          <w:szCs w:val="22"/>
        </w:rPr>
        <w:t>A)</w:t>
      </w:r>
      <w:r w:rsidRPr="00857C48">
        <w:rPr>
          <w:rFonts w:cs="Arial"/>
          <w:color w:val="000000" w:themeColor="text1"/>
          <w:szCs w:val="22"/>
        </w:rPr>
        <w:t xml:space="preserve"> </w:t>
      </w:r>
      <w:proofErr w:type="spellStart"/>
      <w:r w:rsidRPr="00857C48">
        <w:rPr>
          <w:rFonts w:cs="Arial"/>
          <w:color w:val="000000" w:themeColor="text1"/>
          <w:szCs w:val="22"/>
        </w:rPr>
        <w:t>BpsA</w:t>
      </w:r>
      <w:proofErr w:type="spellEnd"/>
      <w:r w:rsidRPr="00857C48">
        <w:rPr>
          <w:rFonts w:cs="Arial"/>
          <w:color w:val="000000" w:themeColor="text1"/>
          <w:szCs w:val="22"/>
        </w:rPr>
        <w:t xml:space="preserve">-TC, </w:t>
      </w:r>
      <w:r w:rsidRPr="00857C48">
        <w:rPr>
          <w:rFonts w:cs="Arial"/>
          <w:b/>
          <w:bCs/>
          <w:color w:val="000000" w:themeColor="text1"/>
          <w:szCs w:val="22"/>
        </w:rPr>
        <w:t>B)</w:t>
      </w:r>
      <w:r w:rsidRPr="00857C48">
        <w:rPr>
          <w:rFonts w:cs="Arial"/>
          <w:color w:val="000000" w:themeColor="text1"/>
          <w:szCs w:val="22"/>
        </w:rPr>
        <w:t xml:space="preserve"> BpsA-TC_E315A, </w:t>
      </w:r>
      <w:r w:rsidRPr="00857C48">
        <w:rPr>
          <w:rFonts w:cs="Arial"/>
          <w:b/>
          <w:bCs/>
          <w:color w:val="000000" w:themeColor="text1"/>
          <w:szCs w:val="22"/>
        </w:rPr>
        <w:t xml:space="preserve">C) </w:t>
      </w:r>
      <w:proofErr w:type="spellStart"/>
      <w:r w:rsidRPr="00857C48">
        <w:rPr>
          <w:rFonts w:cs="Arial"/>
          <w:color w:val="000000" w:themeColor="text1"/>
          <w:szCs w:val="22"/>
        </w:rPr>
        <w:t>sfGFP</w:t>
      </w:r>
      <w:proofErr w:type="spellEnd"/>
      <w:r w:rsidRPr="00857C48">
        <w:rPr>
          <w:rFonts w:cs="Arial"/>
          <w:color w:val="000000" w:themeColor="text1"/>
          <w:szCs w:val="22"/>
        </w:rPr>
        <w:t xml:space="preserve">. All reactions were prepared with </w:t>
      </w:r>
      <w:r w:rsidRPr="00857C48">
        <w:rPr>
          <w:rFonts w:cs="Arial"/>
          <w:i/>
          <w:iCs/>
          <w:color w:val="000000" w:themeColor="text1"/>
          <w:szCs w:val="22"/>
        </w:rPr>
        <w:t xml:space="preserve">E. coli </w:t>
      </w:r>
      <w:r w:rsidRPr="00857C48">
        <w:rPr>
          <w:rFonts w:cs="Arial"/>
          <w:color w:val="000000" w:themeColor="text1"/>
          <w:szCs w:val="22"/>
        </w:rPr>
        <w:t>BL21 (Star)DE3 lysates. Reactions were run in triplicate and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measurements were obtained by adding 30 µM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reagent to each reaction after ~ 20 h incubation.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measurements are presented as % relative intensities for visual comparison of trends between </w:t>
      </w:r>
      <w:proofErr w:type="spellStart"/>
      <w:r w:rsidRPr="00857C48">
        <w:rPr>
          <w:rFonts w:cs="Arial"/>
          <w:color w:val="000000" w:themeColor="text1"/>
          <w:szCs w:val="22"/>
        </w:rPr>
        <w:t>BpsA</w:t>
      </w:r>
      <w:proofErr w:type="spellEnd"/>
      <w:r w:rsidRPr="00857C48">
        <w:rPr>
          <w:rFonts w:cs="Arial"/>
          <w:color w:val="000000" w:themeColor="text1"/>
          <w:szCs w:val="22"/>
        </w:rPr>
        <w:t>-TC and BpsA-TC_E315A data since these experiments were run on separate days. Error bars represent the standard error of the mean (n=3).</w:t>
      </w:r>
    </w:p>
    <w:p w14:paraId="7C699A58" w14:textId="77777777" w:rsidR="00D60D4C" w:rsidRDefault="00D60D4C" w:rsidP="00D60D4C">
      <w:pPr>
        <w:rPr>
          <w:rFonts w:cs="Arial"/>
          <w:color w:val="000000" w:themeColor="text1"/>
          <w:szCs w:val="22"/>
        </w:rPr>
      </w:pPr>
    </w:p>
    <w:p w14:paraId="0DECF9C3" w14:textId="77777777" w:rsidR="00BD523B" w:rsidRDefault="00BD523B">
      <w:pPr>
        <w:rPr>
          <w:rFonts w:cs="Arial"/>
          <w:color w:val="000000" w:themeColor="text1"/>
          <w:szCs w:val="22"/>
          <w:u w:val="single"/>
        </w:rPr>
      </w:pPr>
    </w:p>
    <w:p w14:paraId="5B93B9DB" w14:textId="77777777" w:rsidR="00BD523B" w:rsidRDefault="00BD523B">
      <w:pPr>
        <w:rPr>
          <w:rFonts w:cs="Arial"/>
          <w:color w:val="000000" w:themeColor="text1"/>
          <w:szCs w:val="22"/>
          <w:u w:val="single"/>
        </w:rPr>
      </w:pPr>
    </w:p>
    <w:p w14:paraId="42249E04" w14:textId="77777777" w:rsidR="00BD523B" w:rsidRDefault="00BD523B">
      <w:pPr>
        <w:rPr>
          <w:rFonts w:cs="Arial"/>
          <w:color w:val="000000" w:themeColor="text1"/>
          <w:szCs w:val="22"/>
          <w:u w:val="single"/>
        </w:rPr>
      </w:pPr>
    </w:p>
    <w:p w14:paraId="4841DA9B" w14:textId="77777777" w:rsidR="00BD523B" w:rsidRDefault="00BD523B">
      <w:pPr>
        <w:rPr>
          <w:rFonts w:cs="Arial"/>
          <w:color w:val="000000" w:themeColor="text1"/>
          <w:szCs w:val="22"/>
          <w:u w:val="single"/>
        </w:rPr>
      </w:pPr>
    </w:p>
    <w:p w14:paraId="5341A0AA" w14:textId="77777777" w:rsidR="00BD523B" w:rsidRDefault="00BD523B">
      <w:pPr>
        <w:rPr>
          <w:rFonts w:cs="Arial"/>
          <w:color w:val="000000" w:themeColor="text1"/>
          <w:szCs w:val="22"/>
          <w:u w:val="single"/>
        </w:rPr>
      </w:pPr>
    </w:p>
    <w:p w14:paraId="5A2B04B3" w14:textId="77777777" w:rsidR="00BD523B" w:rsidRDefault="00BD523B">
      <w:pPr>
        <w:rPr>
          <w:rFonts w:cs="Arial"/>
          <w:color w:val="000000" w:themeColor="text1"/>
          <w:szCs w:val="22"/>
          <w:u w:val="single"/>
        </w:rPr>
      </w:pPr>
    </w:p>
    <w:p w14:paraId="69DEC805" w14:textId="77777777" w:rsidR="00BD523B" w:rsidRDefault="00BD523B">
      <w:pPr>
        <w:rPr>
          <w:rFonts w:cs="Arial"/>
          <w:color w:val="000000" w:themeColor="text1"/>
          <w:szCs w:val="22"/>
          <w:u w:val="single"/>
        </w:rPr>
      </w:pPr>
    </w:p>
    <w:p w14:paraId="486D7887" w14:textId="77777777" w:rsidR="00BD523B" w:rsidRDefault="00BD523B">
      <w:pPr>
        <w:rPr>
          <w:rFonts w:cs="Arial"/>
          <w:color w:val="000000" w:themeColor="text1"/>
          <w:szCs w:val="22"/>
          <w:u w:val="single"/>
        </w:rPr>
      </w:pPr>
    </w:p>
    <w:p w14:paraId="1562FB09" w14:textId="77777777" w:rsidR="00BD523B" w:rsidRDefault="00BD523B">
      <w:pPr>
        <w:rPr>
          <w:rFonts w:cs="Arial"/>
          <w:color w:val="000000" w:themeColor="text1"/>
          <w:szCs w:val="22"/>
          <w:u w:val="single"/>
        </w:rPr>
      </w:pPr>
    </w:p>
    <w:p w14:paraId="2BE33417" w14:textId="77777777" w:rsidR="00BD523B" w:rsidRDefault="00BD523B">
      <w:pPr>
        <w:rPr>
          <w:rFonts w:cs="Arial"/>
          <w:color w:val="000000" w:themeColor="text1"/>
          <w:szCs w:val="22"/>
          <w:u w:val="single"/>
        </w:rPr>
      </w:pPr>
    </w:p>
    <w:p w14:paraId="56FC2345" w14:textId="77777777" w:rsidR="00BD523B" w:rsidRDefault="00BD523B">
      <w:pPr>
        <w:rPr>
          <w:rFonts w:cs="Arial"/>
          <w:color w:val="000000" w:themeColor="text1"/>
          <w:szCs w:val="22"/>
          <w:u w:val="single"/>
        </w:rPr>
      </w:pPr>
    </w:p>
    <w:p w14:paraId="74F76504" w14:textId="77777777" w:rsidR="00BD523B" w:rsidRDefault="00BD523B">
      <w:pPr>
        <w:rPr>
          <w:rFonts w:cs="Arial"/>
          <w:color w:val="000000" w:themeColor="text1"/>
          <w:szCs w:val="22"/>
          <w:u w:val="single"/>
        </w:rPr>
      </w:pPr>
    </w:p>
    <w:p w14:paraId="0A4FD1E2" w14:textId="3C46D63E" w:rsidR="00BD523B" w:rsidRDefault="00BD523B" w:rsidP="00BD523B">
      <w:pPr>
        <w:rPr>
          <w:rFonts w:cs="Arial"/>
          <w:color w:val="000000" w:themeColor="text1"/>
          <w:szCs w:val="22"/>
          <w:u w:val="single"/>
        </w:rPr>
      </w:pPr>
      <w:r w:rsidRPr="00857C48">
        <w:rPr>
          <w:rFonts w:cs="Arial"/>
          <w:color w:val="000000" w:themeColor="text1"/>
          <w:szCs w:val="22"/>
        </w:rPr>
        <w:lastRenderedPageBreak/>
        <w:t>expression in the current system. A likely explanation is that additional phosphates liberated by the active A domain sequester free magnesium</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{"citationItems":[{"id":"ITEM-1","itemData":{"DOI":"10.1021/bp000031y","abstract":"Factors causing the early cessation of protein synthesis have been studied in a cell-free system from Escherichia coli. We discovered that phosphoenol pyruvate (PEP), the secondary energy source for ATP regeneration, and several amino acids are rapidly degraded during the cell-free protein synthesis reaction. The degradation of such compounds takes place even in the absence of protein synthesis. This degradation severely reduces the capacity for protein synthesis. The lost potency was completely recovered when the reaction mixture was supplied with additional PEP and amino acids. Of the 20 amino acids, only arginine, cysteine, and tryptophan were required to restore system activity. Through repeated additions of PEP, arginine, cysteine,and tryptophan, the duration of protein synthesis was greatly extended. In this fed-batch reaction, after a 2 h incubation, the level of cell-free synthesized chloramphenicol acetyl transferase (CAT) reached 350 µg/mL, which is 3.5 times the yield of the batch reaction. Addition of fresh magnesium further extended the protein synthesis. As a result, through coordinated additions of PEP, arginine, cysteine, tryptophan, and magnesium, the final concentration of cell-free synthesized CAT increased more than 4-fold compared to a batch reaction. SDS-PAGE analysis of such a fed-batch reaction produced an obvious band of CAT upon Coomassie Blue staining.","author":[{"dropping-particle":"","family":"Kim","given":"Dong-Myung","non-dropping-particle":"","parse-names":false,"suffix":""},{"dropping-particle":"","family":"Swartz","given":"James R","non-dropping-particle":"","parse-names":false,"suffix":""}],"id":"ITEM-1","issued":{"date-parts":[["2000"]]},"title":"Prolonging Cell-Free Protein Synthesis by Selective Reagent Additions","type":"article-journal"},"uris":["http://www.mendeley.com/documents/?uuid=4144f1c4-dc2b-3d87-b816-e4cf3ad65c4e"]}],"mendeley":{"formattedCitation":"&lt;sup&gt;236&lt;/sup&gt;","plainTextFormattedCitation":"236","previouslyFormattedCitation":"&lt;sup&gt;236&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236</w:t>
      </w:r>
      <w:r w:rsidRPr="00857C48">
        <w:rPr>
          <w:rFonts w:cs="Arial"/>
          <w:color w:val="000000" w:themeColor="text1"/>
          <w:szCs w:val="22"/>
        </w:rPr>
        <w:fldChar w:fldCharType="end"/>
      </w:r>
      <w:r>
        <w:rPr>
          <w:rFonts w:cs="Arial"/>
          <w:color w:val="000000" w:themeColor="text1"/>
          <w:szCs w:val="22"/>
        </w:rPr>
        <w:t>.</w:t>
      </w:r>
      <w:r w:rsidRPr="00857C48">
        <w:rPr>
          <w:rFonts w:cs="Arial"/>
          <w:color w:val="000000" w:themeColor="text1"/>
          <w:szCs w:val="22"/>
        </w:rPr>
        <w:t xml:space="preserve">   </w:t>
      </w:r>
    </w:p>
    <w:p w14:paraId="3FA59F8B" w14:textId="77777777" w:rsidR="00BD523B" w:rsidRPr="00BD523B" w:rsidRDefault="00BD523B" w:rsidP="00BD523B">
      <w:pPr>
        <w:rPr>
          <w:rFonts w:cs="Arial"/>
          <w:color w:val="000000" w:themeColor="text1"/>
          <w:szCs w:val="22"/>
          <w:u w:val="single"/>
        </w:rPr>
      </w:pPr>
    </w:p>
    <w:p w14:paraId="7C3251E3" w14:textId="6565B7FA" w:rsidR="00857C48" w:rsidRPr="00857C48" w:rsidRDefault="00D60D4C" w:rsidP="00E033D4">
      <w:pPr>
        <w:pStyle w:val="Subsubheading"/>
      </w:pPr>
      <w:r>
        <w:t xml:space="preserve">5.4.3.3. </w:t>
      </w:r>
      <w:r w:rsidR="00857C48" w:rsidRPr="00857C48">
        <w:t xml:space="preserve">Amino acids </w:t>
      </w:r>
    </w:p>
    <w:p w14:paraId="0B94FC27" w14:textId="5F67707B" w:rsidR="00857C48" w:rsidRPr="00857C48" w:rsidRDefault="00857C48" w:rsidP="00D60D4C">
      <w:pPr>
        <w:ind w:firstLine="720"/>
        <w:rPr>
          <w:rFonts w:cs="Arial"/>
          <w:szCs w:val="22"/>
        </w:rPr>
      </w:pPr>
      <w:r w:rsidRPr="00857C48">
        <w:rPr>
          <w:rFonts w:cs="Arial"/>
          <w:color w:val="000000" w:themeColor="text1"/>
          <w:szCs w:val="22"/>
        </w:rPr>
        <w:t>Amino acids are the building blocks of peptides and are thus added into CFE reaction mixes to supply protein synthesis</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{"citationItems":[{"id":"ITEM-1","itemData":{"DOI":"10.1007/S10529-012-1075-4","ISSN":"15736776","PMID":"23086573","abstract":"Cell-free protein synthesis harnesses the synthetic power of biology, programming the ribosomal translational machinery of the cell to create macromolecular products. Like PCR, which uses cellular replication machinery to create a DNA amplifier, cell-free protein synthesis is emerging as a transformative technology with broad applications in protein engineering, biopharmaceutical development, and post-genomic research. By breaking free from the constraints of cell-based systems, it takes the next step towards synthetic biology. Recent advances in reconstituted cell-free protein synthesis (Protein synthesis Using Recombinant Elements expression systems) are creating new opportunities to tailor the reactions for specialized applications including in vitro protein evolution, printing protein microarrays, isotopic labeling, and incorporating nonnatural amino acids. © 2012 Springer Science+Business Media Dordrecht.","author":[{"dropping-particle":"","family":"Whittaker","given":"James W.","non-dropping-particle":"","parse-names":false,"suffix":""}],"container-title":"Biotechnology letters","id":"ITEM-1","issue":"2","issued":{"date-parts":[["2013","2","1"]]},"page":"143","publisher":"NIH Public Access","title":"Cell-free protein synthesis: the state of the art","type":"article-journal","volume":"35"},"uris":["http://www.mendeley.com/documents/?uuid=71d3cb26-69a7-329c-aaea-84d5000402be"]}],"mendeley":{"formattedCitation":"&lt;sup&gt;237&lt;/sup&gt;","plainTextFormattedCitation":"237","previouslyFormattedCitation":"&lt;sup&gt;237&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237</w:t>
      </w:r>
      <w:r w:rsidRPr="00857C48">
        <w:rPr>
          <w:rFonts w:cs="Arial"/>
          <w:color w:val="000000" w:themeColor="text1"/>
          <w:szCs w:val="22"/>
        </w:rPr>
        <w:fldChar w:fldCharType="end"/>
      </w:r>
      <w:r w:rsidR="00D60D4C">
        <w:rPr>
          <w:rFonts w:cs="Arial"/>
          <w:color w:val="000000" w:themeColor="text1"/>
          <w:szCs w:val="22"/>
        </w:rPr>
        <w:t>.</w:t>
      </w:r>
      <w:r w:rsidRPr="00857C48">
        <w:rPr>
          <w:rFonts w:cs="Arial"/>
          <w:color w:val="000000" w:themeColor="text1"/>
          <w:szCs w:val="22"/>
        </w:rPr>
        <w:t xml:space="preserve"> Like PEP and magnesium, this reaction component has been optimized for CFE in the </w:t>
      </w:r>
      <w:r w:rsidRPr="00857C48">
        <w:rPr>
          <w:rFonts w:cs="Arial"/>
          <w:i/>
          <w:iCs/>
          <w:color w:val="000000" w:themeColor="text1"/>
          <w:szCs w:val="22"/>
        </w:rPr>
        <w:t xml:space="preserve">E. coli </w:t>
      </w:r>
      <w:proofErr w:type="spellStart"/>
      <w:r w:rsidRPr="00857C48">
        <w:rPr>
          <w:rFonts w:cs="Arial"/>
          <w:color w:val="000000" w:themeColor="text1"/>
          <w:szCs w:val="22"/>
        </w:rPr>
        <w:t>PANOx</w:t>
      </w:r>
      <w:proofErr w:type="spellEnd"/>
      <w:r w:rsidRPr="00857C48">
        <w:rPr>
          <w:rFonts w:cs="Arial"/>
          <w:color w:val="000000" w:themeColor="text1"/>
          <w:szCs w:val="22"/>
        </w:rPr>
        <w:t>-SP system, which is commonly initially supplemented with 2 mM of the 20 essential amino acids</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{"citationItems":[{"id":"ITEM-1","itemData":{"author":[{"dropping-particle":"","family":"Voloshin","given":"Alexei M.","non-dropping-particle":"","parse-names":false,"suffix":""},{"dropping-particle":"","family":"Swartz","given":"James R.","non-dropping-particle":"","parse-names":false,"suffix":""}],"chapter-number":"12","container-title":"Cell-Free Protein Synthesis: Methods and Protocols","edition":"1","editor":[{"dropping-particle":"","family":"Voloshin","given":"Alexei M.","non-dropping-particle":"","parse-names":false,"suffix":""},{"dropping-particle":"","family":"Swartz","given":"James R.","non-dropping-particle":"","parse-names":false,"suffix":""}],"id":"ITEM-1","issued":{"date-parts":[["2008"]]},"page":"207-235","publisher":"Wiley-VCH Verlag GmbH &amp; Co.KGaA","publisher-place":"Weinheim, Germany","title":"Large-Scale Batch Reactions for Cell-Free Protein Synthesis","type":"chapter"},"uris":["http://www.mendeley.com/documents/?uuid=06e3a41a-2d0d-3bdb-93b8-a3681697a0f6"]},{"id":"ITEM-2","itemData":{"abstract":"A new approach for adenosine triphosphate (ATP) regeneration in a cell-free protein synthesis system is described. We first show that pyruvate can be used as a secondary energy source to replace or supplement the conventional secondary energy source, phosphoenol py-ruvate (PEP). We also report that glucose-6-phosphate, an earlier intermediate of the glycolytic pathway, can be used for ATP regeneration. These new methods provide more stable maintenance of ATP concentration during protein synthesis. Because pyruvate and glucose-6-phosphate are the first and last intermediates of the gly-colytic pathway, respectively, the results also suggest the possibility of using any glycolytic intermediate, or even glucose, for ATP regeneration in a cell-free protein synthesis system. As a result, the methods described provide cell-free protein synthesis with greater flexibility and cost efficiency.","author":[{"dropping-particle":"","family":"Kim","given":"Dong-Myung","non-dropping-particle":"","parse-names":false,"suffix":""},{"dropping-particle":"","family":"Swartz","given":"James R","non-dropping-particle":"","parse-names":false,"suffix":""}],"id":"ITEM-2","issued":{"date-parts":[["2001"]]},"title":"Regeneration of Adenosine Triphosphate from Glycolytic Intermediates for Cell-Free Protein Synthesis","type":"report"},"uris":["http://www.mendeley.com/documents/?uuid=366c5353-d3ae-3fe2-af43-8cd1e27f5b50"]},{"id":"ITEM-3","itemData":{"DOI":"10.1007/S10529-012-1075-4","ISSN":"15736776","PMID":"23086573","abstract":"Cell-free protein synthesis harnesses the synthetic power of biology, programming the ribosomal translational machinery of the cell to create macromolecular products. Like PCR, which uses cellular replication machinery to create a DNA amplifier, cell-free protein synthesis is emerging as a transformative technology with broad applications in protein engineering, biopharmaceutical development, and post-genomic research. By breaking free from the constraints of cell-based systems, it takes the next step towards synthetic biology. Recent advances in reconstituted cell-free protein synthesis (Protein synthesis Using Recombinant Elements expression systems) are creating new opportunities to tailor the reactions for specialized applications including in vitro protein evolution, printing protein microarrays, isotopic labeling, and incorporating nonnatural amino acids. © 2012 Springer Science+Business Media Dordrecht.","author":[{"dropping-particle":"","family":"Whittaker","given":"James W.","non-dropping-particle":"","parse-names":false,"suffix":""}],"container-title":"Biotechnology letters","id":"ITEM-3","issue":"2","issued":{"date-parts":[["2013","2","1"]]},"page":"143","publisher":"NIH Public Access","title":"Cell-free protein synthesis: the state of the art","type":"article-journal","volume":"35"},"uris":["http://www.mendeley.com/documents/?uuid=71d3cb26-69a7-329c-aaea-84d5000402be"]}],"mendeley":{"formattedCitation":"&lt;sup&gt;237–239&lt;/sup&gt;","plainTextFormattedCitation":"237–239","previouslyFormattedCitation":"&lt;sup&gt;237–239&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237–239</w:t>
      </w:r>
      <w:r w:rsidRPr="00857C48">
        <w:rPr>
          <w:rFonts w:cs="Arial"/>
          <w:color w:val="000000" w:themeColor="text1"/>
          <w:szCs w:val="22"/>
        </w:rPr>
        <w:fldChar w:fldCharType="end"/>
      </w:r>
      <w:r w:rsidR="00D60D4C">
        <w:rPr>
          <w:rFonts w:cs="Arial"/>
          <w:color w:val="000000" w:themeColor="text1"/>
          <w:szCs w:val="22"/>
        </w:rPr>
        <w:t>.</w:t>
      </w:r>
      <w:r w:rsidRPr="00857C48">
        <w:rPr>
          <w:rFonts w:cs="Arial"/>
          <w:color w:val="000000" w:themeColor="text1"/>
          <w:szCs w:val="22"/>
        </w:rPr>
        <w:t xml:space="preserve"> This amount reportedly increases yields of CAT compared to lower or higher concentrations and has been previously adapted for NRPS expression in </w:t>
      </w:r>
      <w:r w:rsidRPr="00857C48">
        <w:rPr>
          <w:rFonts w:cs="Arial"/>
          <w:i/>
          <w:iCs/>
          <w:color w:val="000000" w:themeColor="text1"/>
          <w:szCs w:val="22"/>
        </w:rPr>
        <w:t xml:space="preserve">E. coli </w:t>
      </w:r>
      <w:r w:rsidRPr="00857C48">
        <w:rPr>
          <w:rFonts w:cs="Arial"/>
          <w:color w:val="000000" w:themeColor="text1"/>
          <w:szCs w:val="22"/>
        </w:rPr>
        <w:t>lysates</w:t>
      </w:r>
      <w:r w:rsidRPr="00857C48">
        <w:rPr>
          <w:rFonts w:cs="Arial"/>
          <w:color w:val="000000" w:themeColor="text1"/>
          <w:szCs w:val="22"/>
        </w:rPr>
        <w:fldChar w:fldCharType="begin" w:fldLock="1"/>
      </w:r>
      <w:r w:rsidR="004F3109">
        <w:rPr>
          <w:rFonts w:cs="Arial"/>
          <w:color w:val="000000" w:themeColor="text1"/>
          <w:szCs w:val="22"/>
        </w:rPr>
        <w:instrText>ADDIN CSL_CITATION {"citationItems":[{"id":"ITEM-1","itemData":{"abstract":"A new approach for adenosine triphosphate (ATP) regeneration in a cell-free protein synthesis system is described. We first show that pyruvate can be used as a secondary energy source to replace or supplement the conventional secondary energy source, phosphoenol py-ruvate (PEP). We also report that glucose-6-phosphate, an earlier intermediate of the glycolytic pathway, can be used for ATP regeneration. These new methods provide more stable maintenance of ATP concentration during protein synthesis. Because pyruvate and glucose-6-phosphate are the first and last intermediates of the gly-colytic pathway, respectively, the results also suggest the possibility of using any glycolytic intermediate, or even glucose, for ATP regeneration in a cell-free protein synthesis system. As a result, the methods described provide cell-free protein synthesis with greater flexibility and cost efficiency.","author":[{"dropping-particle":"","family":"Kim","given":"Dong-Myung","non-dropping-particle":"","parse-names":false,"suffix":""},{"dropping-particle":"","family":"Swartz","given":"James R","non-dropping-particle":"","parse-names":false,"suffix":""}],"id":"ITEM-1","issued":{"date-parts":[["2001"]]},"title":"Regeneration of Adenosine Triphosphate from Glycolytic Intermediates for Cell-Free Protein Synthesis","type":"report"},"uris":["http://www.mendeley.com/documents/?uuid=366c5353-d3ae-3fe2-af43-8cd1e27f5b50"]},{"id":"ITEM-2","itemData":{"DOI":"10.1016/J.YMBEN.2020.03.009","ISSN":"1096-7176","PMID":"32224263","abstract":"Natural products are important because of their significant pharmaceutical properties such as antiviral, antimicrobial, and anticancer activity. Recent breakthroughs in DNA sequencing reveal that a great number of cryptic natural product biosynthetic gene clusters are encoded in microbial genomes, for example, those of Streptomyces species. However, it is still challenging to access compounds from these clusters because many source organisms are uncultivable or the genes are silent during laboratory cultivation. To address this challenge, we develop an efficient cell-free platform for the rapid, in vitro total biosynthesis of the nonribosomal peptide valinomycin as a model. We achieve this goal in two ways. First, we used a cell-free protein synthesis (CFPS) system to express the entire valinomycin biosynthetic gene cluster (&gt;19 kb) in a single-pot reaction, giving rise to approximately 37 μg/L of valinomycin after optimization. Second, we coupled CFPS with cell-free metabolic engineering system by mixing two enzyme-enriched cell lysates to perform a two-stage biosynthesis. This strategy improved valinomycin production ~5000-fold to nearly 30 mg/L. We expect that cell-free biosynthetic systems will provide a new avenue to express, discover, and characterize natural product gene clusters of interest in vitro.","author":[{"dropping-particle":"","family":"Zhuang","given":"Lei","non-dropping-particle":"","parse-names":false,"suffix":""},{"dropping-particle":"","family":"Huang","given":"Shuhui","non-dropping-particle":"","parse-names":false,"suffix":""},{"dropping-particle":"","family":"Liu","given":"Wan Qiu","non-dropping-particle":"","parse-names":false,"suffix":""},{"dropping-particle":"","family":"Karim","given":"Ashty S.","non-dropping-particle":"","parse-names":false,"suffix":""},{"dropping-particle":"","family":"Jewett","given":"Michael C.","non-dropping-particle":"","parse-names":false,"suffix":""},{"dropping-particle":"","family":"Li","given":"Jian","non-dropping-particle":"","parse-names":false,"suffix":""}],"container-title":"Metabolic Engineering","id":"ITEM-2","issued":{"date-parts":[["2020","7","1"]]},"page":"37-44","publisher":"Academic Press","title":"Total in vitro biosynthesis of the nonribosomal macrolactone peptide valinomycin","type":"article-journal","volume":"60"},"uris":["http://www.mendeley.com/documents/?uuid=7b4a6e0f-c308-3fc8-998b-3b950a873609"]},{"id":"ITEM-3","itemData":{"DOI":"10.1021/acssynbio.6b00160","ISSN":"21615063","abstract":"Genome sequencing has revealed that a far greater number of natural product biosynthetic pathways exist than there are known natural products. To access these molecules directly and deterministically, a new generation of heterologous expression methods is needed. Cell-free protein synthesis has not previously been used to study nonribosomal peptide biosynthesis, and provides a tunable platform with advantages over conventional methods for protein expression. Here, we demonstrate the use of cell-free protein synthesis to biosynthesize a cyclic dipeptide with correct absolute stereochemistry. From a single-pot reaction, we measured the expression of two nonribosomal peptide synthetases larger than 100 kDa, and detected high-level production of a diketopiperazine. Using quantitative LC-MS and synthetically prepared standard, we observed production of this metabolite at levels higher than previously reported from cell-based recombinant expression, approximately 12 mg/L. Overall, this work represents a first step to apply cell-free protein synthesis to discover and characterize new natural products.","author":[{"dropping-particle":"","family":"Goering","given":"Anthony W.","non-dropping-particle":"","parse-names":false,"suffix":""},{"dropping-particle":"","family":"Li","given":"Jian","non-dropping-particle":"","parse-names":false,"suffix":""},{"dropping-particle":"","family":"McClure","given":"Ryan A.","non-dropping-particle":"","parse-names":false,"suffix":""},{"dropping-particle":"","family":"Thomson","given":"Regan J.","non-dropping-particle":"","parse-names":false,"suffix":""},{"dropping-particle":"","family":"Jewett","given":"Michael C.","non-dropping-particle":"","parse-names":false,"suffix":""},{"dropping-particle":"","family":"Kelleher","given":"Neil L.","non-dropping-particle":"","parse-names":false,"suffix":""}],"container-title":"ACS Synthetic Biology","id":"ITEM-3","issue":"1","issued":{"date-parts":[["2017"]]},"page":"39-44","publisher":"American Chemical Society","title":"In vitro reconstruction of nonribosomal peptide biosynthesis directly from DNA using cell-free protein synthesis","type":"article-journal","volume":"6"},"uris":["http://www.mendeley.com/documents/?uuid=5dc6ed63-4413-3c6e-973c-719fb49b3ef4"]}],"mendeley":{"formattedCitation":"&lt;sup&gt;54,211,239&lt;/sup&gt;","plainTextFormattedCitation":"54,211,239","previouslyFormattedCitation":"&lt;sup&gt;54,211,239&lt;/sup&gt;"},"properties":{"noteIndex":0},"schema":"https://github.com/citation-style-language/schema/raw/master/csl-citation.json"}</w:instrText>
      </w:r>
      <w:r w:rsidRPr="00857C48">
        <w:rPr>
          <w:rFonts w:cs="Arial"/>
          <w:color w:val="000000" w:themeColor="text1"/>
          <w:szCs w:val="22"/>
        </w:rPr>
        <w:fldChar w:fldCharType="separate"/>
      </w:r>
      <w:r w:rsidR="00A91591" w:rsidRPr="00A91591">
        <w:rPr>
          <w:rFonts w:cs="Arial"/>
          <w:noProof/>
          <w:color w:val="000000" w:themeColor="text1"/>
          <w:szCs w:val="22"/>
          <w:vertAlign w:val="superscript"/>
        </w:rPr>
        <w:t>54,211,239</w:t>
      </w:r>
      <w:r w:rsidRPr="00857C48">
        <w:rPr>
          <w:rFonts w:cs="Arial"/>
          <w:color w:val="000000" w:themeColor="text1"/>
          <w:szCs w:val="22"/>
        </w:rPr>
        <w:fldChar w:fldCharType="end"/>
      </w:r>
      <w:r w:rsidR="00D60D4C">
        <w:rPr>
          <w:rFonts w:cs="Arial"/>
          <w:color w:val="000000" w:themeColor="text1"/>
          <w:szCs w:val="22"/>
        </w:rPr>
        <w:t>.</w:t>
      </w:r>
      <w:r w:rsidRPr="00857C48">
        <w:rPr>
          <w:rFonts w:cs="Arial"/>
          <w:color w:val="000000" w:themeColor="text1"/>
          <w:szCs w:val="22"/>
        </w:rPr>
        <w:t xml:space="preserve"> However, the sensitivity of NRPS expression to a range of amino acid concentrations should be assessed. </w:t>
      </w:r>
      <w:r w:rsidRPr="00857C48">
        <w:rPr>
          <w:rFonts w:cs="Arial"/>
          <w:szCs w:val="22"/>
        </w:rPr>
        <w:t>As an NRPS is synthesized, its A domain(s) may recognize and adenylate certain amino acids that would otherwise be used for TX/TL</w:t>
      </w:r>
      <w:r w:rsidRPr="00857C48">
        <w:rPr>
          <w:rFonts w:cs="Arial"/>
          <w:szCs w:val="22"/>
        </w:rPr>
        <w:fldChar w:fldCharType="begin" w:fldLock="1"/>
      </w:r>
      <w:r w:rsidR="004F3109">
        <w:rPr>
          <w:rFonts w:cs="Arial"/>
          <w:szCs w:val="22"/>
        </w:rPr>
        <w:instrText>ADDIN CSL_CITATION {"citationItems":[{"id":"ITEM-1","itemData":{"DOI":"10.1002/ANIE.201405281","ISSN":"1521-3773","PMID":"25081643","abstract":"Nonribosomal peptide synthetases (NRPSs) are multifunctional enzymes that produce a wide array of bioactive peptides. Here we show that a single tryptophan-to-serine mutation in phenylalanine-specific NRPS adenylation domains enables the efficient activation of non-natural aromatic amino acids functionalized with azide and alkyne groups. The resulting 105-fold switch in substrate specificity was achieved without appreciable loss of catalytic efficiency. Moreover, the effective communication of the modified A domains with downstream modules in dipeptide synthetases permitted incorporation of O-propargyl-L-tyrosine into diketopiperazines both in vitro and in vivo, even in the presence of competing phenylalanine. Because azides and alkynes readily undergo bioorthogonal click reactions, reprogramming NRPSs to accept non-natural amino acids that contain these groups provides a potentially powerful means of isolating, labeling, and modifying biologically active peptides.","author":[{"dropping-particle":"","family":"Kries","given":"Hajo","non-dropping-particle":"","parse-names":false,"suffix":""},{"dropping-particle":"","family":"Wachtel","given":"Rudolf","non-dropping-particle":"","parse-names":false,"suffix":""},{"dropping-particle":"","family":"Pabst","given":"Anja","non-dropping-particle":"","parse-names":false,"suffix":""},{"dropping-particle":"","family":"Wanner","given":"Benedikt","non-dropping-particle":"","parse-names":false,"suffix":""},{"dropping-particle":"","family":"Niquille","given":"David","non-dropping-particle":"","parse-names":false,"suffix":""},{"dropping-particle":"","family":"Hilvert","given":"Donald","non-dropping-particle":"","parse-names":false,"suffix":""}],"container-title":"Angewandte Chemie International Edition","id":"ITEM-1","issue":"38","issued":{"date-parts":[["2014","9","15"]]},"page":"10105-10108","publisher":"John Wiley &amp; Sons, Ltd","title":"Reprogramming Nonribosomal Peptide Synthetases for “Clickable” Amino Acids","type":"article-journal","volume":"53"},"uris":["http://www.mendeley.com/documents/?uuid=e956050a-d891-38ce-b01b-be79dd5d7476"]},{"id":"ITEM-2","itemData":{"DOI":"10.1007/978-1-4939-3375-4_1","ISSN":"10643745","PMID":"26831698","abstract":"The nonribosomal peptide synthetases are modular enzymes that catalyze synthesis of important peptide products from a variety of standard and non-proteinogenic amino acid substrates. Within a single module are multiple catalytic domains that are responsible for incorporation of a single residue. After the amino acid is activated and covalently attached to an integrated carrier protein domain, the substrates and intermediates are delivered to neighboring catalytic domains for peptide bond formation or, in some modules, chemical modifi cation. In the fi nal module, the peptide is delivered to a terminal thioesterase domain that catalyzes release of the peptide product. This multi-domain modular architecture raises questions about the structural features that enable this assembly line synthesis in an effi cient manner. The structures of the core component domains have been determined and demonstrate insights into the catalytic activity. More recently, multi-domain structures have been determined and are providing clues to the features of these enzyme systems that govern the functional interaction between multiple domains. This chapter describes the structures of NRPS proteins and the strategies that are being used to assist structural studies of these dynamic proteins, including careful consideration of domain boundaries for generation of truncated proteins and the use of mechanism-based inhibitors that trap interactions between the catalytic and carrier protein domains.","author":[{"dropping-particle":"","family":"Miller","given":"Bradley R.","non-dropping-particle":"","parse-names":false,"suffix":""},{"dropping-particle":"","family":"Gulick","given":"Andrew M.","non-dropping-particle":"","parse-names":false,"suffix":""}],"container-title":"Methods in Molecular Biology","id":"ITEM-2","issued":{"date-parts":[["2016"]]},"page":"3-29","publisher":"Humana Press, New York, NY","title":"Structural Biology of Nonribosomal Peptide Synthetases","type":"article-journal","volume":"1401"},"uris":["http://www.mendeley.com/documents/?uuid=ee2e0b4b-e117-3ff4-adab-95214d8b0fb9"]}],"mendeley":{"formattedCitation":"&lt;sup&gt;190,199&lt;/sup&gt;","plainTextFormattedCitation":"190,199","previouslyFormattedCitation":"&lt;sup&gt;190,199&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190,199</w:t>
      </w:r>
      <w:r w:rsidRPr="00857C48">
        <w:rPr>
          <w:rFonts w:cs="Arial"/>
          <w:szCs w:val="22"/>
        </w:rPr>
        <w:fldChar w:fldCharType="end"/>
      </w:r>
      <w:r w:rsidR="00D60D4C">
        <w:rPr>
          <w:rFonts w:cs="Arial"/>
          <w:szCs w:val="22"/>
        </w:rPr>
        <w:t>.</w:t>
      </w:r>
      <w:r w:rsidRPr="00857C48">
        <w:rPr>
          <w:rFonts w:cs="Arial"/>
          <w:szCs w:val="22"/>
        </w:rPr>
        <w:t xml:space="preserve"> Additionally, NRPSs can have sequences with diverse amino acid distributions or A domains with different amino acid specificities</w:t>
      </w:r>
      <w:r w:rsidRPr="00857C48">
        <w:rPr>
          <w:rFonts w:cs="Arial"/>
          <w:szCs w:val="22"/>
        </w:rPr>
        <w:fldChar w:fldCharType="begin" w:fldLock="1"/>
      </w:r>
      <w:r w:rsidR="004F3109">
        <w:rPr>
          <w:rFonts w:cs="Arial"/>
          <w:szCs w:val="22"/>
        </w:rPr>
        <w:instrText>ADDIN CSL_CITATION {"citationItems":[{"id":"ITEM-1","itemData":{"DOI":"10.1016/S1074-5521(99)80082-9","ISSN":"1074-5521","PMID":"10421756","abstract":"Background: Many pharmacologically important peptides are synthesized nonribosomally by multimodular peptide synthetases (NRPSs). These enzyme templates consist of iterated modules that, in their number and organization, determine the primary structure of the corresponding peptide products. At the core of each module is an adenylation domain that recognizes the cognate substrate and activates it as its aminoacyl adenylate. Recently, the crystal structure of the phenylalanine-activating adenylation domain PheA was solved with phenylalanine and AMP, illustrating the structural basis for substrate recognition. Results: By comparing the residues that line the phenylalanine-binding pocket in PheA with the corresponding moieties in other adenylation domains, general rules for deducing substrate specificity were developed. We tested these in silico 'rules' by mutating specificity-conferring residues within PheA. The substrate specificity of most mutants was altered or relaxed. Generalization of the selectivity determinants also allowed the targeted specificity switch of an aspartate-activating adenylation domain, the crystal structure of which has not yet been solved, by introducing a single mutation. Conclusions: In silico studies and structure-function mutagenesis have defined general rules for the structural basis of substrate recognition in adenylation domains of NRPSs. These rules can be used to rationally alter the specificity of adenylation domains and to predict from the primary sequence the specificity of biochemically uncharacterized adenylation domains. Such efforts could enhance the structural diversity of peptide antibiotics such as penicillins, cyclosporins and vancomycins by allowing synthesis of 'unnatural' natural products.","author":[{"dropping-particle":"","family":"Stachelhaus","given":"Torsten","non-dropping-particle":"","parse-names":false,"suffix":""},{"dropping-particle":"","family":"Mootz","given":"Henning D.","non-dropping-particle":"","parse-names":false,"suffix":""},{"dropping-particle":"","family":"Marahiel","given":"Mohamed A.","non-dropping-particle":"","parse-names":false,"suffix":""}],"container-title":"Chemistry &amp; biology","id":"ITEM-1","issue":"8","issued":{"date-parts":[["1999"]]},"page":"493-505","publisher":"Chem Biol","title":"The specificity-conferring code of adenylation domains in nonribosomal peptide synthetases","type":"article-journal","volume":"6"},"uris":["http://www.mendeley.com/documents/?uuid=b549735a-f3e2-38b8-8f43-2ab6480cfe05"]}],"mendeley":{"formattedCitation":"&lt;sup&gt;193&lt;/sup&gt;","plainTextFormattedCitation":"193","previouslyFormattedCitation":"&lt;sup&gt;193&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193</w:t>
      </w:r>
      <w:r w:rsidRPr="00857C48">
        <w:rPr>
          <w:rFonts w:cs="Arial"/>
          <w:szCs w:val="22"/>
        </w:rPr>
        <w:fldChar w:fldCharType="end"/>
      </w:r>
      <w:r w:rsidR="00D60D4C">
        <w:rPr>
          <w:rFonts w:cs="Arial"/>
          <w:szCs w:val="22"/>
        </w:rPr>
        <w:t>.</w:t>
      </w:r>
      <w:r w:rsidRPr="00857C48">
        <w:rPr>
          <w:rFonts w:cs="Arial"/>
          <w:szCs w:val="22"/>
        </w:rPr>
        <w:t xml:space="preserve"> Also, compared to </w:t>
      </w:r>
      <w:proofErr w:type="spellStart"/>
      <w:r w:rsidRPr="00857C48">
        <w:rPr>
          <w:rFonts w:cs="Arial"/>
          <w:szCs w:val="22"/>
        </w:rPr>
        <w:t>sfGFP</w:t>
      </w:r>
      <w:proofErr w:type="spellEnd"/>
      <w:r w:rsidRPr="00857C48">
        <w:rPr>
          <w:rFonts w:cs="Arial"/>
          <w:szCs w:val="22"/>
        </w:rPr>
        <w:t>, the CFE of a much larger protein like an NRPS would hypothetically require more free amino acids. Considering these, TC/</w:t>
      </w:r>
      <w:proofErr w:type="spellStart"/>
      <w:r w:rsidRPr="00857C48">
        <w:rPr>
          <w:rFonts w:cs="Arial"/>
          <w:szCs w:val="22"/>
        </w:rPr>
        <w:t>FlAsH</w:t>
      </w:r>
      <w:proofErr w:type="spellEnd"/>
      <w:r w:rsidRPr="00857C48">
        <w:rPr>
          <w:rFonts w:cs="Arial"/>
          <w:szCs w:val="22"/>
        </w:rPr>
        <w:t xml:space="preserve"> measurements can be used </w:t>
      </w:r>
      <w:r w:rsidRPr="00857C48">
        <w:rPr>
          <w:rFonts w:cs="Arial"/>
          <w:color w:val="000000" w:themeColor="text1"/>
          <w:szCs w:val="22"/>
        </w:rPr>
        <w:t>to probe NRPS production under different amino acid concentrations.</w:t>
      </w:r>
    </w:p>
    <w:p w14:paraId="0B9A506D" w14:textId="4491E961" w:rsidR="00857C48" w:rsidRDefault="00857C48" w:rsidP="00D60D4C">
      <w:pPr>
        <w:ind w:firstLine="720"/>
        <w:rPr>
          <w:rFonts w:cs="Arial"/>
          <w:szCs w:val="22"/>
        </w:rPr>
      </w:pPr>
      <w:r w:rsidRPr="00857C48">
        <w:rPr>
          <w:rFonts w:cs="Arial"/>
          <w:szCs w:val="22"/>
        </w:rPr>
        <w:t xml:space="preserve">The initial concentrations of the amino acid mix (containing all 20 essential amino acids) in </w:t>
      </w:r>
      <w:proofErr w:type="spellStart"/>
      <w:r w:rsidRPr="00857C48">
        <w:rPr>
          <w:rFonts w:cs="Arial"/>
          <w:szCs w:val="22"/>
        </w:rPr>
        <w:t>BpsA</w:t>
      </w:r>
      <w:proofErr w:type="spellEnd"/>
      <w:r w:rsidRPr="00857C48">
        <w:rPr>
          <w:rFonts w:cs="Arial"/>
          <w:szCs w:val="22"/>
        </w:rPr>
        <w:t xml:space="preserve">-TC expressing reactions were varied. Reactions were prepared with PEP and magnesium concentrations optimized for </w:t>
      </w:r>
      <w:proofErr w:type="spellStart"/>
      <w:r w:rsidRPr="00857C48">
        <w:rPr>
          <w:rFonts w:cs="Arial"/>
          <w:szCs w:val="22"/>
        </w:rPr>
        <w:t>BpsA</w:t>
      </w:r>
      <w:proofErr w:type="spellEnd"/>
      <w:r w:rsidRPr="00857C48">
        <w:rPr>
          <w:rFonts w:cs="Arial"/>
          <w:szCs w:val="22"/>
        </w:rPr>
        <w:t xml:space="preserve"> expression thus far (77 mM PEP and 18 mM magnesium). TC/</w:t>
      </w:r>
      <w:proofErr w:type="spellStart"/>
      <w:r w:rsidRPr="00857C48">
        <w:rPr>
          <w:rFonts w:cs="Arial"/>
          <w:szCs w:val="22"/>
        </w:rPr>
        <w:t>FlAsH</w:t>
      </w:r>
      <w:proofErr w:type="spellEnd"/>
      <w:r w:rsidRPr="00857C48">
        <w:rPr>
          <w:rFonts w:cs="Arial"/>
          <w:szCs w:val="22"/>
        </w:rPr>
        <w:t xml:space="preserve"> measurements from these reactions demonstrate no significant differences in expression levels between the 2, 4, and 6 mM conditions (</w:t>
      </w:r>
      <w:r w:rsidRPr="00857C48">
        <w:rPr>
          <w:rFonts w:cs="Arial"/>
          <w:b/>
          <w:bCs/>
          <w:szCs w:val="22"/>
        </w:rPr>
        <w:t>Fig</w:t>
      </w:r>
      <w:r w:rsidR="00D60D4C">
        <w:rPr>
          <w:rFonts w:cs="Arial"/>
          <w:b/>
          <w:bCs/>
          <w:szCs w:val="22"/>
        </w:rPr>
        <w:t>ure</w:t>
      </w:r>
      <w:r w:rsidRPr="00857C48">
        <w:rPr>
          <w:rFonts w:cs="Arial"/>
          <w:b/>
          <w:bCs/>
          <w:szCs w:val="22"/>
        </w:rPr>
        <w:t xml:space="preserve"> </w:t>
      </w:r>
      <w:r w:rsidR="00D60D4C">
        <w:rPr>
          <w:rFonts w:cs="Arial"/>
          <w:b/>
          <w:bCs/>
          <w:szCs w:val="22"/>
        </w:rPr>
        <w:t>5.</w:t>
      </w:r>
      <w:r w:rsidRPr="00857C48">
        <w:rPr>
          <w:rFonts w:cs="Arial"/>
          <w:b/>
          <w:bCs/>
          <w:szCs w:val="22"/>
        </w:rPr>
        <w:t>5A</w:t>
      </w:r>
      <w:r w:rsidRPr="00857C48">
        <w:rPr>
          <w:rFonts w:cs="Arial"/>
          <w:szCs w:val="22"/>
        </w:rPr>
        <w:t>). However, a substantial decline occurs when 8 mM of the amino acid mixture is used. These results are consistent with SDS-PAGE data (</w:t>
      </w:r>
      <w:r w:rsidR="00D60D4C">
        <w:rPr>
          <w:rFonts w:cs="Arial"/>
          <w:b/>
          <w:bCs/>
          <w:szCs w:val="22"/>
        </w:rPr>
        <w:t>Appendix Figure</w:t>
      </w:r>
      <w:r w:rsidRPr="00857C48">
        <w:rPr>
          <w:rFonts w:cs="Arial"/>
          <w:b/>
          <w:bCs/>
          <w:szCs w:val="22"/>
        </w:rPr>
        <w:t xml:space="preserve"> </w:t>
      </w:r>
      <w:r w:rsidR="00D60D4C">
        <w:rPr>
          <w:rFonts w:cs="Arial"/>
          <w:b/>
          <w:bCs/>
          <w:szCs w:val="22"/>
        </w:rPr>
        <w:t>5.1</w:t>
      </w:r>
      <w:r w:rsidR="00BD523B">
        <w:rPr>
          <w:rFonts w:cs="Arial"/>
          <w:b/>
          <w:bCs/>
          <w:szCs w:val="22"/>
        </w:rPr>
        <w:t>5</w:t>
      </w:r>
      <w:r w:rsidRPr="00857C48">
        <w:rPr>
          <w:rFonts w:cs="Arial"/>
          <w:b/>
          <w:bCs/>
          <w:szCs w:val="22"/>
        </w:rPr>
        <w:t>A</w:t>
      </w:r>
      <w:r w:rsidRPr="00857C48">
        <w:rPr>
          <w:rFonts w:cs="Arial"/>
          <w:szCs w:val="22"/>
        </w:rPr>
        <w:t xml:space="preserve">). On the other hand, BpsA-TC_E315A synthesis shows no significant change across all conditions, implicating the A domain’s role in impairing </w:t>
      </w:r>
      <w:proofErr w:type="spellStart"/>
      <w:r w:rsidRPr="00857C48">
        <w:rPr>
          <w:rFonts w:cs="Arial"/>
          <w:szCs w:val="22"/>
        </w:rPr>
        <w:t>BpsA</w:t>
      </w:r>
      <w:proofErr w:type="spellEnd"/>
      <w:r w:rsidRPr="00857C48">
        <w:rPr>
          <w:rFonts w:cs="Arial"/>
          <w:szCs w:val="22"/>
        </w:rPr>
        <w:t xml:space="preserve"> expression presumably because of its interaction with </w:t>
      </w:r>
      <w:r w:rsidRPr="00857C48">
        <w:rPr>
          <w:rFonts w:cs="Arial"/>
          <w:smallCaps/>
          <w:szCs w:val="22"/>
        </w:rPr>
        <w:t>L</w:t>
      </w:r>
      <w:r w:rsidRPr="00857C48">
        <w:rPr>
          <w:rFonts w:cs="Arial"/>
          <w:szCs w:val="22"/>
        </w:rPr>
        <w:t>-Gln (</w:t>
      </w:r>
      <w:r w:rsidRPr="00857C48">
        <w:rPr>
          <w:rFonts w:cs="Arial"/>
          <w:b/>
          <w:bCs/>
          <w:szCs w:val="22"/>
        </w:rPr>
        <w:t>Fig</w:t>
      </w:r>
      <w:r w:rsidR="00D60D4C">
        <w:rPr>
          <w:rFonts w:cs="Arial"/>
          <w:b/>
          <w:bCs/>
          <w:szCs w:val="22"/>
        </w:rPr>
        <w:t>ure</w:t>
      </w:r>
      <w:r w:rsidRPr="00857C48">
        <w:rPr>
          <w:rFonts w:cs="Arial"/>
          <w:b/>
          <w:bCs/>
          <w:szCs w:val="22"/>
        </w:rPr>
        <w:t xml:space="preserve"> </w:t>
      </w:r>
      <w:r w:rsidR="00D60D4C">
        <w:rPr>
          <w:rFonts w:cs="Arial"/>
          <w:b/>
          <w:bCs/>
          <w:szCs w:val="22"/>
        </w:rPr>
        <w:t>5.</w:t>
      </w:r>
      <w:r w:rsidRPr="00857C48">
        <w:rPr>
          <w:rFonts w:cs="Arial"/>
          <w:b/>
          <w:bCs/>
          <w:szCs w:val="22"/>
        </w:rPr>
        <w:t>5B</w:t>
      </w:r>
      <w:r w:rsidRPr="00857C48">
        <w:rPr>
          <w:rFonts w:cs="Arial"/>
          <w:szCs w:val="22"/>
        </w:rPr>
        <w:t>)</w:t>
      </w:r>
      <w:r w:rsidRPr="00857C48">
        <w:rPr>
          <w:rFonts w:cs="Arial"/>
          <w:szCs w:val="22"/>
        </w:rPr>
        <w:fldChar w:fldCharType="begin" w:fldLock="1"/>
      </w:r>
      <w:r w:rsidR="004F3109">
        <w:rPr>
          <w:rFonts w:cs="Arial"/>
          <w:szCs w:val="22"/>
        </w:rPr>
        <w:instrText>ADDIN CSL_CITATION {"citationItems":[{"id":"ITEM-1","itemData":{"DOI":"10.1074/jbc.M611319200","ISSN":"00219258","abstract":"In the present study, we cloned a gene, designated bpsA, which encodes a single module type non-ribosomal peptide synthetase (NRPS) from a D-cycloserine (DCS)-producing Streptomyces lavendulae ATCC11924. A putative oxidation domain is significantly integrated into the adenylation domain of the NRPS, and the condensation domain is absent from the module. When S. lividans was transformed with a plasmid carrying bpsA, the transformed cells produced a blue pigment, suggesting that bpsA is responsible for the blue pigment synthesis. However, to produce the blue pigment in Escherichia coli, the existence of the 4′-phosphopantetheinyl transferase (PPTase) gene from Streptomyces was necessary, in addition to bpsA. The chemical structure of the pigment was determined as 5,5′-diamino-4,4′-dihydroxy-3,3′- diazadiphenoquinone-(2,2′), called indigoidine. The bpsA gene product, designated BPSA, was overproduced in an E. coli host-vector system and purified to homogeneity, demonstrating that the recombinant enzyme prefers L-Gln as a substrate. The in vitro experiment using L-Gln also showed that the blue pigment was formed by the purified BPSA only when the enzyme was phosphopantetheinylated by adding a Streptomyces PPTase purified from E. coli cells. Each site-directed mutagenesis experiment of Lys598, Tyr 601, Ser603, and Tyr608, which are seen in the oxidation domain of BPSA, suggests that these residues are essential for the binding of FMN to the protein and the synthesis of the blue pigment. © 2007 by The American Society for Biochemistry and Molecular Biology, Inc.","author":[{"dropping-particle":"","family":"Takahashi","given":"Hitoshi","non-dropping-particle":"","parse-names":false,"suffix":""},{"dropping-particle":"","family":"Kumagai","given":"Takanori","non-dropping-particle":"","parse-names":false,"suffix":""},{"dropping-particle":"","family":"Kitani","given":"Kyoko","non-dropping-particle":"","parse-names":false,"suffix":""},{"dropping-particle":"","family":"Mori","given":"Miwako","non-dropping-particle":"","parse-names":false,"suffix":""},{"dropping-particle":"","family":"Matoba","given":"Yasuyuki","non-dropping-particle":"","parse-names":false,"suffix":""},{"dropping-particle":"","family":"Sugiyama","given":"Masanori","non-dropping-particle":"","parse-names":false,"suffix":""}],"container-title":"Journal of Biological Chemistry","id":"ITEM-1","issue":"12","issued":{"date-parts":[["2007","3","23"]]},"page":"9073-9081","publisher":"American Society for Biochemistry and Molecular Biology","title":"Cloning and characterization of a Streptomyces single module type non-ribosomal peptide synthetase catalyzing a blue pigment synthesis","type":"article-journal","volume":"282"},"uris":["http://www.mendeley.com/documents/?uuid=b74f73da-f3e9-320b-9013-a022113e4383"]}],"mendeley":{"formattedCitation":"&lt;sup&gt;240&lt;/sup&gt;","plainTextFormattedCitation":"240","previouslyFormattedCitation":"&lt;sup&gt;240&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240</w:t>
      </w:r>
      <w:r w:rsidRPr="00857C48">
        <w:rPr>
          <w:rFonts w:cs="Arial"/>
          <w:szCs w:val="22"/>
        </w:rPr>
        <w:fldChar w:fldCharType="end"/>
      </w:r>
      <w:r w:rsidR="00D60D4C">
        <w:rPr>
          <w:rFonts w:cs="Arial"/>
          <w:szCs w:val="22"/>
        </w:rPr>
        <w:t>.</w:t>
      </w:r>
      <w:r w:rsidRPr="00857C48">
        <w:rPr>
          <w:rFonts w:cs="Arial"/>
          <w:szCs w:val="22"/>
        </w:rPr>
        <w:t xml:space="preserve"> To investigate this, reactions containing 2 mM total amino acids and the constructs for </w:t>
      </w:r>
      <w:proofErr w:type="spellStart"/>
      <w:r w:rsidRPr="00857C48">
        <w:rPr>
          <w:rFonts w:cs="Arial"/>
          <w:szCs w:val="22"/>
        </w:rPr>
        <w:t>BpsA</w:t>
      </w:r>
      <w:proofErr w:type="spellEnd"/>
      <w:r w:rsidRPr="00857C48">
        <w:rPr>
          <w:rFonts w:cs="Arial"/>
          <w:szCs w:val="22"/>
        </w:rPr>
        <w:t xml:space="preserve">-TC or </w:t>
      </w:r>
      <w:r w:rsidRPr="00857C48">
        <w:rPr>
          <w:rFonts w:cs="Arial"/>
          <w:szCs w:val="22"/>
        </w:rPr>
        <w:lastRenderedPageBreak/>
        <w:t xml:space="preserve">BpsA-TC_E315A were also initiated with increasing concentrations of </w:t>
      </w:r>
      <w:r w:rsidRPr="00857C48">
        <w:rPr>
          <w:rFonts w:cs="Arial"/>
          <w:smallCaps/>
          <w:szCs w:val="22"/>
        </w:rPr>
        <w:t>L</w:t>
      </w:r>
      <w:r w:rsidRPr="00857C48">
        <w:rPr>
          <w:rFonts w:cs="Arial"/>
          <w:szCs w:val="22"/>
        </w:rPr>
        <w:t xml:space="preserve">-Gln However, extra </w:t>
      </w:r>
      <w:r w:rsidRPr="00857C48">
        <w:rPr>
          <w:rFonts w:cs="Arial"/>
          <w:smallCaps/>
          <w:szCs w:val="22"/>
        </w:rPr>
        <w:t>L</w:t>
      </w:r>
      <w:r w:rsidRPr="00857C48">
        <w:rPr>
          <w:rFonts w:cs="Arial"/>
          <w:szCs w:val="22"/>
        </w:rPr>
        <w:t xml:space="preserve">-Gln in the reaction impairs expression of both proteins, but the mutant </w:t>
      </w:r>
      <w:proofErr w:type="spellStart"/>
      <w:r w:rsidRPr="00857C48">
        <w:rPr>
          <w:rFonts w:cs="Arial"/>
          <w:szCs w:val="22"/>
        </w:rPr>
        <w:t>BpsA</w:t>
      </w:r>
      <w:proofErr w:type="spellEnd"/>
      <w:r w:rsidRPr="00857C48">
        <w:rPr>
          <w:rFonts w:cs="Arial"/>
          <w:szCs w:val="22"/>
        </w:rPr>
        <w:t xml:space="preserve"> has a more gradual decline with increasing </w:t>
      </w:r>
      <w:r w:rsidRPr="00857C48">
        <w:rPr>
          <w:rFonts w:cs="Arial"/>
          <w:smallCaps/>
          <w:szCs w:val="22"/>
        </w:rPr>
        <w:t>L</w:t>
      </w:r>
      <w:r w:rsidRPr="00857C48">
        <w:rPr>
          <w:rFonts w:cs="Arial"/>
          <w:szCs w:val="22"/>
        </w:rPr>
        <w:t>-Gln supplement (</w:t>
      </w:r>
      <w:r w:rsidRPr="00857C48">
        <w:rPr>
          <w:rFonts w:cs="Arial"/>
          <w:b/>
          <w:bCs/>
          <w:szCs w:val="22"/>
        </w:rPr>
        <w:t>Fig</w:t>
      </w:r>
      <w:r w:rsidR="00D60D4C">
        <w:rPr>
          <w:rFonts w:cs="Arial"/>
          <w:b/>
          <w:bCs/>
          <w:szCs w:val="22"/>
        </w:rPr>
        <w:t>ure</w:t>
      </w:r>
      <w:r w:rsidRPr="00857C48">
        <w:rPr>
          <w:rFonts w:cs="Arial"/>
          <w:b/>
          <w:bCs/>
          <w:szCs w:val="22"/>
        </w:rPr>
        <w:t xml:space="preserve"> </w:t>
      </w:r>
      <w:r w:rsidR="00D60D4C">
        <w:rPr>
          <w:rFonts w:cs="Arial"/>
          <w:b/>
          <w:bCs/>
          <w:szCs w:val="22"/>
        </w:rPr>
        <w:t>5.</w:t>
      </w:r>
      <w:r w:rsidRPr="00857C48">
        <w:rPr>
          <w:rFonts w:cs="Arial"/>
          <w:b/>
          <w:bCs/>
          <w:szCs w:val="22"/>
        </w:rPr>
        <w:t xml:space="preserve">5D &amp; </w:t>
      </w:r>
      <w:r w:rsidR="00D60D4C">
        <w:rPr>
          <w:rFonts w:cs="Arial"/>
          <w:b/>
          <w:bCs/>
          <w:szCs w:val="22"/>
        </w:rPr>
        <w:t>E, Appendix Figure 5.1</w:t>
      </w:r>
      <w:r w:rsidR="00BD523B">
        <w:rPr>
          <w:rFonts w:cs="Arial"/>
          <w:b/>
          <w:bCs/>
          <w:szCs w:val="22"/>
        </w:rPr>
        <w:t>5</w:t>
      </w:r>
      <w:r w:rsidR="00D60D4C">
        <w:rPr>
          <w:rFonts w:cs="Arial"/>
          <w:b/>
          <w:bCs/>
          <w:szCs w:val="22"/>
        </w:rPr>
        <w:t>B</w:t>
      </w:r>
      <w:r w:rsidRPr="00857C48">
        <w:rPr>
          <w:rFonts w:cs="Arial"/>
          <w:szCs w:val="22"/>
        </w:rPr>
        <w:t xml:space="preserve">). Altogether, these findings are contrary to the assumption that reactions expressing </w:t>
      </w:r>
      <w:proofErr w:type="spellStart"/>
      <w:r w:rsidRPr="00857C48">
        <w:rPr>
          <w:rFonts w:cs="Arial"/>
          <w:szCs w:val="22"/>
        </w:rPr>
        <w:t>BpsA</w:t>
      </w:r>
      <w:proofErr w:type="spellEnd"/>
      <w:r w:rsidRPr="00857C48">
        <w:rPr>
          <w:rFonts w:cs="Arial"/>
          <w:szCs w:val="22"/>
        </w:rPr>
        <w:t xml:space="preserve"> with A domain mediated amino acid adenylating activity would benefit from more amino acids than the mutated counterpart. Expression trends for </w:t>
      </w:r>
      <w:proofErr w:type="spellStart"/>
      <w:r w:rsidRPr="00857C48">
        <w:rPr>
          <w:rFonts w:cs="Arial"/>
          <w:szCs w:val="22"/>
        </w:rPr>
        <w:t>BpsA</w:t>
      </w:r>
      <w:proofErr w:type="spellEnd"/>
      <w:r w:rsidRPr="00857C48">
        <w:rPr>
          <w:rFonts w:cs="Arial"/>
          <w:szCs w:val="22"/>
        </w:rPr>
        <w:t xml:space="preserve">-TC and BpsA-TC_E315A also contradict the expectation that yields of larger proteins will increase with amino acid concentrations. Where </w:t>
      </w:r>
      <w:proofErr w:type="spellStart"/>
      <w:r w:rsidRPr="00857C48">
        <w:rPr>
          <w:rFonts w:cs="Arial"/>
          <w:szCs w:val="22"/>
        </w:rPr>
        <w:t>sfGFP</w:t>
      </w:r>
      <w:proofErr w:type="spellEnd"/>
      <w:r w:rsidRPr="00857C48">
        <w:rPr>
          <w:rFonts w:cs="Arial"/>
          <w:szCs w:val="22"/>
        </w:rPr>
        <w:t xml:space="preserve"> synthesis peaks at 2 mM, which was expected of this small protein in the </w:t>
      </w:r>
      <w:proofErr w:type="spellStart"/>
      <w:r w:rsidRPr="00857C48">
        <w:rPr>
          <w:rFonts w:cs="Arial"/>
          <w:szCs w:val="22"/>
        </w:rPr>
        <w:t>PANOx</w:t>
      </w:r>
      <w:proofErr w:type="spellEnd"/>
      <w:r w:rsidRPr="00857C48">
        <w:rPr>
          <w:rFonts w:cs="Arial"/>
          <w:szCs w:val="22"/>
        </w:rPr>
        <w:t xml:space="preserve">-SP system, amino acid supplementation has no positive effect on the expression of both the wild-type and mutant </w:t>
      </w:r>
      <w:proofErr w:type="spellStart"/>
      <w:r w:rsidRPr="00857C48">
        <w:rPr>
          <w:rFonts w:cs="Arial"/>
          <w:szCs w:val="22"/>
        </w:rPr>
        <w:t>BpsA</w:t>
      </w:r>
      <w:proofErr w:type="spellEnd"/>
      <w:r w:rsidRPr="00857C48">
        <w:rPr>
          <w:rFonts w:cs="Arial"/>
          <w:szCs w:val="22"/>
        </w:rPr>
        <w:t xml:space="preserve"> (</w:t>
      </w:r>
      <w:r w:rsidRPr="00857C48">
        <w:rPr>
          <w:rFonts w:cs="Arial"/>
          <w:b/>
          <w:bCs/>
          <w:szCs w:val="22"/>
        </w:rPr>
        <w:t>Fig</w:t>
      </w:r>
      <w:r w:rsidR="00D60D4C">
        <w:rPr>
          <w:rFonts w:cs="Arial"/>
          <w:b/>
          <w:bCs/>
          <w:szCs w:val="22"/>
        </w:rPr>
        <w:t>ures</w:t>
      </w:r>
      <w:r w:rsidRPr="00857C48">
        <w:rPr>
          <w:rFonts w:cs="Arial"/>
          <w:b/>
          <w:bCs/>
          <w:szCs w:val="22"/>
        </w:rPr>
        <w:t xml:space="preserve"> </w:t>
      </w:r>
      <w:r w:rsidR="00D60D4C">
        <w:rPr>
          <w:rFonts w:cs="Arial"/>
          <w:b/>
          <w:bCs/>
          <w:szCs w:val="22"/>
        </w:rPr>
        <w:t>5.</w:t>
      </w:r>
      <w:r w:rsidRPr="00857C48">
        <w:rPr>
          <w:rFonts w:cs="Arial"/>
          <w:b/>
          <w:bCs/>
          <w:szCs w:val="22"/>
        </w:rPr>
        <w:t>5A-C</w:t>
      </w:r>
      <w:r w:rsidRPr="00857C48">
        <w:rPr>
          <w:rFonts w:cs="Arial"/>
          <w:szCs w:val="22"/>
        </w:rPr>
        <w:t>). Amino acid oxidation, which has been observed during lysate-based CFE, could be partially responsible for these observations</w:t>
      </w:r>
      <w:r w:rsidRPr="00857C48">
        <w:rPr>
          <w:rFonts w:cs="Arial"/>
          <w:szCs w:val="22"/>
        </w:rPr>
        <w:fldChar w:fldCharType="begin" w:fldLock="1"/>
      </w:r>
      <w:r w:rsidR="004F3109">
        <w:rPr>
          <w:rFonts w:cs="Arial"/>
          <w:szCs w:val="22"/>
        </w:rPr>
        <w:instrText>ADDIN CSL_CITATION {"citationItems":[{"id":"ITEM-1","itemData":{"DOI":"10.1021/bp000031y","abstract":"Factors causing the early cessation of protein synthesis have been studied in a cell-free system from Escherichia coli. We discovered that phosphoenol pyruvate (PEP), the secondary energy source for ATP regeneration, and several amino acids are rapidly degraded during the cell-free protein synthesis reaction. The degradation of such compounds takes place even in the absence of protein synthesis. This degradation severely reduces the capacity for protein synthesis. The lost potency was completely recovered when the reaction mixture was supplied with additional PEP and amino acids. Of the 20 amino acids, only arginine, cysteine, and tryptophan were required to restore system activity. Through repeated additions of PEP, arginine, cysteine,and tryptophan, the duration of protein synthesis was greatly extended. In this fed-batch reaction, after a 2 h incubation, the level of cell-free synthesized chloramphenicol acetyl transferase (CAT) reached 350 µg/mL, which is 3.5 times the yield of the batch reaction. Addition of fresh magnesium further extended the protein synthesis. As a result, through coordinated additions of PEP, arginine, cysteine, tryptophan, and magnesium, the final concentration of cell-free synthesized CAT increased more than 4-fold compared to a batch reaction. SDS-PAGE analysis of such a fed-batch reaction produced an obvious band of CAT upon Coomassie Blue staining.","author":[{"dropping-particle":"","family":"Kim","given":"Dong-Myung","non-dropping-particle":"","parse-names":false,"suffix":""},{"dropping-particle":"","family":"Swartz","given":"James R","non-dropping-particle":"","parse-names":false,"suffix":""}],"id":"ITEM-1","issued":{"date-parts":[["2000"]]},"title":"Prolonging Cell-Free Protein Synthesis by Selective Reagent Additions","type":"article-journal"},"uris":["http://www.mendeley.com/documents/?uuid=4144f1c4-dc2b-3d87-b816-e4cf3ad65c4e"]}],"mendeley":{"formattedCitation":"&lt;sup&gt;236&lt;/sup&gt;","plainTextFormattedCitation":"236","previouslyFormattedCitation":"&lt;sup&gt;236&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236</w:t>
      </w:r>
      <w:r w:rsidRPr="00857C48">
        <w:rPr>
          <w:rFonts w:cs="Arial"/>
          <w:szCs w:val="22"/>
        </w:rPr>
        <w:fldChar w:fldCharType="end"/>
      </w:r>
      <w:r w:rsidR="00D60D4C">
        <w:rPr>
          <w:rFonts w:cs="Arial"/>
          <w:szCs w:val="22"/>
        </w:rPr>
        <w:t>.</w:t>
      </w:r>
      <w:r w:rsidRPr="00857C48">
        <w:rPr>
          <w:rFonts w:cs="Arial"/>
          <w:szCs w:val="22"/>
        </w:rPr>
        <w:t xml:space="preserve"> Reactions that actively deplete amino acids like glutamate form phosphates</w:t>
      </w:r>
      <w:r w:rsidRPr="00857C48">
        <w:rPr>
          <w:rFonts w:cs="Arial"/>
          <w:szCs w:val="22"/>
        </w:rPr>
        <w:fldChar w:fldCharType="begin" w:fldLock="1"/>
      </w:r>
      <w:r w:rsidR="004F3109">
        <w:rPr>
          <w:rFonts w:cs="Arial"/>
          <w:szCs w:val="22"/>
        </w:rPr>
        <w:instrText>ADDIN CSL_CITATION {"citationItems":[{"id":"ITEM-1","itemData":{"DOI":"10.1016/J.JBIOTEC.2005.11.011","ISSN":"0168-1656","PMID":"16442654","abstract":"Limitations in amino acid supply have been recognized as a substantial problem in cell-free protein synthesis reactions. Although enzymatic inhibitors and fed-batch techniques have been beneficial, the most robust way to stabilize amino acids is to remove the responsible enzymatic activities by genetically modifying the source strain used for cell extract preparation. Previous work showed this was possible for arginine, serine, and tryptophan, but cysteine degradation remained a major limitation in obtaining high protein synthesis yields. Through radiolabel techniques, we confirmed that cysteine degradation was caused by the activity of glutamate-cysteine ligase (gene gshA) in the cell extract. Next, we created Escherichia coli strain KC6 that combines a gshA deletion with previously described deletions for arginine, serine, and tryptophan stabilization. Strain KC6 grows well, and active cell extract can be produced from it for cell-free protein synthesis reactions. The extract from strain KC6 maintains stable amino acid concentrations of all 20 amino acids in a 3-h batch reaction. Yields for three different proteins improved 75-250% relative to cell-free expression using the control extract. © 2006.","author":[{"dropping-particle":"","family":"Calhoun","given":"Kara A.","non-dropping-particle":"","parse-names":false,"suffix":""},{"dropping-particle":"","family":"Swartz","given":"James R.","non-dropping-particle":"","parse-names":false,"suffix":""}],"container-title":"Journal of Biotechnology","id":"ITEM-1","issue":"2","issued":{"date-parts":[["2006","5","17"]]},"page":"193-203","publisher":"Elsevier","title":"Total amino acid stabilization during cell-free protein synthesis reactions","type":"article-journal","volume":"123"},"uris":["http://www.mendeley.com/documents/?uuid=ba6553b5-a4c1-32b1-a8ce-40cd917f636e"]}],"mendeley":{"formattedCitation":"&lt;sup&gt;241&lt;/sup&gt;","plainTextFormattedCitation":"241","previouslyFormattedCitation":"&lt;sup&gt;241&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241</w:t>
      </w:r>
      <w:r w:rsidRPr="00857C48">
        <w:rPr>
          <w:rFonts w:cs="Arial"/>
          <w:szCs w:val="22"/>
        </w:rPr>
        <w:fldChar w:fldCharType="end"/>
      </w:r>
      <w:r w:rsidRPr="00857C48">
        <w:rPr>
          <w:rFonts w:cs="Arial"/>
          <w:szCs w:val="22"/>
        </w:rPr>
        <w:t>. Amino acids also serve as secondary energy substrates that can drive ATP generation</w:t>
      </w:r>
      <w:r w:rsidRPr="00857C48">
        <w:rPr>
          <w:rFonts w:cs="Arial"/>
          <w:szCs w:val="22"/>
        </w:rPr>
        <w:fldChar w:fldCharType="begin" w:fldLock="1"/>
      </w:r>
      <w:r w:rsidR="004F3109">
        <w:rPr>
          <w:rFonts w:cs="Arial"/>
          <w:szCs w:val="22"/>
        </w:rPr>
        <w:instrText>ADDIN CSL_CITATION {"citationItems":[{"id":"ITEM-1","itemData":{"DOI":"10.1021/bp000031y","abstract":"Factors causing the early cessation of protein synthesis have been studied in a cell-free system from Escherichia coli. We discovered that phosphoenol pyruvate (PEP), the secondary energy source for ATP regeneration, and several amino acids are rapidly degraded during the cell-free protein synthesis reaction. The degradation of such compounds takes place even in the absence of protein synthesis. This degradation severely reduces the capacity for protein synthesis. The lost potency was completely recovered when the reaction mixture was supplied with additional PEP and amino acids. Of the 20 amino acids, only arginine, cysteine, and tryptophan were required to restore system activity. Through repeated additions of PEP, arginine, cysteine,and tryptophan, the duration of protein synthesis was greatly extended. In this fed-batch reaction, after a 2 h incubation, the level of cell-free synthesized chloramphenicol acetyl transferase (CAT) reached 350 µg/mL, which is 3.5 times the yield of the batch reaction. Addition of fresh magnesium further extended the protein synthesis. As a result, through coordinated additions of PEP, arginine, cysteine, tryptophan, and magnesium, the final concentration of cell-free synthesized CAT increased more than 4-fold compared to a batch reaction. SDS-PAGE analysis of such a fed-batch reaction produced an obvious band of CAT upon Coomassie Blue staining.","author":[{"dropping-particle":"","family":"Kim","given":"Dong-Myung","non-dropping-particle":"","parse-names":false,"suffix":""},{"dropping-particle":"","family":"Swartz","given":"James R","non-dropping-particle":"","parse-names":false,"suffix":""}],"id":"ITEM-1","issued":{"date-parts":[["2000"]]},"title":"Prolonging Cell-Free Protein Synthesis by Selective Reagent Additions","type":"article-journal"},"uris":["http://www.mendeley.com/documents/?uuid=4144f1c4-dc2b-3d87-b816-e4cf3ad65c4e"]}],"mendeley":{"formattedCitation":"&lt;sup&gt;236&lt;/sup&gt;","plainTextFormattedCitation":"236","previouslyFormattedCitation":"&lt;sup&gt;236&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236</w:t>
      </w:r>
      <w:r w:rsidRPr="00857C48">
        <w:rPr>
          <w:rFonts w:cs="Arial"/>
          <w:szCs w:val="22"/>
        </w:rPr>
        <w:fldChar w:fldCharType="end"/>
      </w:r>
      <w:r w:rsidRPr="00857C48">
        <w:rPr>
          <w:rFonts w:cs="Arial"/>
          <w:szCs w:val="22"/>
        </w:rPr>
        <w:t xml:space="preserve">, which in turn can also release phosphates. The deleterious effect of the free phosphate pool on </w:t>
      </w:r>
      <w:proofErr w:type="spellStart"/>
      <w:r w:rsidRPr="00857C48">
        <w:rPr>
          <w:rFonts w:cs="Arial"/>
          <w:szCs w:val="22"/>
        </w:rPr>
        <w:t>BpsA</w:t>
      </w:r>
      <w:proofErr w:type="spellEnd"/>
      <w:r w:rsidRPr="00857C48">
        <w:rPr>
          <w:rFonts w:cs="Arial"/>
          <w:szCs w:val="22"/>
        </w:rPr>
        <w:t xml:space="preserve"> expression is exacerbated by the A domain’s participation in phosphate liberation (</w:t>
      </w:r>
      <w:r w:rsidRPr="00857C48">
        <w:rPr>
          <w:rFonts w:cs="Arial"/>
          <w:b/>
          <w:bCs/>
          <w:szCs w:val="22"/>
        </w:rPr>
        <w:t>Fig</w:t>
      </w:r>
      <w:r w:rsidR="00D60D4C">
        <w:rPr>
          <w:rFonts w:cs="Arial"/>
          <w:b/>
          <w:bCs/>
          <w:szCs w:val="22"/>
        </w:rPr>
        <w:t>ures</w:t>
      </w:r>
      <w:r w:rsidRPr="00857C48">
        <w:rPr>
          <w:rFonts w:cs="Arial"/>
          <w:b/>
          <w:bCs/>
          <w:szCs w:val="22"/>
        </w:rPr>
        <w:t xml:space="preserve"> </w:t>
      </w:r>
      <w:r w:rsidR="00D60D4C">
        <w:rPr>
          <w:rFonts w:cs="Arial"/>
          <w:b/>
          <w:bCs/>
          <w:szCs w:val="22"/>
        </w:rPr>
        <w:t>5.</w:t>
      </w:r>
      <w:r w:rsidRPr="00857C48">
        <w:rPr>
          <w:rFonts w:cs="Arial"/>
          <w:b/>
          <w:bCs/>
          <w:szCs w:val="22"/>
        </w:rPr>
        <w:t>3C-E</w:t>
      </w:r>
      <w:r w:rsidRPr="00857C48">
        <w:rPr>
          <w:rFonts w:cs="Arial"/>
          <w:szCs w:val="22"/>
        </w:rPr>
        <w:t xml:space="preserve">), which may explain the higher sensitivity of wild-type </w:t>
      </w:r>
      <w:proofErr w:type="spellStart"/>
      <w:r w:rsidRPr="00857C48">
        <w:rPr>
          <w:rFonts w:cs="Arial"/>
          <w:szCs w:val="22"/>
        </w:rPr>
        <w:t>BpsA</w:t>
      </w:r>
      <w:proofErr w:type="spellEnd"/>
      <w:r w:rsidRPr="00857C48">
        <w:rPr>
          <w:rFonts w:cs="Arial"/>
          <w:szCs w:val="22"/>
        </w:rPr>
        <w:t xml:space="preserve"> to amino acid concentrations compared to its mutant counterpart (</w:t>
      </w:r>
      <w:r w:rsidRPr="00857C48">
        <w:rPr>
          <w:rFonts w:cs="Arial"/>
          <w:b/>
          <w:bCs/>
          <w:szCs w:val="22"/>
        </w:rPr>
        <w:t>Fig</w:t>
      </w:r>
      <w:r w:rsidR="00D60D4C">
        <w:rPr>
          <w:rFonts w:cs="Arial"/>
          <w:b/>
          <w:bCs/>
          <w:szCs w:val="22"/>
        </w:rPr>
        <w:t>ures</w:t>
      </w:r>
      <w:r w:rsidRPr="00857C48">
        <w:rPr>
          <w:rFonts w:cs="Arial"/>
          <w:b/>
          <w:bCs/>
          <w:szCs w:val="22"/>
        </w:rPr>
        <w:t xml:space="preserve"> </w:t>
      </w:r>
      <w:r w:rsidR="00D60D4C">
        <w:rPr>
          <w:rFonts w:cs="Arial"/>
          <w:b/>
          <w:bCs/>
          <w:szCs w:val="22"/>
        </w:rPr>
        <w:t>5.</w:t>
      </w:r>
      <w:r w:rsidRPr="00857C48">
        <w:rPr>
          <w:rFonts w:cs="Arial"/>
          <w:b/>
          <w:bCs/>
          <w:szCs w:val="22"/>
        </w:rPr>
        <w:t>5A &amp; B</w:t>
      </w:r>
      <w:r w:rsidRPr="00857C48">
        <w:rPr>
          <w:rFonts w:cs="Arial"/>
          <w:szCs w:val="22"/>
        </w:rPr>
        <w:t>).</w:t>
      </w:r>
      <w:r w:rsidRPr="00857C48">
        <w:rPr>
          <w:rFonts w:cs="Arial"/>
          <w:b/>
          <w:bCs/>
          <w:szCs w:val="22"/>
        </w:rPr>
        <w:t xml:space="preserve"> </w:t>
      </w:r>
      <w:r w:rsidRPr="00857C48">
        <w:rPr>
          <w:rFonts w:cs="Arial"/>
          <w:szCs w:val="22"/>
        </w:rPr>
        <w:t xml:space="preserve">Further, the oxidation of certain amino acids in lysates reportedly occurs quickly, which may prevent the prolonged translation of larger enzymes that require these amino acids in batch reactions. For example, compared to one mole of </w:t>
      </w:r>
      <w:proofErr w:type="spellStart"/>
      <w:r w:rsidRPr="00857C48">
        <w:rPr>
          <w:rFonts w:cs="Arial"/>
          <w:szCs w:val="22"/>
        </w:rPr>
        <w:t>sfGFP</w:t>
      </w:r>
      <w:proofErr w:type="spellEnd"/>
      <w:r w:rsidRPr="00857C48">
        <w:rPr>
          <w:rFonts w:cs="Arial"/>
          <w:szCs w:val="22"/>
        </w:rPr>
        <w:t xml:space="preserve">, </w:t>
      </w:r>
      <w:proofErr w:type="spellStart"/>
      <w:r w:rsidRPr="00857C48">
        <w:rPr>
          <w:rFonts w:cs="Arial"/>
          <w:szCs w:val="22"/>
        </w:rPr>
        <w:t>BpsA</w:t>
      </w:r>
      <w:proofErr w:type="spellEnd"/>
      <w:r w:rsidRPr="00857C48">
        <w:rPr>
          <w:rFonts w:cs="Arial"/>
          <w:szCs w:val="22"/>
        </w:rPr>
        <w:t xml:space="preserve"> requires 9x and 11x more moles of arginine and tryptophan, respectively, and both of these amino acids are depleted within 30 minutes in lysates</w:t>
      </w:r>
      <w:r w:rsidRPr="00857C48">
        <w:rPr>
          <w:rFonts w:cs="Arial"/>
          <w:szCs w:val="22"/>
        </w:rPr>
        <w:fldChar w:fldCharType="begin" w:fldLock="1"/>
      </w:r>
      <w:r w:rsidR="004F3109">
        <w:rPr>
          <w:rFonts w:cs="Arial"/>
          <w:szCs w:val="22"/>
        </w:rPr>
        <w:instrText>ADDIN CSL_CITATION {"citationItems":[{"id":"ITEM-1","itemData":{"DOI":"10.1021/bp000031y","abstract":"Factors causing the early cessation of protein synthesis have been studied in a cell-free system from Escherichia coli. We discovered that phosphoenol pyruvate (PEP), the secondary energy source for ATP regeneration, and several amino acids are rapidly degraded during the cell-free protein synthesis reaction. The degradation of such compounds takes place even in the absence of protein synthesis. This degradation severely reduces the capacity for protein synthesis. The lost potency was completely recovered when the reaction mixture was supplied with additional PEP and amino acids. Of the 20 amino acids, only arginine, cysteine, and tryptophan were required to restore system activity. Through repeated additions of PEP, arginine, cysteine,and tryptophan, the duration of protein synthesis was greatly extended. In this fed-batch reaction, after a 2 h incubation, the level of cell-free synthesized chloramphenicol acetyl transferase (CAT) reached 350 µg/mL, which is 3.5 times the yield of the batch reaction. Addition of fresh magnesium further extended the protein synthesis. As a result, through coordinated additions of PEP, arginine, cysteine, tryptophan, and magnesium, the final concentration of cell-free synthesized CAT increased more than 4-fold compared to a batch reaction. SDS-PAGE analysis of such a fed-batch reaction produced an obvious band of CAT upon Coomassie Blue staining.","author":[{"dropping-particle":"","family":"Kim","given":"Dong-Myung","non-dropping-particle":"","parse-names":false,"suffix":""},{"dropping-particle":"","family":"Swartz","given":"James R","non-dropping-particle":"","parse-names":false,"suffix":""}],"id":"ITEM-1","issued":{"date-parts":[["2000"]]},"title":"Prolonging Cell-Free Protein Synthesis by Selective Reagent Additions","type":"article-journal"},"uris":["http://www.mendeley.com/documents/?uuid=4144f1c4-dc2b-3d87-b816-e4cf3ad65c4e"]},{"id":"ITEM-2","itemData":{"DOI":"10.1016/J.JBIOTEC.2005.11.011","ISSN":"0168-1656","PMID":"16442654","abstract":"Limitations in amino acid supply have been recognized as a substantial problem in cell-free protein synthesis reactions. Although enzymatic inhibitors and fed-batch techniques have been beneficial, the most robust way to stabilize amino acids is to remove the responsible enzymatic activities by genetically modifying the source strain used for cell extract preparation. Previous work showed this was possible for arginine, serine, and tryptophan, but cysteine degradation remained a major limitation in obtaining high protein synthesis yields. Through radiolabel techniques, we confirmed that cysteine degradation was caused by the activity of glutamate-cysteine ligase (gene gshA) in the cell extract. Next, we created Escherichia coli strain KC6 that combines a gshA deletion with previously described deletions for arginine, serine, and tryptophan stabilization. Strain KC6 grows well, and active cell extract can be produced from it for cell-free protein synthesis reactions. The extract from strain KC6 maintains stable amino acid concentrations of all 20 amino acids in a 3-h batch reaction. Yields for three different proteins improved 75-250% relative to cell-free expression using the control extract. © 2006.","author":[{"dropping-particle":"","family":"Calhoun","given":"Kara A.","non-dropping-particle":"","parse-names":false,"suffix":""},{"dropping-particle":"","family":"Swartz","given":"James R.","non-dropping-particle":"","parse-names":false,"suffix":""}],"container-title":"Journal of Biotechnology","id":"ITEM-2","issue":"2","issued":{"date-parts":[["2006","5","17"]]},"page":"193-203","publisher":"Elsevier","title":"Total amino acid stabilization during cell-free protein synthesis reactions","type":"article-journal","volume":"123"},"uris":["http://www.mendeley.com/documents/?uuid=ba6553b5-a4c1-32b1-a8ce-40cd917f636e"]}],"mendeley":{"formattedCitation":"&lt;sup&gt;236,241&lt;/sup&gt;","plainTextFormattedCitation":"236,241","previouslyFormattedCitation":"&lt;sup&gt;236,241&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236,241</w:t>
      </w:r>
      <w:r w:rsidRPr="00857C48">
        <w:rPr>
          <w:rFonts w:cs="Arial"/>
          <w:szCs w:val="22"/>
        </w:rPr>
        <w:fldChar w:fldCharType="end"/>
      </w:r>
      <w:r w:rsidRPr="00857C48">
        <w:rPr>
          <w:rFonts w:cs="Arial"/>
          <w:szCs w:val="22"/>
        </w:rPr>
        <w:t>.</w:t>
      </w:r>
      <w:r w:rsidRPr="00857C48">
        <w:rPr>
          <w:rFonts w:cs="Arial"/>
          <w:b/>
          <w:bCs/>
          <w:szCs w:val="22"/>
        </w:rPr>
        <w:t xml:space="preserve"> </w:t>
      </w:r>
      <w:r w:rsidRPr="00857C48">
        <w:rPr>
          <w:rFonts w:cs="Arial"/>
          <w:szCs w:val="22"/>
        </w:rPr>
        <w:t xml:space="preserve"> </w:t>
      </w:r>
    </w:p>
    <w:p w14:paraId="2422CDF2" w14:textId="7DBC4F49" w:rsidR="00A90B05" w:rsidRDefault="00A90B05" w:rsidP="00A90B05">
      <w:pPr>
        <w:ind w:firstLine="720"/>
        <w:rPr>
          <w:rFonts w:cs="Arial"/>
          <w:color w:val="000000" w:themeColor="text1"/>
          <w:szCs w:val="22"/>
        </w:rPr>
      </w:pPr>
      <w:r w:rsidRPr="00857C48">
        <w:rPr>
          <w:rFonts w:cs="Arial"/>
          <w:color w:val="000000" w:themeColor="text1"/>
          <w:szCs w:val="22"/>
        </w:rPr>
        <w:t xml:space="preserve">In summary, </w:t>
      </w:r>
      <w:proofErr w:type="spellStart"/>
      <w:r w:rsidRPr="00857C48">
        <w:rPr>
          <w:rFonts w:cs="Arial"/>
          <w:color w:val="000000" w:themeColor="text1"/>
          <w:szCs w:val="22"/>
        </w:rPr>
        <w:t>BpsA</w:t>
      </w:r>
      <w:proofErr w:type="spellEnd"/>
      <w:r w:rsidRPr="00857C48">
        <w:rPr>
          <w:rFonts w:cs="Arial"/>
          <w:color w:val="000000" w:themeColor="text1"/>
          <w:szCs w:val="22"/>
        </w:rPr>
        <w:t xml:space="preserve"> expression was measured under different CFE reaction conditions to elucidate the sensitivity of this process to PEP, magnesium, and amino acid concentrations given the protein’s physicochemical properties. The A domain’s activity and the enzyme’s structure were both investigated by comparing </w:t>
      </w:r>
      <w:proofErr w:type="spellStart"/>
      <w:r w:rsidRPr="00857C48">
        <w:rPr>
          <w:rFonts w:cs="Arial"/>
          <w:color w:val="000000" w:themeColor="text1"/>
          <w:szCs w:val="22"/>
        </w:rPr>
        <w:t>BpsA</w:t>
      </w:r>
      <w:proofErr w:type="spellEnd"/>
      <w:r w:rsidRPr="00857C48">
        <w:rPr>
          <w:rFonts w:cs="Arial"/>
          <w:color w:val="000000" w:themeColor="text1"/>
          <w:szCs w:val="22"/>
        </w:rPr>
        <w:t xml:space="preserve"> to BpsA-TC_E315A and BpsA-TC_E315A to </w:t>
      </w:r>
      <w:proofErr w:type="spellStart"/>
      <w:r w:rsidRPr="00857C48">
        <w:rPr>
          <w:rFonts w:cs="Arial"/>
          <w:color w:val="000000" w:themeColor="text1"/>
          <w:szCs w:val="22"/>
        </w:rPr>
        <w:t>sfGFP</w:t>
      </w:r>
      <w:proofErr w:type="spellEnd"/>
      <w:r w:rsidRPr="00857C48">
        <w:rPr>
          <w:rFonts w:cs="Arial"/>
          <w:color w:val="000000" w:themeColor="text1"/>
          <w:szCs w:val="22"/>
        </w:rPr>
        <w:t xml:space="preserve"> expression, respectively. Compared to standard CFE conditions, higher PEP and magnesium</w:t>
      </w:r>
    </w:p>
    <w:p w14:paraId="3BAAEE9B" w14:textId="1FABFD58" w:rsidR="00857C48" w:rsidRPr="00A90B05" w:rsidRDefault="00857C48" w:rsidP="00A90B05">
      <w:pPr>
        <w:rPr>
          <w:rFonts w:cs="Arial"/>
          <w:color w:val="000000" w:themeColor="text1"/>
          <w:szCs w:val="22"/>
        </w:rPr>
      </w:pPr>
      <w:r w:rsidRPr="00857C48">
        <w:rPr>
          <w:rFonts w:cs="Arial"/>
          <w:noProof/>
          <w:szCs w:val="22"/>
        </w:rPr>
        <w:lastRenderedPageBreak/>
        <w:drawing>
          <wp:inline distT="0" distB="0" distL="0" distR="0" wp14:anchorId="12D16C11" wp14:editId="072B743A">
            <wp:extent cx="5943600" cy="2667000"/>
            <wp:effectExtent l="0" t="0" r="0" b="0"/>
            <wp:docPr id="62" name="Picture 6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48" cstate="screen">
                      <a:extLst>
                        <a:ext uri="{28A0092B-C50C-407E-A947-70E740481C1C}">
                          <a14:useLocalDpi xmlns:a14="http://schemas.microsoft.com/office/drawing/2010/main"/>
                        </a:ext>
                      </a:extLst>
                    </a:blip>
                    <a:stretch>
                      <a:fillRect/>
                    </a:stretch>
                  </pic:blipFill>
                  <pic:spPr>
                    <a:xfrm>
                      <a:off x="0" y="0"/>
                      <a:ext cx="5943600" cy="2667000"/>
                    </a:xfrm>
                    <a:prstGeom prst="rect">
                      <a:avLst/>
                    </a:prstGeom>
                  </pic:spPr>
                </pic:pic>
              </a:graphicData>
            </a:graphic>
          </wp:inline>
        </w:drawing>
      </w:r>
    </w:p>
    <w:p w14:paraId="6D393AAF" w14:textId="55467442" w:rsidR="00857C48" w:rsidRDefault="00857C48" w:rsidP="00D60D4C">
      <w:pPr>
        <w:rPr>
          <w:rFonts w:cs="Arial"/>
          <w:color w:val="000000" w:themeColor="text1"/>
          <w:szCs w:val="22"/>
        </w:rPr>
      </w:pPr>
      <w:bookmarkStart w:id="138" w:name="_Toc129701171"/>
      <w:r w:rsidRPr="00F256F4">
        <w:rPr>
          <w:rStyle w:val="FigurecaptionChar"/>
        </w:rPr>
        <w:t>Figure 5</w:t>
      </w:r>
      <w:r w:rsidR="00D60D4C" w:rsidRPr="00F256F4">
        <w:rPr>
          <w:rStyle w:val="FigurecaptionChar"/>
        </w:rPr>
        <w:t>.5.</w:t>
      </w:r>
      <w:r w:rsidRPr="00F256F4">
        <w:rPr>
          <w:rStyle w:val="FigurecaptionChar"/>
        </w:rPr>
        <w:t xml:space="preserve"> TC/</w:t>
      </w:r>
      <w:proofErr w:type="spellStart"/>
      <w:r w:rsidRPr="00F256F4">
        <w:rPr>
          <w:rStyle w:val="FigurecaptionChar"/>
        </w:rPr>
        <w:t>FlAsH</w:t>
      </w:r>
      <w:proofErr w:type="spellEnd"/>
      <w:r w:rsidRPr="00F256F4">
        <w:rPr>
          <w:rStyle w:val="FigurecaptionChar"/>
        </w:rPr>
        <w:t xml:space="preserve"> analysis of amino acid (AA) requirements in NRPS CFE using </w:t>
      </w:r>
      <w:proofErr w:type="spellStart"/>
      <w:r w:rsidRPr="00F256F4">
        <w:rPr>
          <w:rStyle w:val="FigurecaptionChar"/>
        </w:rPr>
        <w:t>BpsA</w:t>
      </w:r>
      <w:proofErr w:type="spellEnd"/>
      <w:r w:rsidRPr="00F256F4">
        <w:rPr>
          <w:rStyle w:val="FigurecaptionChar"/>
        </w:rPr>
        <w:t xml:space="preserve"> as a model.</w:t>
      </w:r>
      <w:bookmarkEnd w:id="138"/>
      <w:r w:rsidRPr="00857C48">
        <w:rPr>
          <w:rFonts w:cs="Arial"/>
          <w:b/>
          <w:bCs/>
          <w:szCs w:val="22"/>
        </w:rPr>
        <w:t xml:space="preserve"> A, B, C) </w:t>
      </w:r>
      <w:r w:rsidRPr="00857C48">
        <w:rPr>
          <w:rFonts w:cs="Arial"/>
          <w:szCs w:val="22"/>
        </w:rPr>
        <w:t xml:space="preserve">Reactions were initiated with varying amounts of the AA mix containing all 20 essential AAs to determine cell-free expression changes for </w:t>
      </w:r>
      <w:r w:rsidRPr="00857C48">
        <w:rPr>
          <w:rFonts w:cs="Arial"/>
          <w:b/>
          <w:bCs/>
          <w:szCs w:val="22"/>
        </w:rPr>
        <w:t>A)</w:t>
      </w:r>
      <w:r w:rsidRPr="00857C48">
        <w:rPr>
          <w:rFonts w:cs="Arial"/>
          <w:szCs w:val="22"/>
        </w:rPr>
        <w:t xml:space="preserve"> </w:t>
      </w:r>
      <w:proofErr w:type="spellStart"/>
      <w:r w:rsidRPr="00857C48">
        <w:rPr>
          <w:rFonts w:cs="Arial"/>
          <w:szCs w:val="22"/>
        </w:rPr>
        <w:t>BpsA</w:t>
      </w:r>
      <w:proofErr w:type="spellEnd"/>
      <w:r w:rsidRPr="00857C48">
        <w:rPr>
          <w:rFonts w:cs="Arial"/>
          <w:szCs w:val="22"/>
        </w:rPr>
        <w:t xml:space="preserve">-TC, </w:t>
      </w:r>
      <w:r w:rsidRPr="00857C48">
        <w:rPr>
          <w:rFonts w:cs="Arial"/>
          <w:b/>
          <w:bCs/>
          <w:szCs w:val="22"/>
        </w:rPr>
        <w:t>B)</w:t>
      </w:r>
      <w:r w:rsidRPr="00857C48">
        <w:rPr>
          <w:rFonts w:cs="Arial"/>
          <w:szCs w:val="22"/>
        </w:rPr>
        <w:t xml:space="preserve"> BpsA-TC_E315A, </w:t>
      </w:r>
      <w:r w:rsidRPr="00857C48">
        <w:rPr>
          <w:rFonts w:cs="Arial"/>
          <w:b/>
          <w:bCs/>
          <w:szCs w:val="22"/>
        </w:rPr>
        <w:t xml:space="preserve">C) </w:t>
      </w:r>
      <w:proofErr w:type="spellStart"/>
      <w:r w:rsidRPr="00857C48">
        <w:rPr>
          <w:rFonts w:cs="Arial"/>
          <w:szCs w:val="22"/>
        </w:rPr>
        <w:t>sfGFP</w:t>
      </w:r>
      <w:proofErr w:type="spellEnd"/>
      <w:r w:rsidRPr="00857C48">
        <w:rPr>
          <w:rFonts w:cs="Arial"/>
          <w:szCs w:val="22"/>
        </w:rPr>
        <w:t xml:space="preserve">. </w:t>
      </w:r>
      <w:r w:rsidRPr="00857C48">
        <w:rPr>
          <w:rFonts w:cs="Arial"/>
          <w:b/>
          <w:bCs/>
          <w:szCs w:val="22"/>
        </w:rPr>
        <w:t xml:space="preserve">D, E) </w:t>
      </w:r>
      <w:proofErr w:type="spellStart"/>
      <w:r w:rsidRPr="00857C48">
        <w:rPr>
          <w:rFonts w:cs="Arial"/>
          <w:szCs w:val="22"/>
        </w:rPr>
        <w:t>BpsA</w:t>
      </w:r>
      <w:proofErr w:type="spellEnd"/>
      <w:r w:rsidRPr="00857C48">
        <w:rPr>
          <w:rFonts w:cs="Arial"/>
          <w:szCs w:val="22"/>
        </w:rPr>
        <w:t xml:space="preserve">, with or without an active A domain, expression with extra </w:t>
      </w:r>
      <w:r w:rsidRPr="00857C48">
        <w:rPr>
          <w:rFonts w:cs="Arial"/>
          <w:smallCaps/>
          <w:szCs w:val="22"/>
        </w:rPr>
        <w:t>L</w:t>
      </w:r>
      <w:r w:rsidRPr="00857C48">
        <w:rPr>
          <w:rFonts w:cs="Arial"/>
          <w:szCs w:val="22"/>
        </w:rPr>
        <w:t xml:space="preserve">-Gln was similarly analyzed. Reactions with 2 mM AA mix plus varying concentrations of </w:t>
      </w:r>
      <w:r w:rsidRPr="00857C48">
        <w:rPr>
          <w:rFonts w:cs="Arial"/>
          <w:smallCaps/>
          <w:szCs w:val="22"/>
        </w:rPr>
        <w:t>L</w:t>
      </w:r>
      <w:r w:rsidRPr="00857C48">
        <w:rPr>
          <w:rFonts w:cs="Arial"/>
          <w:szCs w:val="22"/>
        </w:rPr>
        <w:t xml:space="preserve">-Gln were started with plasmid expressing </w:t>
      </w:r>
      <w:r w:rsidRPr="00857C48">
        <w:rPr>
          <w:rFonts w:cs="Arial"/>
          <w:b/>
          <w:bCs/>
          <w:szCs w:val="22"/>
        </w:rPr>
        <w:t xml:space="preserve">D) </w:t>
      </w:r>
      <w:proofErr w:type="spellStart"/>
      <w:r w:rsidRPr="00857C48">
        <w:rPr>
          <w:rFonts w:cs="Arial"/>
          <w:szCs w:val="22"/>
        </w:rPr>
        <w:t>BpsA</w:t>
      </w:r>
      <w:proofErr w:type="spellEnd"/>
      <w:r w:rsidRPr="00857C48">
        <w:rPr>
          <w:rFonts w:cs="Arial"/>
          <w:szCs w:val="22"/>
        </w:rPr>
        <w:t xml:space="preserve">-TC and </w:t>
      </w:r>
      <w:r w:rsidRPr="00857C48">
        <w:rPr>
          <w:rFonts w:cs="Arial"/>
          <w:b/>
          <w:bCs/>
          <w:szCs w:val="22"/>
        </w:rPr>
        <w:t xml:space="preserve">E) </w:t>
      </w:r>
      <w:r w:rsidRPr="00857C48">
        <w:rPr>
          <w:rFonts w:cs="Arial"/>
          <w:szCs w:val="22"/>
        </w:rPr>
        <w:t xml:space="preserve">BpsA-TC_E315A. </w:t>
      </w:r>
      <w:r w:rsidRPr="00857C48">
        <w:rPr>
          <w:rFonts w:cs="Arial"/>
          <w:color w:val="000000" w:themeColor="text1"/>
          <w:szCs w:val="22"/>
        </w:rPr>
        <w:t xml:space="preserve">All reactions were prepared with </w:t>
      </w:r>
      <w:r w:rsidRPr="00857C48">
        <w:rPr>
          <w:rFonts w:cs="Arial"/>
          <w:i/>
          <w:iCs/>
          <w:color w:val="000000" w:themeColor="text1"/>
          <w:szCs w:val="22"/>
        </w:rPr>
        <w:t xml:space="preserve">E. coli </w:t>
      </w:r>
      <w:r w:rsidRPr="00857C48">
        <w:rPr>
          <w:rFonts w:cs="Arial"/>
          <w:color w:val="000000" w:themeColor="text1"/>
          <w:szCs w:val="22"/>
        </w:rPr>
        <w:t>BL21 (Star)DE3 lysates. Reactions were run in triplicate and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measurements were obtained by adding 30 µM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reagent to each reaction after ~ 20 h incubation.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measurements are presented as % relative intensities for visual comparison of trends between </w:t>
      </w:r>
      <w:proofErr w:type="spellStart"/>
      <w:r w:rsidRPr="00857C48">
        <w:rPr>
          <w:rFonts w:cs="Arial"/>
          <w:color w:val="000000" w:themeColor="text1"/>
          <w:szCs w:val="22"/>
        </w:rPr>
        <w:t>BpsA</w:t>
      </w:r>
      <w:proofErr w:type="spellEnd"/>
      <w:r w:rsidRPr="00857C48">
        <w:rPr>
          <w:rFonts w:cs="Arial"/>
          <w:color w:val="000000" w:themeColor="text1"/>
          <w:szCs w:val="22"/>
        </w:rPr>
        <w:t>-TC and BpsA-TC_E315A data since these experiments were run on separate days. Error bars represent the standard error of the mean (n=3).</w:t>
      </w:r>
    </w:p>
    <w:p w14:paraId="0F8A08E9" w14:textId="6643807F" w:rsidR="00D60D4C" w:rsidRDefault="00D60D4C" w:rsidP="00D60D4C">
      <w:pPr>
        <w:rPr>
          <w:rFonts w:cs="Arial"/>
          <w:color w:val="000000" w:themeColor="text1"/>
          <w:szCs w:val="22"/>
        </w:rPr>
      </w:pPr>
    </w:p>
    <w:p w14:paraId="6F302CAC" w14:textId="77777777" w:rsidR="00A90B05" w:rsidRDefault="00A90B05">
      <w:pPr>
        <w:rPr>
          <w:rFonts w:cs="Arial"/>
          <w:color w:val="000000" w:themeColor="text1"/>
          <w:szCs w:val="22"/>
        </w:rPr>
      </w:pPr>
      <w:r>
        <w:rPr>
          <w:rFonts w:cs="Arial"/>
          <w:color w:val="000000" w:themeColor="text1"/>
          <w:szCs w:val="22"/>
        </w:rPr>
        <w:br w:type="page"/>
      </w:r>
    </w:p>
    <w:p w14:paraId="3C3A8F0B" w14:textId="77777777" w:rsidR="00A0420D" w:rsidRDefault="00A0420D" w:rsidP="00A0420D">
      <w:pPr>
        <w:rPr>
          <w:rFonts w:cs="Arial"/>
          <w:color w:val="000000" w:themeColor="text1"/>
          <w:szCs w:val="22"/>
        </w:rPr>
      </w:pPr>
      <w:r w:rsidRPr="00857C48">
        <w:rPr>
          <w:rFonts w:cs="Arial"/>
          <w:color w:val="000000" w:themeColor="text1"/>
          <w:szCs w:val="22"/>
        </w:rPr>
        <w:lastRenderedPageBreak/>
        <w:t xml:space="preserve">concentrations benefit </w:t>
      </w:r>
      <w:proofErr w:type="spellStart"/>
      <w:r w:rsidRPr="00857C48">
        <w:rPr>
          <w:rFonts w:cs="Arial"/>
          <w:color w:val="000000" w:themeColor="text1"/>
          <w:szCs w:val="22"/>
        </w:rPr>
        <w:t>BpsA</w:t>
      </w:r>
      <w:proofErr w:type="spellEnd"/>
      <w:r w:rsidRPr="00857C48">
        <w:rPr>
          <w:rFonts w:cs="Arial"/>
          <w:color w:val="000000" w:themeColor="text1"/>
          <w:szCs w:val="22"/>
        </w:rPr>
        <w:t xml:space="preserve"> expression, largely due to the active A domain. As a result, PEP and magnesium concentrations that improve </w:t>
      </w:r>
      <w:proofErr w:type="spellStart"/>
      <w:r w:rsidRPr="00857C48">
        <w:rPr>
          <w:rFonts w:cs="Arial"/>
          <w:color w:val="000000" w:themeColor="text1"/>
          <w:szCs w:val="22"/>
        </w:rPr>
        <w:t>BpsA</w:t>
      </w:r>
      <w:proofErr w:type="spellEnd"/>
      <w:r w:rsidRPr="00857C48">
        <w:rPr>
          <w:rFonts w:cs="Arial"/>
          <w:color w:val="000000" w:themeColor="text1"/>
          <w:szCs w:val="22"/>
        </w:rPr>
        <w:t xml:space="preserve"> CFE are defined. Moving forward, it was determined whether these conditions that increase full-length </w:t>
      </w:r>
      <w:proofErr w:type="spellStart"/>
      <w:r w:rsidRPr="00857C48">
        <w:rPr>
          <w:rFonts w:cs="Arial"/>
          <w:color w:val="000000" w:themeColor="text1"/>
          <w:szCs w:val="22"/>
        </w:rPr>
        <w:t>BpsA</w:t>
      </w:r>
      <w:proofErr w:type="spellEnd"/>
      <w:r w:rsidRPr="00857C48">
        <w:rPr>
          <w:rFonts w:cs="Arial"/>
          <w:color w:val="000000" w:themeColor="text1"/>
          <w:szCs w:val="22"/>
        </w:rPr>
        <w:t xml:space="preserve"> synthesis would lead to a </w:t>
      </w:r>
    </w:p>
    <w:p w14:paraId="105C3D2B" w14:textId="661BA34B" w:rsidR="00857C48" w:rsidRDefault="00A90B05" w:rsidP="00D60D4C">
      <w:pPr>
        <w:rPr>
          <w:rFonts w:cs="Arial"/>
          <w:color w:val="000000" w:themeColor="text1"/>
          <w:szCs w:val="22"/>
        </w:rPr>
      </w:pPr>
      <w:r w:rsidRPr="00857C48">
        <w:rPr>
          <w:rFonts w:cs="Arial"/>
          <w:color w:val="000000" w:themeColor="text1"/>
          <w:szCs w:val="22"/>
        </w:rPr>
        <w:t xml:space="preserve">concordant increase in </w:t>
      </w:r>
      <w:proofErr w:type="spellStart"/>
      <w:r w:rsidRPr="00857C48">
        <w:rPr>
          <w:rFonts w:cs="Arial"/>
          <w:color w:val="000000" w:themeColor="text1"/>
          <w:szCs w:val="22"/>
        </w:rPr>
        <w:t>indigoidine</w:t>
      </w:r>
      <w:proofErr w:type="spellEnd"/>
      <w:r w:rsidRPr="00857C48">
        <w:rPr>
          <w:rFonts w:cs="Arial"/>
          <w:color w:val="000000" w:themeColor="text1"/>
          <w:szCs w:val="22"/>
        </w:rPr>
        <w:t xml:space="preserve"> production or similarly improve the expression of other </w:t>
      </w:r>
      <w:proofErr w:type="spellStart"/>
      <w:r w:rsidRPr="00857C48">
        <w:rPr>
          <w:rFonts w:cs="Arial"/>
          <w:color w:val="000000" w:themeColor="text1"/>
          <w:szCs w:val="22"/>
        </w:rPr>
        <w:t>monomodular</w:t>
      </w:r>
      <w:proofErr w:type="spellEnd"/>
      <w:r w:rsidRPr="00857C48">
        <w:rPr>
          <w:rFonts w:cs="Arial"/>
          <w:color w:val="000000" w:themeColor="text1"/>
          <w:szCs w:val="22"/>
        </w:rPr>
        <w:t xml:space="preserve"> NRPSs.</w:t>
      </w:r>
    </w:p>
    <w:p w14:paraId="4D545BF2" w14:textId="77777777" w:rsidR="00A90B05" w:rsidRPr="00A90B05" w:rsidRDefault="00A90B05" w:rsidP="00D60D4C">
      <w:pPr>
        <w:rPr>
          <w:rFonts w:cs="Arial"/>
          <w:color w:val="000000" w:themeColor="text1"/>
          <w:szCs w:val="22"/>
        </w:rPr>
      </w:pPr>
    </w:p>
    <w:p w14:paraId="3C374F6B" w14:textId="58CC75B9" w:rsidR="00857C48" w:rsidRPr="00857C48" w:rsidRDefault="00D60D4C" w:rsidP="00E033D4">
      <w:pPr>
        <w:pStyle w:val="ChapterSub-heading"/>
      </w:pPr>
      <w:bookmarkStart w:id="139" w:name="_Toc129701074"/>
      <w:r>
        <w:t xml:space="preserve">5.4.4. </w:t>
      </w:r>
      <w:proofErr w:type="spellStart"/>
      <w:r w:rsidR="00857C48" w:rsidRPr="00857C48">
        <w:t>Nonribosomal</w:t>
      </w:r>
      <w:proofErr w:type="spellEnd"/>
      <w:r w:rsidR="00857C48" w:rsidRPr="00857C48">
        <w:t xml:space="preserve"> peptide production improves with optimized NRPS expression</w:t>
      </w:r>
      <w:bookmarkEnd w:id="139"/>
    </w:p>
    <w:p w14:paraId="30EE9CD4" w14:textId="0F7322DF" w:rsidR="00857C48" w:rsidRPr="00857C48" w:rsidRDefault="00857C48" w:rsidP="00D60D4C">
      <w:pPr>
        <w:ind w:firstLine="720"/>
        <w:rPr>
          <w:rFonts w:cs="Arial"/>
          <w:szCs w:val="22"/>
        </w:rPr>
      </w:pPr>
      <w:r w:rsidRPr="00857C48">
        <w:rPr>
          <w:rFonts w:cs="Arial"/>
          <w:szCs w:val="22"/>
        </w:rPr>
        <w:t xml:space="preserve">NRPSs are valuable for their bioactive peptide products. The previous sets of experiments show that full-length NRPS expression can be optimized by testing different CFE conditions with a C-terminal TC tag and the </w:t>
      </w:r>
      <w:proofErr w:type="spellStart"/>
      <w:r w:rsidRPr="00857C48">
        <w:rPr>
          <w:rFonts w:cs="Arial"/>
          <w:szCs w:val="22"/>
        </w:rPr>
        <w:t>FlAsH</w:t>
      </w:r>
      <w:proofErr w:type="spellEnd"/>
      <w:r w:rsidRPr="00857C48">
        <w:rPr>
          <w:rFonts w:cs="Arial"/>
          <w:szCs w:val="22"/>
        </w:rPr>
        <w:t xml:space="preserve"> dye. Higher concentrations of the fully synthesized enzyme should enable higher </w:t>
      </w:r>
      <w:proofErr w:type="spellStart"/>
      <w:r w:rsidRPr="00857C48">
        <w:rPr>
          <w:rFonts w:cs="Arial"/>
          <w:szCs w:val="22"/>
        </w:rPr>
        <w:t>nonribosomal</w:t>
      </w:r>
      <w:proofErr w:type="spellEnd"/>
      <w:r w:rsidRPr="00857C48">
        <w:rPr>
          <w:rFonts w:cs="Arial"/>
          <w:szCs w:val="22"/>
        </w:rPr>
        <w:t xml:space="preserve"> peptide production as well. To assess this, both </w:t>
      </w:r>
      <w:proofErr w:type="spellStart"/>
      <w:r w:rsidRPr="00857C48">
        <w:rPr>
          <w:rFonts w:cs="Arial"/>
          <w:szCs w:val="22"/>
        </w:rPr>
        <w:t>BpsA</w:t>
      </w:r>
      <w:proofErr w:type="spellEnd"/>
      <w:r w:rsidRPr="00857C48">
        <w:rPr>
          <w:rFonts w:cs="Arial"/>
          <w:szCs w:val="22"/>
        </w:rPr>
        <w:t xml:space="preserve">-TC and </w:t>
      </w:r>
      <w:proofErr w:type="spellStart"/>
      <w:r w:rsidRPr="00857C48">
        <w:rPr>
          <w:rFonts w:cs="Arial"/>
          <w:szCs w:val="22"/>
        </w:rPr>
        <w:t>indigoidine</w:t>
      </w:r>
      <w:proofErr w:type="spellEnd"/>
      <w:r w:rsidRPr="00857C48">
        <w:rPr>
          <w:rFonts w:cs="Arial"/>
          <w:szCs w:val="22"/>
        </w:rPr>
        <w:t xml:space="preserve"> concentrations were estimated and compared in reactions made with base (containing 33 mM PEP and 12 mM magnesium) and optimized (containing 77 mM PEP and 18 mM magnesium) reaction mixes. Using TC/</w:t>
      </w:r>
      <w:proofErr w:type="spellStart"/>
      <w:r w:rsidRPr="00857C48">
        <w:rPr>
          <w:rFonts w:cs="Arial"/>
          <w:szCs w:val="22"/>
        </w:rPr>
        <w:t>FlAsH</w:t>
      </w:r>
      <w:proofErr w:type="spellEnd"/>
      <w:r w:rsidRPr="00857C48">
        <w:rPr>
          <w:rFonts w:cs="Arial"/>
          <w:szCs w:val="22"/>
        </w:rPr>
        <w:t xml:space="preserve"> measurements and appropriate standard curves, the average concentrations of </w:t>
      </w:r>
      <w:proofErr w:type="spellStart"/>
      <w:r w:rsidRPr="00857C48">
        <w:rPr>
          <w:rFonts w:cs="Arial"/>
          <w:szCs w:val="22"/>
        </w:rPr>
        <w:t>BpsA</w:t>
      </w:r>
      <w:proofErr w:type="spellEnd"/>
      <w:r w:rsidRPr="00857C48">
        <w:rPr>
          <w:rFonts w:cs="Arial"/>
          <w:szCs w:val="22"/>
        </w:rPr>
        <w:t>-TC in reactions prepared with the optimized mix and base mix  are estimated to be 95 µg/mL and 56 µg/mL, respectively (</w:t>
      </w:r>
      <w:r w:rsidRPr="00857C48">
        <w:rPr>
          <w:rFonts w:cs="Arial"/>
          <w:b/>
          <w:bCs/>
          <w:szCs w:val="22"/>
        </w:rPr>
        <w:t>Fig</w:t>
      </w:r>
      <w:r w:rsidR="00D60D4C">
        <w:rPr>
          <w:rFonts w:cs="Arial"/>
          <w:b/>
          <w:bCs/>
          <w:szCs w:val="22"/>
        </w:rPr>
        <w:t>ure</w:t>
      </w:r>
      <w:r w:rsidRPr="00857C48">
        <w:rPr>
          <w:rFonts w:cs="Arial"/>
          <w:b/>
          <w:bCs/>
          <w:szCs w:val="22"/>
        </w:rPr>
        <w:t xml:space="preserve"> </w:t>
      </w:r>
      <w:r w:rsidR="00D60D4C">
        <w:rPr>
          <w:rFonts w:cs="Arial"/>
          <w:b/>
          <w:bCs/>
          <w:szCs w:val="22"/>
        </w:rPr>
        <w:t>5.</w:t>
      </w:r>
      <w:r w:rsidRPr="00857C48">
        <w:rPr>
          <w:rFonts w:cs="Arial"/>
          <w:b/>
          <w:bCs/>
          <w:szCs w:val="22"/>
        </w:rPr>
        <w:t>6A</w:t>
      </w:r>
      <w:r w:rsidRPr="00857C48">
        <w:rPr>
          <w:rFonts w:cs="Arial"/>
          <w:szCs w:val="22"/>
        </w:rPr>
        <w:t xml:space="preserve">). Reactions expressing </w:t>
      </w:r>
      <w:proofErr w:type="spellStart"/>
      <w:r w:rsidRPr="00857C48">
        <w:rPr>
          <w:rFonts w:cs="Arial"/>
          <w:szCs w:val="22"/>
        </w:rPr>
        <w:t>BpsA</w:t>
      </w:r>
      <w:proofErr w:type="spellEnd"/>
      <w:r w:rsidRPr="00857C48">
        <w:rPr>
          <w:rFonts w:cs="Arial"/>
          <w:szCs w:val="22"/>
        </w:rPr>
        <w:t xml:space="preserve">-TC prepared with either mix were additionally initiated with purified </w:t>
      </w:r>
      <w:proofErr w:type="spellStart"/>
      <w:r w:rsidRPr="00857C48">
        <w:rPr>
          <w:rFonts w:cs="Arial"/>
          <w:szCs w:val="22"/>
        </w:rPr>
        <w:t>PPTase</w:t>
      </w:r>
      <w:proofErr w:type="spellEnd"/>
      <w:r w:rsidRPr="00857C48">
        <w:rPr>
          <w:rFonts w:cs="Arial"/>
          <w:szCs w:val="22"/>
        </w:rPr>
        <w:t xml:space="preserve">, CoA, and </w:t>
      </w:r>
      <w:r w:rsidRPr="00857C48">
        <w:rPr>
          <w:rFonts w:cs="Arial"/>
          <w:smallCaps/>
          <w:szCs w:val="22"/>
        </w:rPr>
        <w:t>L</w:t>
      </w:r>
      <w:r w:rsidRPr="00857C48">
        <w:rPr>
          <w:rFonts w:cs="Arial"/>
          <w:szCs w:val="22"/>
        </w:rPr>
        <w:t xml:space="preserve">-Gln then incubated overnight. Using the colorimetric assay, titers of </w:t>
      </w:r>
      <w:proofErr w:type="spellStart"/>
      <w:r w:rsidRPr="00857C48">
        <w:rPr>
          <w:rFonts w:cs="Arial"/>
          <w:szCs w:val="22"/>
        </w:rPr>
        <w:t>indigoidine</w:t>
      </w:r>
      <w:proofErr w:type="spellEnd"/>
      <w:r w:rsidRPr="00857C48">
        <w:rPr>
          <w:rFonts w:cs="Arial"/>
          <w:szCs w:val="22"/>
        </w:rPr>
        <w:t xml:space="preserve"> were calculated from a standard curve and show a similar improvement after PEP and magnesium concentration optimization (160 µM and 99 µM </w:t>
      </w:r>
      <w:proofErr w:type="spellStart"/>
      <w:r w:rsidRPr="00857C48">
        <w:rPr>
          <w:rFonts w:cs="Arial"/>
          <w:szCs w:val="22"/>
        </w:rPr>
        <w:t>indigoidine</w:t>
      </w:r>
      <w:proofErr w:type="spellEnd"/>
      <w:r w:rsidRPr="00857C48">
        <w:rPr>
          <w:rFonts w:cs="Arial"/>
          <w:szCs w:val="22"/>
        </w:rPr>
        <w:t xml:space="preserve"> in the optimized and base reactions, respectively) (</w:t>
      </w:r>
      <w:r w:rsidRPr="00857C48">
        <w:rPr>
          <w:rFonts w:cs="Arial"/>
          <w:b/>
          <w:bCs/>
          <w:szCs w:val="22"/>
        </w:rPr>
        <w:t>Fig</w:t>
      </w:r>
      <w:r w:rsidR="00D60D4C">
        <w:rPr>
          <w:rFonts w:cs="Arial"/>
          <w:b/>
          <w:bCs/>
          <w:szCs w:val="22"/>
        </w:rPr>
        <w:t>ure</w:t>
      </w:r>
      <w:r w:rsidRPr="00857C48">
        <w:rPr>
          <w:rFonts w:cs="Arial"/>
          <w:b/>
          <w:bCs/>
          <w:szCs w:val="22"/>
        </w:rPr>
        <w:t xml:space="preserve"> </w:t>
      </w:r>
      <w:r w:rsidR="00D60D4C">
        <w:rPr>
          <w:rFonts w:cs="Arial"/>
          <w:b/>
          <w:bCs/>
          <w:szCs w:val="22"/>
        </w:rPr>
        <w:t>5.</w:t>
      </w:r>
      <w:r w:rsidRPr="00857C48">
        <w:rPr>
          <w:rFonts w:cs="Arial"/>
          <w:b/>
          <w:bCs/>
          <w:szCs w:val="22"/>
        </w:rPr>
        <w:t>6B</w:t>
      </w:r>
      <w:r w:rsidRPr="00857C48">
        <w:rPr>
          <w:rFonts w:cs="Arial"/>
          <w:szCs w:val="22"/>
        </w:rPr>
        <w:t xml:space="preserve">). As expected, optimizing CFE facilitates increased </w:t>
      </w:r>
      <w:proofErr w:type="spellStart"/>
      <w:r w:rsidRPr="00857C48">
        <w:rPr>
          <w:rFonts w:cs="Arial"/>
          <w:szCs w:val="22"/>
        </w:rPr>
        <w:t>nonribosomal</w:t>
      </w:r>
      <w:proofErr w:type="spellEnd"/>
      <w:r w:rsidRPr="00857C48">
        <w:rPr>
          <w:rFonts w:cs="Arial"/>
          <w:szCs w:val="22"/>
        </w:rPr>
        <w:t xml:space="preserve"> peptide production. Notably, the </w:t>
      </w:r>
      <w:proofErr w:type="spellStart"/>
      <w:r w:rsidRPr="00857C48">
        <w:rPr>
          <w:rFonts w:cs="Arial"/>
          <w:szCs w:val="22"/>
        </w:rPr>
        <w:t>indigoidine</w:t>
      </w:r>
      <w:proofErr w:type="spellEnd"/>
      <w:r w:rsidRPr="00857C48">
        <w:rPr>
          <w:rFonts w:cs="Arial"/>
          <w:szCs w:val="22"/>
        </w:rPr>
        <w:t xml:space="preserve"> titer in the optimized BL21 Star(DE3) lysate is lower than the maximum concentration obtained in the BL21(DE3)-derived BAP1 lysate (~ 900 µM) (</w:t>
      </w:r>
      <w:r w:rsidRPr="00857C48">
        <w:rPr>
          <w:rFonts w:cs="Arial"/>
          <w:b/>
          <w:bCs/>
          <w:szCs w:val="22"/>
        </w:rPr>
        <w:t>Fig</w:t>
      </w:r>
      <w:r w:rsidR="00D60D4C">
        <w:rPr>
          <w:rFonts w:cs="Arial"/>
          <w:b/>
          <w:bCs/>
          <w:szCs w:val="22"/>
        </w:rPr>
        <w:t>ure</w:t>
      </w:r>
      <w:r w:rsidRPr="00857C48">
        <w:rPr>
          <w:rFonts w:cs="Arial"/>
          <w:b/>
          <w:bCs/>
          <w:szCs w:val="22"/>
        </w:rPr>
        <w:t xml:space="preserve"> </w:t>
      </w:r>
      <w:r w:rsidR="00D60D4C">
        <w:rPr>
          <w:rFonts w:cs="Arial"/>
          <w:b/>
          <w:bCs/>
          <w:szCs w:val="22"/>
        </w:rPr>
        <w:t>5.</w:t>
      </w:r>
      <w:r w:rsidRPr="00857C48">
        <w:rPr>
          <w:rFonts w:cs="Arial"/>
          <w:b/>
          <w:bCs/>
          <w:szCs w:val="22"/>
        </w:rPr>
        <w:t>1D</w:t>
      </w:r>
      <w:r w:rsidRPr="00857C48">
        <w:rPr>
          <w:rFonts w:cs="Arial"/>
          <w:szCs w:val="22"/>
        </w:rPr>
        <w:t>), despite BL21(DE3) being less productive for NRPS CFE compared to BL21 (Star)DE3 (</w:t>
      </w:r>
      <w:r w:rsidR="00D60D4C">
        <w:rPr>
          <w:rFonts w:cs="Arial"/>
          <w:b/>
          <w:bCs/>
          <w:szCs w:val="22"/>
        </w:rPr>
        <w:t>Appendix Figure 5.1</w:t>
      </w:r>
      <w:r w:rsidR="00BD523B">
        <w:rPr>
          <w:rFonts w:cs="Arial"/>
          <w:b/>
          <w:bCs/>
          <w:szCs w:val="22"/>
        </w:rPr>
        <w:t>0</w:t>
      </w:r>
      <w:r w:rsidRPr="00857C48">
        <w:rPr>
          <w:rFonts w:cs="Arial"/>
          <w:b/>
          <w:bCs/>
          <w:szCs w:val="22"/>
        </w:rPr>
        <w:t>A</w:t>
      </w:r>
      <w:r w:rsidRPr="00857C48">
        <w:rPr>
          <w:rFonts w:cs="Arial"/>
          <w:szCs w:val="22"/>
        </w:rPr>
        <w:t>)</w:t>
      </w:r>
      <w:r w:rsidRPr="00857C48">
        <w:rPr>
          <w:rFonts w:cs="Arial"/>
          <w:szCs w:val="22"/>
        </w:rPr>
        <w:fldChar w:fldCharType="begin" w:fldLock="1"/>
      </w:r>
      <w:r w:rsidR="004F3109">
        <w:rPr>
          <w:rFonts w:cs="Arial"/>
          <w:szCs w:val="22"/>
        </w:rPr>
        <w:instrText>ADDIN CSL_CITATION {"citationItems":[{"id":"ITEM-1","itemData":{"DOI":"10.1021/ACSSYNBIO.6B00160/SUPPL_FILE/SB6B00160_SI_001.PDF","ISSN":"21615063","PMID":"27478992","abstract":"Genome sequencing has revealed that a far greater number of natural product biosynthetic pathways exist than there are known natural products. To access these molecules directly and deterministically, a new generation of heterologous expression methods is needed. Cell-free protein synthesis has not previously been used to study nonribosomal peptide biosynthesis, and provides a tunable platform with advantages over conventional methods for protein expression. Here, we demonstrate the use of cell-free protein synthesis to biosynthesize a cyclic dipeptide with correct absolute stereochemistry. From a single-pot reaction, we measured the expression of two nonribosomal peptide synthetases larger than 100 kDa, and detected high-level production of a diketopiperazine. Using quantitative LC-MS and synthetically prepared standard, we observed production of this metabolite at levels higher than previously reported from cell-based recombinant expression, approximately 12 mg/L. Overall, this work represents a first step to apply cell-free protein synthesis to discover and characterize new natural products.","author":[{"dropping-particle":"","family":"Goering","given":"Anthony W.","non-dropping-particle":"","parse-names":false,"suffix":""},{"dropping-particle":"","family":"Li","given":"Jian","non-dropping-particle":"","parse-names":false,"suffix":""},{"dropping-particle":"","family":"McClure","given":"Ryan A.","non-dropping-particle":"","parse-names":false,"suffix":""},{"dropping-particle":"","family":"Thomson","given":"Regan J.","non-dropping-particle":"","parse-names":false,"suffix":""},{"dropping-particle":"","family":"Jewett","given":"Michael C.","non-dropping-particle":"","parse-names":false,"suffix":""},{"dropping-particle":"","family":"Kelleher","given":"Neil L.","non-dropping-particle":"","parse-names":false,"suffix":""}],"container-title":"ACS Synthetic Biology","id":"ITEM-1","issue":"1","issued":{"date-parts":[["2017","1","20"]]},"page":"39-44","publisher":"American Chemical Society","title":"In vitro reconstruction of nonribosomal peptide biosynthesis directly from DNA using cell-free protein synthesis","type":"article-journal","volume":"6"},"uris":["http://www.mendeley.com/documents/?uuid=3bbd6ab8-30cc-303f-be91-51f7f1a19eff"]}],"mendeley":{"formattedCitation":"&lt;sup&gt;208&lt;/sup&gt;","plainTextFormattedCitation":"208","previouslyFormattedCitation":"&lt;sup&gt;208&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208</w:t>
      </w:r>
      <w:r w:rsidRPr="00857C48">
        <w:rPr>
          <w:rFonts w:cs="Arial"/>
          <w:szCs w:val="22"/>
        </w:rPr>
        <w:fldChar w:fldCharType="end"/>
      </w:r>
      <w:r w:rsidRPr="00857C48">
        <w:rPr>
          <w:rFonts w:cs="Arial"/>
          <w:szCs w:val="22"/>
        </w:rPr>
        <w:t xml:space="preserve">. </w:t>
      </w:r>
      <w:proofErr w:type="spellStart"/>
      <w:r w:rsidRPr="00857C48">
        <w:rPr>
          <w:rFonts w:cs="Arial"/>
          <w:szCs w:val="22"/>
        </w:rPr>
        <w:t>PPTase</w:t>
      </w:r>
      <w:proofErr w:type="spellEnd"/>
      <w:r w:rsidRPr="00857C48">
        <w:rPr>
          <w:rFonts w:cs="Arial"/>
          <w:szCs w:val="22"/>
        </w:rPr>
        <w:t xml:space="preserve">, CoA, and </w:t>
      </w:r>
      <w:r w:rsidRPr="00857C48">
        <w:rPr>
          <w:rFonts w:cs="Arial"/>
          <w:smallCaps/>
          <w:szCs w:val="22"/>
        </w:rPr>
        <w:t>L</w:t>
      </w:r>
      <w:r w:rsidRPr="00857C48">
        <w:rPr>
          <w:rFonts w:cs="Arial"/>
          <w:szCs w:val="22"/>
        </w:rPr>
        <w:t xml:space="preserve">-Gln concentrations can therefore be optimized to enable higher NRPS turnover in BL21 Star(DE3) lysates. Alternatively, a BL21 </w:t>
      </w:r>
      <w:r w:rsidRPr="00857C48">
        <w:rPr>
          <w:rFonts w:cs="Arial"/>
          <w:szCs w:val="22"/>
        </w:rPr>
        <w:lastRenderedPageBreak/>
        <w:t xml:space="preserve">(Star)DE3 strain with a genome-integrated </w:t>
      </w:r>
      <w:proofErr w:type="spellStart"/>
      <w:r w:rsidRPr="00857C48">
        <w:rPr>
          <w:rFonts w:cs="Arial"/>
          <w:i/>
          <w:iCs/>
          <w:szCs w:val="22"/>
        </w:rPr>
        <w:t>sfp</w:t>
      </w:r>
      <w:proofErr w:type="spellEnd"/>
      <w:r w:rsidRPr="00857C48">
        <w:rPr>
          <w:rFonts w:cs="Arial"/>
          <w:i/>
          <w:iCs/>
          <w:szCs w:val="22"/>
        </w:rPr>
        <w:t xml:space="preserve"> </w:t>
      </w:r>
      <w:r w:rsidRPr="00857C48">
        <w:rPr>
          <w:rFonts w:cs="Arial"/>
          <w:szCs w:val="22"/>
        </w:rPr>
        <w:t xml:space="preserve">gene could benefit the CFE of NRPSs, especially those that catalyze high-value but cytotoxic metabolites. </w:t>
      </w:r>
    </w:p>
    <w:p w14:paraId="4D034C81" w14:textId="77777777" w:rsidR="00857C48" w:rsidRPr="00857C48" w:rsidRDefault="00857C48" w:rsidP="00D60D4C">
      <w:pPr>
        <w:ind w:firstLine="720"/>
        <w:rPr>
          <w:rFonts w:cs="Arial"/>
          <w:szCs w:val="22"/>
        </w:rPr>
      </w:pPr>
    </w:p>
    <w:p w14:paraId="56201B6B" w14:textId="58AE2018" w:rsidR="00857C48" w:rsidRPr="00E033D4" w:rsidRDefault="00D60D4C" w:rsidP="00E033D4">
      <w:pPr>
        <w:pStyle w:val="ChapterSub-heading"/>
      </w:pPr>
      <w:bookmarkStart w:id="140" w:name="_Toc129701075"/>
      <w:r w:rsidRPr="00E033D4">
        <w:t xml:space="preserve">5.4.5. </w:t>
      </w:r>
      <w:r w:rsidR="00857C48" w:rsidRPr="00E033D4">
        <w:t xml:space="preserve">Conditions optimized for </w:t>
      </w:r>
      <w:proofErr w:type="spellStart"/>
      <w:r w:rsidR="00857C48" w:rsidRPr="00E033D4">
        <w:t>BpsA</w:t>
      </w:r>
      <w:proofErr w:type="spellEnd"/>
      <w:r w:rsidR="00857C48" w:rsidRPr="00E033D4">
        <w:t xml:space="preserve"> allow or improve the CFE of other single-module NRPSs</w:t>
      </w:r>
      <w:bookmarkEnd w:id="140"/>
    </w:p>
    <w:p w14:paraId="7CF9386C" w14:textId="037B29A4" w:rsidR="00A90B05" w:rsidRDefault="00857C48" w:rsidP="00A90B05">
      <w:pPr>
        <w:ind w:firstLine="720"/>
        <w:rPr>
          <w:rFonts w:cs="Arial"/>
          <w:szCs w:val="22"/>
        </w:rPr>
      </w:pPr>
      <w:r w:rsidRPr="00857C48">
        <w:rPr>
          <w:rFonts w:cs="Arial"/>
          <w:szCs w:val="22"/>
        </w:rPr>
        <w:t>Standard CFE conditions commonly used in previous reports of lysate-based NRPS or NRPS-like protein expression include the preparation of reactions using the described base mix and their incubation at 30 ˚C</w:t>
      </w:r>
      <w:r w:rsidRPr="00857C48">
        <w:rPr>
          <w:rFonts w:cs="Arial"/>
          <w:szCs w:val="22"/>
        </w:rPr>
        <w:fldChar w:fldCharType="begin" w:fldLock="1"/>
      </w:r>
      <w:r w:rsidR="004F3109">
        <w:rPr>
          <w:rFonts w:cs="Arial"/>
          <w:szCs w:val="22"/>
        </w:rPr>
        <w:instrText>ADDIN CSL_CITATION {"citationItems":[{"id":"ITEM-1","itemData":{"DOI":"10.1021/acssynbio.6b00160","ISSN":"21615063","abstract":"Genome sequencing has revealed that a far greater number of natural product biosynthetic pathways exist than there are known natural products. To access these molecules directly and deterministically, a new generation of heterologous expression methods is needed. Cell-free protein synthesis has not previously been used to study nonribosomal peptide biosynthesis, and provides a tunable platform with advantages over conventional methods for protein expression. Here, we demonstrate the use of cell-free protein synthesis to biosynthesize a cyclic dipeptide with correct absolute stereochemistry. From a single-pot reaction, we measured the expression of two nonribosomal peptide synthetases larger than 100 kDa, and detected high-level production of a diketopiperazine. Using quantitative LC-MS and synthetically prepared standard, we observed production of this metabolite at levels higher than previously reported from cell-based recombinant expression, approximately 12 mg/L. Overall, this work represents a first step to apply cell-free protein synthesis to discover and characterize new natural products.","author":[{"dropping-particle":"","family":"Goering","given":"Anthony W.","non-dropping-particle":"","parse-names":false,"suffix":""},{"dropping-particle":"","family":"Li","given":"Jian","non-dropping-particle":"","parse-names":false,"suffix":""},{"dropping-particle":"","family":"McClure","given":"Ryan A.","non-dropping-particle":"","parse-names":false,"suffix":""},{"dropping-particle":"","family":"Thomson","given":"Regan J.","non-dropping-particle":"","parse-names":false,"suffix":""},{"dropping-particle":"","family":"Jewett","given":"Michael C.","non-dropping-particle":"","parse-names":false,"suffix":""},{"dropping-particle":"","family":"Kelleher","given":"Neil L.","non-dropping-particle":"","parse-names":false,"suffix":""}],"container-title":"ACS Synthetic Biology","id":"ITEM-1","issue":"1","issued":{"date-parts":[["2017"]]},"page":"39-44","publisher":"American Chemical Society","title":"In vitro reconstruction of nonribosomal peptide biosynthesis directly from DNA using cell-free protein synthesis","type":"article-journal","volume":"6"},"uris":["http://www.mendeley.com/documents/?uuid=5dc6ed63-4413-3c6e-973c-719fb49b3ef4"]},{"id":"ITEM-2","itemData":{"DOI":"10.1021/ACS.ANALCHEM.7B02555/SUPPL_FILE/AC7B02555_SI_003.XLSX","ISSN":"15206882","PMID":"29039646","abstract":"Cell-free protein synthesis (CFPS) has the potential to produce enzymes, therapeutic agents, and other proteins, while circumventing difficulties associated with in vivo heterologous expression. However, the contents of the cell-free extracts used to carry out synthesis are generally not characterized, which hampers progress toward enhancing yield or functional activity of the target protein. We explored the utility of mass spectrometry (MS)-based proteomics for characterizing the bacterial extracts used for transcribing and translating gene sequences into proteins as well as the products of CFPS reactions. Full proteome experiments identified over 1000 proteins per reaction. The complete set of proteins necessary for transcription and translation were found, demonstrating the ability to define potential metabolic capabilities of the extract. Further, MS-based techniques allowed characterization of the CFPS product and provided insight into the synthesis reaction and potential functional activity of the product. These capabilities were demonstrated using two different CFPS products, the commonly used standard green fluorescent protein (GFP, 27 kDa) and the polyketide synthase DEBS1 (394 kDa). For the large, multidomain DEBS1, substantial premature termination of protein translation was observed. Additionally, MS/MS analysis, as part of a conventional full proteomics workflow, identified post-translational modifications, including the chromophore in GFP, as well as the three phosphopantetheinylation sites in DEBS1. A hypothesis-driven approach focused on these three sites identified that all were correctly modified for DEBS1 expressed in vivo but with less complete coverage for protein expressed in CFPS reactions. These post-translational modifications are essential for functional activity, and the ability to identify them with mass spectrometry is valuable for judging the success of the CFPS reaction. Collectively, the use of MS-based proteomics will prove advantageous for advancing the application of CFPS and related techniques.","author":[{"dropping-particle":"","family":"Hurst","given":"Gregory B.","non-dropping-particle":"","parse-names":false,"suffix":""},{"dropping-particle":"","family":"Asano","given":"Keiji G.","non-dropping-particle":"","parse-names":false,"suffix":""},{"dropping-particle":"","family":"Doktycz","given":"Charles J.","non-dropping-particle":"","parse-names":false,"suffix":""},{"dropping-particle":"","family":"Consoli","given":"Elliot J.","non-dropping-particle":"","parse-names":false,"suffix":""},{"dropping-particle":"","family":"Doktycz","given":"William L.","non-dropping-particle":"","parse-names":false,"suffix":""},{"dropping-particle":"","family":"Foster","given":"Carmen M.","non-dropping-particle":"","parse-names":false,"suffix":""},{"dropping-particle":"","family":"Morrell-Falvey","given":"Jennifer L.","non-dropping-particle":"","parse-names":false,"suffix":""},{"dropping-particle":"","family":"Standaert","given":"Robert F.","non-dropping-particle":"","parse-names":false,"suffix":""},{"dropping-particle":"","family":"Doktycz","given":"Mitchel J.","non-dropping-particle":"","parse-names":false,"suffix":""}],"container-title":"Analytical Chemistry","id":"ITEM-2","issue":"21","issued":{"date-parts":[["2017","11","7"]]},"page":"11443-11451","publisher":"American Chemical Society","title":"Proteomics-Based Tools for Evaluation of Cell-Free Protein Synthesis","type":"article-journal","volume":"89"},"uris":["http://www.mendeley.com/documents/?uuid=1a092bfc-64ef-3ac6-a827-3d0fe37304d5"]},{"id":"ITEM-3","itemData":{"DOI":"10.1016/J.YMBEN.2020.03.009","ISSN":"1096-7176","PMID":"32224263","abstract":"Natural products are important because of their significant pharmaceutical properties such as antiviral, antimicrobial, and anticancer activity. Recent breakthroughs in DNA sequencing reveal that a great number of cryptic natural product biosynthetic gene clusters are encoded in microbial genomes, for example, those of Streptomyces species. However, it is still challenging to access compounds from these clusters because many source organisms are uncultivable or the genes are silent during laboratory cultivation. To address this challenge, we develop an efficient cell-free platform for the rapid, in vitro total biosynthesis of the nonribosomal peptide valinomycin as a model. We achieve this goal in two ways. First, we used a cell-free protein synthesis (CFPS) system to express the entire valinomycin biosynthetic gene cluster (&gt;19 kb) in a single-pot reaction, giving rise to approximately 37 μg/L of valinomycin after optimization. Second, we coupled CFPS with cell-free metabolic engineering system by mixing two enzyme-enriched cell lysates to perform a two-stage biosynthesis. This strategy improved valinomycin production ~5000-fold to nearly 30 mg/L. We expect that cell-free biosynthetic systems will provide a new avenue to express, discover, and characterize natural product gene clusters of interest in vitro.","author":[{"dropping-particle":"","family":"Zhuang","given":"Lei","non-dropping-particle":"","parse-names":false,"suffix":""},{"dropping-particle":"","family":"Huang","given":"Shuhui","non-dropping-particle":"","parse-names":false,"suffix":""},{"dropping-particle":"","family":"Liu","given":"Wan Qiu","non-dropping-particle":"","parse-names":false,"suffix":""},{"dropping-particle":"","family":"Karim","given":"Ashty S.","non-dropping-particle":"","parse-names":false,"suffix":""},{"dropping-particle":"","family":"Jewett","given":"Michael C.","non-dropping-particle":"","parse-names":false,"suffix":""},{"dropping-particle":"","family":"Li","given":"Jian","non-dropping-particle":"","parse-names":false,"suffix":""}],"container-title":"Metabolic Engineering","id":"ITEM-3","issued":{"date-parts":[["2020","7","1"]]},"page":"37-44","publisher":"Academic Press","title":"Total in vitro biosynthesis of the nonribosomal macrolactone peptide valinomycin","type":"article-journal","volume":"60"},"uris":["http://www.mendeley.com/documents/?uuid=7b4a6e0f-c308-3fc8-998b-3b950a873609"]}],"mendeley":{"formattedCitation":"&lt;sup&gt;54,211,212&lt;/sup&gt;","plainTextFormattedCitation":"54,211,212","previouslyFormattedCitation":"&lt;sup&gt;54,211,212&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54,211,212</w:t>
      </w:r>
      <w:r w:rsidRPr="00857C48">
        <w:rPr>
          <w:rFonts w:cs="Arial"/>
          <w:szCs w:val="22"/>
        </w:rPr>
        <w:fldChar w:fldCharType="end"/>
      </w:r>
      <w:r w:rsidR="00D60D4C">
        <w:rPr>
          <w:rFonts w:cs="Arial"/>
          <w:szCs w:val="22"/>
        </w:rPr>
        <w:t>.</w:t>
      </w:r>
      <w:r w:rsidRPr="00857C48">
        <w:rPr>
          <w:rFonts w:cs="Arial"/>
          <w:szCs w:val="22"/>
        </w:rPr>
        <w:t xml:space="preserve">  In theory, the CFE of NRPSs with similar architectures to </w:t>
      </w:r>
      <w:proofErr w:type="spellStart"/>
      <w:r w:rsidRPr="00857C48">
        <w:rPr>
          <w:rFonts w:cs="Arial"/>
          <w:szCs w:val="22"/>
        </w:rPr>
        <w:t>BpsA</w:t>
      </w:r>
      <w:proofErr w:type="spellEnd"/>
      <w:r w:rsidRPr="00857C48">
        <w:rPr>
          <w:rFonts w:cs="Arial"/>
          <w:szCs w:val="22"/>
        </w:rPr>
        <w:t xml:space="preserve"> will benefit from the total set of reaction conditions optimized here (i.e., optimized mix and 25 ˚C incubation). Other known </w:t>
      </w:r>
      <w:proofErr w:type="spellStart"/>
      <w:r w:rsidRPr="00857C48">
        <w:rPr>
          <w:rFonts w:cs="Arial"/>
          <w:szCs w:val="22"/>
        </w:rPr>
        <w:t>monomodular</w:t>
      </w:r>
      <w:proofErr w:type="spellEnd"/>
      <w:r w:rsidRPr="00857C48">
        <w:rPr>
          <w:rFonts w:cs="Arial"/>
          <w:szCs w:val="22"/>
        </w:rPr>
        <w:t xml:space="preserve"> NRPSs include tyrocidine </w:t>
      </w:r>
      <w:proofErr w:type="spellStart"/>
      <w:r w:rsidRPr="00857C48">
        <w:rPr>
          <w:rFonts w:cs="Arial"/>
          <w:szCs w:val="22"/>
        </w:rPr>
        <w:t>synethetase</w:t>
      </w:r>
      <w:proofErr w:type="spellEnd"/>
      <w:r w:rsidRPr="00857C48">
        <w:rPr>
          <w:rFonts w:cs="Arial"/>
          <w:szCs w:val="22"/>
        </w:rPr>
        <w:t xml:space="preserve"> I, </w:t>
      </w:r>
      <w:proofErr w:type="spellStart"/>
      <w:r w:rsidRPr="00857C48">
        <w:rPr>
          <w:rFonts w:cs="Arial"/>
          <w:szCs w:val="22"/>
        </w:rPr>
        <w:t>TycA</w:t>
      </w:r>
      <w:proofErr w:type="spellEnd"/>
      <w:r w:rsidRPr="00857C48">
        <w:rPr>
          <w:rFonts w:cs="Arial"/>
          <w:szCs w:val="22"/>
        </w:rPr>
        <w:t xml:space="preserve"> (124 </w:t>
      </w:r>
      <w:proofErr w:type="spellStart"/>
      <w:r w:rsidRPr="00857C48">
        <w:rPr>
          <w:rFonts w:cs="Arial"/>
          <w:szCs w:val="22"/>
        </w:rPr>
        <w:t>kDa</w:t>
      </w:r>
      <w:proofErr w:type="spellEnd"/>
      <w:r w:rsidRPr="00857C48">
        <w:rPr>
          <w:rFonts w:cs="Arial"/>
          <w:szCs w:val="22"/>
        </w:rPr>
        <w:t>), which incorporates and isomerizes an L-phenylalanine residue into the cyclic antibiotic decapeptide tyrocidine</w:t>
      </w:r>
      <w:r w:rsidRPr="00857C48">
        <w:rPr>
          <w:rFonts w:cs="Arial"/>
          <w:szCs w:val="22"/>
        </w:rPr>
        <w:fldChar w:fldCharType="begin" w:fldLock="1"/>
      </w:r>
      <w:r w:rsidR="004F3109">
        <w:rPr>
          <w:rFonts w:cs="Arial"/>
          <w:szCs w:val="22"/>
        </w:rPr>
        <w:instrText>ADDIN CSL_CITATION {"citationItems":[{"id":"ITEM-1","itemData":{"DOI":"10.1073/PNAS.0404932101","ISSN":"00278424","PMID":"15498872","abstract":"Nonribosomal peptide synthetases (NRPSs) catalyze the formation of structurally diverse and biologically important peptides. Given their modular organization, NRPSs provide an enormous potential for biocombinatorial approaches to generate novel bioactive compounds. Crucial for the exploitation of this potential is a profound knowledge of the intermolecular communication between partner NRPSs. The overall goal of this study was to understand the basis of protein-protein communication that facilitates the selective interaction in these multienzyme complexes. On this account, we studied the relevance of short regions at the termini of the NRPSs tyrocidine (Tyc) synthetases TycA, TycB, and TycC, constituting the Tyc biosynthetic template. In vitro and in vivo investigations of C-terminal deletion mutants of the initiation module TycA provided evidence for the existence and impact of short communication-mediating (COM) domains. Their decisive role in protein-protein recognition was subsequently proven by means of COM domain-swapping experiments. Substitution of the terminal COM domains between the donor modules TycA and TycB3, as well as between the acceptor modules TycB1 and TycC1, clearly demonstrated that matching pairs of COM domains are both necessary and sufficient for the establishment of communication between partner NRPSs in trans. These results corroborated the generality of COM domains, which were subsequently exploited to induce crosstalk, even between NRPSs derived from different biosynthetic systems. In conclusion, COM domains represent interesting tools for biocombinatorial approaches, which, for example, could be used for the generation of innovative natural product derivatives.","author":[{"dropping-particle":"","family":"Hahn","given":"Martin","non-dropping-particle":"","parse-names":false,"suffix":""},{"dropping-particle":"","family":"Stachelhaus","given":"Torsten","non-dropping-particle":"","parse-names":false,"suffix":""}],"container-title":"Proceedings of the National Academy of Sciences of the United States of America","id":"ITEM-1","issue":"44","issued":{"date-parts":[["2004","11","11"]]},"page":"15585","publisher":"National Academy of Sciences","title":"Selective interaction between nonribosomal peptide synthetases is facilitated by short communication-mediating domains","type":"article-journal","volume":"101"},"uris":["http://www.mendeley.com/documents/?uuid=75d0abd2-a82f-3076-8dd0-08ce924d447e"]}],"mendeley":{"formattedCitation":"&lt;sup&gt;242&lt;/sup&gt;","plainTextFormattedCitation":"242","previouslyFormattedCitation":"&lt;sup&gt;242&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242</w:t>
      </w:r>
      <w:r w:rsidRPr="00857C48">
        <w:rPr>
          <w:rFonts w:cs="Arial"/>
          <w:szCs w:val="22"/>
        </w:rPr>
        <w:fldChar w:fldCharType="end"/>
      </w:r>
      <w:r w:rsidRPr="00857C48">
        <w:rPr>
          <w:rFonts w:cs="Arial"/>
          <w:szCs w:val="22"/>
        </w:rPr>
        <w:t xml:space="preserve">, and </w:t>
      </w:r>
      <w:proofErr w:type="spellStart"/>
      <w:r w:rsidRPr="00857C48">
        <w:rPr>
          <w:rFonts w:cs="Arial"/>
          <w:szCs w:val="22"/>
        </w:rPr>
        <w:t>pyreudione</w:t>
      </w:r>
      <w:proofErr w:type="spellEnd"/>
      <w:r w:rsidRPr="00857C48">
        <w:rPr>
          <w:rFonts w:cs="Arial"/>
          <w:szCs w:val="22"/>
        </w:rPr>
        <w:t xml:space="preserve"> synthetase, </w:t>
      </w:r>
      <w:proofErr w:type="spellStart"/>
      <w:r w:rsidRPr="00857C48">
        <w:rPr>
          <w:rFonts w:cs="Arial"/>
          <w:szCs w:val="22"/>
        </w:rPr>
        <w:t>Pys</w:t>
      </w:r>
      <w:proofErr w:type="spellEnd"/>
      <w:r w:rsidRPr="00857C48">
        <w:rPr>
          <w:rFonts w:cs="Arial"/>
          <w:szCs w:val="22"/>
        </w:rPr>
        <w:t xml:space="preserve"> (142 </w:t>
      </w:r>
      <w:proofErr w:type="spellStart"/>
      <w:r w:rsidRPr="00857C48">
        <w:rPr>
          <w:rFonts w:cs="Arial"/>
          <w:szCs w:val="22"/>
        </w:rPr>
        <w:t>kDa</w:t>
      </w:r>
      <w:proofErr w:type="spellEnd"/>
      <w:r w:rsidRPr="00857C48">
        <w:rPr>
          <w:rFonts w:cs="Arial"/>
          <w:szCs w:val="22"/>
        </w:rPr>
        <w:t xml:space="preserve">), which adenylates </w:t>
      </w:r>
      <w:r w:rsidRPr="00857C48">
        <w:rPr>
          <w:rFonts w:cs="Arial"/>
          <w:smallCaps/>
          <w:szCs w:val="22"/>
        </w:rPr>
        <w:t>L</w:t>
      </w:r>
      <w:r w:rsidRPr="00857C48">
        <w:rPr>
          <w:rFonts w:cs="Arial"/>
          <w:szCs w:val="22"/>
        </w:rPr>
        <w:t>-proline in the synthesis of amoebicidal pyreudiones</w:t>
      </w:r>
      <w:r w:rsidRPr="00857C48">
        <w:rPr>
          <w:rFonts w:cs="Arial"/>
          <w:szCs w:val="22"/>
        </w:rPr>
        <w:fldChar w:fldCharType="begin" w:fldLock="1"/>
      </w:r>
      <w:r w:rsidR="004F3109">
        <w:rPr>
          <w:rFonts w:cs="Arial"/>
          <w:szCs w:val="22"/>
        </w:rPr>
        <w:instrText>ADDIN CSL_CITATION {"citationItems":[{"id":"ITEM-1","itemData":{"DOI":"10.1016/j.chembiol.2018.02.013","ISSN":"24519448","PMID":"29606578","abstract":"Chemical and biochemical analyses of one of the most basic nonribosomal peptide synthetases (NRPS) from a Pseudomonas fluorescens strain revealed its striking plasticity. Determination of the potential substrate scope enabled us to anticipate novel secondary metabolites that could subsequently be isolated and tested for their bioactivities. Detailed analyses of the monomodular pyreudione synthetase showed that the biosynthesis of the bacterial pyreudione alkaloids does not require additional biosynthetic enzymes. Heterologous expression of a similar and functional, yet cryptic, NRPS of Pseudomonas entomophila was successful and allowed us to perform a phylogenetic analysis of their thioesterase domains. Nonribosomal peptides are a diverse class of ecologically and clinically relevant natural products. Here, Klapper et al. study one of the simplest bacterial nonribosomal peptide synthetases of different Pseudomonas strains. A single gene, encoding the monomodular pyreudione synthetase, leads to the production of a variety of bioactive alkaloids.","author":[{"dropping-particle":"","family":"Klapper","given":"Martin","non-dropping-particle":"","parse-names":false,"suffix":""},{"dropping-particle":"","family":"Braga","given":"Daniel","non-dropping-particle":"","parse-names":false,"suffix":""},{"dropping-particle":"","family":"Lackner","given":"Gerald","non-dropping-particle":"","parse-names":false,"suffix":""},{"dropping-particle":"","family":"Herbst","given":"Rosa","non-dropping-particle":"","parse-names":false,"suffix":""},{"dropping-particle":"","family":"Stallforth","given":"Pierre","non-dropping-particle":"","parse-names":false,"suffix":""}],"container-title":"Cell Chemical Biology","id":"ITEM-1","issue":"6","issued":{"date-parts":[["2018"]]},"page":"659-665.e9","title":"Bacterial Alkaloid Biosynthesis: Structural Diversity via a Minimalistic Nonribosomal Peptide Synthetase","type":"article-journal","volume":"25"},"uris":["http://www.mendeley.com/documents/?uuid=72cef43c-cc2f-3fd6-a7f1-46293fe6a93e"]}],"mendeley":{"formattedCitation":"&lt;sup&gt;243&lt;/sup&gt;","plainTextFormattedCitation":"243","previouslyFormattedCitation":"&lt;sup&gt;243&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243</w:t>
      </w:r>
      <w:r w:rsidRPr="00857C48">
        <w:rPr>
          <w:rFonts w:cs="Arial"/>
          <w:szCs w:val="22"/>
        </w:rPr>
        <w:fldChar w:fldCharType="end"/>
      </w:r>
      <w:r w:rsidR="00D60D4C">
        <w:rPr>
          <w:rFonts w:cs="Arial"/>
          <w:szCs w:val="22"/>
        </w:rPr>
        <w:t>.</w:t>
      </w:r>
      <w:r w:rsidRPr="00857C48">
        <w:rPr>
          <w:rFonts w:cs="Arial"/>
          <w:szCs w:val="22"/>
        </w:rPr>
        <w:t xml:space="preserve"> In addition to being close in size to </w:t>
      </w:r>
      <w:proofErr w:type="spellStart"/>
      <w:r w:rsidRPr="00857C48">
        <w:rPr>
          <w:rFonts w:cs="Arial"/>
          <w:szCs w:val="22"/>
        </w:rPr>
        <w:t>BpsA</w:t>
      </w:r>
      <w:proofErr w:type="spellEnd"/>
      <w:r w:rsidRPr="00857C48">
        <w:rPr>
          <w:rFonts w:cs="Arial"/>
          <w:szCs w:val="22"/>
        </w:rPr>
        <w:t xml:space="preserve">, these NRPSs each have an active A domain. TC- and </w:t>
      </w:r>
      <w:proofErr w:type="spellStart"/>
      <w:r w:rsidRPr="00857C48">
        <w:rPr>
          <w:rFonts w:cs="Arial"/>
          <w:szCs w:val="22"/>
        </w:rPr>
        <w:t>StrepII</w:t>
      </w:r>
      <w:proofErr w:type="spellEnd"/>
      <w:r w:rsidRPr="00857C48">
        <w:rPr>
          <w:rFonts w:cs="Arial"/>
          <w:szCs w:val="22"/>
        </w:rPr>
        <w:t xml:space="preserve">-tagged versions of these NRPSs were expressed using standard CFE conditions and conditions optimized here for </w:t>
      </w:r>
      <w:proofErr w:type="spellStart"/>
      <w:r w:rsidRPr="00857C48">
        <w:rPr>
          <w:rFonts w:cs="Arial"/>
          <w:szCs w:val="22"/>
        </w:rPr>
        <w:t>BpsA</w:t>
      </w:r>
      <w:proofErr w:type="spellEnd"/>
      <w:r w:rsidRPr="00857C48">
        <w:rPr>
          <w:rFonts w:cs="Arial"/>
          <w:szCs w:val="22"/>
        </w:rPr>
        <w:t>. TC/</w:t>
      </w:r>
      <w:proofErr w:type="spellStart"/>
      <w:r w:rsidRPr="00857C48">
        <w:rPr>
          <w:rFonts w:cs="Arial"/>
          <w:szCs w:val="22"/>
        </w:rPr>
        <w:t>FlAsH</w:t>
      </w:r>
      <w:proofErr w:type="spellEnd"/>
      <w:r w:rsidRPr="00857C48">
        <w:rPr>
          <w:rFonts w:cs="Arial"/>
          <w:szCs w:val="22"/>
        </w:rPr>
        <w:t xml:space="preserve"> measurements for both </w:t>
      </w:r>
      <w:proofErr w:type="spellStart"/>
      <w:r w:rsidRPr="00857C48">
        <w:rPr>
          <w:rFonts w:cs="Arial"/>
          <w:szCs w:val="22"/>
        </w:rPr>
        <w:t>TycA</w:t>
      </w:r>
      <w:proofErr w:type="spellEnd"/>
      <w:r w:rsidRPr="00857C48">
        <w:rPr>
          <w:rFonts w:cs="Arial"/>
          <w:szCs w:val="22"/>
        </w:rPr>
        <w:t xml:space="preserve">-TC and </w:t>
      </w:r>
      <w:proofErr w:type="spellStart"/>
      <w:r w:rsidRPr="00857C48">
        <w:rPr>
          <w:rFonts w:cs="Arial"/>
          <w:szCs w:val="22"/>
        </w:rPr>
        <w:t>Pys</w:t>
      </w:r>
      <w:proofErr w:type="spellEnd"/>
      <w:r w:rsidRPr="00857C48">
        <w:rPr>
          <w:rFonts w:cs="Arial"/>
          <w:szCs w:val="22"/>
        </w:rPr>
        <w:t xml:space="preserve">-TC show that these proteins are better synthesized under conditions optimized for </w:t>
      </w:r>
      <w:proofErr w:type="spellStart"/>
      <w:r w:rsidRPr="00857C48">
        <w:rPr>
          <w:rFonts w:cs="Arial"/>
          <w:szCs w:val="22"/>
        </w:rPr>
        <w:t>BpsA</w:t>
      </w:r>
      <w:proofErr w:type="spellEnd"/>
      <w:r w:rsidRPr="00857C48">
        <w:rPr>
          <w:rFonts w:cs="Arial"/>
          <w:szCs w:val="22"/>
        </w:rPr>
        <w:t xml:space="preserve"> expression. </w:t>
      </w:r>
      <w:proofErr w:type="spellStart"/>
      <w:r w:rsidRPr="00857C48">
        <w:rPr>
          <w:rFonts w:cs="Arial"/>
          <w:szCs w:val="22"/>
        </w:rPr>
        <w:t>TycA</w:t>
      </w:r>
      <w:proofErr w:type="spellEnd"/>
      <w:r w:rsidRPr="00857C48">
        <w:rPr>
          <w:rFonts w:cs="Arial"/>
          <w:szCs w:val="22"/>
        </w:rPr>
        <w:t xml:space="preserve"> expressed particularly well in the optimized system and could be visualized upon purification (</w:t>
      </w:r>
      <w:r w:rsidR="00D60D4C">
        <w:rPr>
          <w:rFonts w:cs="Arial"/>
          <w:b/>
          <w:bCs/>
          <w:szCs w:val="22"/>
        </w:rPr>
        <w:t>Appendix F</w:t>
      </w:r>
      <w:r w:rsidRPr="00857C48">
        <w:rPr>
          <w:rFonts w:cs="Arial"/>
          <w:b/>
          <w:bCs/>
          <w:szCs w:val="22"/>
        </w:rPr>
        <w:t>ig</w:t>
      </w:r>
      <w:r w:rsidR="00D60D4C">
        <w:rPr>
          <w:rFonts w:cs="Arial"/>
          <w:b/>
          <w:bCs/>
          <w:szCs w:val="22"/>
        </w:rPr>
        <w:t>ure</w:t>
      </w:r>
      <w:r w:rsidRPr="00857C48">
        <w:rPr>
          <w:rFonts w:cs="Arial"/>
          <w:b/>
          <w:bCs/>
          <w:szCs w:val="22"/>
        </w:rPr>
        <w:t xml:space="preserve"> </w:t>
      </w:r>
      <w:r w:rsidR="00D60D4C">
        <w:rPr>
          <w:rFonts w:cs="Arial"/>
          <w:b/>
          <w:bCs/>
          <w:szCs w:val="22"/>
        </w:rPr>
        <w:t>5.1</w:t>
      </w:r>
      <w:r w:rsidR="00BD523B">
        <w:rPr>
          <w:rFonts w:cs="Arial"/>
          <w:b/>
          <w:bCs/>
          <w:szCs w:val="22"/>
        </w:rPr>
        <w:t>6</w:t>
      </w:r>
      <w:r w:rsidRPr="00857C48">
        <w:rPr>
          <w:rFonts w:cs="Arial"/>
          <w:szCs w:val="22"/>
        </w:rPr>
        <w:t xml:space="preserve">). Like </w:t>
      </w:r>
      <w:proofErr w:type="spellStart"/>
      <w:r w:rsidRPr="00857C48">
        <w:rPr>
          <w:rFonts w:cs="Arial"/>
          <w:szCs w:val="22"/>
        </w:rPr>
        <w:t>TycA</w:t>
      </w:r>
      <w:proofErr w:type="spellEnd"/>
      <w:r w:rsidRPr="00857C48">
        <w:rPr>
          <w:rFonts w:cs="Arial"/>
          <w:szCs w:val="22"/>
        </w:rPr>
        <w:t xml:space="preserve"> synthesized in base conditions, </w:t>
      </w:r>
      <w:proofErr w:type="spellStart"/>
      <w:r w:rsidRPr="00857C48">
        <w:rPr>
          <w:rFonts w:cs="Arial"/>
          <w:szCs w:val="22"/>
        </w:rPr>
        <w:t>Pys</w:t>
      </w:r>
      <w:proofErr w:type="spellEnd"/>
      <w:r w:rsidRPr="00857C48">
        <w:rPr>
          <w:rFonts w:cs="Arial"/>
          <w:szCs w:val="22"/>
        </w:rPr>
        <w:t xml:space="preserve"> produced in either condition set could not be observed in gels of lysate reactions or </w:t>
      </w:r>
      <w:proofErr w:type="spellStart"/>
      <w:r w:rsidRPr="00857C48">
        <w:rPr>
          <w:rFonts w:cs="Arial"/>
          <w:szCs w:val="22"/>
        </w:rPr>
        <w:t>StrepII</w:t>
      </w:r>
      <w:proofErr w:type="spellEnd"/>
      <w:r w:rsidRPr="00857C48">
        <w:rPr>
          <w:rFonts w:cs="Arial"/>
          <w:szCs w:val="22"/>
        </w:rPr>
        <w:t xml:space="preserve">-tag </w:t>
      </w:r>
      <w:proofErr w:type="spellStart"/>
      <w:r w:rsidRPr="00857C48">
        <w:rPr>
          <w:rFonts w:cs="Arial"/>
          <w:szCs w:val="22"/>
        </w:rPr>
        <w:t>elutions</w:t>
      </w:r>
      <w:proofErr w:type="spellEnd"/>
      <w:r w:rsidRPr="00857C48">
        <w:rPr>
          <w:rFonts w:cs="Arial"/>
          <w:szCs w:val="22"/>
        </w:rPr>
        <w:t>. On the other hand, the standard condition set, which was initially optimized for sfGFP</w:t>
      </w:r>
      <w:r w:rsidRPr="00857C48">
        <w:rPr>
          <w:rFonts w:cs="Arial"/>
          <w:szCs w:val="22"/>
        </w:rPr>
        <w:fldChar w:fldCharType="begin" w:fldLock="1"/>
      </w:r>
      <w:r w:rsidR="004F3109">
        <w:rPr>
          <w:rFonts w:cs="Arial"/>
          <w:szCs w:val="22"/>
        </w:rPr>
        <w:instrText>ADDIN CSL_CITATION {"citationItems":[{"id":"ITEM-1","itemData":{"DOI":"10.1021/acssynbio.8b00252","ISSN":"21615063","abstract":"A new wave of interest in cell-free protein synthesis (CFPS) systems has shown their utility for producing proteins at high titers, establishing genetic regulatory element libraries (e.g., promoters, ribosome binding sites) in nonmodel organisms, optimizing biosynthetic pathways before implementation in cells, and sensing biomarkers for diagnostic applications. Unfortunately, most previous efforts have focused on a select few model systems, such as Escherichia coli. Broadening the spectrum of organisms used for CFPS promises to better mimic host cell processes in prototyping applications and open up new areas of research. Here, we describe the development and characterization of a facile CFPS platform based on lysates derived from the fast-growing bacterium Vibrio natriegens, which is an emerging host organism for biotechnology. We demonstrate robust preparation of highly active extracts using sonication, without specialized and costly equipment. After optimizing the extract preparation procedure and cell-free reaction conditions, we show synthesis of 1.6 ± 0.05 g/L of superfolder green fluorescent protein in batch mode CFPS, making it competitive with existing E. coli CFPS platforms. To showcase the flexibility of the system, we demonstrate that it can be lyophilized and retain biosynthesis capability, that it is capable of producing antimicrobial peptides, and that our extract preparation procedure can be coupled with the recently described Vmax Express strain in a one-pot system. Finally, to further increase system productivity, we explore a knockout library in which putative negative effectors of CFPS are genetically removed from the source strain. Our V. natriegens-derived CFPS platform is versatile and simple to prepare and use. We expect it will facilitate expansion of CFPS systems into new laboratories and fields for compelling applications in synthetic biology.","author":[{"dropping-particle":"","family":"Soye","given":"Benjamin J.","non-dropping-particle":"Des","parse-names":false,"suffix":""},{"dropping-particle":"","family":"Davidson","given":"Samuel R.","non-dropping-particle":"","parse-names":false,"suffix":""},{"dropping-particle":"","family":"Weinstock","given":"Matthew T.","non-dropping-particle":"","parse-names":false,"suffix":""},{"dropping-particle":"","family":"Gibson","given":"Daniel G.","non-dropping-particle":"","parse-names":false,"suffix":""},{"dropping-particle":"","family":"Jewett","given":"Michael C.","non-dropping-particle":"","parse-names":false,"suffix":""}],"container-title":"ACS Synthetic Biology","genre":"research-article","id":"ITEM-1","issue":"9","issued":{"date-parts":[["2018"]]},"page":"2245-2255","publisher":"American Chemical Society","title":"Establishing a High-Yielding Cell-Free Protein Synthesis Platform Derived from Vibrio natriegens","type":"article-journal","volume":"7"},"uris":["http://www.mendeley.com/documents/?uuid=d11afab8-ca83-49d5-9ca6-c82a7eb9f69e"]}],"mendeley":{"formattedCitation":"&lt;sup&gt;231&lt;/sup&gt;","plainTextFormattedCitation":"231","previouslyFormattedCitation":"&lt;sup&gt;231&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231</w:t>
      </w:r>
      <w:r w:rsidRPr="00857C48">
        <w:rPr>
          <w:rFonts w:cs="Arial"/>
          <w:szCs w:val="22"/>
        </w:rPr>
        <w:fldChar w:fldCharType="end"/>
      </w:r>
      <w:r w:rsidRPr="00857C48">
        <w:rPr>
          <w:rFonts w:cs="Arial"/>
          <w:szCs w:val="22"/>
        </w:rPr>
        <w:t xml:space="preserve">, is still more beneficial for the synthesis of this protein compared to conditions optimized here for </w:t>
      </w:r>
      <w:proofErr w:type="spellStart"/>
      <w:r w:rsidRPr="00857C48">
        <w:rPr>
          <w:rFonts w:cs="Arial"/>
          <w:szCs w:val="22"/>
        </w:rPr>
        <w:t>BpsA</w:t>
      </w:r>
      <w:proofErr w:type="spellEnd"/>
      <w:r w:rsidRPr="00857C48">
        <w:rPr>
          <w:rFonts w:cs="Arial"/>
          <w:szCs w:val="22"/>
        </w:rPr>
        <w:t xml:space="preserve"> (</w:t>
      </w:r>
      <w:r w:rsidRPr="00857C48">
        <w:rPr>
          <w:rFonts w:cs="Arial"/>
          <w:b/>
          <w:bCs/>
          <w:szCs w:val="22"/>
        </w:rPr>
        <w:t>Fig</w:t>
      </w:r>
      <w:r w:rsidR="00D60D4C">
        <w:rPr>
          <w:rFonts w:cs="Arial"/>
          <w:b/>
          <w:bCs/>
          <w:szCs w:val="22"/>
        </w:rPr>
        <w:t>ure</w:t>
      </w:r>
      <w:r w:rsidRPr="00857C48">
        <w:rPr>
          <w:rFonts w:cs="Arial"/>
          <w:b/>
          <w:bCs/>
          <w:szCs w:val="22"/>
        </w:rPr>
        <w:t xml:space="preserve">. </w:t>
      </w:r>
      <w:r w:rsidR="00D60D4C">
        <w:rPr>
          <w:rFonts w:cs="Arial"/>
          <w:b/>
          <w:bCs/>
          <w:szCs w:val="22"/>
        </w:rPr>
        <w:t>5.</w:t>
      </w:r>
      <w:r w:rsidRPr="00857C48">
        <w:rPr>
          <w:rFonts w:cs="Arial"/>
          <w:b/>
          <w:bCs/>
          <w:szCs w:val="22"/>
        </w:rPr>
        <w:t>6C</w:t>
      </w:r>
      <w:r w:rsidRPr="00857C48">
        <w:rPr>
          <w:rFonts w:cs="Arial"/>
          <w:szCs w:val="22"/>
        </w:rPr>
        <w:t>)</w:t>
      </w:r>
      <w:r w:rsidRPr="00857C48">
        <w:rPr>
          <w:rFonts w:cs="Arial"/>
          <w:szCs w:val="22"/>
        </w:rPr>
        <w:fldChar w:fldCharType="begin" w:fldLock="1"/>
      </w:r>
      <w:r w:rsidR="004F3109">
        <w:rPr>
          <w:rFonts w:cs="Arial"/>
          <w:szCs w:val="22"/>
        </w:rPr>
        <w:instrText>ADDIN CSL_CITATION {"citationItems":[{"id":"ITEM-1","itemData":{"DOI":"10.1021/acssynbio.8b00252","ISSN":"21615063","abstract":"A new wave of interest in cell-free protein synthesis (CFPS) systems has shown their utility for producing proteins at high titers, establishing genetic regulatory element libraries (e.g., promoters, ribosome binding sites) in nonmodel organisms, optimizing biosynthetic pathways before implementation in cells, and sensing biomarkers for diagnostic applications. Unfortunately, most previous efforts have focused on a select few model systems, such as Escherichia coli. Broadening the spectrum of organisms used for CFPS promises to better mimic host cell processes in prototyping applications and open up new areas of research. Here, we describe the development and characterization of a facile CFPS platform based on lysates derived from the fast-growing bacterium Vibrio natriegens, which is an emerging host organism for biotechnology. We demonstrate robust preparation of highly active extracts using sonication, without specialized and costly equipment. After optimizing the extract preparation procedure and cell-free reaction conditions, we show synthesis of 1.6 ± 0.05 g/L of superfolder green fluorescent protein in batch mode CFPS, making it competitive with existing E. coli CFPS platforms. To showcase the flexibility of the system, we demonstrate that it can be lyophilized and retain biosynthesis capability, that it is capable of producing antimicrobial peptides, and that our extract preparation procedure can be coupled with the recently described Vmax Express strain in a one-pot system. Finally, to further increase system productivity, we explore a knockout library in which putative negative effectors of CFPS are genetically removed from the source strain. Our V. natriegens-derived CFPS platform is versatile and simple to prepare and use. We expect it will facilitate expansion of CFPS systems into new laboratories and fields for compelling applications in synthetic biology.","author":[{"dropping-particle":"","family":"Soye","given":"Benjamin J.","non-dropping-particle":"Des","parse-names":false,"suffix":""},{"dropping-particle":"","family":"Davidson","given":"Samuel R.","non-dropping-particle":"","parse-names":false,"suffix":""},{"dropping-particle":"","family":"Weinstock","given":"Matthew T.","non-dropping-particle":"","parse-names":false,"suffix":""},{"dropping-particle":"","family":"Gibson","given":"Daniel G.","non-dropping-particle":"","parse-names":false,"suffix":""},{"dropping-particle":"","family":"Jewett","given":"Michael C.","non-dropping-particle":"","parse-names":false,"suffix":""}],"container-title":"ACS Synthetic Biology","genre":"research-article","id":"ITEM-1","issue":"9","issued":{"date-parts":[["2018"]]},"page":"2245-2255","publisher":"American Chemical Society","title":"Establishing a High-Yielding Cell-Free Protein Synthesis Platform Derived from Vibrio natriegens","type":"article-journal","volume":"7"},"uris":["http://www.mendeley.com/documents/?uuid=d11afab8-ca83-49d5-9ca6-c82a7eb9f69e"]}],"mendeley":{"formattedCitation":"&lt;sup&gt;231&lt;/sup&gt;","plainTextFormattedCitation":"231","previouslyFormattedCitation":"&lt;sup&gt;231&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231</w:t>
      </w:r>
      <w:r w:rsidRPr="00857C48">
        <w:rPr>
          <w:rFonts w:cs="Arial"/>
          <w:szCs w:val="22"/>
        </w:rPr>
        <w:fldChar w:fldCharType="end"/>
      </w:r>
      <w:r w:rsidR="00D60D4C">
        <w:rPr>
          <w:rFonts w:cs="Arial"/>
          <w:szCs w:val="22"/>
        </w:rPr>
        <w:t>.</w:t>
      </w:r>
      <w:r w:rsidRPr="00857C48">
        <w:rPr>
          <w:rFonts w:cs="Arial"/>
          <w:szCs w:val="22"/>
        </w:rPr>
        <w:t xml:space="preserve"> This implies that </w:t>
      </w:r>
      <w:proofErr w:type="spellStart"/>
      <w:r w:rsidRPr="00857C48">
        <w:rPr>
          <w:rFonts w:cs="Arial"/>
          <w:szCs w:val="22"/>
        </w:rPr>
        <w:t>sfGFP</w:t>
      </w:r>
      <w:proofErr w:type="spellEnd"/>
      <w:r w:rsidRPr="00857C48">
        <w:rPr>
          <w:rFonts w:cs="Arial"/>
          <w:szCs w:val="22"/>
        </w:rPr>
        <w:t xml:space="preserve"> is not universally informative when tailoring extracts for CFE, and further reinforces the need for reporters like the TC/</w:t>
      </w:r>
      <w:proofErr w:type="spellStart"/>
      <w:r w:rsidRPr="00857C48">
        <w:rPr>
          <w:rFonts w:cs="Arial"/>
          <w:szCs w:val="22"/>
        </w:rPr>
        <w:t>FlAsH</w:t>
      </w:r>
      <w:proofErr w:type="spellEnd"/>
      <w:r w:rsidRPr="00857C48">
        <w:rPr>
          <w:rFonts w:cs="Arial"/>
          <w:szCs w:val="22"/>
        </w:rPr>
        <w:t xml:space="preserve"> system when developing lysate-based platforms for different types of proteins.</w:t>
      </w:r>
      <w:r w:rsidR="00A90B05">
        <w:rPr>
          <w:rFonts w:cs="Arial"/>
          <w:szCs w:val="22"/>
        </w:rPr>
        <w:t xml:space="preserve"> </w:t>
      </w:r>
      <w:r w:rsidRPr="00857C48">
        <w:rPr>
          <w:rFonts w:cs="Arial"/>
          <w:szCs w:val="22"/>
        </w:rPr>
        <w:t xml:space="preserve">Together, these results confirm that CFE conditions optimized for a particular enzyme allow or improve the synthesis of proteins with similar architectures. Thus, while conditions optimized for </w:t>
      </w:r>
    </w:p>
    <w:p w14:paraId="12E59619" w14:textId="6C7FC6C4" w:rsidR="00A90B05" w:rsidRPr="00857C48" w:rsidRDefault="00A90B05" w:rsidP="00BD523B">
      <w:pPr>
        <w:jc w:val="center"/>
        <w:rPr>
          <w:rFonts w:cs="Arial"/>
          <w:szCs w:val="22"/>
        </w:rPr>
      </w:pPr>
      <w:r w:rsidRPr="00857C48">
        <w:rPr>
          <w:rFonts w:cs="Arial"/>
          <w:noProof/>
          <w:szCs w:val="22"/>
        </w:rPr>
        <w:lastRenderedPageBreak/>
        <w:drawing>
          <wp:inline distT="0" distB="0" distL="0" distR="0" wp14:anchorId="10FADF97" wp14:editId="0360589C">
            <wp:extent cx="5943600" cy="2082165"/>
            <wp:effectExtent l="0" t="0" r="0" b="0"/>
            <wp:docPr id="63" name="Picture 6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49" cstate="screen">
                      <a:extLst>
                        <a:ext uri="{28A0092B-C50C-407E-A947-70E740481C1C}">
                          <a14:useLocalDpi xmlns:a14="http://schemas.microsoft.com/office/drawing/2010/main"/>
                        </a:ext>
                      </a:extLst>
                    </a:blip>
                    <a:stretch>
                      <a:fillRect/>
                    </a:stretch>
                  </pic:blipFill>
                  <pic:spPr>
                    <a:xfrm>
                      <a:off x="0" y="0"/>
                      <a:ext cx="5943600" cy="2082165"/>
                    </a:xfrm>
                    <a:prstGeom prst="rect">
                      <a:avLst/>
                    </a:prstGeom>
                  </pic:spPr>
                </pic:pic>
              </a:graphicData>
            </a:graphic>
          </wp:inline>
        </w:drawing>
      </w:r>
    </w:p>
    <w:p w14:paraId="0CBBEB77" w14:textId="77777777" w:rsidR="00A90B05" w:rsidRPr="00857C48" w:rsidRDefault="00A90B05" w:rsidP="00A90B05">
      <w:pPr>
        <w:rPr>
          <w:rFonts w:cs="Arial"/>
          <w:szCs w:val="22"/>
        </w:rPr>
      </w:pPr>
      <w:bookmarkStart w:id="141" w:name="_Toc129701172"/>
      <w:r w:rsidRPr="00F256F4">
        <w:rPr>
          <w:rStyle w:val="FigurecaptionChar"/>
        </w:rPr>
        <w:t xml:space="preserve">Figure 5.6. Conditions optimized for </w:t>
      </w:r>
      <w:proofErr w:type="spellStart"/>
      <w:r w:rsidRPr="00F256F4">
        <w:rPr>
          <w:rStyle w:val="FigurecaptionChar"/>
        </w:rPr>
        <w:t>BpsA</w:t>
      </w:r>
      <w:proofErr w:type="spellEnd"/>
      <w:r w:rsidRPr="00F256F4">
        <w:rPr>
          <w:rStyle w:val="FigurecaptionChar"/>
        </w:rPr>
        <w:t xml:space="preserve"> improve </w:t>
      </w:r>
      <w:proofErr w:type="spellStart"/>
      <w:r w:rsidRPr="00F256F4">
        <w:rPr>
          <w:rStyle w:val="FigurecaptionChar"/>
        </w:rPr>
        <w:t>indigoidine</w:t>
      </w:r>
      <w:proofErr w:type="spellEnd"/>
      <w:r w:rsidRPr="00F256F4">
        <w:rPr>
          <w:rStyle w:val="FigurecaptionChar"/>
        </w:rPr>
        <w:t xml:space="preserve"> production and the expression of similar NRPSs in lysates.</w:t>
      </w:r>
      <w:bookmarkEnd w:id="141"/>
      <w:r w:rsidRPr="00857C48">
        <w:rPr>
          <w:rFonts w:cs="Arial"/>
          <w:b/>
          <w:bCs/>
          <w:szCs w:val="22"/>
        </w:rPr>
        <w:t xml:space="preserve"> A)</w:t>
      </w:r>
      <w:r w:rsidRPr="00857C48">
        <w:rPr>
          <w:rFonts w:cs="Arial"/>
          <w:szCs w:val="22"/>
        </w:rPr>
        <w:t xml:space="preserve"> PEP and magnesium optimization improve full-length, functional NRPS expression. </w:t>
      </w:r>
      <w:r w:rsidRPr="00857C48">
        <w:rPr>
          <w:rFonts w:cs="Arial"/>
          <w:b/>
          <w:bCs/>
          <w:szCs w:val="22"/>
        </w:rPr>
        <w:t xml:space="preserve"> </w:t>
      </w:r>
      <w:proofErr w:type="spellStart"/>
      <w:r w:rsidRPr="00857C48">
        <w:rPr>
          <w:rFonts w:cs="Arial"/>
          <w:szCs w:val="22"/>
        </w:rPr>
        <w:t>BpsA</w:t>
      </w:r>
      <w:proofErr w:type="spellEnd"/>
      <w:r w:rsidRPr="00857C48">
        <w:rPr>
          <w:rFonts w:cs="Arial"/>
          <w:szCs w:val="22"/>
        </w:rPr>
        <w:t>-TC concentrations in reactions prepared with 77 mM PEP and 18 mM Mg</w:t>
      </w:r>
      <w:r w:rsidRPr="00857C48">
        <w:rPr>
          <w:rFonts w:cs="Arial"/>
          <w:szCs w:val="22"/>
          <w:vertAlign w:val="superscript"/>
        </w:rPr>
        <w:t xml:space="preserve">2+ </w:t>
      </w:r>
      <w:r w:rsidRPr="00857C48">
        <w:rPr>
          <w:rFonts w:cs="Arial"/>
          <w:szCs w:val="22"/>
        </w:rPr>
        <w:t>(optimized mix)</w:t>
      </w:r>
      <w:r w:rsidRPr="00857C48">
        <w:rPr>
          <w:rFonts w:cs="Arial"/>
          <w:szCs w:val="22"/>
          <w:vertAlign w:val="superscript"/>
        </w:rPr>
        <w:t xml:space="preserve"> </w:t>
      </w:r>
      <w:r w:rsidRPr="00857C48">
        <w:rPr>
          <w:rFonts w:cs="Arial"/>
          <w:szCs w:val="22"/>
        </w:rPr>
        <w:t>or 33 mM PEP and 12 mM Mg</w:t>
      </w:r>
      <w:r w:rsidRPr="00857C48">
        <w:rPr>
          <w:rFonts w:cs="Arial"/>
          <w:szCs w:val="22"/>
          <w:vertAlign w:val="superscript"/>
        </w:rPr>
        <w:t>2+</w:t>
      </w:r>
      <w:r w:rsidRPr="00857C48">
        <w:rPr>
          <w:rFonts w:cs="Arial"/>
          <w:szCs w:val="22"/>
        </w:rPr>
        <w:t xml:space="preserve"> (base mix) were estimated with TC/</w:t>
      </w:r>
      <w:proofErr w:type="spellStart"/>
      <w:r w:rsidRPr="00857C48">
        <w:rPr>
          <w:rFonts w:cs="Arial"/>
          <w:szCs w:val="22"/>
        </w:rPr>
        <w:t>FlAsH</w:t>
      </w:r>
      <w:proofErr w:type="spellEnd"/>
      <w:r w:rsidRPr="00857C48">
        <w:rPr>
          <w:rFonts w:cs="Arial"/>
          <w:szCs w:val="22"/>
        </w:rPr>
        <w:t xml:space="preserve"> fluorescence standard curves for either reaction background. </w:t>
      </w:r>
      <w:proofErr w:type="spellStart"/>
      <w:r w:rsidRPr="00857C48">
        <w:rPr>
          <w:rFonts w:cs="Arial"/>
          <w:szCs w:val="22"/>
        </w:rPr>
        <w:t>Indigoidine</w:t>
      </w:r>
      <w:proofErr w:type="spellEnd"/>
      <w:r w:rsidRPr="00857C48">
        <w:rPr>
          <w:rFonts w:cs="Arial"/>
          <w:szCs w:val="22"/>
        </w:rPr>
        <w:t xml:space="preserve"> concentrations in lysate reactions incubated with 50 µg/mL purified </w:t>
      </w:r>
      <w:proofErr w:type="spellStart"/>
      <w:r w:rsidRPr="00857C48">
        <w:rPr>
          <w:rFonts w:cs="Arial"/>
          <w:szCs w:val="22"/>
        </w:rPr>
        <w:t>PPTase</w:t>
      </w:r>
      <w:proofErr w:type="spellEnd"/>
      <w:r w:rsidRPr="00857C48">
        <w:rPr>
          <w:rFonts w:cs="Arial"/>
          <w:szCs w:val="22"/>
        </w:rPr>
        <w:t xml:space="preserve">, 1 mM CoA, and 4 mM </w:t>
      </w:r>
      <w:r w:rsidRPr="00857C48">
        <w:rPr>
          <w:rFonts w:cs="Arial"/>
          <w:smallCaps/>
          <w:szCs w:val="22"/>
        </w:rPr>
        <w:t>L</w:t>
      </w:r>
      <w:r w:rsidRPr="00857C48">
        <w:rPr>
          <w:rFonts w:cs="Arial"/>
          <w:szCs w:val="22"/>
        </w:rPr>
        <w:t xml:space="preserve">-Gln in optimized or base reaction mixes were estimated using pigment standards. </w:t>
      </w:r>
      <w:r w:rsidRPr="00857C48">
        <w:rPr>
          <w:rFonts w:cs="Arial"/>
          <w:b/>
          <w:bCs/>
          <w:szCs w:val="22"/>
        </w:rPr>
        <w:t xml:space="preserve">B) </w:t>
      </w:r>
      <w:r w:rsidRPr="00857C48">
        <w:rPr>
          <w:rFonts w:cs="Arial"/>
          <w:szCs w:val="22"/>
        </w:rPr>
        <w:t xml:space="preserve">Compared to standard CFE conditions used in previous NRPS CFE studies (30˚C incubation and base mix), the total set of conditions optimized for </w:t>
      </w:r>
      <w:proofErr w:type="spellStart"/>
      <w:r w:rsidRPr="00857C48">
        <w:rPr>
          <w:rFonts w:cs="Arial"/>
          <w:szCs w:val="22"/>
        </w:rPr>
        <w:t>BpsA</w:t>
      </w:r>
      <w:proofErr w:type="spellEnd"/>
      <w:r w:rsidRPr="00857C48">
        <w:rPr>
          <w:rFonts w:cs="Arial"/>
          <w:szCs w:val="22"/>
        </w:rPr>
        <w:t xml:space="preserve"> (25˚C incubation and optimized mix) benefits the production of other </w:t>
      </w:r>
      <w:proofErr w:type="spellStart"/>
      <w:r w:rsidRPr="00857C48">
        <w:rPr>
          <w:rFonts w:cs="Arial"/>
          <w:szCs w:val="22"/>
        </w:rPr>
        <w:t>monomodular</w:t>
      </w:r>
      <w:proofErr w:type="spellEnd"/>
      <w:r w:rsidRPr="00857C48">
        <w:rPr>
          <w:rFonts w:cs="Arial"/>
          <w:szCs w:val="22"/>
        </w:rPr>
        <w:t xml:space="preserve"> NRPSs, </w:t>
      </w:r>
      <w:proofErr w:type="spellStart"/>
      <w:r w:rsidRPr="00857C48">
        <w:rPr>
          <w:rFonts w:cs="Arial"/>
          <w:szCs w:val="22"/>
        </w:rPr>
        <w:t>TycA</w:t>
      </w:r>
      <w:proofErr w:type="spellEnd"/>
      <w:r w:rsidRPr="00857C48">
        <w:rPr>
          <w:rFonts w:cs="Arial"/>
          <w:szCs w:val="22"/>
        </w:rPr>
        <w:t xml:space="preserve"> and </w:t>
      </w:r>
      <w:proofErr w:type="spellStart"/>
      <w:r w:rsidRPr="00857C48">
        <w:rPr>
          <w:rFonts w:cs="Arial"/>
          <w:szCs w:val="22"/>
        </w:rPr>
        <w:t>Pys</w:t>
      </w:r>
      <w:proofErr w:type="spellEnd"/>
      <w:r w:rsidRPr="00857C48">
        <w:rPr>
          <w:rFonts w:cs="Arial"/>
          <w:szCs w:val="22"/>
        </w:rPr>
        <w:t xml:space="preserve">. </w:t>
      </w:r>
      <w:r w:rsidRPr="00857C48">
        <w:rPr>
          <w:rFonts w:cs="Arial"/>
          <w:b/>
          <w:bCs/>
          <w:szCs w:val="22"/>
        </w:rPr>
        <w:t>C)</w:t>
      </w:r>
      <w:r w:rsidRPr="00857C48">
        <w:rPr>
          <w:rFonts w:cs="Arial"/>
          <w:szCs w:val="22"/>
        </w:rPr>
        <w:t xml:space="preserve"> Super folder GFP (</w:t>
      </w:r>
      <w:proofErr w:type="spellStart"/>
      <w:r w:rsidRPr="00857C48">
        <w:rPr>
          <w:rFonts w:cs="Arial"/>
          <w:szCs w:val="22"/>
        </w:rPr>
        <w:t>sfGFP</w:t>
      </w:r>
      <w:proofErr w:type="spellEnd"/>
      <w:r w:rsidRPr="00857C48">
        <w:rPr>
          <w:rFonts w:cs="Arial"/>
          <w:szCs w:val="22"/>
        </w:rPr>
        <w:t xml:space="preserve">) lysate-based CFE using the condition set optimized for </w:t>
      </w:r>
      <w:proofErr w:type="spellStart"/>
      <w:r w:rsidRPr="00857C48">
        <w:rPr>
          <w:rFonts w:cs="Arial"/>
          <w:szCs w:val="22"/>
        </w:rPr>
        <w:t>BpsA</w:t>
      </w:r>
      <w:proofErr w:type="spellEnd"/>
      <w:r w:rsidRPr="00857C48">
        <w:rPr>
          <w:rFonts w:cs="Arial"/>
          <w:szCs w:val="22"/>
        </w:rPr>
        <w:t xml:space="preserve"> expression vs the standard condition set for protein synthesis in </w:t>
      </w:r>
      <w:r w:rsidRPr="00857C48">
        <w:rPr>
          <w:rFonts w:cs="Arial"/>
          <w:i/>
          <w:iCs/>
          <w:szCs w:val="22"/>
        </w:rPr>
        <w:t xml:space="preserve">E. coli </w:t>
      </w:r>
      <w:r w:rsidRPr="00857C48">
        <w:rPr>
          <w:rFonts w:cs="Arial"/>
          <w:szCs w:val="22"/>
        </w:rPr>
        <w:t>lysates. All</w:t>
      </w:r>
      <w:r w:rsidRPr="00857C48">
        <w:rPr>
          <w:rFonts w:cs="Arial"/>
          <w:color w:val="000000" w:themeColor="text1"/>
          <w:szCs w:val="22"/>
        </w:rPr>
        <w:t xml:space="preserve"> reactions were run in triplicate. TC/</w:t>
      </w:r>
      <w:proofErr w:type="spellStart"/>
      <w:r w:rsidRPr="00857C48">
        <w:rPr>
          <w:rFonts w:cs="Arial"/>
          <w:color w:val="000000" w:themeColor="text1"/>
          <w:szCs w:val="22"/>
        </w:rPr>
        <w:t>FlAsH</w:t>
      </w:r>
      <w:proofErr w:type="spellEnd"/>
      <w:r w:rsidRPr="00857C48">
        <w:rPr>
          <w:rFonts w:cs="Arial"/>
          <w:color w:val="000000" w:themeColor="text1"/>
          <w:szCs w:val="22"/>
        </w:rPr>
        <w:t xml:space="preserve"> measurements were obtained by adding 30 µM </w:t>
      </w:r>
      <w:proofErr w:type="spellStart"/>
      <w:r w:rsidRPr="00857C48">
        <w:rPr>
          <w:rFonts w:cs="Arial"/>
          <w:color w:val="000000" w:themeColor="text1"/>
          <w:szCs w:val="22"/>
        </w:rPr>
        <w:t>FlAsH</w:t>
      </w:r>
      <w:proofErr w:type="spellEnd"/>
      <w:r w:rsidRPr="00857C48">
        <w:rPr>
          <w:rFonts w:cs="Arial"/>
          <w:color w:val="000000" w:themeColor="text1"/>
          <w:szCs w:val="22"/>
        </w:rPr>
        <w:t xml:space="preserve"> reagent to each reaction after ~ 20 h incubation. </w:t>
      </w:r>
      <w:r w:rsidRPr="00857C48">
        <w:rPr>
          <w:rFonts w:cs="Arial"/>
          <w:szCs w:val="22"/>
        </w:rPr>
        <w:t xml:space="preserve">Averaged values are visualized with error bars representing the standard error of the mean. </w:t>
      </w:r>
      <w:r w:rsidRPr="00857C48">
        <w:rPr>
          <w:rFonts w:cs="Arial"/>
          <w:color w:val="000000" w:themeColor="text1"/>
          <w:szCs w:val="22"/>
        </w:rPr>
        <w:t xml:space="preserve">All reactions were prepared with </w:t>
      </w:r>
      <w:r w:rsidRPr="00857C48">
        <w:rPr>
          <w:rFonts w:cs="Arial"/>
          <w:i/>
          <w:iCs/>
          <w:color w:val="000000" w:themeColor="text1"/>
          <w:szCs w:val="22"/>
        </w:rPr>
        <w:t xml:space="preserve">E. coli </w:t>
      </w:r>
      <w:r w:rsidRPr="00857C48">
        <w:rPr>
          <w:rFonts w:cs="Arial"/>
          <w:color w:val="000000" w:themeColor="text1"/>
          <w:szCs w:val="22"/>
        </w:rPr>
        <w:t>BL21 (Star)DE3 lysates.</w:t>
      </w:r>
    </w:p>
    <w:p w14:paraId="410AE7C1" w14:textId="77777777" w:rsidR="00A90B05" w:rsidRDefault="00A90B05">
      <w:pPr>
        <w:rPr>
          <w:rFonts w:cs="Arial"/>
          <w:szCs w:val="22"/>
        </w:rPr>
      </w:pPr>
      <w:r>
        <w:rPr>
          <w:rFonts w:cs="Arial"/>
          <w:szCs w:val="22"/>
        </w:rPr>
        <w:br w:type="page"/>
      </w:r>
    </w:p>
    <w:p w14:paraId="2327C2AE" w14:textId="108F2A63" w:rsidR="00857C48" w:rsidRDefault="00A0420D" w:rsidP="00A0420D">
      <w:pPr>
        <w:rPr>
          <w:rFonts w:cs="Arial"/>
          <w:szCs w:val="22"/>
        </w:rPr>
      </w:pPr>
      <w:proofErr w:type="spellStart"/>
      <w:r w:rsidRPr="00857C48">
        <w:rPr>
          <w:rFonts w:cs="Arial"/>
          <w:szCs w:val="22"/>
        </w:rPr>
        <w:lastRenderedPageBreak/>
        <w:t>sfGFP</w:t>
      </w:r>
      <w:proofErr w:type="spellEnd"/>
      <w:r w:rsidRPr="00857C48">
        <w:rPr>
          <w:rFonts w:cs="Arial"/>
          <w:szCs w:val="22"/>
        </w:rPr>
        <w:t xml:space="preserve"> production may not be universally optimal for larger biosynthetic enzymes, generalizable reporter tools like TC/</w:t>
      </w:r>
      <w:proofErr w:type="spellStart"/>
      <w:r w:rsidRPr="00857C48">
        <w:rPr>
          <w:rFonts w:cs="Arial"/>
          <w:szCs w:val="22"/>
        </w:rPr>
        <w:t>FlAsH</w:t>
      </w:r>
      <w:proofErr w:type="spellEnd"/>
      <w:r w:rsidRPr="00857C48">
        <w:rPr>
          <w:rFonts w:cs="Arial"/>
          <w:szCs w:val="22"/>
        </w:rPr>
        <w:t xml:space="preserve"> may be leveraged to construct model systems for studying and defining better CFE conditions of whole enzyme classes with high throughput.</w:t>
      </w:r>
      <w:r>
        <w:rPr>
          <w:rFonts w:cs="Arial"/>
          <w:szCs w:val="22"/>
        </w:rPr>
        <w:t xml:space="preserve"> </w:t>
      </w:r>
      <w:r w:rsidR="00857C48" w:rsidRPr="00857C48">
        <w:rPr>
          <w:rFonts w:cs="Arial"/>
          <w:szCs w:val="22"/>
        </w:rPr>
        <w:t xml:space="preserve">Notably, discrepancies in how much these conditions improved </w:t>
      </w:r>
      <w:proofErr w:type="spellStart"/>
      <w:r w:rsidR="00857C48" w:rsidRPr="00857C48">
        <w:rPr>
          <w:rFonts w:cs="Arial"/>
          <w:szCs w:val="22"/>
        </w:rPr>
        <w:t>TycA</w:t>
      </w:r>
      <w:proofErr w:type="spellEnd"/>
      <w:r w:rsidR="00857C48" w:rsidRPr="00857C48">
        <w:rPr>
          <w:rFonts w:cs="Arial"/>
          <w:szCs w:val="22"/>
        </w:rPr>
        <w:t xml:space="preserve"> vs </w:t>
      </w:r>
      <w:proofErr w:type="spellStart"/>
      <w:r w:rsidR="00857C48" w:rsidRPr="00857C48">
        <w:rPr>
          <w:rFonts w:cs="Arial"/>
          <w:szCs w:val="22"/>
        </w:rPr>
        <w:t>Pys</w:t>
      </w:r>
      <w:proofErr w:type="spellEnd"/>
      <w:r w:rsidR="00857C48" w:rsidRPr="00857C48">
        <w:rPr>
          <w:rFonts w:cs="Arial"/>
          <w:szCs w:val="22"/>
        </w:rPr>
        <w:t xml:space="preserve"> or </w:t>
      </w:r>
      <w:proofErr w:type="spellStart"/>
      <w:r w:rsidR="00857C48" w:rsidRPr="00857C48">
        <w:rPr>
          <w:rFonts w:cs="Arial"/>
          <w:szCs w:val="22"/>
        </w:rPr>
        <w:t>BpsA</w:t>
      </w:r>
      <w:proofErr w:type="spellEnd"/>
      <w:r w:rsidR="00857C48" w:rsidRPr="00857C48">
        <w:rPr>
          <w:rFonts w:cs="Arial"/>
          <w:szCs w:val="22"/>
        </w:rPr>
        <w:t xml:space="preserve"> expression suggest that TC/</w:t>
      </w:r>
      <w:proofErr w:type="spellStart"/>
      <w:r w:rsidR="00857C48" w:rsidRPr="00857C48">
        <w:rPr>
          <w:rFonts w:cs="Arial"/>
          <w:szCs w:val="22"/>
        </w:rPr>
        <w:t>FlAsH</w:t>
      </w:r>
      <w:proofErr w:type="spellEnd"/>
      <w:r w:rsidR="00857C48" w:rsidRPr="00857C48">
        <w:rPr>
          <w:rFonts w:cs="Arial"/>
          <w:szCs w:val="22"/>
        </w:rPr>
        <w:t xml:space="preserve"> measurements will still be useful for further probing and optimizing CFE on a protein-by-protein basis. </w:t>
      </w:r>
    </w:p>
    <w:p w14:paraId="2F4F2A17" w14:textId="77777777" w:rsidR="00A90B05" w:rsidRDefault="00A90B05" w:rsidP="00D60D4C">
      <w:pPr>
        <w:ind w:firstLine="720"/>
        <w:rPr>
          <w:rFonts w:cs="Arial"/>
          <w:szCs w:val="22"/>
        </w:rPr>
      </w:pPr>
    </w:p>
    <w:p w14:paraId="05818600" w14:textId="0B0E8FB2" w:rsidR="00A90B05" w:rsidRPr="00A90B05" w:rsidRDefault="00A90B05" w:rsidP="00A90B05">
      <w:pPr>
        <w:pStyle w:val="ChapterHeading"/>
      </w:pPr>
      <w:bookmarkStart w:id="142" w:name="_Toc129701076"/>
      <w:r w:rsidRPr="00D60D4C">
        <w:t>5.5. Conclusions</w:t>
      </w:r>
      <w:bookmarkEnd w:id="142"/>
    </w:p>
    <w:p w14:paraId="7425B30E" w14:textId="3BD8C31C" w:rsidR="00857C48" w:rsidRPr="00857C48" w:rsidRDefault="00A90B05" w:rsidP="00A90B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Cs w:val="22"/>
        </w:rPr>
      </w:pPr>
      <w:r w:rsidRPr="00857C48">
        <w:rPr>
          <w:rFonts w:cs="Arial"/>
          <w:szCs w:val="22"/>
        </w:rPr>
        <w:tab/>
        <w:t xml:space="preserve">Lysate-based CFE is an accessible and scalable approach for expediting the expression of proteins that are difficult to synthesize </w:t>
      </w:r>
      <w:r w:rsidRPr="00857C48">
        <w:rPr>
          <w:rFonts w:cs="Arial"/>
          <w:i/>
          <w:iCs/>
          <w:szCs w:val="22"/>
        </w:rPr>
        <w:t xml:space="preserve">in </w:t>
      </w:r>
      <w:r w:rsidRPr="00857C48">
        <w:rPr>
          <w:rFonts w:cs="Arial"/>
          <w:szCs w:val="22"/>
        </w:rPr>
        <w:t>vivo, such as natural product forming NRPSs</w:t>
      </w:r>
      <w:r w:rsidRPr="00857C48">
        <w:rPr>
          <w:rFonts w:cs="Arial"/>
          <w:szCs w:val="22"/>
        </w:rPr>
        <w:fldChar w:fldCharType="begin" w:fldLock="1"/>
      </w:r>
      <w:r w:rsidR="004F3109">
        <w:rPr>
          <w:rFonts w:cs="Arial"/>
          <w:szCs w:val="22"/>
        </w:rPr>
        <w:instrText>ADDIN CSL_CITATION {"citationItems":[{"id":"ITEM-1","itemData":{"DOI":"10.1038/s43586-021-00046-x","ISBN":"0123456789","ISSN":"2662-8449","abstract":"Cell-free gene expression (CFE) emerged as an alternative approach to living cells for specific applications in protein synthesis and labelling for structural biology and proteomics studies. CFE has since been repurposed as a versatile technology for synthetic biology and bioengineering. However, taking full advantage of this technology requires in-depth understanding of its fundamental workflow beyond existing protocols. This Primer provides new practitioners with a comprehensive, detailed and actionable guide to best practices in CFE, to inform research in the laboratory at the state of the art. We focus on Escherichia coli-based CFE systems, which remain the primary platform for efficient CFE. Producing proteins, biomanufacturing therapeutics, developing sensors and prototyping genetic circuits illustrate the broader utility and opportunities provided by this practical introduction to CFE. With its extensive functionality and portability, CFE is becoming a powerful and enabling research tool for biotechnology. Cell-free gene expression is useful for expressing proteins with post-translational modifications, with special folding requirements and whose expression is difficult in prokaryotic systems. Garenne et al. outline the best practices for the expression of proteins in a cell-free environment.","author":[{"dropping-particle":"","family":"Garenne","given":"David","non-dropping-particle":"","parse-names":false,"suffix":""},{"dropping-particle":"","family":"Haines","given":"Matthew C.","non-dropping-particle":"","parse-names":false,"suffix":""},{"dropping-particle":"","family":"Romantseva","given":"Eugenia F.","non-dropping-particle":"","parse-names":false,"suffix":""},{"dropping-particle":"","family":"Freemont","given":"Paul","non-dropping-particle":"","parse-names":false,"suffix":""},{"dropping-particle":"","family":"Strychalski","given":"Elizabeth A.","non-dropping-particle":"","parse-names":false,"suffix":""},{"dropping-particle":"","family":"Noireaux","given":"Vincent","non-dropping-particle":"","parse-names":false,"suffix":""}],"container-title":"Nature Reviews Methods Primers 2021 1:1","id":"ITEM-1","issue":"1","issued":{"date-parts":[["2021","7","15"]]},"page":"1-18","publisher":"Nature Publishing Group","title":"Cell-free gene expression","type":"article-journal","volume":"1"},"uris":["http://www.mendeley.com/documents/?uuid=233a9f58-3e3a-39fe-aa83-d99d82236343"]},{"id":"ITEM-2","itemData":{"DOI":"10.3390/mps2010024","ISSN":"2409-9279","abstract":"Cell-free protein synthesis (CFPS) is a platform technology that provides new opportunities for protein expression, metabolic engineering, therapeutic development, education, and more. The advantages of CFPS over in vivo protein expression include its open system, the elimination of reliance on living cells, and the ability to focus all system energy on production of the protein of interest. Over the last 60 years, the CFPS platform has grown and diversified greatly, and it continues to evolve today. Both new applications and new types of extracts based on a variety of organisms are current areas of development. However, new users interested in CFPS may find it challenging to implement a cell-free platform in their laboratory due to the technical and functional considerations involved in choosing and executing a platform that best suits their needs. Here we hope to reduce this barrier to implementing CFPS by clarifying the similarities and differences amongst cell-free platforms, highlighting the various applications that have been accomplished in each of them, and detailing the main methodological and instrumental requirement for their preparation. Additionally, this review will help to contextualize the landscape of work that has been done using CFPS and showcase the diversity of applications that it enables.","author":[{"dropping-particle":"","family":"Gregorio","given":"Nicole E.","non-dropping-particle":"","parse-names":false,"suffix":""},{"dropping-particle":"","family":"Levine","given":"Max Z.","non-dropping-particle":"","parse-names":false,"suffix":""},{"dropping-particle":"","family":"Oza","given":"Javin P.","non-dropping-particle":"","parse-names":false,"suffix":""}],"container-title":"Methods and Protocols","id":"ITEM-2","issue":"1","issued":{"date-parts":[["2019","3","12"]]},"page":"24","publisher":"MDPI AG","title":"A User’s Guide to Cell-Free Protein Synthesis","type":"article-journal","volume":"2"},"uris":["http://www.mendeley.com/documents/?uuid=f337da80-7f4d-36a4-8c6a-6f0fdf5f784a"]},{"id":"ITEM-3","itemData":{"DOI":"10.1002/CBIC.202000452","ISSN":"1439-7633","PMID":"32783358","abstract":"Natural products and secondary metabolites comprise an indispensable resource from living organisms that have transformed areas of medicine, agriculture, and biotechnology. Recent advances in high-throughput DNA sequencing and computational analysis suggest that the vast majority of natural products remain undiscovered. To accelerate the natural product discovery pipeline, cell-free metabolic engineering approaches used to develop robust catalytic networks are being repurposed to access new chemical scaffolds, and new enzymes capable of performing diverse chemistries. Such enzymes could serve as flexible biocatalytic tools to further expand the unique chemical space of natural products and secondary metabolites, and provide a more sustainable route to manufacture these molecules. Herein, we highlight select examples of natural product biosynthesis using cell-free systems and propose how cell-free technologies could facilitate our ability to access and modify these structures to transform synthetic and chemical biology.","author":[{"dropping-particle":"","family":"Bogart","given":"Jonathan W.","non-dropping-particle":"","parse-names":false,"suffix":""},{"dropping-particle":"","family":"Cabezas","given":"Maria D.","non-dropping-particle":"","parse-names":false,"suffix":""},{"dropping-particle":"","family":"Vögeli","given":"Bastian","non-dropping-particle":"","parse-names":false,"suffix":""},{"dropping-particle":"","family":"Wong","given":"Derek A.","non-dropping-particle":"","parse-names":false,"suffix":""},{"dropping-particle":"","family":"Karim","given":"Ashty S.","non-dropping-particle":"","parse-names":false,"suffix":""},{"dropping-particle":"","family":"Jewett","given":"Michael C.","non-dropping-particle":"","parse-names":false,"suffix":""}],"container-title":"ChemBioChem","id":"ITEM-3","issue":"1","issued":{"date-parts":[["2021","1","5"]]},"page":"84-91","publisher":"John Wiley &amp; Sons, Ltd","title":"Cell-Free Exploration of the Natural Product Chemical Space","type":"article-journal","volume":"22"},"uris":["http://www.mendeley.com/documents/?uuid=2c0a0937-7132-37c3-8935-67f1b28b1702"]}],"mendeley":{"formattedCitation":"&lt;sup&gt;28,35,165&lt;/sup&gt;","plainTextFormattedCitation":"28,35,165","previouslyFormattedCitation":"&lt;sup&gt;28,35,165&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28,35,165</w:t>
      </w:r>
      <w:r w:rsidRPr="00857C48">
        <w:rPr>
          <w:rFonts w:cs="Arial"/>
          <w:szCs w:val="22"/>
        </w:rPr>
        <w:fldChar w:fldCharType="end"/>
      </w:r>
      <w:r>
        <w:rPr>
          <w:rFonts w:cs="Arial"/>
          <w:szCs w:val="22"/>
        </w:rPr>
        <w:t>.</w:t>
      </w:r>
      <w:r w:rsidRPr="00857C48">
        <w:rPr>
          <w:rFonts w:cs="Arial"/>
          <w:szCs w:val="22"/>
        </w:rPr>
        <w:t xml:space="preserve"> Lysates may additionally be derived from strains that can post-translationally modify NRPSs into their active </w:t>
      </w:r>
      <w:r w:rsidRPr="00857C48">
        <w:rPr>
          <w:rFonts w:cs="Arial"/>
          <w:i/>
          <w:iCs/>
          <w:szCs w:val="22"/>
        </w:rPr>
        <w:t>holo-</w:t>
      </w:r>
      <w:r w:rsidRPr="00857C48">
        <w:rPr>
          <w:rFonts w:cs="Arial"/>
          <w:szCs w:val="22"/>
        </w:rPr>
        <w:t>forms</w:t>
      </w:r>
      <w:r w:rsidRPr="00857C48">
        <w:rPr>
          <w:rFonts w:cs="Arial"/>
          <w:szCs w:val="22"/>
        </w:rPr>
        <w:fldChar w:fldCharType="begin" w:fldLock="1"/>
      </w:r>
      <w:r w:rsidR="004F3109">
        <w:rPr>
          <w:rFonts w:cs="Arial"/>
          <w:szCs w:val="22"/>
        </w:rPr>
        <w:instrText>ADDIN CSL_CITATION {"citationItems":[{"id":"ITEM-1","itemData":{"DOI":"10.1126/SCIENCE.1058092/SUPPL_FILE/1058092S2_THUMB.GIF","ISSN":"00368075","PMID":"11230695","abstract":"The macrocyclic core of the antibiotic erythromycin, 6-deoxyerythronolide B (6dEB), is a complex natural product synthesized by the soil bacterium Saccharopolyspora erythraea through the action of a multifunctional polyketide synthase (PKS). The engineering potential of modular PKSs is hampered by the limited capabilities for molecular biological manipulation of organisms (principally actinomycetes) in which complex polyketides have thus far been produced. To address this problem, a derivative of Escherichia coli has been genetically engineered. The resulting cellular catalyst converts exogenous propionate into 6dEB with a specific productivity that compares well with a high-producing mutant of S. erythraea that has been incrementally enhanced over decades for the industrial production of erythromycin.","author":[{"dropping-particle":"","family":"Pfeifer","given":"B. A.","non-dropping-particle":"","parse-names":false,"suffix":""},{"dropping-particle":"","family":"Admiraal","given":"S. J.","non-dropping-particle":"","parse-names":false,"suffix":""},{"dropping-particle":"","family":"Gramajo","given":"H.","non-dropping-particle":"","parse-names":false,"suffix":""},{"dropping-particle":"","family":"Cane","given":"D. E.","non-dropping-particle":"","parse-names":false,"suffix":""},{"dropping-particle":"","family":"Khosla","given":"C.","non-dropping-particle":"","parse-names":false,"suffix":""}],"container-title":"Science","id":"ITEM-1","issue":"5509","issued":{"date-parts":[["2001","3","2"]]},"page":"1790-1792","publisher":"American Association for the Advancement of Science","title":"Biosynthesis of complex polyketides in a metabolically engineered strain of E. coli","type":"article-journal","volume":"291"},"uris":["http://www.mendeley.com/documents/?uuid=690e4cbf-d8f8-3ebf-9957-11d32e05d136"]},{"id":"ITEM-2","itemData":{"DOI":"10.1021/ACS.ANALCHEM.7B02555/SUPPL_FILE/AC7B02555_SI_003.XLSX","ISSN":"15206882","PMID":"29039646","abstract":"Cell-free protein synthesis (CFPS) has the potential to produce enzymes, therapeutic agents, and other proteins, while circumventing difficulties associated with in vivo heterologous expression. However, the contents of the cell-free extracts used to carry out synthesis are generally not characterized, which hampers progress toward enhancing yield or functional activity of the target protein. We explored the utility of mass spectrometry (MS)-based proteomics for characterizing the bacterial extracts used for transcribing and translating gene sequences into proteins as well as the products of CFPS reactions. Full proteome experiments identified over 1000 proteins per reaction. The complete set of proteins necessary for transcription and translation were found, demonstrating the ability to define potential metabolic capabilities of the extract. Further, MS-based techniques allowed characterization of the CFPS product and provided insight into the synthesis reaction and potential functional activity of the product. These capabilities were demonstrated using two different CFPS products, the commonly used standard green fluorescent protein (GFP, 27 kDa) and the polyketide synthase DEBS1 (394 kDa). For the large, multidomain DEBS1, substantial premature termination of protein translation was observed. Additionally, MS/MS analysis, as part of a conventional full proteomics workflow, identified post-translational modifications, including the chromophore in GFP, as well as the three phosphopantetheinylation sites in DEBS1. A hypothesis-driven approach focused on these three sites identified that all were correctly modified for DEBS1 expressed in vivo but with less complete coverage for protein expressed in CFPS reactions. These post-translational modifications are essential for functional activity, and the ability to identify them with mass spectrometry is valuable for judging the success of the CFPS reaction. Collectively, the use of MS-based proteomics will prove advantageous for advancing the application of CFPS and related techniques.","author":[{"dropping-particle":"","family":"Hurst","given":"Gregory B.","non-dropping-particle":"","parse-names":false,"suffix":""},{"dropping-particle":"","family":"Asano","given":"Keiji G.","non-dropping-particle":"","parse-names":false,"suffix":""},{"dropping-particle":"","family":"Doktycz","given":"Charles J.","non-dropping-particle":"","parse-names":false,"suffix":""},{"dropping-particle":"","family":"Consoli","given":"Elliot J.","non-dropping-particle":"","parse-names":false,"suffix":""},{"dropping-particle":"","family":"Doktycz","given":"William L.","non-dropping-particle":"","parse-names":false,"suffix":""},{"dropping-particle":"","family":"Foster","given":"Carmen M.","non-dropping-particle":"","parse-names":false,"suffix":""},{"dropping-particle":"","family":"Morrell-Falvey","given":"Jennifer L.","non-dropping-particle":"","parse-names":false,"suffix":""},{"dropping-particle":"","family":"Standaert","given":"Robert F.","non-dropping-particle":"","parse-names":false,"suffix":""},{"dropping-particle":"","family":"Doktycz","given":"Mitchel J.","non-dropping-particle":"","parse-names":false,"suffix":""}],"container-title":"Analytical Chemistry","id":"ITEM-2","issue":"21","issued":{"date-parts":[["2017","11","7"]]},"page":"11443-11451","publisher":"American Chemical Society","title":"Proteomics-Based Tools for Evaluation of Cell-Free Protein Synthesis","type":"article-journal","volume":"89"},"uris":["http://www.mendeley.com/documents/?uuid=1a092bfc-64ef-3ac6-a827-3d0fe37304d5"]}],"mendeley":{"formattedCitation":"&lt;sup&gt;212,214&lt;/sup&gt;","plainTextFormattedCitation":"212,214","previouslyFormattedCitation":"&lt;sup&gt;212,214&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212,214</w:t>
      </w:r>
      <w:r w:rsidRPr="00857C48">
        <w:rPr>
          <w:rFonts w:cs="Arial"/>
          <w:szCs w:val="22"/>
        </w:rPr>
        <w:fldChar w:fldCharType="end"/>
      </w:r>
      <w:r w:rsidRPr="00857C48">
        <w:rPr>
          <w:rFonts w:cs="Arial"/>
          <w:szCs w:val="22"/>
        </w:rPr>
        <w:t>, or microbial species that are already heavy producers of NRPSs</w:t>
      </w:r>
      <w:r w:rsidRPr="00857C48">
        <w:rPr>
          <w:rFonts w:cs="Arial"/>
          <w:szCs w:val="22"/>
        </w:rPr>
        <w:fldChar w:fldCharType="begin" w:fldLock="1"/>
      </w:r>
      <w:r w:rsidR="004F3109">
        <w:rPr>
          <w:rFonts w:cs="Arial"/>
          <w:szCs w:val="22"/>
        </w:rPr>
        <w:instrText>ADDIN CSL_CITATION {"citationItems":[{"id":"ITEM-1","itemData":{"DOI":"10.1021/ACSSYNBIO.0C00581/ASSET/IMAGES/LARGE/SB0C00581_0004.JPEG","ISSN":"21615063","PMID":"33497199","abstract":"Prokaryotic cell-free coupled transcription-translation (TX-TL) systems are emerging as a powerful tool to examine natural product biosynthetic pathways in a test tube. The key advantages of this approach are the reduced experimental time scales and controlled reaction conditions. To realize this potential, it is essential to develop specialized cell-free systems in organisms enriched for biosynthetic gene clusters. This requires strong protein production and well-characterized synthetic biology tools. The Streptomyces genus is a major source of natural products. To study enzymes and pathways from Streptomyces, we originally developed a homologous Streptomyces cell-free system to provide a native protein folding environment, a high G+C (%) tRNA pool, and an active background metabolism. However, our initial yields were low (36 μg/mL) and showed a high level of batch-to-batch variation. Here, we present an updated high-yield and robust Streptomyces TX-TL protocol, reaching up to yields of 266 μg/mL of expressed recombinant protein. To complement this, we rapidly characterize a range of DNA parts with different reporters, express high G+C (%) biosynthetic genes, and demonstrate an initial proof of concept for combined transcription, translation, and biosynthesis of Streptomyces metabolic pathways in a single \"one-pot\"reaction.","author":[{"dropping-particle":"","family":"Moore","given":"Simon J.","non-dropping-particle":"","parse-names":false,"suffix":""},{"dropping-particle":"","family":"Lai","given":"Hung En","non-dropping-particle":"","parse-names":false,"suffix":""},{"dropping-particle":"","family":"Chee","given":"Soo Mei","non-dropping-particle":"","parse-names":false,"suffix":""},{"dropping-particle":"","family":"Toh","given":"Ming","non-dropping-particle":"","parse-names":false,"suffix":""},{"dropping-particle":"","family":"Coode","given":"Seth","non-dropping-particle":"","parse-names":false,"suffix":""},{"dropping-particle":"","family":"Chengan","given":"Kameshwari","non-dropping-particle":"","parse-names":false,"suffix":""},{"dropping-particle":"","family":"Capel","given":"Patrick","non-dropping-particle":"","parse-names":false,"suffix":""},{"dropping-particle":"","family":"Corre","given":"Christophe","non-dropping-particle":"","parse-names":false,"suffix":""},{"dropping-particle":"","family":"Los Santos","given":"Emmanuel L.C.","non-dropping-particle":"De","parse-names":false,"suffix":""},{"dropping-particle":"","family":"Freemont","given":"Paul S.","non-dropping-particle":"","parse-names":false,"suffix":""}],"container-title":"ACS Synthetic Biology","id":"ITEM-1","issue":"2","issued":{"date-parts":[["2021","2","19"]]},"page":"402-411","publisher":"American Chemical Society","title":"A Streptomyces venezuelae Cell-Free Toolkit for Synthetic Biology","type":"article-journal","volume":"10"},"uris":["http://www.mendeley.com/documents/?uuid=c47cd0c9-007f-31c6-b3a6-ceb52202643e"]},{"id":"ITEM-2","itemData":{"DOI":"10.1002/bit.26253","ISSN":"00063592","abstract":"Cell-free protein synthesis (CFPS) has emerged as a powerful platform for applied biotechnology and synthetic biology, with a range of applications in synthesizing proteins, evolving proteins, and prototyping genetic circuits. To expand the current CFPS repertoire, we report here the development and optimization of a Streptomyces-based CFPS system for the expression of GC-rich genes. By developing a streamlined crude extract preparation protocol and optimizing reaction conditions, we were able to achieve active enhanced green fluorescent protein (EGFP) yields of greater than 50 μg/mL with batch reactions lasting up to 3 h. By adopting a semi-continuous reaction format, the EGFP yield could be increased to 282 ± 8 μg/mL and the reaction time was extended to 48 h. Notably, our extract preparation procedures were robust to multiple Streptomyces lividans and Streptomyces coelicolor strains, although expression yields varied. We show that our optimized Streptomyces lividans system provides benefits when compared to an Escherichia coli-based CFPS system for increasing percent soluble protein expression for four Streptomyces-originated high GC-content genes that are involved in biosynthesis of the nonribosomal peptides tambromycin and valinomycin. Looking forward, we believe that our Streptomyces-based CFPS system will contribute significantly towards efforts to express complex natural product gene clusters (e.g., nonribosomal peptides and polyketides), providing a new avenue for obtaining and studying natural product biosynthesis pathways. Biotechnol. Bioeng. 2017;114: 1343–1353. © 2017 Wiley Periodicals, Inc.","author":[{"dropping-particle":"","family":"Li","given":"Jian","non-dropping-particle":"","parse-names":false,"suffix":""},{"dropping-particle":"","family":"Wang","given":"He","non-dropping-particle":"","parse-names":false,"suffix":""},{"dropping-particle":"","family":"Kwon","given":"Yong-Chan","non-dropping-particle":"","parse-names":false,"suffix":""},{"dropping-particle":"","family":"Jewett","given":"Michael C.","non-dropping-particle":"","parse-names":false,"suffix":""}],"container-title":"Biotechnology and Bioengineering","id":"ITEM-2","issue":"6","issued":{"date-parts":[["2017","6","1"]]},"page":"1343-1353","publisher":"John Wiley and Sons Inc.","title":"Establishing a high yielding &lt;i&gt;streptomyces&lt;/i&gt; -based cell-free protein synthesis system","type":"article-journal","volume":"114"},"uris":["http://www.mendeley.com/documents/?uuid=7130e6a4-e6ba-3d1d-ba6f-43c5aeafaa04"]},{"id":"ITEM-3","itemData":{"DOI":"10.1002/BIOT.201600678","ISSN":"1860-7314","PMID":"28139884","abstract":"Streptomyces venezuelae is a promising chassis in synthetic biology for fine chemical and secondary metabolite pathway engineering. The potential of S. venezuelae could be further realized by expanding its capability with the introduction of its own in vitro transcription-translation (TX-TL) system. TX-TL is a fast and expanding technology for bottom-up design of complex gene expression tools, biosensors and protein manufacturing. Herein, we introduce a S. venezuelae TX-TL platform by reporting a streamlined protocol for cell-extract preparation, demonstrating high-yield synthesis of a codon-optimized sfGFP reporter and the prototyping of a synthetic tetracycline-inducible promoter in S. venezuelae TX-TL based on the tetO-TetR repressor system. The aim of this system is to provide a host for the homologous production of exotic enzymes from Actinobacteria secondary metabolism in vitro. As an example, the authors demonstrate the soluble synthesis of a selection of enzymes (12–70 kDa) from the Streptomyces rimosus oxytetracycline pathway.","author":[{"dropping-particle":"","family":"Moore","given":"Simon J.","non-dropping-particle":"","parse-names":false,"suffix":""},{"dropping-particle":"","family":"Lai","given":"Hung En","non-dropping-particle":"","parse-names":false,"suffix":""},{"dropping-particle":"","family":"Needham","given":"Hannah","non-dropping-particle":"","parse-names":false,"suffix":""},{"dropping-particle":"","family":"Polizzi","given":"Karen M.","non-dropping-particle":"","parse-names":false,"suffix":""},{"dropping-particle":"","family":"Freemont","given":"Paul S.","non-dropping-particle":"","parse-names":false,"suffix":""}],"container-title":"Biotechnology journal","id":"ITEM-3","issue":"4","issued":{"date-parts":[["2017","4","1"]]},"publisher":"Biotechnol J","title":"Streptomyces venezuelae TX-TL - a next generation cell-free synthetic biology tool","type":"article-journal","volume":"12"},"uris":["http://www.mendeley.com/documents/?uuid=9d33a6da-d5a3-3132-afb0-0a0090996a20"]},{"id":"ITEM-4","itemData":{"DOI":"10.1016/j.ymben.2016.09.008","ISSN":"10967184","abstract":"Cell-free transcription-translation systems were originally applied towards in vitro protein production. More recently, synthetic biology is enabling these systems to be used within a systematic design context for prototyping DNA regulatory elements, genetic logic circuits and biosynthetic pathways. The Gram-positive soil bacterium, Bacillus subtilis, is an established model organism of industrial importance. To this end, we developed several B. subtilis-based cell-free systems. Our improved B. subtilis WB800N-based system was capable of producing 0.8 µM GFP, which gave a ~72x fold-improvement when compared with a B. subtilis 168 cell-free system. Our improved system was applied towards the prototyping of a B. subtilis promoter library in which we engineered several promoters, derived from the wild-type Pgrac (σA) promoter, that display a range of comparable in vitro and in vivo transcriptional activities. Additionally, we demonstrate the cell-free characterisation of an inducible expression system, and the activity of a model enzyme - renilla luciferase.","author":[{"dropping-particle":"","family":"Kelwick","given":"Richard","non-dropping-particle":"","parse-names":false,"suffix":""},{"dropping-particle":"","family":"Webb","given":"Alexander J.","non-dropping-particle":"","parse-names":false,"suffix":""},{"dropping-particle":"","family":"MacDonald","given":"James T.","non-dropping-particle":"","parse-names":false,"suffix":""},{"dropping-particle":"","family":"Freemont","given":"Paul S.","non-dropping-particle":"","parse-names":false,"suffix":""}],"container-title":"Metabolic Engineering","id":"ITEM-4","issued":{"date-parts":[["2016","11","1"]]},"page":"370-381","publisher":"Academic Press Inc.","title":"Development of a Bacillus subtilis cell-free transcription-translation system for prototyping regulatory elements","type":"article-journal","volume":"38"},"uris":["http://www.mendeley.com/documents/?uuid=97eddd5a-4514-3709-b115-0146b400e0d0"]}],"mendeley":{"formattedCitation":"&lt;sup&gt;215,217–219&lt;/sup&gt;","plainTextFormattedCitation":"215,217–219","previouslyFormattedCitation":"&lt;sup&gt;215,217–219&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215,217–219</w:t>
      </w:r>
      <w:r w:rsidRPr="00857C48">
        <w:rPr>
          <w:rFonts w:cs="Arial"/>
          <w:szCs w:val="22"/>
        </w:rPr>
        <w:fldChar w:fldCharType="end"/>
      </w:r>
      <w:r>
        <w:rPr>
          <w:rFonts w:cs="Arial"/>
          <w:szCs w:val="22"/>
        </w:rPr>
        <w:t>.</w:t>
      </w:r>
      <w:r w:rsidRPr="00857C48">
        <w:rPr>
          <w:rFonts w:cs="Arial"/>
          <w:szCs w:val="22"/>
        </w:rPr>
        <w:t xml:space="preserve"> However, lysates possess complex interactions between the TX/TL machinery and metabolic reactions in the lysate that are unproductive to protein expression</w:t>
      </w:r>
      <w:r w:rsidRPr="00857C48">
        <w:rPr>
          <w:rFonts w:cs="Arial"/>
          <w:szCs w:val="22"/>
        </w:rPr>
        <w:fldChar w:fldCharType="begin" w:fldLock="1"/>
      </w:r>
      <w:r w:rsidR="004F3109">
        <w:rPr>
          <w:rFonts w:cs="Arial"/>
          <w:szCs w:val="22"/>
        </w:rPr>
        <w:instrText>ADDIN CSL_CITATION {"citationItems":[{"id":"ITEM-1","itemData":{"DOI":"10.1021/ACSSYNBIO.7B00465/ASSET/IMAGES/MEDIUM/SB-2017-00465A_M024.GIF","ISSN":"21615063","PMID":"29944340","abstract":"Cell-free protein synthesis (CFPS) is a widely used research tool in systems and synthetic biology. However, if CFPS is to become a mainstream technology for applications such as point of care manufacturing, we must understand the performance limits and costs of these systems. Toward this question, we used sequence specific constraint based modeling to evaluate the performance of E. Coli cell-free protein synthesis. A core E. Coli metabolic network, describing glycolysis, the pentose phosphate pathway, energy metabolism, amino acid biosynthesis, and degradation was augmented with sequence specific descriptions of transcription and translation and effective models of promoter function. Model parameters were largely taken from literature; thus the constraint based approach coupled the transcription and translation of the protein product, and the regulation of gene expression, with the availability of metabolic resources using only a limited number of adjustable model parameters. We tested this approach by simulating the expression of two model proteins: chloramphenicol acetyltransferase and dual emission green fluorescent protein, for which we have data sets; we then expanded the simulations to a range of additional proteins. Protein expression simulations were consistent with measurements for a variety of cases. The constraint based simulations confirmed that oxidative phosphorylation was active in the CAT cell-free extract, as without it there was no feasible solution within the experimental constraints of the system. We then compared the metabolism of theoretically optimal and experimentally constrained CFPS reactions, and developed parameter free correlations which could be used to estimate productivity as a function of carbon number and promoter type. Lastly, global sensitivity analysis identified the key metabolic processes that controlled CFPS productivity and energy efficiency. In summary, sequence specific constraint based modeling of CFPS offered a novel means to a priori estimate the performance of a cell-free system, using only a limited number of adjustable parameters. While we modeled the production of a single protein in this study, the approach could easily be extended to multiprotein synthetic circuits, RNA circuits, or the cell-free production of small molecule products.","author":[{"dropping-particle":"","family":"Vilkhovoy","given":"Michael","non-dropping-particle":"","parse-names":false,"suffix":""},{"dropping-particle":"","family":"Horvath","given":"Nicholas","non-dropping-particle":"","parse-names":false,"suffix":""},{"dropping-particle":"","family":"Shih","given":"Che Hsiao","non-dropping-particle":"","parse-names":false,"suffix":""},{"dropping-particle":"","family":"Wayman","given":"Joseph A.","non-dropping-particle":"","parse-names":false,"suffix":""},{"dropping-particle":"","family":"Calhoun","given":"Kara","non-dropping-particle":"","parse-names":false,"suffix":""},{"dropping-particle":"","family":"Swartz","given":"James","non-dropping-particle":"","parse-names":false,"suffix":""},{"dropping-particle":"","family":"Varner","given":"Jeffrey D.","non-dropping-particle":"","parse-names":false,"suffix":""}],"container-title":"ACS Synthetic Biology","id":"ITEM-1","issue":"8","issued":{"date-parts":[["2018","8","17"]]},"page":"1844-1857","publisher":"American Chemical Society","title":"Sequence Specific Modeling of E. Coli Cell-Free Protein Synthesis","type":"article-journal","volume":"7"},"uris":["http://www.mendeley.com/documents/?uuid=20e0b46d-77de-3b46-8fe5-8405968e23f9"]}],"mendeley":{"formattedCitation":"&lt;sup&gt;210&lt;/sup&gt;","plainTextFormattedCitation":"210","previouslyFormattedCitation":"&lt;sup&gt;210&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210</w:t>
      </w:r>
      <w:r w:rsidRPr="00857C48">
        <w:rPr>
          <w:rFonts w:cs="Arial"/>
          <w:szCs w:val="22"/>
        </w:rPr>
        <w:fldChar w:fldCharType="end"/>
      </w:r>
      <w:r>
        <w:rPr>
          <w:rFonts w:cs="Arial"/>
          <w:szCs w:val="22"/>
        </w:rPr>
        <w:t>.</w:t>
      </w:r>
      <w:r w:rsidRPr="00857C48">
        <w:rPr>
          <w:rFonts w:cs="Arial"/>
          <w:szCs w:val="22"/>
        </w:rPr>
        <w:t xml:space="preserve"> The latter may include the catalytic activities of the enzyme product itself. Establishing the utility of protein fluorescence labeling in cell extracts, in addition to minimal expression systems</w:t>
      </w:r>
      <w:r w:rsidRPr="00857C48">
        <w:rPr>
          <w:rFonts w:cs="Arial"/>
          <w:szCs w:val="22"/>
        </w:rPr>
        <w:fldChar w:fldCharType="begin" w:fldLock="1"/>
      </w:r>
      <w:r w:rsidR="004F3109">
        <w:rPr>
          <w:rFonts w:cs="Arial"/>
          <w:szCs w:val="22"/>
        </w:rPr>
        <w:instrText>ADDIN CSL_CITATION {"citationItems":[{"id":"ITEM-1","itemData":{"DOI":"10.1021/ACSSYNBIO.8B00450/SUPPL_FILE/SB8B00450_SI_001.PDF","ISSN":"21615063","PMID":"30920800","abstract":"Quantification of biology's central dogma (transcription and translation) is pursued by a variety of methods. Direct, immediate, and ongoing quantification of these events is difficult to achieve. Common practice is to use fluorescent or luminescent proteins to report indirectly on prior cellular events, such as turning on a gene in a genetic circuit. We present an alternative approach, PURExpress-ReAsH-Spinach In-vitro Analysis (PERSIA). PERSIA provides information on the production of RNA and protein during cell-free reactions by employing short RNA and peptide tags. Upon synthesis, these tags yield quantifiable fluorescent signal without interfering with other biochemical events. We demonstrate the applicability of PERSIA in measuring cell-free transcription, translation, and other enzymatic activity in a variety of applications: from sequence-structure-function studies, to genetic code engineering, to testing antiviral drug resistance.","author":[{"dropping-particle":"","family":"Wick","given":"Scott","non-dropping-particle":"","parse-names":false,"suffix":""},{"dropping-particle":"","family":"Walsh","given":"David I.","non-dropping-particle":"","parse-names":false,"suffix":""},{"dropping-particle":"","family":"Bobrow","given":"Johanna","non-dropping-particle":"","parse-names":false,"suffix":""},{"dropping-particle":"","family":"Hamad-Schifferli","given":"Kimberly","non-dropping-particle":"","parse-names":false,"suffix":""},{"dropping-particle":"","family":"Kong","given":"David S.","non-dropping-particle":"","parse-names":false,"suffix":""},{"dropping-particle":"","family":"Thorsen","given":"Todd","non-dropping-particle":"","parse-names":false,"suffix":""},{"dropping-particle":"","family":"Mroszczyk","given":"Keri","non-dropping-particle":"","parse-names":false,"suffix":""},{"dropping-particle":"","family":"Carr","given":"Peter A.","non-dropping-particle":"","parse-names":false,"suffix":""}],"container-title":"ACS Synthetic Biology","id":"ITEM-1","issue":"5","issued":{"date-parts":[["2019","5","17"]]},"page":"1010-1025","publisher":"American Chemical Society","title":"PERSIA for Direct Fluorescence Measurements of Transcription, Translation, and Enzyme Activity in Cell-Free Systems","type":"article-journal","volume":"8"},"uris":["http://www.mendeley.com/documents/?uuid=4df47bd9-92e2-3980-9574-d64f24f52a38"]}],"mendeley":{"formattedCitation":"&lt;sup&gt;213&lt;/sup&gt;","plainTextFormattedCitation":"213","previouslyFormattedCitation":"&lt;sup&gt;213&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213</w:t>
      </w:r>
      <w:r w:rsidRPr="00857C48">
        <w:rPr>
          <w:rFonts w:cs="Arial"/>
          <w:szCs w:val="22"/>
        </w:rPr>
        <w:fldChar w:fldCharType="end"/>
      </w:r>
      <w:r w:rsidRPr="00857C48">
        <w:rPr>
          <w:rFonts w:cs="Arial"/>
          <w:szCs w:val="22"/>
        </w:rPr>
        <w:t xml:space="preserve">, advances the investigation of these confounding relationships. It also provides insight into how protein size influences CFE requirements. These in turn enable the optimization of cell extracts for NRPS CFE. Here, a fluorescence-based protein detection method that employs a TC tag and </w:t>
      </w:r>
      <w:proofErr w:type="spellStart"/>
      <w:r w:rsidRPr="00857C48">
        <w:rPr>
          <w:rFonts w:cs="Arial"/>
          <w:szCs w:val="22"/>
        </w:rPr>
        <w:t>FlAsH</w:t>
      </w:r>
      <w:proofErr w:type="spellEnd"/>
      <w:r w:rsidRPr="00857C48">
        <w:rPr>
          <w:rFonts w:cs="Arial"/>
          <w:szCs w:val="22"/>
        </w:rPr>
        <w:t xml:space="preserve"> fluorophore was adapted for measuring NRPS expression in lysate-based CFE systems. This strategy can validate full-length NRPS translation in the lysate background with higher throughput than current NRPS detection methods. The approach allows the quantification of NRPS expression across several reactions with the use of careful controls that account for caveats of the dye in different reaction environments. Importantly, these measurements enable reaction optimizations that apply to the expression of other NRPSs as well. Overall, the method enables </w:t>
      </w:r>
      <w:r w:rsidRPr="00857C48">
        <w:rPr>
          <w:rFonts w:cs="Arial"/>
          <w:szCs w:val="22"/>
        </w:rPr>
        <w:lastRenderedPageBreak/>
        <w:t xml:space="preserve">rapid hypothesis generation and testing for broad applications in lysate-based NRPS CFE that could be extendable to other proteins. As demonstrated here with </w:t>
      </w:r>
      <w:proofErr w:type="spellStart"/>
      <w:r w:rsidRPr="00857C48">
        <w:rPr>
          <w:rFonts w:cs="Arial"/>
          <w:szCs w:val="22"/>
        </w:rPr>
        <w:t>BpsA</w:t>
      </w:r>
      <w:proofErr w:type="spellEnd"/>
      <w:r w:rsidRPr="00857C48">
        <w:rPr>
          <w:rFonts w:cs="Arial"/>
          <w:szCs w:val="22"/>
        </w:rPr>
        <w:t xml:space="preserve"> and its pigment product, this approach can also be complemented with an assay for indirectly measuring improvements to functional protein folding and post-translational modification</w:t>
      </w:r>
      <w:r w:rsidRPr="00857C48">
        <w:rPr>
          <w:rFonts w:cs="Arial"/>
          <w:szCs w:val="22"/>
        </w:rPr>
        <w:fldChar w:fldCharType="begin" w:fldLock="1"/>
      </w:r>
      <w:r w:rsidR="004F3109">
        <w:rPr>
          <w:rFonts w:cs="Arial"/>
          <w:szCs w:val="22"/>
        </w:rPr>
        <w:instrText>ADDIN CSL_CITATION {"citationItems":[{"id":"ITEM-1","itemData":{"DOI":"10.1039/c9gc00920e","ISSN":"14639270","abstract":"Non-ribosomal peptides (NRPs) constitute a diverse class of valuable secondary metabolites, with potential industrial applications including use as pharmaceuticals, polymers and dyes. Current industrial production of dyes is predominantly achieved via chemical synthesis, which can involve toxic precursors and generate hazardous byproducts. Thus, alternative routes of dye production are highly desirable to enhance both workplace safety and environmental sustainability. Correspondingly, biological synthesis of dyes from renewable carbon would serve an ideal green chemistry paradigm. Therefore, we engineered the fungal host Rhodosporidium toruloides to produce the blue pigment indigoidine, an NRP with potential applications in the dye industry, using various low-cost carbon and nitrogen sources. To demonstrate production from renewable carbon sources and assess process scalability we produced indigoidine in 2 L bioreactors, reaching titers of 2.9 ± 0.8 g L-1 using a sorghum lignocellulosic hydrolysate in a batch process and 86.3 ± 7.4 g L-1 using glucose in a high-gravity fed-batch process. This study represents the first heterologous production of an NRP in R. toruloides, thus extending the range of microbial hosts that can be used for sustainable, heterologous production of NRPs. In addition, this is the first demonstration of producing an NRP using lignocellulose. These results highlight the potential of R. toruloides for the sustainable, and scalable production of NRPs, with the highest reported titer of indigoidine or any heterologously produced NRP to date.","author":[{"dropping-particle":"","family":"Wehrs","given":"Maren","non-dropping-particle":"","parse-names":false,"suffix":""},{"dropping-particle":"","family":"Gladden","given":"John M.","non-dropping-particle":"","parse-names":false,"suffix":""},{"dropping-particle":"","family":"Liu","given":"Yuzhong","non-dropping-particle":"","parse-names":false,"suffix":""},{"dropping-particle":"","family":"Platz","given":"Lukas","non-dropping-particle":"","parse-names":false,"suffix":""},{"dropping-particle":"","family":"Prahl","given":"Jan Philip","non-dropping-particle":"","parse-names":false,"suffix":""},{"dropping-particle":"","family":"Moon","given":"Jadie","non-dropping-particle":"","parse-names":false,"suffix":""},{"dropping-particle":"","family":"Papa","given":"Gabriella","non-dropping-particle":"","parse-names":false,"suffix":""},{"dropping-particle":"","family":"Sundstrom","given":"Eric","non-dropping-particle":"","parse-names":false,"suffix":""},{"dropping-particle":"","family":"Geiselman","given":"Gina M.","non-dropping-particle":"","parse-names":false,"suffix":""},{"dropping-particle":"","family":"Tanjore","given":"Deepti","non-dropping-particle":"","parse-names":false,"suffix":""},{"dropping-particle":"","family":"Keasling","given":"Jay D.","non-dropping-particle":"","parse-names":false,"suffix":""},{"dropping-particle":"","family":"Pray","given":"Todd R.","non-dropping-particle":"","parse-names":false,"suffix":""},{"dropping-particle":"","family":"Simmons","given":"Blake A.","non-dropping-particle":"","parse-names":false,"suffix":""},{"dropping-particle":"","family":"Mukhopadhyay","given":"Aindrila","non-dropping-particle":"","parse-names":false,"suffix":""}],"container-title":"Green Chemistry","id":"ITEM-1","issue":"12","issued":{"date-parts":[["2019","6","17"]]},"page":"3394-3406","publisher":"Royal Society of Chemistry","title":"Sustainable bioproduction of the blue pigment indigoidine: Expanding the range of heterologous products in: R. toruloides to include non-ribosomal peptides","type":"article-journal","volume":"21"},"uris":["http://www.mendeley.com/documents/?uuid=ca903ebb-c69d-3759-a221-8fe5ecc277ed"]}],"mendeley":{"formattedCitation":"&lt;sup&gt;226&lt;/sup&gt;","plainTextFormattedCitation":"226","previouslyFormattedCitation":"&lt;sup&gt;226&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226</w:t>
      </w:r>
      <w:r w:rsidRPr="00857C48">
        <w:rPr>
          <w:rFonts w:cs="Arial"/>
          <w:szCs w:val="22"/>
        </w:rPr>
        <w:fldChar w:fldCharType="end"/>
      </w:r>
      <w:r>
        <w:rPr>
          <w:rFonts w:cs="Arial"/>
          <w:szCs w:val="22"/>
        </w:rPr>
        <w:t>.</w:t>
      </w:r>
    </w:p>
    <w:p w14:paraId="539DD1BC" w14:textId="48AB6340" w:rsidR="00857C48" w:rsidRPr="00857C48" w:rsidRDefault="00857C48" w:rsidP="00A90B05">
      <w:pPr>
        <w:ind w:firstLine="720"/>
        <w:rPr>
          <w:rFonts w:cs="Arial"/>
          <w:szCs w:val="22"/>
        </w:rPr>
      </w:pPr>
      <w:r w:rsidRPr="00857C48">
        <w:rPr>
          <w:rFonts w:cs="Arial"/>
          <w:szCs w:val="22"/>
        </w:rPr>
        <w:t>As demonstrated in this investigation, the method can be applied towards understanding requirements for full-length NRPS expression considering the mechanistic features of these enzymes (such as the role of ATP in catalysis). The conditions for the cell-free TX/TL of NRPSs are expected to change depending on the size, structure, and activity of the protein product itself. An objective here was to demonstrate that TC/</w:t>
      </w:r>
      <w:proofErr w:type="spellStart"/>
      <w:r w:rsidRPr="00857C48">
        <w:rPr>
          <w:rFonts w:cs="Arial"/>
          <w:szCs w:val="22"/>
        </w:rPr>
        <w:t>FlAsH</w:t>
      </w:r>
      <w:proofErr w:type="spellEnd"/>
      <w:r w:rsidRPr="00857C48">
        <w:rPr>
          <w:rFonts w:cs="Arial"/>
          <w:szCs w:val="22"/>
        </w:rPr>
        <w:t xml:space="preserve"> experiments can elucidate these relationships which previously lacked evidence. Comparisons of </w:t>
      </w:r>
      <w:proofErr w:type="spellStart"/>
      <w:r w:rsidRPr="00857C48">
        <w:rPr>
          <w:rFonts w:cs="Arial"/>
          <w:szCs w:val="22"/>
        </w:rPr>
        <w:t>BpsA</w:t>
      </w:r>
      <w:proofErr w:type="spellEnd"/>
      <w:r w:rsidRPr="00857C48">
        <w:rPr>
          <w:rFonts w:cs="Arial"/>
          <w:szCs w:val="22"/>
        </w:rPr>
        <w:t xml:space="preserve">-TC, BpsA-TC_E315A, and </w:t>
      </w:r>
      <w:proofErr w:type="spellStart"/>
      <w:r w:rsidRPr="00857C48">
        <w:rPr>
          <w:rFonts w:cs="Arial"/>
          <w:szCs w:val="22"/>
        </w:rPr>
        <w:t>sfGFP</w:t>
      </w:r>
      <w:proofErr w:type="spellEnd"/>
      <w:r w:rsidRPr="00857C48">
        <w:rPr>
          <w:rFonts w:cs="Arial"/>
          <w:szCs w:val="22"/>
        </w:rPr>
        <w:t xml:space="preserve"> expression under various reaction conditions revealed the unique needs of NRPS CFE. This TC/</w:t>
      </w:r>
      <w:proofErr w:type="spellStart"/>
      <w:r w:rsidRPr="00857C48">
        <w:rPr>
          <w:rFonts w:cs="Arial"/>
          <w:szCs w:val="22"/>
        </w:rPr>
        <w:t>FlAsH</w:t>
      </w:r>
      <w:proofErr w:type="spellEnd"/>
      <w:r w:rsidRPr="00857C48">
        <w:rPr>
          <w:rFonts w:cs="Arial"/>
          <w:szCs w:val="22"/>
        </w:rPr>
        <w:t xml:space="preserve"> detection protocol may also be modified to meet specific experimental objectives under the umbrella of understanding NRPS CFE. For example, the TC tag may be appended to truncated forms of the NRPS coding sequence to quantify the frequency of premature NRPS translation.  Or alternately, the TC tag could be appended N-terminally to demonstrate the degree of initiation of translation. </w:t>
      </w:r>
    </w:p>
    <w:p w14:paraId="2838E138" w14:textId="523FAC62" w:rsidR="00857C48" w:rsidRPr="00857C48" w:rsidRDefault="00857C48" w:rsidP="00D60D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Cs w:val="22"/>
        </w:rPr>
      </w:pPr>
      <w:r w:rsidRPr="00857C48">
        <w:rPr>
          <w:rFonts w:cs="Arial"/>
          <w:szCs w:val="22"/>
        </w:rPr>
        <w:tab/>
        <w:t>Measuring TC/</w:t>
      </w:r>
      <w:proofErr w:type="spellStart"/>
      <w:r w:rsidRPr="00857C48">
        <w:rPr>
          <w:rFonts w:cs="Arial"/>
          <w:szCs w:val="22"/>
        </w:rPr>
        <w:t>FlAsH</w:t>
      </w:r>
      <w:proofErr w:type="spellEnd"/>
      <w:r w:rsidRPr="00857C48">
        <w:rPr>
          <w:rFonts w:cs="Arial"/>
          <w:szCs w:val="22"/>
        </w:rPr>
        <w:t xml:space="preserve"> is also a powerful strategy for tailoring lysate-based reaction environments towards high-yield NRPS CFE. Throughout this investigation for example, the TC/</w:t>
      </w:r>
      <w:proofErr w:type="spellStart"/>
      <w:r w:rsidRPr="00857C48">
        <w:rPr>
          <w:rFonts w:cs="Arial"/>
          <w:szCs w:val="22"/>
        </w:rPr>
        <w:t>FlAsH</w:t>
      </w:r>
      <w:proofErr w:type="spellEnd"/>
      <w:r w:rsidRPr="00857C48">
        <w:rPr>
          <w:rFonts w:cs="Arial"/>
          <w:szCs w:val="22"/>
        </w:rPr>
        <w:t xml:space="preserve"> method identified better temperature, PEP, and magnesium conditions for </w:t>
      </w:r>
      <w:proofErr w:type="spellStart"/>
      <w:r w:rsidRPr="00857C48">
        <w:rPr>
          <w:rFonts w:cs="Arial"/>
          <w:szCs w:val="22"/>
        </w:rPr>
        <w:t>monomodular</w:t>
      </w:r>
      <w:proofErr w:type="spellEnd"/>
      <w:r w:rsidRPr="00857C48">
        <w:rPr>
          <w:rFonts w:cs="Arial"/>
          <w:szCs w:val="22"/>
        </w:rPr>
        <w:t xml:space="preserve"> NRPS CFE while providing insight into potential bottlenecks of productive amino acid utilization. The results of these experiments lend to further improvements in NRPS CFE systems. For example, the drastic inhibition of NRPS synthesis beyond a threshold concentration of PEP may be remedied using alternative ATP recycling schemes to prevent excessive free phosphate accumulation</w:t>
      </w:r>
      <w:r w:rsidRPr="00857C48">
        <w:rPr>
          <w:rFonts w:cs="Arial"/>
          <w:szCs w:val="22"/>
        </w:rPr>
        <w:fldChar w:fldCharType="begin" w:fldLock="1"/>
      </w:r>
      <w:r w:rsidR="004F3109">
        <w:rPr>
          <w:rFonts w:cs="Arial"/>
          <w:szCs w:val="22"/>
        </w:rPr>
        <w:instrText>ADDIN CSL_CITATION {"citationItems":[{"id":"ITEM-1","itemData":{"DOI":"10.1002/(SICI)1097-0290(1999)66:3&lt;180::AID-BIT6&gt;3.0.CO;2-S","ISSN":"00063592","PMID":"10577472","abstract":"A new approach for the regeneration of adenosine triphosphate (ATP) during cell-free protein synthesis was developed to prolong the synthesis and also to avoid the accumulation of inorganic phosphate. This approach was demonstrated in a batch system derived from Escherichia coli. Contrary to the conventional methods in which exogenous energy sources contain high-energy phosphate bonds, the new system was designed to generate continuously the required high-energy phosphate bonds within the reaction mixture, thereby recycling the phosphate released during protein synthesis. If allowed to accumulate, phosphate inhibits protein synthesis, most likely by reducing the concentration of free magnesium ion. Pediococcus sp. pyruvate oxidase, when introduced in the reaction mixture along with thiamine pyrophosphate (TPP) and flavin adenine dinucleotide (FAD), catalyzed the generation of acetyl phosphate from pyruvate and inorganic phosphate. Acetyl kinase, already present with sufficient activity in Escherichia coli S30 extract, then catalyzed the regeneration of ATP. Oxygen is required for the generation of acetyl phosphate and the H2O2 produced as a byproduct is sufficiently degraded by endogenous catalase activity. Through the continuous supply of chemical energy, and also through the prevention of inorganic phosphate accumulation, the duration of protein synthesis is extended up to 2 h. Protein accumulation levels also increase. The synthesis of human lymphotoxin receives greater benefit than than that of chloramphenicol acetyl transferase, because the former is more sensitive to phosphate inhibition. Finally, through repeated addition of pyruvate and amino acids during the reaction period, protein synthesis continued for 6 h in the new system, resulting in a final yield of 0.7 mg/mL.","author":[{"dropping-particle":"","family":"Kim","given":"Dong Myung","non-dropping-particle":"","parse-names":false,"suffix":""},{"dropping-particle":"","family":"Swartz","given":"James R.","non-dropping-particle":"","parse-names":false,"suffix":""}],"container-title":"Biotechnology and Bioengineering","id":"ITEM-1","issue":"3","issued":{"date-parts":[["1999"]]},"page":"180-188","title":"Prolonging cell-free protein synthesis with a novel ATP regeneration system","type":"article-journal","volume":"66"},"uris":["http://www.mendeley.com/documents/?uuid=c1a1979e-739e-4e0e-9f81-aa98bad6dce6"]},{"id":"ITEM-2","itemData":{"DOI":"10.1039/c8np00044a","author":[{"dropping-particle":"","family":"Gulick","given":"Andrew M","non-dropping-particle":"","parse-names":false,"suffix":""},{"dropping-particle":"","family":"Aldrich","given":"Courtney C","non-dropping-particle":"","parse-names":false,"suffix":""}],"id":"ITEM-2","issued":{"date-parts":[["0"]]},"title":"Trapping Interactions Between Catalytic Domains and Carrier Proteins of Modular Biosynthetic Enzymes with Chemical Probes","type":"article-journal"},"uris":["http://www.mendeley.com/documents/?uuid=ef343d46-f80b-3d7d-a8e3-0128f93e5ab9"]}],"mendeley":{"formattedCitation":"&lt;sup&gt;229,244&lt;/sup&gt;","plainTextFormattedCitation":"229,244","previouslyFormattedCitation":"&lt;sup&gt;229,244&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229,244</w:t>
      </w:r>
      <w:r w:rsidRPr="00857C48">
        <w:rPr>
          <w:rFonts w:cs="Arial"/>
          <w:szCs w:val="22"/>
        </w:rPr>
        <w:fldChar w:fldCharType="end"/>
      </w:r>
      <w:r w:rsidR="00D60D4C">
        <w:rPr>
          <w:rFonts w:cs="Arial"/>
          <w:szCs w:val="22"/>
        </w:rPr>
        <w:t>.</w:t>
      </w:r>
      <w:r w:rsidRPr="00857C48">
        <w:rPr>
          <w:rFonts w:cs="Arial"/>
          <w:szCs w:val="22"/>
        </w:rPr>
        <w:t xml:space="preserve"> Factors limiting productive amino acid utilization in NRPS CFE systems can also be further investigated. Apart from amino acid oxidation, it is also possible that concentrations of other reaction components such as tRNAs or aminoacyl-tRNA synthetases may </w:t>
      </w:r>
      <w:r w:rsidRPr="00857C48">
        <w:rPr>
          <w:rFonts w:cs="Arial"/>
          <w:szCs w:val="22"/>
        </w:rPr>
        <w:lastRenderedPageBreak/>
        <w:t>be insufficient for full-length large protein synthesis even when amino acid levels are high enough</w:t>
      </w:r>
      <w:r w:rsidRPr="00857C48">
        <w:rPr>
          <w:rFonts w:cs="Arial"/>
          <w:szCs w:val="22"/>
        </w:rPr>
        <w:fldChar w:fldCharType="begin" w:fldLock="1"/>
      </w:r>
      <w:r w:rsidR="004F3109">
        <w:rPr>
          <w:rFonts w:cs="Arial"/>
          <w:szCs w:val="22"/>
        </w:rPr>
        <w:instrText>ADDIN CSL_CITATION {"citationItems":[{"id":"ITEM-1","itemData":{"DOI":"10.1007/S10529-012-1075-4","ISSN":"15736776","PMID":"23086573","abstract":"Cell-free protein synthesis harnesses the synthetic power of biology, programming the ribosomal translational machinery of the cell to create macromolecular products. Like PCR, which uses cellular replication machinery to create a DNA amplifier, cell-free protein synthesis is emerging as a transformative technology with broad applications in protein engineering, biopharmaceutical development, and post-genomic research. By breaking free from the constraints of cell-based systems, it takes the next step towards synthetic biology. Recent advances in reconstituted cell-free protein synthesis (Protein synthesis Using Recombinant Elements expression systems) are creating new opportunities to tailor the reactions for specialized applications including in vitro protein evolution, printing protein microarrays, isotopic labeling, and incorporating nonnatural amino acids. © 2012 Springer Science+Business Media Dordrecht.","author":[{"dropping-particle":"","family":"Whittaker","given":"James W.","non-dropping-particle":"","parse-names":false,"suffix":""}],"container-title":"Biotechnology letters","id":"ITEM-1","issue":"2","issued":{"date-parts":[["2013","2","1"]]},"page":"143","publisher":"NIH Public Access","title":"Cell-free protein synthesis: the state of the art","type":"article-journal","volume":"35"},"uris":["http://www.mendeley.com/documents/?uuid=71d3cb26-69a7-329c-aaea-84d5000402be"]}],"mendeley":{"formattedCitation":"&lt;sup&gt;237&lt;/sup&gt;","plainTextFormattedCitation":"237","previouslyFormattedCitation":"&lt;sup&gt;237&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237</w:t>
      </w:r>
      <w:r w:rsidRPr="00857C48">
        <w:rPr>
          <w:rFonts w:cs="Arial"/>
          <w:szCs w:val="22"/>
        </w:rPr>
        <w:fldChar w:fldCharType="end"/>
      </w:r>
      <w:r w:rsidR="00D60D4C">
        <w:rPr>
          <w:rFonts w:cs="Arial"/>
          <w:szCs w:val="22"/>
        </w:rPr>
        <w:t>.</w:t>
      </w:r>
      <w:r w:rsidRPr="00857C48">
        <w:rPr>
          <w:rFonts w:cs="Arial"/>
          <w:szCs w:val="22"/>
        </w:rPr>
        <w:t xml:space="preserve"> Moreover, extensive efforts to optimize lysates for high-yield production of other NRPS architectures would benefit from TC/</w:t>
      </w:r>
      <w:proofErr w:type="spellStart"/>
      <w:r w:rsidRPr="00857C48">
        <w:rPr>
          <w:rFonts w:cs="Arial"/>
          <w:szCs w:val="22"/>
        </w:rPr>
        <w:t>FlAsH</w:t>
      </w:r>
      <w:proofErr w:type="spellEnd"/>
      <w:r w:rsidRPr="00857C48">
        <w:rPr>
          <w:rFonts w:cs="Arial"/>
          <w:szCs w:val="22"/>
        </w:rPr>
        <w:t xml:space="preserve">. While the results reported here are informative for </w:t>
      </w:r>
      <w:proofErr w:type="spellStart"/>
      <w:r w:rsidRPr="00857C48">
        <w:rPr>
          <w:rFonts w:cs="Arial"/>
          <w:szCs w:val="22"/>
        </w:rPr>
        <w:t>monomodular</w:t>
      </w:r>
      <w:proofErr w:type="spellEnd"/>
      <w:r w:rsidRPr="00857C48">
        <w:rPr>
          <w:rFonts w:cs="Arial"/>
          <w:szCs w:val="22"/>
        </w:rPr>
        <w:t xml:space="preserve"> NRPS CFE, the NRPS family of proteins is known to have high structural diversity</w:t>
      </w:r>
      <w:r w:rsidRPr="00857C48">
        <w:rPr>
          <w:rFonts w:cs="Arial"/>
          <w:szCs w:val="22"/>
        </w:rPr>
        <w:fldChar w:fldCharType="begin" w:fldLock="1"/>
      </w:r>
      <w:r w:rsidR="004F3109">
        <w:rPr>
          <w:rFonts w:cs="Arial"/>
          <w:szCs w:val="22"/>
        </w:rPr>
        <w:instrText>ADDIN CSL_CITATION {"citationItems":[{"id":"ITEM-1","itemData":{"DOI":"10.1007/978-1-4939-3375-4_1","ISSN":"10643745","PMID":"26831698","abstract":"The nonribosomal peptide synthetases are modular enzymes that catalyze synthesis of important peptide products from a variety of standard and non-proteinogenic amino acid substrates. Within a single module are multiple catalytic domains that are responsible for incorporation of a single residue. After the amino acid is activated and covalently attached to an integrated carrier protein domain, the substrates and intermediates are delivered to neighboring catalytic domains for peptide bond formation or, in some modules, chemical modifi cation. In the fi nal module, the peptide is delivered to a terminal thioesterase domain that catalyzes release of the peptide product. This multi-domain modular architecture raises questions about the structural features that enable this assembly line synthesis in an effi cient manner. The structures of the core component domains have been determined and demonstrate insights into the catalytic activity. More recently, multi-domain structures have been determined and are providing clues to the features of these enzyme systems that govern the functional interaction between multiple domains. This chapter describes the structures of NRPS proteins and the strategies that are being used to assist structural studies of these dynamic proteins, including careful consideration of domain boundaries for generation of truncated proteins and the use of mechanism-based inhibitors that trap interactions between the catalytic and carrier protein domains.","author":[{"dropping-particle":"","family":"Miller","given":"Bradley R.","non-dropping-particle":"","parse-names":false,"suffix":""},{"dropping-particle":"","family":"Gulick","given":"Andrew M.","non-dropping-particle":"","parse-names":false,"suffix":""}],"container-title":"Methods in Molecular Biology","id":"ITEM-1","issued":{"date-parts":[["2016"]]},"page":"3-29","publisher":"Humana Press, New York, NY","title":"Structural Biology of Nonribosomal Peptide Synthetases","type":"article-journal","volume":"1401"},"uris":["http://www.mendeley.com/documents/?uuid=ee2e0b4b-e117-3ff4-adab-95214d8b0fb9"]}],"mendeley":{"formattedCitation":"&lt;sup&gt;190&lt;/sup&gt;","plainTextFormattedCitation":"190","previouslyFormattedCitation":"&lt;sup&gt;190&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190</w:t>
      </w:r>
      <w:r w:rsidRPr="00857C48">
        <w:rPr>
          <w:rFonts w:cs="Arial"/>
          <w:szCs w:val="22"/>
        </w:rPr>
        <w:fldChar w:fldCharType="end"/>
      </w:r>
      <w:r w:rsidR="00D60D4C">
        <w:rPr>
          <w:rFonts w:cs="Arial"/>
          <w:szCs w:val="22"/>
        </w:rPr>
        <w:t>.</w:t>
      </w:r>
      <w:r w:rsidRPr="00857C48">
        <w:rPr>
          <w:rFonts w:cs="Arial"/>
          <w:szCs w:val="22"/>
        </w:rPr>
        <w:t xml:space="preserve"> NRPSs with different sizes and numbers of A domains would therefore likely have unique optimal reaction condition sets. The TC/</w:t>
      </w:r>
      <w:proofErr w:type="spellStart"/>
      <w:r w:rsidRPr="00857C48">
        <w:rPr>
          <w:rFonts w:cs="Arial"/>
          <w:szCs w:val="22"/>
        </w:rPr>
        <w:t>FlAsH</w:t>
      </w:r>
      <w:proofErr w:type="spellEnd"/>
      <w:r w:rsidRPr="00857C48">
        <w:rPr>
          <w:rFonts w:cs="Arial"/>
          <w:szCs w:val="22"/>
        </w:rPr>
        <w:t xml:space="preserve"> method would be useful for defining these reaction parameters through sequential optimization experiments, in a way that offers more throughput than current methods to detect these enzymes</w:t>
      </w:r>
      <w:r w:rsidRPr="00857C48">
        <w:rPr>
          <w:rFonts w:cs="Arial"/>
          <w:szCs w:val="22"/>
        </w:rPr>
        <w:fldChar w:fldCharType="begin" w:fldLock="1"/>
      </w:r>
      <w:r w:rsidR="004F3109">
        <w:rPr>
          <w:rFonts w:cs="Arial"/>
          <w:szCs w:val="22"/>
        </w:rPr>
        <w:instrText>ADDIN CSL_CITATION {"citationItems":[{"id":"ITEM-1","itemData":{"DOI":"10.1021/acssynbio.6b00160","ISSN":"21615063","abstract":"Genome sequencing has revealed that a far greater number of natural product biosynthetic pathways exist than there are known natural products. To access these molecules directly and deterministically, a new generation of heterologous expression methods is needed. Cell-free protein synthesis has not previously been used to study nonribosomal peptide biosynthesis, and provides a tunable platform with advantages over conventional methods for protein expression. Here, we demonstrate the use of cell-free protein synthesis to biosynthesize a cyclic dipeptide with correct absolute stereochemistry. From a single-pot reaction, we measured the expression of two nonribosomal peptide synthetases larger than 100 kDa, and detected high-level production of a diketopiperazine. Using quantitative LC-MS and synthetically prepared standard, we observed production of this metabolite at levels higher than previously reported from cell-based recombinant expression, approximately 12 mg/L. Overall, this work represents a first step to apply cell-free protein synthesis to discover and characterize new natural products.","author":[{"dropping-particle":"","family":"Goering","given":"Anthony W.","non-dropping-particle":"","parse-names":false,"suffix":""},{"dropping-particle":"","family":"Li","given":"Jian","non-dropping-particle":"","parse-names":false,"suffix":""},{"dropping-particle":"","family":"McClure","given":"Ryan A.","non-dropping-particle":"","parse-names":false,"suffix":""},{"dropping-particle":"","family":"Thomson","given":"Regan J.","non-dropping-particle":"","parse-names":false,"suffix":""},{"dropping-particle":"","family":"Jewett","given":"Michael C.","non-dropping-particle":"","parse-names":false,"suffix":""},{"dropping-particle":"","family":"Kelleher","given":"Neil L.","non-dropping-particle":"","parse-names":false,"suffix":""}],"container-title":"ACS Synthetic Biology","id":"ITEM-1","issue":"1","issued":{"date-parts":[["2017"]]},"page":"39-44","publisher":"American Chemical Society","title":"In vitro reconstruction of nonribosomal peptide biosynthesis directly from DNA using cell-free protein synthesis","type":"article-journal","volume":"6"},"uris":["http://www.mendeley.com/documents/?uuid=5dc6ed63-4413-3c6e-973c-719fb49b3ef4"]},{"id":"ITEM-2","itemData":{"DOI":"10.1016/J.YMBEN.2020.03.009","ISSN":"1096-7176","PMID":"32224263","abstract":"Natural products are important because of their significant pharmaceutical properties such as antiviral, antimicrobial, and anticancer activity. Recent breakthroughs in DNA sequencing reveal that a great number of cryptic natural product biosynthetic gene clusters are encoded in microbial genomes, for example, those of Streptomyces species. However, it is still challenging to access compounds from these clusters because many source organisms are uncultivable or the genes are silent during laboratory cultivation. To address this challenge, we develop an efficient cell-free platform for the rapid, in vitro total biosynthesis of the nonribosomal peptide valinomycin as a model. We achieve this goal in two ways. First, we used a cell-free protein synthesis (CFPS) system to express the entire valinomycin biosynthetic gene cluster (&gt;19 kb) in a single-pot reaction, giving rise to approximately 37 μg/L of valinomycin after optimization. Second, we coupled CFPS with cell-free metabolic engineering system by mixing two enzyme-enriched cell lysates to perform a two-stage biosynthesis. This strategy improved valinomycin production ~5000-fold to nearly 30 mg/L. We expect that cell-free biosynthetic systems will provide a new avenue to express, discover, and characterize natural product gene clusters of interest in vitro.","author":[{"dropping-particle":"","family":"Zhuang","given":"Lei","non-dropping-particle":"","parse-names":false,"suffix":""},{"dropping-particle":"","family":"Huang","given":"Shuhui","non-dropping-particle":"","parse-names":false,"suffix":""},{"dropping-particle":"","family":"Liu","given":"Wan Qiu","non-dropping-particle":"","parse-names":false,"suffix":""},{"dropping-particle":"","family":"Karim","given":"Ashty S.","non-dropping-particle":"","parse-names":false,"suffix":""},{"dropping-particle":"","family":"Jewett","given":"Michael C.","non-dropping-particle":"","parse-names":false,"suffix":""},{"dropping-particle":"","family":"Li","given":"Jian","non-dropping-particle":"","parse-names":false,"suffix":""}],"container-title":"Metabolic Engineering","id":"ITEM-2","issued":{"date-parts":[["2020","7","1"]]},"page":"37-44","publisher":"Academic Press","title":"Total in vitro biosynthesis of the nonribosomal macrolactone peptide valinomycin","type":"article-journal","volume":"60"},"uris":["http://www.mendeley.com/documents/?uuid=7b4a6e0f-c308-3fc8-998b-3b950a873609"]},{"id":"ITEM-3","itemData":{"DOI":"10.1021/ACS.ANALCHEM.7B02555/SUPPL_FILE/AC7B02555_SI_003.XLSX","ISSN":"15206882","PMID":"29039646","abstract":"Cell-free protein synthesis (CFPS) has the potential to produce enzymes, therapeutic agents, and other proteins, while circumventing difficulties associated with in vivo heterologous expression. However, the contents of the cell-free extracts used to carry out synthesis are generally not characterized, which hampers progress toward enhancing yield or functional activity of the target protein. We explored the utility of mass spectrometry (MS)-based proteomics for characterizing the bacterial extracts used for transcribing and translating gene sequences into proteins as well as the products of CFPS reactions. Full proteome experiments identified over 1000 proteins per reaction. The complete set of proteins necessary for transcription and translation were found, demonstrating the ability to define potential metabolic capabilities of the extract. Further, MS-based techniques allowed characterization of the CFPS product and provided insight into the synthesis reaction and potential functional activity of the product. These capabilities were demonstrated using two different CFPS products, the commonly used standard green fluorescent protein (GFP, 27 kDa) and the polyketide synthase DEBS1 (394 kDa). For the large, multidomain DEBS1, substantial premature termination of protein translation was observed. Additionally, MS/MS analysis, as part of a conventional full proteomics workflow, identified post-translational modifications, including the chromophore in GFP, as well as the three phosphopantetheinylation sites in DEBS1. A hypothesis-driven approach focused on these three sites identified that all were correctly modified for DEBS1 expressed in vivo but with less complete coverage for protein expressed in CFPS reactions. These post-translational modifications are essential for functional activity, and the ability to identify them with mass spectrometry is valuable for judging the success of the CFPS reaction. Collectively, the use of MS-based proteomics will prove advantageous for advancing the application of CFPS and related techniques.","author":[{"dropping-particle":"","family":"Hurst","given":"Gregory B.","non-dropping-particle":"","parse-names":false,"suffix":""},{"dropping-particle":"","family":"Asano","given":"Keiji G.","non-dropping-particle":"","parse-names":false,"suffix":""},{"dropping-particle":"","family":"Doktycz","given":"Charles J.","non-dropping-particle":"","parse-names":false,"suffix":""},{"dropping-particle":"","family":"Consoli","given":"Elliot J.","non-dropping-particle":"","parse-names":false,"suffix":""},{"dropping-particle":"","family":"Doktycz","given":"William L.","non-dropping-particle":"","parse-names":false,"suffix":""},{"dropping-particle":"","family":"Foster","given":"Carmen M.","non-dropping-particle":"","parse-names":false,"suffix":""},{"dropping-particle":"","family":"Morrell-Falvey","given":"Jennifer L.","non-dropping-particle":"","parse-names":false,"suffix":""},{"dropping-particle":"","family":"Standaert","given":"Robert F.","non-dropping-particle":"","parse-names":false,"suffix":""},{"dropping-particle":"","family":"Doktycz","given":"Mitchel J.","non-dropping-particle":"","parse-names":false,"suffix":""}],"container-title":"Analytical Chemistry","id":"ITEM-3","issue":"21","issued":{"date-parts":[["2017","11","7"]]},"page":"11443-11451","publisher":"American Chemical Society","title":"Proteomics-Based Tools for Evaluation of Cell-Free Protein Synthesis","type":"article-journal","volume":"89"},"uris":["http://www.mendeley.com/documents/?uuid=1a092bfc-64ef-3ac6-a827-3d0fe37304d5"]}],"mendeley":{"formattedCitation":"&lt;sup&gt;54,211,212&lt;/sup&gt;","plainTextFormattedCitation":"54,211,212","previouslyFormattedCitation":"&lt;sup&gt;54,211,212&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54,211,212</w:t>
      </w:r>
      <w:r w:rsidRPr="00857C48">
        <w:rPr>
          <w:rFonts w:cs="Arial"/>
          <w:szCs w:val="22"/>
        </w:rPr>
        <w:fldChar w:fldCharType="end"/>
      </w:r>
      <w:r w:rsidR="00D60D4C">
        <w:rPr>
          <w:rFonts w:cs="Arial"/>
          <w:szCs w:val="22"/>
        </w:rPr>
        <w:t>.</w:t>
      </w:r>
      <w:r w:rsidRPr="00857C48">
        <w:rPr>
          <w:rFonts w:cs="Arial"/>
          <w:szCs w:val="22"/>
        </w:rPr>
        <w:t xml:space="preserve"> </w:t>
      </w:r>
    </w:p>
    <w:p w14:paraId="05E583E1" w14:textId="4F1A5267" w:rsidR="00857C48" w:rsidRPr="00857C48" w:rsidRDefault="00857C48" w:rsidP="00D60D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Cs w:val="22"/>
        </w:rPr>
      </w:pPr>
      <w:r w:rsidRPr="00857C48">
        <w:rPr>
          <w:rFonts w:cs="Arial"/>
          <w:szCs w:val="22"/>
        </w:rPr>
        <w:tab/>
        <w:t>Additional applications of the TC/</w:t>
      </w:r>
      <w:proofErr w:type="spellStart"/>
      <w:r w:rsidRPr="00857C48">
        <w:rPr>
          <w:rFonts w:cs="Arial"/>
          <w:szCs w:val="22"/>
        </w:rPr>
        <w:t>FlAsH</w:t>
      </w:r>
      <w:proofErr w:type="spellEnd"/>
      <w:r w:rsidRPr="00857C48">
        <w:rPr>
          <w:rFonts w:cs="Arial"/>
          <w:szCs w:val="22"/>
        </w:rPr>
        <w:t xml:space="preserve"> approach for NRPS CFE include discovery and prototyping. Despite their natural abundance, difficulty expressing NRPSs in </w:t>
      </w:r>
      <w:r w:rsidRPr="00857C48">
        <w:rPr>
          <w:rFonts w:cs="Arial"/>
          <w:i/>
          <w:iCs/>
          <w:szCs w:val="22"/>
        </w:rPr>
        <w:t xml:space="preserve">in vivo </w:t>
      </w:r>
      <w:r w:rsidRPr="00857C48">
        <w:rPr>
          <w:rFonts w:cs="Arial"/>
          <w:szCs w:val="22"/>
        </w:rPr>
        <w:t>systems has been a barrier to the characterization of these enzymes for natural product discovery</w:t>
      </w:r>
      <w:r w:rsidRPr="00857C48">
        <w:rPr>
          <w:rFonts w:cs="Arial"/>
          <w:szCs w:val="22"/>
        </w:rPr>
        <w:fldChar w:fldCharType="begin" w:fldLock="1"/>
      </w:r>
      <w:r w:rsidR="004F3109">
        <w:rPr>
          <w:rFonts w:cs="Arial"/>
          <w:szCs w:val="22"/>
        </w:rPr>
        <w:instrText>ADDIN CSL_CITATION {"citationItems":[{"id":"ITEM-1","itemData":{"DOI":"10.1021/acssynbio.6b00160","ISSN":"21615063","abstract":"Genome sequencing has revealed that a far greater number of natural product biosynthetic pathways exist than there are known natural products. To access these molecules directly and deterministically, a new generation of heterologous expression methods is needed. Cell-free protein synthesis has not previously been used to study nonribosomal peptide biosynthesis, and provides a tunable platform with advantages over conventional methods for protein expression. Here, we demonstrate the use of cell-free protein synthesis to biosynthesize a cyclic dipeptide with correct absolute stereochemistry. From a single-pot reaction, we measured the expression of two nonribosomal peptide synthetases larger than 100 kDa, and detected high-level production of a diketopiperazine. Using quantitative LC-MS and synthetically prepared standard, we observed production of this metabolite at levels higher than previously reported from cell-based recombinant expression, approximately 12 mg/L. Overall, this work represents a first step to apply cell-free protein synthesis to discover and characterize new natural products.","author":[{"dropping-particle":"","family":"Goering","given":"Anthony W.","non-dropping-particle":"","parse-names":false,"suffix":""},{"dropping-particle":"","family":"Li","given":"Jian","non-dropping-particle":"","parse-names":false,"suffix":""},{"dropping-particle":"","family":"McClure","given":"Ryan A.","non-dropping-particle":"","parse-names":false,"suffix":""},{"dropping-particle":"","family":"Thomson","given":"Regan J.","non-dropping-particle":"","parse-names":false,"suffix":""},{"dropping-particle":"","family":"Jewett","given":"Michael C.","non-dropping-particle":"","parse-names":false,"suffix":""},{"dropping-particle":"","family":"Kelleher","given":"Neil L.","non-dropping-particle":"","parse-names":false,"suffix":""}],"container-title":"ACS Synthetic Biology","id":"ITEM-1","issue":"1","issued":{"date-parts":[["2017"]]},"page":"39-44","publisher":"American Chemical Society","title":"In vitro reconstruction of nonribosomal peptide biosynthesis directly from DNA using cell-free protein synthesis","type":"article-journal","volume":"6"},"uris":["http://www.mendeley.com/documents/?uuid=5dc6ed63-4413-3c6e-973c-719fb49b3ef4"]}],"mendeley":{"formattedCitation":"&lt;sup&gt;211&lt;/sup&gt;","plainTextFormattedCitation":"211","previouslyFormattedCitation":"&lt;sup&gt;211&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211</w:t>
      </w:r>
      <w:r w:rsidRPr="00857C48">
        <w:rPr>
          <w:rFonts w:cs="Arial"/>
          <w:szCs w:val="22"/>
        </w:rPr>
        <w:fldChar w:fldCharType="end"/>
      </w:r>
      <w:r w:rsidR="00D60D4C">
        <w:rPr>
          <w:rFonts w:cs="Arial"/>
          <w:szCs w:val="22"/>
        </w:rPr>
        <w:t>.</w:t>
      </w:r>
      <w:r w:rsidRPr="00857C48">
        <w:rPr>
          <w:rFonts w:cs="Arial"/>
          <w:szCs w:val="22"/>
        </w:rPr>
        <w:t xml:space="preserve"> The strategy could thus be usefully applied towards expressing libraries of NRPS sequences incorporating TC tags or prototyping genetic parts for successful NRPS expression in model or non-model lysate backgrounds. Measuring TC/</w:t>
      </w:r>
      <w:proofErr w:type="spellStart"/>
      <w:r w:rsidRPr="00857C48">
        <w:rPr>
          <w:rFonts w:cs="Arial"/>
          <w:szCs w:val="22"/>
        </w:rPr>
        <w:t>FlAsH</w:t>
      </w:r>
      <w:proofErr w:type="spellEnd"/>
      <w:r w:rsidRPr="00857C48">
        <w:rPr>
          <w:rFonts w:cs="Arial"/>
          <w:szCs w:val="22"/>
        </w:rPr>
        <w:t xml:space="preserve"> could also have value in screening engineered libraries, facilitating the discovery of structurally diverse </w:t>
      </w:r>
      <w:proofErr w:type="spellStart"/>
      <w:r w:rsidRPr="00857C48">
        <w:rPr>
          <w:rFonts w:cs="Arial"/>
          <w:szCs w:val="22"/>
        </w:rPr>
        <w:t>nonribosomal</w:t>
      </w:r>
      <w:proofErr w:type="spellEnd"/>
      <w:r w:rsidRPr="00857C48">
        <w:rPr>
          <w:rFonts w:cs="Arial"/>
          <w:szCs w:val="22"/>
        </w:rPr>
        <w:t xml:space="preserve"> peptides</w:t>
      </w:r>
      <w:r w:rsidRPr="00857C48">
        <w:rPr>
          <w:rFonts w:cs="Arial"/>
          <w:szCs w:val="22"/>
        </w:rPr>
        <w:fldChar w:fldCharType="begin" w:fldLock="1"/>
      </w:r>
      <w:r w:rsidR="004F3109">
        <w:rPr>
          <w:rFonts w:cs="Arial"/>
          <w:szCs w:val="22"/>
        </w:rPr>
        <w:instrText>ADDIN CSL_CITATION {"citationItems":[{"id":"ITEM-1","itemData":{"DOI":"10.1016/J.MIB.2019.10.007","ISSN":"1879-0364","PMID":"31743841","abstract":"Numerous important therapeutic agents, including widely-used antibiotics, anti-cancer drugs, immunosuppressants, agrochemicals and other valuable compounds, are produced by microorganisms. Many of these are biosynthesised by modular enzymatic assembly line polyketide synthases, non-ribosomal peptide synthetases, and hybrids thereof. To alter the backbone structure of these valuable but difficult to modify compounds, the respective enzymatic machineries can be engineered to create even more valuable molecules with improved properties and/or to bypass resistance mechanisms. In the past, many attempts to achieve assembly line pathway engineering failed or led to enzymes with compromised activity. Recently our understanding of assembly line structural biology, including an appreciation of the conformational changes that occur during the catalytic cycle, have improved hugely. This has proven to be a driving force for new approaches and several recent examples have demonstrated the production of new-to-nature molecules, including anti-infectives. We discuss the developments of the last few years and highlight selected, illuminating examples of assembly line engineering.","author":[{"dropping-particle":"","family":"Bozhüyük","given":"Kenan AJ","non-dropping-particle":"","parse-names":false,"suffix":""},{"dropping-particle":"","family":"Micklefield","given":"Jason","non-dropping-particle":"","parse-names":false,"suffix":""},{"dropping-particle":"","family":"Wilkinson","given":"Barrie","non-dropping-particle":"","parse-names":false,"suffix":""}],"container-title":"Current opinion in microbiology","id":"ITEM-1","issued":{"date-parts":[["2019","10","1"]]},"page":"88-96","publisher":"Curr Opin Microbiol","title":"Engineering enzymatic assembly lines to produce new antibiotics","type":"article-journal","volume":"51"},"uris":["http://www.mendeley.com/documents/?uuid=31e5cda1-ee77-30a9-830b-7e3989817f69"]}],"mendeley":{"formattedCitation":"&lt;sup&gt;245&lt;/sup&gt;","plainTextFormattedCitation":"245","previouslyFormattedCitation":"&lt;sup&gt;245&lt;/sup&gt;"},"properties":{"noteIndex":0},"schema":"https://github.com/citation-style-language/schema/raw/master/csl-citation.json"}</w:instrText>
      </w:r>
      <w:r w:rsidRPr="00857C48">
        <w:rPr>
          <w:rFonts w:cs="Arial"/>
          <w:szCs w:val="22"/>
        </w:rPr>
        <w:fldChar w:fldCharType="separate"/>
      </w:r>
      <w:r w:rsidR="00A91591" w:rsidRPr="00A91591">
        <w:rPr>
          <w:rFonts w:cs="Arial"/>
          <w:noProof/>
          <w:szCs w:val="22"/>
          <w:vertAlign w:val="superscript"/>
        </w:rPr>
        <w:t>245</w:t>
      </w:r>
      <w:r w:rsidRPr="00857C48">
        <w:rPr>
          <w:rFonts w:cs="Arial"/>
          <w:szCs w:val="22"/>
        </w:rPr>
        <w:fldChar w:fldCharType="end"/>
      </w:r>
      <w:r w:rsidR="00D60D4C">
        <w:rPr>
          <w:rFonts w:cs="Arial"/>
          <w:szCs w:val="22"/>
        </w:rPr>
        <w:t>.</w:t>
      </w:r>
      <w:r w:rsidRPr="00857C48">
        <w:rPr>
          <w:rFonts w:cs="Arial"/>
          <w:szCs w:val="22"/>
        </w:rPr>
        <w:t xml:space="preserve"> </w:t>
      </w:r>
    </w:p>
    <w:p w14:paraId="1D36A36E" w14:textId="36E59735" w:rsidR="00857C48" w:rsidRPr="00857C48" w:rsidRDefault="00857C48" w:rsidP="00D60D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Cs w:val="22"/>
        </w:rPr>
      </w:pPr>
      <w:r w:rsidRPr="00857C48">
        <w:rPr>
          <w:rFonts w:cs="Arial"/>
          <w:szCs w:val="22"/>
        </w:rPr>
        <w:tab/>
        <w:t>Looking forward, this approach is envisioned to help expedite the study and optimization of lysate-based CFE systems for specific protein synthesis, especially enzymes like NRPSs that possess complex physicochemical properties which may impede cell-free TX/TL. This will consequently advance the development of robust NRPS expression platforms that will support academic and commercial applications.</w:t>
      </w:r>
    </w:p>
    <w:p w14:paraId="2CC94A0B" w14:textId="412A4A3C" w:rsidR="00857C48" w:rsidRPr="00857C48" w:rsidRDefault="00857C48" w:rsidP="00D60D4C">
      <w:pPr>
        <w:rPr>
          <w:rFonts w:cs="Arial"/>
          <w:szCs w:val="22"/>
        </w:rPr>
      </w:pPr>
    </w:p>
    <w:p w14:paraId="0E6EA928" w14:textId="465C1057" w:rsidR="00857C48" w:rsidRPr="00857C48" w:rsidRDefault="00857C48" w:rsidP="00D60D4C">
      <w:pPr>
        <w:rPr>
          <w:rFonts w:cs="Arial"/>
          <w:szCs w:val="22"/>
        </w:rPr>
      </w:pPr>
    </w:p>
    <w:p w14:paraId="54EBA4E8" w14:textId="6F22472C" w:rsidR="00857C48" w:rsidRDefault="00857C48" w:rsidP="00D60D4C">
      <w:pPr>
        <w:rPr>
          <w:rFonts w:ascii="Times New Roman" w:hAnsi="Times New Roman" w:cs="Times New Roman"/>
        </w:rPr>
      </w:pPr>
    </w:p>
    <w:p w14:paraId="11115C99" w14:textId="621A0590" w:rsidR="00857C48" w:rsidRDefault="00857C48" w:rsidP="00D60D4C">
      <w:pPr>
        <w:rPr>
          <w:rFonts w:ascii="Times New Roman" w:hAnsi="Times New Roman" w:cs="Times New Roman"/>
        </w:rPr>
      </w:pPr>
    </w:p>
    <w:p w14:paraId="1B54570E" w14:textId="0D9C8397" w:rsidR="00857C48" w:rsidRDefault="00857C48" w:rsidP="00D60D4C">
      <w:pPr>
        <w:rPr>
          <w:rFonts w:ascii="Times New Roman" w:hAnsi="Times New Roman" w:cs="Times New Roman"/>
        </w:rPr>
      </w:pPr>
    </w:p>
    <w:p w14:paraId="4870E09E" w14:textId="2D65E00C" w:rsidR="00857C48" w:rsidRDefault="00857C48" w:rsidP="00D60D4C">
      <w:pPr>
        <w:rPr>
          <w:rFonts w:ascii="Times New Roman" w:hAnsi="Times New Roman" w:cs="Times New Roman"/>
        </w:rPr>
      </w:pPr>
    </w:p>
    <w:p w14:paraId="0ED055D4" w14:textId="77777777" w:rsidR="00A90B05" w:rsidRDefault="00A90B05" w:rsidP="00A90B05">
      <w:pPr>
        <w:rPr>
          <w:rFonts w:ascii="Times New Roman" w:hAnsi="Times New Roman" w:cs="Times New Roman"/>
        </w:rPr>
      </w:pPr>
    </w:p>
    <w:p w14:paraId="4DDF6924" w14:textId="383CC7F8" w:rsidR="00C65E6B" w:rsidRPr="00A90B05" w:rsidRDefault="008032E4" w:rsidP="00A90B05">
      <w:pPr>
        <w:jc w:val="center"/>
        <w:rPr>
          <w:rFonts w:eastAsia="Times New Roman" w:cs="Arial"/>
          <w:b/>
          <w:bCs/>
          <w:color w:val="000000"/>
          <w:sz w:val="28"/>
          <w:szCs w:val="28"/>
          <w:lang w:val="en-US"/>
        </w:rPr>
      </w:pPr>
      <w:r w:rsidRPr="00A90B05">
        <w:rPr>
          <w:rFonts w:cs="Arial"/>
          <w:b/>
          <w:bCs/>
          <w:sz w:val="28"/>
          <w:szCs w:val="28"/>
        </w:rPr>
        <w:t>Appendix</w:t>
      </w:r>
    </w:p>
    <w:p w14:paraId="0ED16365" w14:textId="77777777" w:rsidR="00C65E6B" w:rsidRPr="007D40CB" w:rsidRDefault="00C65E6B" w:rsidP="007D40CB">
      <w:pPr>
        <w:rPr>
          <w:rFonts w:cs="Arial"/>
          <w:szCs w:val="22"/>
        </w:rPr>
      </w:pPr>
      <w:r w:rsidRPr="007D40CB">
        <w:rPr>
          <w:rFonts w:cs="Arial"/>
          <w:b/>
          <w:bCs/>
          <w:noProof/>
          <w:szCs w:val="22"/>
        </w:rPr>
        <w:drawing>
          <wp:inline distT="0" distB="0" distL="0" distR="0" wp14:anchorId="3E04C945" wp14:editId="58AA353B">
            <wp:extent cx="5943600" cy="3554730"/>
            <wp:effectExtent l="0" t="0" r="0" b="0"/>
            <wp:docPr id="44" name="Picture 44" descr="A picture containing indoor, light, night, l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indoor, light, night, lit&#10;&#10;Description automatically generated"/>
                    <pic:cNvPicPr/>
                  </pic:nvPicPr>
                  <pic:blipFill>
                    <a:blip r:embed="rId50" cstate="screen">
                      <a:extLst>
                        <a:ext uri="{28A0092B-C50C-407E-A947-70E740481C1C}">
                          <a14:useLocalDpi xmlns:a14="http://schemas.microsoft.com/office/drawing/2010/main"/>
                        </a:ext>
                      </a:extLst>
                    </a:blip>
                    <a:stretch>
                      <a:fillRect/>
                    </a:stretch>
                  </pic:blipFill>
                  <pic:spPr>
                    <a:xfrm>
                      <a:off x="0" y="0"/>
                      <a:ext cx="5943600" cy="3554730"/>
                    </a:xfrm>
                    <a:prstGeom prst="rect">
                      <a:avLst/>
                    </a:prstGeom>
                  </pic:spPr>
                </pic:pic>
              </a:graphicData>
            </a:graphic>
          </wp:inline>
        </w:drawing>
      </w:r>
    </w:p>
    <w:p w14:paraId="11DEE0F4" w14:textId="39F7EE6C" w:rsidR="00C65E6B" w:rsidRPr="007D40CB" w:rsidRDefault="00C65E6B" w:rsidP="007D40CB">
      <w:pPr>
        <w:rPr>
          <w:rFonts w:cs="Arial"/>
          <w:szCs w:val="22"/>
        </w:rPr>
      </w:pPr>
      <w:bookmarkStart w:id="143" w:name="_Toc129701173"/>
      <w:r w:rsidRPr="00F256F4">
        <w:rPr>
          <w:rStyle w:val="FigurecaptionChar"/>
        </w:rPr>
        <w:t xml:space="preserve">Figure </w:t>
      </w:r>
      <w:r w:rsidR="00FF6237" w:rsidRPr="00F256F4">
        <w:rPr>
          <w:rStyle w:val="FigurecaptionChar"/>
        </w:rPr>
        <w:t>5.</w:t>
      </w:r>
      <w:r w:rsidR="00F256F4" w:rsidRPr="00F256F4">
        <w:rPr>
          <w:rStyle w:val="FigurecaptionChar"/>
        </w:rPr>
        <w:t>7</w:t>
      </w:r>
      <w:r w:rsidRPr="00F256F4">
        <w:rPr>
          <w:rStyle w:val="FigurecaptionChar"/>
        </w:rPr>
        <w:t xml:space="preserve">. Standard curves of </w:t>
      </w:r>
      <w:proofErr w:type="spellStart"/>
      <w:r w:rsidRPr="00F256F4">
        <w:rPr>
          <w:rStyle w:val="FigurecaptionChar"/>
        </w:rPr>
        <w:t>indigoidine</w:t>
      </w:r>
      <w:proofErr w:type="spellEnd"/>
      <w:r w:rsidRPr="00F256F4">
        <w:rPr>
          <w:rStyle w:val="FigurecaptionChar"/>
        </w:rPr>
        <w:t xml:space="preserve"> from purified </w:t>
      </w:r>
      <w:proofErr w:type="spellStart"/>
      <w:r w:rsidRPr="00F256F4">
        <w:rPr>
          <w:rStyle w:val="FigurecaptionChar"/>
        </w:rPr>
        <w:t>indigoidine</w:t>
      </w:r>
      <w:proofErr w:type="spellEnd"/>
      <w:r w:rsidRPr="00F256F4">
        <w:rPr>
          <w:rStyle w:val="FigurecaptionChar"/>
        </w:rPr>
        <w:t xml:space="preserve"> in BAP1 lysate mock reactions.</w:t>
      </w:r>
      <w:bookmarkEnd w:id="143"/>
      <w:r w:rsidRPr="007D40CB">
        <w:rPr>
          <w:rFonts w:cs="Arial"/>
          <w:szCs w:val="22"/>
        </w:rPr>
        <w:t xml:space="preserve"> Due to the solubility limits of </w:t>
      </w:r>
      <w:proofErr w:type="spellStart"/>
      <w:r w:rsidRPr="007D40CB">
        <w:rPr>
          <w:rFonts w:cs="Arial"/>
          <w:szCs w:val="22"/>
        </w:rPr>
        <w:t>indigoidine</w:t>
      </w:r>
      <w:proofErr w:type="spellEnd"/>
      <w:r w:rsidRPr="007D40CB">
        <w:rPr>
          <w:rFonts w:cs="Arial"/>
          <w:szCs w:val="22"/>
        </w:rPr>
        <w:t xml:space="preserve">, different concentrations of DMSO were added to the lysate reaction mix to dissolve </w:t>
      </w:r>
      <w:proofErr w:type="spellStart"/>
      <w:r w:rsidRPr="007D40CB">
        <w:rPr>
          <w:rFonts w:cs="Arial"/>
          <w:szCs w:val="22"/>
        </w:rPr>
        <w:t>indigoidine</w:t>
      </w:r>
      <w:proofErr w:type="spellEnd"/>
      <w:r w:rsidRPr="007D40CB">
        <w:rPr>
          <w:rFonts w:cs="Arial"/>
          <w:szCs w:val="22"/>
        </w:rPr>
        <w:t xml:space="preserve">: </w:t>
      </w:r>
      <w:r w:rsidRPr="007D40CB">
        <w:rPr>
          <w:rFonts w:cs="Arial"/>
          <w:b/>
          <w:bCs/>
          <w:szCs w:val="22"/>
        </w:rPr>
        <w:t>A)</w:t>
      </w:r>
      <w:r w:rsidRPr="007D40CB">
        <w:rPr>
          <w:rFonts w:cs="Arial"/>
          <w:szCs w:val="22"/>
        </w:rPr>
        <w:t xml:space="preserve"> 0% DMSO, </w:t>
      </w:r>
      <w:r w:rsidRPr="007D40CB">
        <w:rPr>
          <w:rFonts w:cs="Arial"/>
          <w:b/>
          <w:bCs/>
          <w:szCs w:val="22"/>
        </w:rPr>
        <w:t>B)</w:t>
      </w:r>
      <w:r w:rsidRPr="007D40CB">
        <w:rPr>
          <w:rFonts w:cs="Arial"/>
          <w:szCs w:val="22"/>
        </w:rPr>
        <w:t xml:space="preserve"> 50% DMSO, </w:t>
      </w:r>
      <w:r w:rsidRPr="007D40CB">
        <w:rPr>
          <w:rFonts w:cs="Arial"/>
          <w:b/>
          <w:bCs/>
          <w:szCs w:val="22"/>
        </w:rPr>
        <w:t>C)</w:t>
      </w:r>
      <w:r w:rsidRPr="007D40CB">
        <w:rPr>
          <w:rFonts w:cs="Arial"/>
          <w:szCs w:val="22"/>
        </w:rPr>
        <w:t xml:space="preserve"> 60% DMSO, </w:t>
      </w:r>
      <w:r w:rsidRPr="007D40CB">
        <w:rPr>
          <w:rFonts w:cs="Arial"/>
          <w:b/>
          <w:bCs/>
          <w:szCs w:val="22"/>
        </w:rPr>
        <w:t>D)</w:t>
      </w:r>
      <w:r w:rsidRPr="007D40CB">
        <w:rPr>
          <w:rFonts w:cs="Arial"/>
          <w:szCs w:val="22"/>
        </w:rPr>
        <w:t xml:space="preserve"> 80% DMSO. In all cases, absorbance measurements were taken at 590  nm and divided by signals at 800 nm to deconvolute pigment absorbance from lysate turbidity.</w:t>
      </w:r>
      <w:r w:rsidRPr="007D40CB">
        <w:rPr>
          <w:rFonts w:cs="Arial"/>
          <w:szCs w:val="22"/>
        </w:rPr>
        <w:fldChar w:fldCharType="begin" w:fldLock="1"/>
      </w:r>
      <w:r w:rsidR="004F3109">
        <w:rPr>
          <w:rFonts w:cs="Arial"/>
          <w:szCs w:val="22"/>
        </w:rPr>
        <w:instrText>ADDIN CSL_CITATION {"citationItems":[{"id":"ITEM-1","itemData":{"DOI":"10.1039/C3MB70594C","ISSN":"1742-2051","PMID":"24457530","abstract":"Non-ribosomal peptide synthetases (NRPSs) are enzymes that catalyze ribosome-independent production of small peptides, most of which are bioactive. NRPSs act as peptide assembly lines where individual, often interconnected modules each incorporate a specific amino acid into the nascent chain. The modules themselves consist of several domains that function in the activation, modification and condensation of the substrate. NRPSs are evidently modular, yet experimental proof of the ability to engineer desired permutations of domains and modules is still sought. Here, we use a synthetic-biology approach to create a small library of engineered NRPSs, in which the domain responsible for carrying the activated amino acid (T domain) is exchanged with natural or synthetic T domains. As a model system, we employ the single-module NRPS IndC from Photorhabdus luminescens that produces the blue pigment indigoidine. As chassis we use Escherichia coli. We demonstrate that heterologous T domain exchange is possible, even for T domains derived from different organisms. Interestingly, substitution of the native T domain with a synthetic one enhanced indigoidine production. Moreover, we show that selection of appropriate inter-domain linker regions is critical for functionality. Taken together, our results extend the engineering avenues for NRPSs, as they point out the possibility of combining domain sequences coming from different pathways, organisms or from conservation criteria. Moreover, our data suggest that NRPSs can be rationally engineered to control the level of production of the corresponding peptides. This could have important implications for industrial and medical applications.","author":[{"dropping-particle":"","family":"Beer","given":"Ralf","non-dropping-particle":"","parse-names":false,"suffix":""},{"dropping-particle":"","family":"Herbst","given":"Konrad","non-dropping-particle":"","parse-names":false,"suffix":""},{"dropping-particle":"","family":"Ignatiadis","given":"Nikolaos","non-dropping-particle":"","parse-names":false,"suffix":""},{"dropping-particle":"","family":"Kats","given":"Ilia","non-dropping-particle":"","parse-names":false,"suffix":""},{"dropping-particle":"","family":"Adlung","given":"Lorenz","non-dropping-particle":"","parse-names":false,"suffix":""},{"dropping-particle":"","family":"Meyer","given":"Hannah","non-dropping-particle":"","parse-names":false,"suffix":""},{"dropping-particle":"","family":"Niopek","given":"Dominik","non-dropping-particle":"","parse-names":false,"suffix":""},{"dropping-particle":"","family":"Christiansen","given":"Tania","non-dropping-particle":"","parse-names":false,"suffix":""},{"dropping-particle":"","family":"Georgi","given":"Fanny","non-dropping-particle":"","parse-names":false,"suffix":""},{"dropping-particle":"","family":"Kurzawa","given":"Nils","non-dropping-particle":"","parse-names":false,"suffix":""},{"dropping-particle":"","family":"Meichsner","given":"Johanna","non-dropping-particle":"","parse-names":false,"suffix":""},{"dropping-particle":"","family":"Rabe","given":"Sophie","non-dropping-particle":"","parse-names":false,"suffix":""},{"dropping-particle":"","family":"Riedel","given":"Anja","non-dropping-particle":"","parse-names":false,"suffix":""},{"dropping-particle":"","family":"Sachs","given":"Joshua","non-dropping-particle":"","parse-names":false,"suffix":""},{"dropping-particle":"","family":"Schessner","given":"Julia","non-dropping-particle":"","parse-names":false,"suffix":""},{"dropping-particle":"","family":"Schmidt","given":"Florian","non-dropping-particle":"","parse-names":false,"suffix":""},{"dropping-particle":"","family":"Walch","given":"Philipp","non-dropping-particle":"","parse-names":false,"suffix":""},{"dropping-particle":"","family":"Niopek","given":"Katharina","non-dropping-particle":"","parse-names":false,"suffix":""},{"dropping-particle":"","family":"Heinemann","given":"Tim","non-dropping-particle":"","parse-names":false,"suffix":""},{"dropping-particle":"","family":"Eils","given":"Roland","non-dropping-particle":"","parse-names":false,"suffix":""},{"dropping-particle":"","family":"Ventura","given":"Barbara","non-dropping-particle":"Di","parse-names":false,"suffix":""}],"container-title":"Molecular BioSystems","id":"ITEM-1","issue":"7","issued":{"date-parts":[["2014","6","3"]]},"page":"1709-1718","publisher":"The Royal Society of Chemistry","title":"Creating functional engineered variants of the single-module non-ribosomal peptide synthetase IndC by T domain exchange","type":"article-journal","volume":"10"},"uris":["http://www.mendeley.com/documents/?uuid=d93e98d4-7621-36cc-9e1f-0d5950ed4ec5"]}],"mendeley":{"formattedCitation":"&lt;sup&gt;198&lt;/sup&gt;","plainTextFormattedCitation":"198","previouslyFormattedCitation":"&lt;sup&gt;198&lt;/sup&gt;"},"properties":{"noteIndex":0},"schema":"https://github.com/citation-style-language/schema/raw/master/csl-citation.json"}</w:instrText>
      </w:r>
      <w:r w:rsidRPr="007D40CB">
        <w:rPr>
          <w:rFonts w:cs="Arial"/>
          <w:szCs w:val="22"/>
        </w:rPr>
        <w:fldChar w:fldCharType="separate"/>
      </w:r>
      <w:r w:rsidR="00A91591" w:rsidRPr="00A91591">
        <w:rPr>
          <w:rFonts w:cs="Arial"/>
          <w:noProof/>
          <w:szCs w:val="22"/>
          <w:vertAlign w:val="superscript"/>
        </w:rPr>
        <w:t>198</w:t>
      </w:r>
      <w:r w:rsidRPr="007D40CB">
        <w:rPr>
          <w:rFonts w:cs="Arial"/>
          <w:szCs w:val="22"/>
        </w:rPr>
        <w:fldChar w:fldCharType="end"/>
      </w:r>
      <w:r w:rsidRPr="007D40CB">
        <w:rPr>
          <w:rFonts w:cs="Arial"/>
          <w:szCs w:val="22"/>
        </w:rPr>
        <w:t xml:space="preserve"> Afterwards, A590/A800 signals before DMSO addition were then subtracted from measurements after 70 % DMSO addition to measure soluble pigment.</w:t>
      </w:r>
      <w:r w:rsidRPr="007D40CB">
        <w:rPr>
          <w:rFonts w:cs="Arial"/>
          <w:szCs w:val="22"/>
        </w:rPr>
        <w:fldChar w:fldCharType="begin" w:fldLock="1"/>
      </w:r>
      <w:r w:rsidR="00567FF4">
        <w:rPr>
          <w:rFonts w:cs="Arial"/>
          <w:szCs w:val="22"/>
        </w:rPr>
        <w:instrText>ADDIN CSL_CITATION {"citationItems":[{"id":"ITEM-1","itemData":{"DOI":"10.1038/srep41745","ISSN":"20452322","abstract":"The ability to rapidly, economically and accurately measure L-glutamine concentrations in biological samples is important for many areas of research, medicine or industry, however there is room for improvement on existing methods. We describe here how the enzyme BpsA, a single-module non-ribosomal peptide synthetase able to convert L-glutamine into the blue pigment indigoidine, can be used to accurately measure L-glutamine in biological samples. Although indigoidine has low solubility in aqueous solutions, meaning direct measurements of indigoidine synthesis do not reliably yield linear standard curves, we demonstrate that resolubilisation of the reaction end-products in DMSO overcomes this issue and that spontaneous reduction to colourless leuco-indigoidine occurs too slowly to interfere with assay accuracy. Our protocol is amenable to a 96-well microtitre format and can be used to measure L-glutamine in common bacterial and mammalian culture media, urine, and deproteinated plasma. We show that active BpsA can be prepared in high yield by expressing it in the apo-form to avoid the toxicity of indigoidine to Escherichia coli host cells, then activating it to the holo-form in cell lysates prior to purification; and that BpsA has a lengthy shelf-life, retaining &gt;95% activity when stored at either -20 °C or 4 °C for 24 weeks.","author":[{"dropping-particle":"","family":"Brown","given":"Alistair S.","non-dropping-particle":"","parse-names":false,"suffix":""},{"dropping-particle":"","family":"Robins","given":"Katherine J.","non-dropping-particle":"","parse-names":false,"suffix":""},{"dropping-particle":"","family":"Ackerley","given":"David F.","non-dropping-particle":"","parse-names":false,"suffix":""}],"container-title":"Scientific Reports","id":"ITEM-1","issue":"1","issued":{"date-parts":[["2017","1","31"]]},"page":"1-13","publisher":"Nature Publishing Group","title":"A sensitive single-enzyme assay system using the non-ribosomal peptide synthetase BpsA for measurement of L-glutamine in biological samples","type":"article-journal","volume":"7"},"uris":["http://www.mendeley.com/documents/?uuid=dda65998-f29d-3848-91b7-4a30a37396e6"]}],"mendeley":{"formattedCitation":"&lt;sup&gt;69&lt;/sup&gt;","plainTextFormattedCitation":"69","previouslyFormattedCitation":"&lt;sup&gt;69&lt;/sup&gt;"},"properties":{"noteIndex":0},"schema":"https://github.com/citation-style-language/schema/raw/master/csl-citation.json"}</w:instrText>
      </w:r>
      <w:r w:rsidRPr="007D40CB">
        <w:rPr>
          <w:rFonts w:cs="Arial"/>
          <w:szCs w:val="22"/>
        </w:rPr>
        <w:fldChar w:fldCharType="separate"/>
      </w:r>
      <w:r w:rsidR="00567FF4" w:rsidRPr="00567FF4">
        <w:rPr>
          <w:rFonts w:cs="Arial"/>
          <w:noProof/>
          <w:szCs w:val="22"/>
          <w:vertAlign w:val="superscript"/>
        </w:rPr>
        <w:t>69</w:t>
      </w:r>
      <w:r w:rsidRPr="007D40CB">
        <w:rPr>
          <w:rFonts w:cs="Arial"/>
          <w:szCs w:val="22"/>
        </w:rPr>
        <w:fldChar w:fldCharType="end"/>
      </w:r>
      <w:r w:rsidRPr="007D40CB">
        <w:rPr>
          <w:rFonts w:cs="Arial"/>
          <w:b/>
          <w:bCs/>
          <w:szCs w:val="22"/>
        </w:rPr>
        <w:t xml:space="preserve"> </w:t>
      </w:r>
      <w:r w:rsidRPr="007D40CB">
        <w:rPr>
          <w:rFonts w:cs="Arial"/>
          <w:szCs w:val="22"/>
        </w:rPr>
        <w:t xml:space="preserve">For visualization of trends, values were averaged, compared to the baseline condition (0 µM </w:t>
      </w:r>
      <w:proofErr w:type="spellStart"/>
      <w:r w:rsidRPr="007D40CB">
        <w:rPr>
          <w:rFonts w:cs="Arial"/>
          <w:szCs w:val="22"/>
        </w:rPr>
        <w:t>indigoidine</w:t>
      </w:r>
      <w:proofErr w:type="spellEnd"/>
      <w:r w:rsidRPr="007D40CB">
        <w:rPr>
          <w:rFonts w:cs="Arial"/>
          <w:szCs w:val="22"/>
        </w:rPr>
        <w:t xml:space="preserve">), and plotted with error bars representing the standard error of the mean (n=3). </w:t>
      </w:r>
    </w:p>
    <w:p w14:paraId="2E689A27" w14:textId="77777777" w:rsidR="00C65E6B" w:rsidRPr="007D40CB" w:rsidRDefault="00C65E6B" w:rsidP="007D40CB">
      <w:pPr>
        <w:rPr>
          <w:rFonts w:cs="Arial"/>
          <w:szCs w:val="22"/>
        </w:rPr>
      </w:pPr>
      <w:r w:rsidRPr="007D40CB">
        <w:rPr>
          <w:rFonts w:cs="Arial"/>
          <w:szCs w:val="22"/>
        </w:rPr>
        <w:br w:type="page"/>
      </w:r>
    </w:p>
    <w:p w14:paraId="7DEE95C4" w14:textId="77777777" w:rsidR="00C65E6B" w:rsidRPr="007D40CB" w:rsidRDefault="00C65E6B" w:rsidP="00D60D4C">
      <w:pPr>
        <w:jc w:val="center"/>
        <w:rPr>
          <w:rFonts w:cs="Arial"/>
          <w:b/>
          <w:bCs/>
          <w:szCs w:val="22"/>
        </w:rPr>
      </w:pPr>
      <w:r w:rsidRPr="007D40CB">
        <w:rPr>
          <w:rFonts w:cs="Arial"/>
          <w:b/>
          <w:bCs/>
          <w:noProof/>
          <w:szCs w:val="22"/>
        </w:rPr>
        <w:lastRenderedPageBreak/>
        <w:drawing>
          <wp:inline distT="0" distB="0" distL="0" distR="0" wp14:anchorId="14C8F81F" wp14:editId="3C5DC12D">
            <wp:extent cx="2190578" cy="2501508"/>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51" cstate="screen">
                      <a:extLst>
                        <a:ext uri="{28A0092B-C50C-407E-A947-70E740481C1C}">
                          <a14:useLocalDpi xmlns:a14="http://schemas.microsoft.com/office/drawing/2010/main"/>
                        </a:ext>
                      </a:extLst>
                    </a:blip>
                    <a:stretch>
                      <a:fillRect/>
                    </a:stretch>
                  </pic:blipFill>
                  <pic:spPr>
                    <a:xfrm>
                      <a:off x="0" y="0"/>
                      <a:ext cx="2199704" cy="2511929"/>
                    </a:xfrm>
                    <a:prstGeom prst="rect">
                      <a:avLst/>
                    </a:prstGeom>
                  </pic:spPr>
                </pic:pic>
              </a:graphicData>
            </a:graphic>
          </wp:inline>
        </w:drawing>
      </w:r>
    </w:p>
    <w:p w14:paraId="1C27F54E" w14:textId="42929C8A" w:rsidR="00D60D4C" w:rsidRDefault="00C65E6B" w:rsidP="00F256F4">
      <w:pPr>
        <w:pStyle w:val="Figurecaption"/>
        <w:rPr>
          <w:i/>
          <w:iCs/>
        </w:rPr>
      </w:pPr>
      <w:bookmarkStart w:id="144" w:name="_Toc129701174"/>
      <w:r w:rsidRPr="00F256F4">
        <w:t xml:space="preserve">Figure </w:t>
      </w:r>
      <w:r w:rsidR="00FF6237" w:rsidRPr="00F256F4">
        <w:t>5.</w:t>
      </w:r>
      <w:r w:rsidR="00F256F4" w:rsidRPr="00F256F4">
        <w:t>8</w:t>
      </w:r>
      <w:r w:rsidRPr="00F256F4">
        <w:t>.</w:t>
      </w:r>
      <w:r w:rsidRPr="007D40CB">
        <w:t xml:space="preserve"> SDS-PAGE gel of purified </w:t>
      </w:r>
      <w:proofErr w:type="spellStart"/>
      <w:r w:rsidRPr="007D40CB">
        <w:t>BpsA</w:t>
      </w:r>
      <w:proofErr w:type="spellEnd"/>
      <w:r w:rsidRPr="007D40CB">
        <w:t xml:space="preserve">-TC expressed </w:t>
      </w:r>
      <w:proofErr w:type="spellStart"/>
      <w:r w:rsidRPr="007D40CB">
        <w:t>heterologously</w:t>
      </w:r>
      <w:proofErr w:type="spellEnd"/>
      <w:r w:rsidRPr="007D40CB">
        <w:t xml:space="preserve"> in </w:t>
      </w:r>
      <w:r w:rsidRPr="007D40CB">
        <w:rPr>
          <w:i/>
          <w:iCs/>
        </w:rPr>
        <w:t xml:space="preserve">E. coli </w:t>
      </w:r>
      <w:r w:rsidRPr="007D40CB">
        <w:t>BAP1</w:t>
      </w:r>
      <w:r w:rsidRPr="007D40CB">
        <w:rPr>
          <w:i/>
          <w:iCs/>
        </w:rPr>
        <w:t>.</w:t>
      </w:r>
      <w:bookmarkEnd w:id="144"/>
    </w:p>
    <w:p w14:paraId="60A316A6" w14:textId="77777777" w:rsidR="00D60D4C" w:rsidRDefault="00D60D4C" w:rsidP="007D40CB">
      <w:pPr>
        <w:rPr>
          <w:rFonts w:cs="Arial"/>
          <w:szCs w:val="22"/>
        </w:rPr>
      </w:pPr>
    </w:p>
    <w:p w14:paraId="771688A8" w14:textId="7FCFC41A" w:rsidR="00C65E6B" w:rsidRPr="00D60D4C" w:rsidRDefault="00C65E6B" w:rsidP="007D40CB">
      <w:pPr>
        <w:rPr>
          <w:rFonts w:cs="Arial"/>
          <w:szCs w:val="22"/>
        </w:rPr>
      </w:pPr>
      <w:r w:rsidRPr="007D40CB">
        <w:rPr>
          <w:rFonts w:cs="Arial"/>
          <w:b/>
          <w:bCs/>
          <w:noProof/>
          <w:color w:val="000000" w:themeColor="text1"/>
          <w:szCs w:val="22"/>
        </w:rPr>
        <w:drawing>
          <wp:inline distT="0" distB="0" distL="0" distR="0" wp14:anchorId="3C26B74F" wp14:editId="345316DC">
            <wp:extent cx="5943600" cy="2297430"/>
            <wp:effectExtent l="0" t="0" r="0" b="0"/>
            <wp:docPr id="46" name="Picture 46" descr="A picture containing light, night, dark, 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light, night, dark, way&#10;&#10;Description automatically generated"/>
                    <pic:cNvPicPr/>
                  </pic:nvPicPr>
                  <pic:blipFill>
                    <a:blip r:embed="rId52" cstate="screen">
                      <a:extLst>
                        <a:ext uri="{28A0092B-C50C-407E-A947-70E740481C1C}">
                          <a14:useLocalDpi xmlns:a14="http://schemas.microsoft.com/office/drawing/2010/main"/>
                        </a:ext>
                      </a:extLst>
                    </a:blip>
                    <a:stretch>
                      <a:fillRect/>
                    </a:stretch>
                  </pic:blipFill>
                  <pic:spPr>
                    <a:xfrm>
                      <a:off x="0" y="0"/>
                      <a:ext cx="5943600" cy="2297430"/>
                    </a:xfrm>
                    <a:prstGeom prst="rect">
                      <a:avLst/>
                    </a:prstGeom>
                  </pic:spPr>
                </pic:pic>
              </a:graphicData>
            </a:graphic>
          </wp:inline>
        </w:drawing>
      </w:r>
    </w:p>
    <w:p w14:paraId="36859AB4" w14:textId="57CB809E" w:rsidR="00C65E6B" w:rsidRPr="007D40CB" w:rsidRDefault="00C65E6B" w:rsidP="007D40CB">
      <w:pPr>
        <w:rPr>
          <w:rFonts w:cs="Arial"/>
          <w:color w:val="000000" w:themeColor="text1"/>
          <w:szCs w:val="22"/>
        </w:rPr>
      </w:pPr>
      <w:bookmarkStart w:id="145" w:name="_Toc129701175"/>
      <w:r w:rsidRPr="00F256F4">
        <w:rPr>
          <w:rStyle w:val="FigurecaptionChar"/>
        </w:rPr>
        <w:t xml:space="preserve">Figure </w:t>
      </w:r>
      <w:r w:rsidR="00FF6237" w:rsidRPr="00F256F4">
        <w:rPr>
          <w:rStyle w:val="FigurecaptionChar"/>
        </w:rPr>
        <w:t>5.</w:t>
      </w:r>
      <w:r w:rsidR="00F256F4" w:rsidRPr="00F256F4">
        <w:rPr>
          <w:rStyle w:val="FigurecaptionChar"/>
        </w:rPr>
        <w:t>9</w:t>
      </w:r>
      <w:r w:rsidRPr="00F256F4">
        <w:rPr>
          <w:rStyle w:val="FigurecaptionChar"/>
        </w:rPr>
        <w:t xml:space="preserve">. Optimization of </w:t>
      </w:r>
      <w:proofErr w:type="spellStart"/>
      <w:r w:rsidRPr="00F256F4">
        <w:rPr>
          <w:rStyle w:val="FigurecaptionChar"/>
        </w:rPr>
        <w:t>FlAsH</w:t>
      </w:r>
      <w:proofErr w:type="spellEnd"/>
      <w:r w:rsidRPr="00F256F4">
        <w:rPr>
          <w:rStyle w:val="FigurecaptionChar"/>
        </w:rPr>
        <w:t xml:space="preserve"> concentration for TC/</w:t>
      </w:r>
      <w:proofErr w:type="spellStart"/>
      <w:r w:rsidRPr="00F256F4">
        <w:rPr>
          <w:rStyle w:val="FigurecaptionChar"/>
        </w:rPr>
        <w:t>FlAsH</w:t>
      </w:r>
      <w:proofErr w:type="spellEnd"/>
      <w:r w:rsidRPr="00F256F4">
        <w:rPr>
          <w:rStyle w:val="FigurecaptionChar"/>
        </w:rPr>
        <w:t xml:space="preserve"> measurement and validation in E. coli lysate-based reactions.</w:t>
      </w:r>
      <w:bookmarkEnd w:id="145"/>
      <w:r w:rsidRPr="007D40CB">
        <w:rPr>
          <w:rFonts w:cs="Arial"/>
          <w:b/>
          <w:bCs/>
          <w:color w:val="000000" w:themeColor="text1"/>
          <w:szCs w:val="22"/>
        </w:rPr>
        <w:t xml:space="preserve"> </w:t>
      </w:r>
      <w:r w:rsidRPr="007D40CB">
        <w:rPr>
          <w:rFonts w:cs="Arial"/>
          <w:color w:val="000000" w:themeColor="text1"/>
          <w:szCs w:val="22"/>
        </w:rPr>
        <w:t xml:space="preserve">Increasing concentrations of purified </w:t>
      </w:r>
      <w:proofErr w:type="spellStart"/>
      <w:r w:rsidRPr="007D40CB">
        <w:rPr>
          <w:rFonts w:cs="Arial"/>
          <w:color w:val="000000" w:themeColor="text1"/>
          <w:szCs w:val="22"/>
        </w:rPr>
        <w:t>BpsA</w:t>
      </w:r>
      <w:proofErr w:type="spellEnd"/>
      <w:r w:rsidRPr="007D40CB">
        <w:rPr>
          <w:rFonts w:cs="Arial"/>
          <w:color w:val="000000" w:themeColor="text1"/>
          <w:szCs w:val="22"/>
        </w:rPr>
        <w:t xml:space="preserve">-TC were spiked into BL21 (DE3) lysate-based CFE mock reactions. 0.5 µL </w:t>
      </w:r>
      <w:proofErr w:type="spellStart"/>
      <w:r w:rsidRPr="007D40CB">
        <w:rPr>
          <w:rFonts w:cs="Arial"/>
          <w:color w:val="000000" w:themeColor="text1"/>
          <w:szCs w:val="22"/>
        </w:rPr>
        <w:t>FlAsH</w:t>
      </w:r>
      <w:proofErr w:type="spellEnd"/>
      <w:r w:rsidRPr="007D40CB">
        <w:rPr>
          <w:rFonts w:cs="Arial"/>
          <w:color w:val="000000" w:themeColor="text1"/>
          <w:szCs w:val="22"/>
        </w:rPr>
        <w:t xml:space="preserve"> was added to different final concentrations for each set of reactions to determine an effective </w:t>
      </w:r>
      <w:proofErr w:type="spellStart"/>
      <w:r w:rsidRPr="007D40CB">
        <w:rPr>
          <w:rFonts w:cs="Arial"/>
          <w:color w:val="000000" w:themeColor="text1"/>
          <w:szCs w:val="22"/>
        </w:rPr>
        <w:t>FlAsH</w:t>
      </w:r>
      <w:proofErr w:type="spellEnd"/>
      <w:r w:rsidRPr="007D40CB">
        <w:rPr>
          <w:rFonts w:cs="Arial"/>
          <w:color w:val="000000" w:themeColor="text1"/>
          <w:szCs w:val="22"/>
        </w:rPr>
        <w:t xml:space="preserve"> concentration for measuring a range of TC-tagged protein in lysates: </w:t>
      </w:r>
      <w:r w:rsidRPr="007D40CB">
        <w:rPr>
          <w:rFonts w:cs="Arial"/>
          <w:b/>
          <w:bCs/>
          <w:color w:val="000000" w:themeColor="text1"/>
          <w:szCs w:val="22"/>
        </w:rPr>
        <w:t>A)</w:t>
      </w:r>
      <w:r w:rsidRPr="007D40CB">
        <w:rPr>
          <w:rFonts w:cs="Arial"/>
          <w:color w:val="000000" w:themeColor="text1"/>
          <w:szCs w:val="22"/>
        </w:rPr>
        <w:t xml:space="preserve"> 7.5 µM, </w:t>
      </w:r>
      <w:r w:rsidRPr="007D40CB">
        <w:rPr>
          <w:rFonts w:cs="Arial"/>
          <w:b/>
          <w:bCs/>
          <w:color w:val="000000" w:themeColor="text1"/>
          <w:szCs w:val="22"/>
        </w:rPr>
        <w:t>B)</w:t>
      </w:r>
      <w:r w:rsidRPr="007D40CB">
        <w:rPr>
          <w:rFonts w:cs="Arial"/>
          <w:color w:val="000000" w:themeColor="text1"/>
          <w:szCs w:val="22"/>
        </w:rPr>
        <w:t xml:space="preserve"> 15 µM. Averaged normalized values are visualized with error bars representing the standard error of the mean (n=3).</w:t>
      </w:r>
    </w:p>
    <w:p w14:paraId="79362661" w14:textId="36BE7268" w:rsidR="00C65E6B" w:rsidRPr="007D40CB" w:rsidRDefault="00C65E6B" w:rsidP="007D40CB">
      <w:pPr>
        <w:rPr>
          <w:rFonts w:cs="Arial"/>
          <w:b/>
          <w:bCs/>
          <w:szCs w:val="22"/>
        </w:rPr>
      </w:pPr>
      <w:r w:rsidRPr="007D40CB">
        <w:rPr>
          <w:rFonts w:cs="Arial"/>
          <w:b/>
          <w:bCs/>
          <w:noProof/>
          <w:szCs w:val="22"/>
        </w:rPr>
        <w:lastRenderedPageBreak/>
        <w:drawing>
          <wp:inline distT="0" distB="0" distL="0" distR="0" wp14:anchorId="72A0C27F" wp14:editId="1C527468">
            <wp:extent cx="5943600" cy="2134235"/>
            <wp:effectExtent l="0" t="0" r="0" b="0"/>
            <wp:docPr id="47" name="Picture 47" descr="A picture containing text,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ose&#10;&#10;Description automatically generated"/>
                    <pic:cNvPicPr/>
                  </pic:nvPicPr>
                  <pic:blipFill>
                    <a:blip r:embed="rId53" cstate="screen">
                      <a:extLst>
                        <a:ext uri="{28A0092B-C50C-407E-A947-70E740481C1C}">
                          <a14:useLocalDpi xmlns:a14="http://schemas.microsoft.com/office/drawing/2010/main"/>
                        </a:ext>
                      </a:extLst>
                    </a:blip>
                    <a:stretch>
                      <a:fillRect/>
                    </a:stretch>
                  </pic:blipFill>
                  <pic:spPr>
                    <a:xfrm>
                      <a:off x="0" y="0"/>
                      <a:ext cx="5943600" cy="2134235"/>
                    </a:xfrm>
                    <a:prstGeom prst="rect">
                      <a:avLst/>
                    </a:prstGeom>
                  </pic:spPr>
                </pic:pic>
              </a:graphicData>
            </a:graphic>
          </wp:inline>
        </w:drawing>
      </w:r>
    </w:p>
    <w:p w14:paraId="0651C67B" w14:textId="3306F3D9" w:rsidR="00C65E6B" w:rsidRPr="00D60D4C" w:rsidRDefault="00C65E6B" w:rsidP="007D40CB">
      <w:pPr>
        <w:rPr>
          <w:rFonts w:cs="Arial"/>
          <w:color w:val="000000" w:themeColor="text1"/>
          <w:szCs w:val="22"/>
        </w:rPr>
      </w:pPr>
      <w:bookmarkStart w:id="146" w:name="_Toc129701176"/>
      <w:r w:rsidRPr="00F256F4">
        <w:rPr>
          <w:rStyle w:val="FigurecaptionChar"/>
        </w:rPr>
        <w:t xml:space="preserve">Figure </w:t>
      </w:r>
      <w:r w:rsidR="00FF6237" w:rsidRPr="00F256F4">
        <w:rPr>
          <w:rStyle w:val="FigurecaptionChar"/>
        </w:rPr>
        <w:t>5.1</w:t>
      </w:r>
      <w:r w:rsidR="00F256F4">
        <w:rPr>
          <w:rStyle w:val="FigurecaptionChar"/>
        </w:rPr>
        <w:t>0</w:t>
      </w:r>
      <w:r w:rsidRPr="00F256F4">
        <w:rPr>
          <w:rStyle w:val="FigurecaptionChar"/>
        </w:rPr>
        <w:t xml:space="preserve">. </w:t>
      </w:r>
      <w:proofErr w:type="spellStart"/>
      <w:r w:rsidR="00F256F4" w:rsidRPr="00F256F4">
        <w:rPr>
          <w:rStyle w:val="FigurecaptionChar"/>
        </w:rPr>
        <w:t>BpsA</w:t>
      </w:r>
      <w:proofErr w:type="spellEnd"/>
      <w:r w:rsidR="00F256F4" w:rsidRPr="00F256F4">
        <w:rPr>
          <w:rStyle w:val="FigurecaptionChar"/>
        </w:rPr>
        <w:t>-TC CFE in different temperatures and E. coli lysates.</w:t>
      </w:r>
      <w:bookmarkEnd w:id="146"/>
      <w:r w:rsidR="00F256F4">
        <w:rPr>
          <w:rFonts w:cs="Arial"/>
          <w:b/>
          <w:bCs/>
          <w:szCs w:val="22"/>
        </w:rPr>
        <w:t xml:space="preserve"> </w:t>
      </w:r>
      <w:r w:rsidR="00D60D4C" w:rsidRPr="00D60D4C">
        <w:rPr>
          <w:rFonts w:cs="Arial"/>
          <w:b/>
          <w:bCs/>
          <w:szCs w:val="22"/>
        </w:rPr>
        <w:t xml:space="preserve">A) </w:t>
      </w:r>
      <w:r w:rsidR="00D60D4C" w:rsidRPr="00D60D4C">
        <w:rPr>
          <w:rFonts w:cs="Arial"/>
          <w:szCs w:val="22"/>
        </w:rPr>
        <w:t xml:space="preserve">SDS-PAGE gel of CFE protein at 25˚C and 30˚C of BL21(DE3) lysate and BL21 Star (DE3) lysate using the CFE base conditions. Lanes represent pooled reactions (n=3). A faint band is most visible compared against the control for BL21 Star (DE3) reactions started with DNA and incubated at 25˚C. </w:t>
      </w:r>
      <w:r w:rsidR="00D60D4C" w:rsidRPr="00D60D4C">
        <w:rPr>
          <w:rFonts w:cs="Arial"/>
          <w:color w:val="000000" w:themeColor="text1"/>
          <w:szCs w:val="22"/>
        </w:rPr>
        <w:t>Difficulty expressing other NRPSs in BL21(DE3) lysates has been reported and is presumably due to the instability of NRPS mRNA in this system</w:t>
      </w:r>
      <w:r w:rsidR="00D60D4C" w:rsidRPr="00D60D4C">
        <w:rPr>
          <w:rFonts w:cs="Arial"/>
          <w:color w:val="000000" w:themeColor="text1"/>
          <w:szCs w:val="22"/>
        </w:rPr>
        <w:fldChar w:fldCharType="begin" w:fldLock="1"/>
      </w:r>
      <w:r w:rsidR="004F3109">
        <w:rPr>
          <w:rFonts w:cs="Arial"/>
          <w:color w:val="000000" w:themeColor="text1"/>
          <w:szCs w:val="22"/>
        </w:rPr>
        <w:instrText>ADDIN CSL_CITATION {"citationItems":[{"id":"ITEM-1","itemData":{"DOI":"10.1021/acssynbio.6b00160","ISSN":"21615063","abstract":"Genome sequencing has revealed that a far greater number of natural product biosynthetic pathways exist than there are known natural products. To access these molecules directly and deterministically, a new generation of heterologous expression methods is needed. Cell-free protein synthesis has not previously been used to study nonribosomal peptide biosynthesis, and provides a tunable platform with advantages over conventional methods for protein expression. Here, we demonstrate the use of cell-free protein synthesis to biosynthesize a cyclic dipeptide with correct absolute stereochemistry. From a single-pot reaction, we measured the expression of two nonribosomal peptide synthetases larger than 100 kDa, and detected high-level production of a diketopiperazine. Using quantitative LC-MS and synthetically prepared standard, we observed production of this metabolite at levels higher than previously reported from cell-based recombinant expression, approximately 12 mg/L. Overall, this work represents a first step to apply cell-free protein synthesis to discover and characterize new natural products.","author":[{"dropping-particle":"","family":"Goering","given":"Anthony W.","non-dropping-particle":"","parse-names":false,"suffix":""},{"dropping-particle":"","family":"Li","given":"Jian","non-dropping-particle":"","parse-names":false,"suffix":""},{"dropping-particle":"","family":"McClure","given":"Ryan A.","non-dropping-particle":"","parse-names":false,"suffix":""},{"dropping-particle":"","family":"Thomson","given":"Regan J.","non-dropping-particle":"","parse-names":false,"suffix":""},{"dropping-particle":"","family":"Jewett","given":"Michael C.","non-dropping-particle":"","parse-names":false,"suffix":""},{"dropping-particle":"","family":"Kelleher","given":"Neil L.","non-dropping-particle":"","parse-names":false,"suffix":""}],"container-title":"ACS Synthetic Biology","id":"ITEM-1","issue":"1","issued":{"date-parts":[["2017"]]},"page":"39-44","publisher":"American Chemical Society","title":"In vitro reconstruction of nonribosomal peptide biosynthesis directly from DNA using cell-free protein synthesis","type":"article-journal","volume":"6"},"uris":["http://www.mendeley.com/documents/?uuid=5dc6ed63-4413-3c6e-973c-719fb49b3ef4"]}],"mendeley":{"formattedCitation":"&lt;sup&gt;211&lt;/sup&gt;","plainTextFormattedCitation":"211","previouslyFormattedCitation":"&lt;sup&gt;211&lt;/sup&gt;"},"properties":{"noteIndex":0},"schema":"https://github.com/citation-style-language/schema/raw/master/csl-citation.json"}</w:instrText>
      </w:r>
      <w:r w:rsidR="00D60D4C" w:rsidRPr="00D60D4C">
        <w:rPr>
          <w:rFonts w:cs="Arial"/>
          <w:color w:val="000000" w:themeColor="text1"/>
          <w:szCs w:val="22"/>
        </w:rPr>
        <w:fldChar w:fldCharType="separate"/>
      </w:r>
      <w:r w:rsidR="00A91591" w:rsidRPr="00A91591">
        <w:rPr>
          <w:rFonts w:cs="Arial"/>
          <w:noProof/>
          <w:color w:val="000000" w:themeColor="text1"/>
          <w:szCs w:val="22"/>
          <w:vertAlign w:val="superscript"/>
        </w:rPr>
        <w:t>211</w:t>
      </w:r>
      <w:r w:rsidR="00D60D4C" w:rsidRPr="00D60D4C">
        <w:rPr>
          <w:rFonts w:cs="Arial"/>
          <w:color w:val="000000" w:themeColor="text1"/>
          <w:szCs w:val="22"/>
        </w:rPr>
        <w:fldChar w:fldCharType="end"/>
      </w:r>
      <w:r w:rsidR="00D60D4C" w:rsidRPr="00D60D4C">
        <w:rPr>
          <w:rFonts w:cs="Arial"/>
          <w:color w:val="000000" w:themeColor="text1"/>
          <w:szCs w:val="22"/>
        </w:rPr>
        <w:t xml:space="preserve">. </w:t>
      </w:r>
      <w:r w:rsidR="00D60D4C" w:rsidRPr="00D60D4C">
        <w:rPr>
          <w:rFonts w:cs="Arial"/>
          <w:b/>
          <w:bCs/>
          <w:szCs w:val="22"/>
        </w:rPr>
        <w:t xml:space="preserve">B) </w:t>
      </w:r>
      <w:r w:rsidR="00D60D4C" w:rsidRPr="00D60D4C">
        <w:rPr>
          <w:rFonts w:cs="Arial"/>
          <w:color w:val="000000" w:themeColor="text1"/>
          <w:szCs w:val="22"/>
        </w:rPr>
        <w:t xml:space="preserve">Comparison of </w:t>
      </w:r>
      <w:proofErr w:type="spellStart"/>
      <w:r w:rsidR="00D60D4C" w:rsidRPr="00D60D4C">
        <w:rPr>
          <w:rFonts w:cs="Arial"/>
          <w:color w:val="000000" w:themeColor="text1"/>
          <w:szCs w:val="22"/>
        </w:rPr>
        <w:t>BpsA</w:t>
      </w:r>
      <w:proofErr w:type="spellEnd"/>
      <w:r w:rsidR="00D60D4C" w:rsidRPr="00D60D4C">
        <w:rPr>
          <w:rFonts w:cs="Arial"/>
          <w:color w:val="000000" w:themeColor="text1"/>
          <w:szCs w:val="22"/>
        </w:rPr>
        <w:t xml:space="preserve">-TC synthesized in BL21 Star (DE3) lysate reactions under different incubation temperatures (25˚C vs 30˚C), analyzed with 30 µM </w:t>
      </w:r>
      <w:proofErr w:type="spellStart"/>
      <w:r w:rsidR="00D60D4C" w:rsidRPr="00D60D4C">
        <w:rPr>
          <w:rFonts w:cs="Arial"/>
          <w:color w:val="000000" w:themeColor="text1"/>
          <w:szCs w:val="22"/>
        </w:rPr>
        <w:t>FlAsH</w:t>
      </w:r>
      <w:proofErr w:type="spellEnd"/>
      <w:r w:rsidR="00D60D4C" w:rsidRPr="00D60D4C">
        <w:rPr>
          <w:rFonts w:cs="Arial"/>
          <w:color w:val="000000" w:themeColor="text1"/>
          <w:szCs w:val="22"/>
        </w:rPr>
        <w:t xml:space="preserve">. These results reinforce higher expression of </w:t>
      </w:r>
      <w:proofErr w:type="spellStart"/>
      <w:r w:rsidR="00D60D4C" w:rsidRPr="00D60D4C">
        <w:rPr>
          <w:rFonts w:cs="Arial"/>
          <w:color w:val="000000" w:themeColor="text1"/>
          <w:szCs w:val="22"/>
        </w:rPr>
        <w:t>BpsA</w:t>
      </w:r>
      <w:proofErr w:type="spellEnd"/>
      <w:r w:rsidR="00D60D4C" w:rsidRPr="00D60D4C">
        <w:rPr>
          <w:rFonts w:cs="Arial"/>
          <w:color w:val="000000" w:themeColor="text1"/>
          <w:szCs w:val="22"/>
        </w:rPr>
        <w:t xml:space="preserve">-TC in BL21 (Star) DE3 lysate reactions incubated at 25 ˚C, compared to 30 ˚C, which is consistent with reports of higher soluble </w:t>
      </w:r>
      <w:proofErr w:type="spellStart"/>
      <w:r w:rsidR="00D60D4C" w:rsidRPr="00D60D4C">
        <w:rPr>
          <w:rFonts w:cs="Arial"/>
          <w:color w:val="000000" w:themeColor="text1"/>
          <w:szCs w:val="22"/>
        </w:rPr>
        <w:t>BpsA</w:t>
      </w:r>
      <w:proofErr w:type="spellEnd"/>
      <w:r w:rsidR="00D60D4C" w:rsidRPr="00D60D4C">
        <w:rPr>
          <w:rFonts w:cs="Arial"/>
          <w:color w:val="000000" w:themeColor="text1"/>
          <w:szCs w:val="22"/>
        </w:rPr>
        <w:t xml:space="preserve"> expression in cells at lower temperatures</w:t>
      </w:r>
      <w:r w:rsidR="00D60D4C" w:rsidRPr="00D60D4C">
        <w:rPr>
          <w:rFonts w:cs="Arial"/>
          <w:color w:val="000000" w:themeColor="text1"/>
          <w:szCs w:val="22"/>
        </w:rPr>
        <w:fldChar w:fldCharType="begin" w:fldLock="1"/>
      </w:r>
      <w:r w:rsidR="004F3109">
        <w:rPr>
          <w:rFonts w:cs="Arial"/>
          <w:color w:val="000000" w:themeColor="text1"/>
          <w:szCs w:val="22"/>
        </w:rPr>
        <w:instrText>ADDIN CSL_CITATION {"citationItems":[{"id":"ITEM-1","itemData":{"DOI":"10.1039/c9gc00920e","ISSN":"14639270","abstract":"Non-ribosomal peptides (NRPs) constitute a diverse class of valuable secondary metabolites, with potential industrial applications including use as pharmaceuticals, polymers and dyes. Current industrial production of dyes is predominantly achieved via chemical synthesis, which can involve toxic precursors and generate hazardous byproducts. Thus, alternative routes of dye production are highly desirable to enhance both workplace safety and environmental sustainability. Correspondingly, biological synthesis of dyes from renewable carbon would serve an ideal green chemistry paradigm. Therefore, we engineered the fungal host Rhodosporidium toruloides to produce the blue pigment indigoidine, an NRP with potential applications in the dye industry, using various low-cost carbon and nitrogen sources. To demonstrate production from renewable carbon sources and assess process scalability we produced indigoidine in 2 L bioreactors, reaching titers of 2.9 ± 0.8 g L-1 using a sorghum lignocellulosic hydrolysate in a batch process and 86.3 ± 7.4 g L-1 using glucose in a high-gravity fed-batch process. This study represents the first heterologous production of an NRP in R. toruloides, thus extending the range of microbial hosts that can be used for sustainable, heterologous production of NRPs. In addition, this is the first demonstration of producing an NRP using lignocellulose. These results highlight the potential of R. toruloides for the sustainable, and scalable production of NRPs, with the highest reported titer of indigoidine or any heterologously produced NRP to date.","author":[{"dropping-particle":"","family":"Wehrs","given":"Maren","non-dropping-particle":"","parse-names":false,"suffix":""},{"dropping-particle":"","family":"Gladden","given":"John M.","non-dropping-particle":"","parse-names":false,"suffix":""},{"dropping-particle":"","family":"Liu","given":"Yuzhong","non-dropping-particle":"","parse-names":false,"suffix":""},{"dropping-particle":"","family":"Platz","given":"Lukas","non-dropping-particle":"","parse-names":false,"suffix":""},{"dropping-particle":"","family":"Prahl","given":"Jan Philip","non-dropping-particle":"","parse-names":false,"suffix":""},{"dropping-particle":"","family":"Moon","given":"Jadie","non-dropping-particle":"","parse-names":false,"suffix":""},{"dropping-particle":"","family":"Papa","given":"Gabriella","non-dropping-particle":"","parse-names":false,"suffix":""},{"dropping-particle":"","family":"Sundstrom","given":"Eric","non-dropping-particle":"","parse-names":false,"suffix":""},{"dropping-particle":"","family":"Geiselman","given":"Gina M.","non-dropping-particle":"","parse-names":false,"suffix":""},{"dropping-particle":"","family":"Tanjore","given":"Deepti","non-dropping-particle":"","parse-names":false,"suffix":""},{"dropping-particle":"","family":"Keasling","given":"Jay D.","non-dropping-particle":"","parse-names":false,"suffix":""},{"dropping-particle":"","family":"Pray","given":"Todd R.","non-dropping-particle":"","parse-names":false,"suffix":""},{"dropping-particle":"","family":"Simmons","given":"Blake A.","non-dropping-particle":"","parse-names":false,"suffix":""},{"dropping-particle":"","family":"Mukhopadhyay","given":"Aindrila","non-dropping-particle":"","parse-names":false,"suffix":""}],"container-title":"Green Chemistry","id":"ITEM-1","issue":"12","issued":{"date-parts":[["2019","6","17"]]},"page":"3394-3406","publisher":"Royal Society of Chemistry","title":"Sustainable bioproduction of the blue pigment indigoidine: Expanding the range of heterologous products in: R. toruloides to include non-ribosomal peptides","type":"article-journal","volume":"21"},"uris":["http://www.mendeley.com/documents/?uuid=ca903ebb-c69d-3759-a221-8fe5ecc277ed"]},{"id":"ITEM-2","itemData":{"DOI":"10.1128/AEM.70.6.3282-3291.2004","ISSN":"00992240","PMID":"15184122","abstract":"Nonribosomal peptide synthetases represent the enzymatic assembly lines for the biosynthesis of pharmacologically relevant natural peptides, e.g., cyclosporine, vancomycin, and penicillin. Due to their modular organization, in which every module accounts for the incorporation of a single amino acid, artificial assembly lines for the production of novel peptides can be constructed by biocombinatorial approaches. Once transferred into an appropriate host, these hybrid synthetases could facilitate the bioproduction of basically any peptide-based molecule. In the present study, we describe the fermentative production of the cyclic dipeptide D-Phe-Pro-diketopiperazine, as a prototype for the exploitation of the heterologous host Escherichia coli, and the use of artificial nonribosomal peptide synthetases. E. coli provides a tremendous potential for genetic engineering and was manipulated in our study by stable chromosomal integration of the 4′-phosphopantetheine transferase gene sfp to ensure heterologous production of fully active holoenzmyes. D-Phe-Pro-diketopiperazine is formed by the TycA/TycB1 system, whose components represent the first two modules for tyrocidine biosynthesis in Bacillus brevis. Coexpression of the corresponding genes in E. coli gave rise to the production of the expected diketopiperazine product, demonstrating the functional interaction of both modules in the heterologous environment. Furthermore, the cyclic dipeptide is stable and not toxic to E. coli and is secreted into the culture medium without the need for any additional factors. Parameters affecting the productivity were comprehensively investigated, including various genetic setups, as well as variation of medium composition and temperature. By these means, the overall productivity of the artificial system could be enhanced by over 400% to yield about 9 mg of D-Phe-Pro-diketopiperazine/liter. As a general tool, this approach could allow the sustainable bioproduction of peptides, e.g., those used as pharmaceuticals or fine chemicals.","author":[{"dropping-particle":"","family":"Gruenewald","given":"Stephan","non-dropping-particle":"","parse-names":false,"suffix":""},{"dropping-particle":"","family":"Mootz","given":"Henning D.","non-dropping-particle":"","parse-names":false,"suffix":""},{"dropping-particle":"","family":"Stehmeier","given":"Per","non-dropping-particle":"","parse-names":false,"suffix":""},{"dropping-particle":"","family":"Stachelhaus","given":"Torsten","non-dropping-particle":"","parse-names":false,"suffix":""}],"container-title":"Applied and Environmental Microbiology","id":"ITEM-2","issue":"6","issued":{"date-parts":[["2004","6"]]},"page":"3282","publisher":"American Society for Microbiology (ASM)","title":"In Vivo Production of Artificial Nonribosomal Peptide Products in the Heterologous Host Escherichia coli","type":"article-journal","volume":"70"},"uris":["http://www.mendeley.com/documents/?uuid=28f3080d-5187-3863-805d-df981dd1aa95"]}],"mendeley":{"formattedCitation":"&lt;sup&gt;226,246&lt;/sup&gt;","plainTextFormattedCitation":"226,246","previouslyFormattedCitation":"&lt;sup&gt;226,246&lt;/sup&gt;"},"properties":{"noteIndex":0},"schema":"https://github.com/citation-style-language/schema/raw/master/csl-citation.json"}</w:instrText>
      </w:r>
      <w:r w:rsidR="00D60D4C" w:rsidRPr="00D60D4C">
        <w:rPr>
          <w:rFonts w:cs="Arial"/>
          <w:color w:val="000000" w:themeColor="text1"/>
          <w:szCs w:val="22"/>
        </w:rPr>
        <w:fldChar w:fldCharType="separate"/>
      </w:r>
      <w:r w:rsidR="00A91591" w:rsidRPr="00A91591">
        <w:rPr>
          <w:rFonts w:cs="Arial"/>
          <w:noProof/>
          <w:color w:val="000000" w:themeColor="text1"/>
          <w:szCs w:val="22"/>
          <w:vertAlign w:val="superscript"/>
        </w:rPr>
        <w:t>226,246</w:t>
      </w:r>
      <w:r w:rsidR="00D60D4C" w:rsidRPr="00D60D4C">
        <w:rPr>
          <w:rFonts w:cs="Arial"/>
          <w:color w:val="000000" w:themeColor="text1"/>
          <w:szCs w:val="22"/>
        </w:rPr>
        <w:fldChar w:fldCharType="end"/>
      </w:r>
      <w:r w:rsidR="00D60D4C" w:rsidRPr="00D60D4C">
        <w:rPr>
          <w:rFonts w:cs="Arial"/>
          <w:color w:val="000000" w:themeColor="text1"/>
          <w:szCs w:val="22"/>
        </w:rPr>
        <w:t>. Reactions were run in triplicate and TC/</w:t>
      </w:r>
      <w:proofErr w:type="spellStart"/>
      <w:r w:rsidR="00D60D4C" w:rsidRPr="00D60D4C">
        <w:rPr>
          <w:rFonts w:cs="Arial"/>
          <w:color w:val="000000" w:themeColor="text1"/>
          <w:szCs w:val="22"/>
        </w:rPr>
        <w:t>FlAsH</w:t>
      </w:r>
      <w:proofErr w:type="spellEnd"/>
      <w:r w:rsidR="00D60D4C" w:rsidRPr="00D60D4C">
        <w:rPr>
          <w:rFonts w:cs="Arial"/>
          <w:color w:val="000000" w:themeColor="text1"/>
          <w:szCs w:val="22"/>
        </w:rPr>
        <w:t xml:space="preserve"> measurements were obtained by adding 30 µM </w:t>
      </w:r>
      <w:proofErr w:type="spellStart"/>
      <w:r w:rsidR="00D60D4C" w:rsidRPr="00D60D4C">
        <w:rPr>
          <w:rFonts w:cs="Arial"/>
          <w:color w:val="000000" w:themeColor="text1"/>
          <w:szCs w:val="22"/>
        </w:rPr>
        <w:t>FlAsH</w:t>
      </w:r>
      <w:proofErr w:type="spellEnd"/>
      <w:r w:rsidR="00D60D4C" w:rsidRPr="00D60D4C">
        <w:rPr>
          <w:rFonts w:cs="Arial"/>
          <w:color w:val="000000" w:themeColor="text1"/>
          <w:szCs w:val="22"/>
        </w:rPr>
        <w:t xml:space="preserve"> reagent to each reaction after ~ 20 h incubation. Averaged normalized values are visualized with error bars representing the standard error of the mean (n=3).</w:t>
      </w:r>
    </w:p>
    <w:p w14:paraId="1BBBD963" w14:textId="73C8BD80" w:rsidR="00C65E6B" w:rsidRPr="007D40CB" w:rsidRDefault="00C65E6B" w:rsidP="00A90B05">
      <w:pPr>
        <w:jc w:val="center"/>
        <w:rPr>
          <w:rFonts w:cs="Arial"/>
          <w:b/>
          <w:bCs/>
          <w:szCs w:val="22"/>
        </w:rPr>
      </w:pPr>
      <w:r w:rsidRPr="007D40CB">
        <w:rPr>
          <w:rFonts w:cs="Arial"/>
          <w:b/>
          <w:bCs/>
          <w:szCs w:val="22"/>
        </w:rPr>
        <w:br w:type="page"/>
      </w:r>
      <w:r w:rsidRPr="007D40CB">
        <w:rPr>
          <w:rFonts w:cs="Arial"/>
          <w:b/>
          <w:bCs/>
          <w:noProof/>
          <w:szCs w:val="22"/>
        </w:rPr>
        <w:lastRenderedPageBreak/>
        <w:drawing>
          <wp:inline distT="0" distB="0" distL="0" distR="0" wp14:anchorId="22486D69" wp14:editId="36B0BF95">
            <wp:extent cx="3445841" cy="2066767"/>
            <wp:effectExtent l="0" t="0" r="0" b="0"/>
            <wp:docPr id="48" name="Picture 48"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Description automatically generated with low confidence"/>
                    <pic:cNvPicPr/>
                  </pic:nvPicPr>
                  <pic:blipFill>
                    <a:blip r:embed="rId54" cstate="screen">
                      <a:extLst>
                        <a:ext uri="{28A0092B-C50C-407E-A947-70E740481C1C}">
                          <a14:useLocalDpi xmlns:a14="http://schemas.microsoft.com/office/drawing/2010/main"/>
                        </a:ext>
                      </a:extLst>
                    </a:blip>
                    <a:stretch>
                      <a:fillRect/>
                    </a:stretch>
                  </pic:blipFill>
                  <pic:spPr>
                    <a:xfrm>
                      <a:off x="0" y="0"/>
                      <a:ext cx="3490147" cy="2093341"/>
                    </a:xfrm>
                    <a:prstGeom prst="rect">
                      <a:avLst/>
                    </a:prstGeom>
                  </pic:spPr>
                </pic:pic>
              </a:graphicData>
            </a:graphic>
          </wp:inline>
        </w:drawing>
      </w:r>
    </w:p>
    <w:p w14:paraId="108F7CDD" w14:textId="6A5A9EEA" w:rsidR="00C65E6B" w:rsidRPr="007D40CB" w:rsidRDefault="00C65E6B" w:rsidP="007D40CB">
      <w:pPr>
        <w:rPr>
          <w:rFonts w:cs="Arial"/>
          <w:szCs w:val="22"/>
        </w:rPr>
      </w:pPr>
      <w:bookmarkStart w:id="147" w:name="_Toc129701177"/>
      <w:r w:rsidRPr="00F256F4">
        <w:rPr>
          <w:rStyle w:val="FigurecaptionChar"/>
        </w:rPr>
        <w:t xml:space="preserve">Figure </w:t>
      </w:r>
      <w:r w:rsidR="00FF6237" w:rsidRPr="00F256F4">
        <w:rPr>
          <w:rStyle w:val="FigurecaptionChar"/>
        </w:rPr>
        <w:t>5.1</w:t>
      </w:r>
      <w:r w:rsidR="00F256F4" w:rsidRPr="00F256F4">
        <w:rPr>
          <w:rStyle w:val="FigurecaptionChar"/>
        </w:rPr>
        <w:t>1</w:t>
      </w:r>
      <w:r w:rsidR="00FF6237" w:rsidRPr="00F256F4">
        <w:rPr>
          <w:rStyle w:val="FigurecaptionChar"/>
        </w:rPr>
        <w:t>.</w:t>
      </w:r>
      <w:r w:rsidRPr="00F256F4">
        <w:rPr>
          <w:rStyle w:val="FigurecaptionChar"/>
        </w:rPr>
        <w:t xml:space="preserve"> TC/</w:t>
      </w:r>
      <w:proofErr w:type="spellStart"/>
      <w:r w:rsidRPr="00F256F4">
        <w:rPr>
          <w:rStyle w:val="FigurecaptionChar"/>
        </w:rPr>
        <w:t>FlAsH</w:t>
      </w:r>
      <w:proofErr w:type="spellEnd"/>
      <w:r w:rsidRPr="00F256F4">
        <w:rPr>
          <w:rStyle w:val="FigurecaptionChar"/>
        </w:rPr>
        <w:t xml:space="preserve"> measurements in different reaction backgrounds.</w:t>
      </w:r>
      <w:bookmarkEnd w:id="147"/>
      <w:r w:rsidRPr="007D40CB">
        <w:rPr>
          <w:rFonts w:cs="Arial"/>
          <w:b/>
          <w:bCs/>
          <w:szCs w:val="22"/>
        </w:rPr>
        <w:t xml:space="preserve"> </w:t>
      </w:r>
      <w:r w:rsidRPr="007D40CB">
        <w:rPr>
          <w:rFonts w:cs="Arial"/>
          <w:szCs w:val="22"/>
        </w:rPr>
        <w:t xml:space="preserve">Magnesium, PEP, the amino acid (AA) mix, or all of these components were removed from mock reaction mixes containing 100 µg/mL purified </w:t>
      </w:r>
      <w:proofErr w:type="spellStart"/>
      <w:r w:rsidRPr="007D40CB">
        <w:rPr>
          <w:rFonts w:cs="Arial"/>
          <w:szCs w:val="22"/>
        </w:rPr>
        <w:t>BpsA</w:t>
      </w:r>
      <w:proofErr w:type="spellEnd"/>
      <w:r w:rsidRPr="007D40CB">
        <w:rPr>
          <w:rFonts w:cs="Arial"/>
          <w:szCs w:val="22"/>
        </w:rPr>
        <w:t>-TC.</w:t>
      </w:r>
      <w:r w:rsidRPr="007D40CB">
        <w:rPr>
          <w:rFonts w:cs="Arial"/>
          <w:b/>
          <w:bCs/>
          <w:szCs w:val="22"/>
        </w:rPr>
        <w:t xml:space="preserve"> </w:t>
      </w:r>
      <w:r w:rsidRPr="007D40CB">
        <w:rPr>
          <w:rFonts w:cs="Arial"/>
          <w:szCs w:val="22"/>
        </w:rPr>
        <w:t xml:space="preserve">Appropriate controls were prepared, and all samples were distributed on a 384-well microplate. The mixes were incubated at room temperature for 1 h. Afterwards, 30 µM </w:t>
      </w:r>
      <w:proofErr w:type="spellStart"/>
      <w:r w:rsidRPr="007D40CB">
        <w:rPr>
          <w:rFonts w:cs="Arial"/>
          <w:szCs w:val="22"/>
        </w:rPr>
        <w:t>FlAsH</w:t>
      </w:r>
      <w:proofErr w:type="spellEnd"/>
      <w:r w:rsidRPr="007D40CB">
        <w:rPr>
          <w:rFonts w:cs="Arial"/>
          <w:szCs w:val="22"/>
        </w:rPr>
        <w:t xml:space="preserve"> reagent was added to each sample and all wells were read with the appropriate filter set after 10 min. Averaged normalized values are visualized with error bars representing the standard error of the mean (n=3). </w:t>
      </w:r>
    </w:p>
    <w:p w14:paraId="5640D4E6" w14:textId="77777777" w:rsidR="00D60D4C" w:rsidRDefault="00D60D4C" w:rsidP="007D40CB">
      <w:pPr>
        <w:rPr>
          <w:rFonts w:cs="Arial"/>
          <w:b/>
          <w:bCs/>
          <w:szCs w:val="22"/>
        </w:rPr>
      </w:pPr>
    </w:p>
    <w:p w14:paraId="2D193D16" w14:textId="77777777" w:rsidR="00A90B05" w:rsidRDefault="00A90B05">
      <w:pPr>
        <w:rPr>
          <w:rFonts w:cs="Arial"/>
          <w:b/>
          <w:bCs/>
          <w:szCs w:val="22"/>
        </w:rPr>
      </w:pPr>
      <w:r>
        <w:rPr>
          <w:rFonts w:cs="Arial"/>
          <w:b/>
          <w:bCs/>
          <w:szCs w:val="22"/>
        </w:rPr>
        <w:br w:type="page"/>
      </w:r>
    </w:p>
    <w:p w14:paraId="5C7863FC" w14:textId="6523E51C" w:rsidR="00A90B05" w:rsidRDefault="00C65E6B" w:rsidP="00A90B05">
      <w:pPr>
        <w:jc w:val="center"/>
        <w:rPr>
          <w:rFonts w:cs="Arial"/>
          <w:b/>
          <w:bCs/>
          <w:szCs w:val="22"/>
        </w:rPr>
      </w:pPr>
      <w:r w:rsidRPr="007D40CB">
        <w:rPr>
          <w:rFonts w:cs="Arial"/>
          <w:b/>
          <w:bCs/>
          <w:noProof/>
          <w:szCs w:val="22"/>
        </w:rPr>
        <w:lastRenderedPageBreak/>
        <w:drawing>
          <wp:inline distT="0" distB="0" distL="0" distR="0" wp14:anchorId="6426E379" wp14:editId="2F72E0B9">
            <wp:extent cx="5960021" cy="1138517"/>
            <wp:effectExtent l="0" t="0" r="0" b="5080"/>
            <wp:docPr id="49" name="Picture 4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55" cstate="screen">
                      <a:extLst>
                        <a:ext uri="{28A0092B-C50C-407E-A947-70E740481C1C}">
                          <a14:useLocalDpi xmlns:a14="http://schemas.microsoft.com/office/drawing/2010/main"/>
                        </a:ext>
                      </a:extLst>
                    </a:blip>
                    <a:stretch>
                      <a:fillRect/>
                    </a:stretch>
                  </pic:blipFill>
                  <pic:spPr>
                    <a:xfrm>
                      <a:off x="0" y="0"/>
                      <a:ext cx="6071049" cy="1159726"/>
                    </a:xfrm>
                    <a:prstGeom prst="rect">
                      <a:avLst/>
                    </a:prstGeom>
                  </pic:spPr>
                </pic:pic>
              </a:graphicData>
            </a:graphic>
          </wp:inline>
        </w:drawing>
      </w:r>
    </w:p>
    <w:p w14:paraId="2E2EA035" w14:textId="635F5804" w:rsidR="00C65E6B" w:rsidRDefault="00C65E6B" w:rsidP="007D40CB">
      <w:pPr>
        <w:rPr>
          <w:rFonts w:cs="Arial"/>
          <w:b/>
          <w:bCs/>
          <w:szCs w:val="22"/>
        </w:rPr>
      </w:pPr>
      <w:bookmarkStart w:id="148" w:name="_Toc129701178"/>
      <w:r w:rsidRPr="00F256F4">
        <w:rPr>
          <w:rStyle w:val="FigurecaptionChar"/>
        </w:rPr>
        <w:t xml:space="preserve">Figure </w:t>
      </w:r>
      <w:r w:rsidR="00FF6237" w:rsidRPr="00F256F4">
        <w:rPr>
          <w:rStyle w:val="FigurecaptionChar"/>
        </w:rPr>
        <w:t>5.1</w:t>
      </w:r>
      <w:r w:rsidR="00F256F4" w:rsidRPr="00F256F4">
        <w:rPr>
          <w:rStyle w:val="FigurecaptionChar"/>
        </w:rPr>
        <w:t>2</w:t>
      </w:r>
      <w:r w:rsidRPr="00F256F4">
        <w:rPr>
          <w:rStyle w:val="FigurecaptionChar"/>
        </w:rPr>
        <w:t xml:space="preserve">.  Sequence alignment of </w:t>
      </w:r>
      <w:proofErr w:type="spellStart"/>
      <w:r w:rsidRPr="00F256F4">
        <w:rPr>
          <w:rStyle w:val="FigurecaptionChar"/>
        </w:rPr>
        <w:t>BpsA</w:t>
      </w:r>
      <w:proofErr w:type="spellEnd"/>
      <w:r w:rsidRPr="00F256F4">
        <w:rPr>
          <w:rStyle w:val="FigurecaptionChar"/>
        </w:rPr>
        <w:t xml:space="preserve"> indicating the conserved glutamine involved in the ATP binding motif.</w:t>
      </w:r>
      <w:bookmarkEnd w:id="148"/>
      <w:r w:rsidRPr="007D40CB">
        <w:rPr>
          <w:rFonts w:cs="Arial"/>
          <w:szCs w:val="22"/>
        </w:rPr>
        <w:t xml:space="preserve"> The A domain of </w:t>
      </w:r>
      <w:proofErr w:type="spellStart"/>
      <w:r w:rsidRPr="007D40CB">
        <w:rPr>
          <w:rFonts w:cs="Arial"/>
          <w:szCs w:val="22"/>
        </w:rPr>
        <w:t>BpsA</w:t>
      </w:r>
      <w:proofErr w:type="spellEnd"/>
      <w:r w:rsidRPr="007D40CB">
        <w:rPr>
          <w:rFonts w:cs="Arial"/>
          <w:szCs w:val="22"/>
        </w:rPr>
        <w:t xml:space="preserve"> was identified by using the prediction tool on </w:t>
      </w:r>
      <w:proofErr w:type="spellStart"/>
      <w:r w:rsidRPr="007D40CB">
        <w:rPr>
          <w:rFonts w:cs="Arial"/>
          <w:szCs w:val="22"/>
        </w:rPr>
        <w:t>AntiSMASH</w:t>
      </w:r>
      <w:proofErr w:type="spellEnd"/>
      <w:r w:rsidRPr="007D40CB">
        <w:rPr>
          <w:rFonts w:cs="Arial"/>
          <w:szCs w:val="22"/>
        </w:rPr>
        <w:t xml:space="preserve">. Following with that, other A domains from other biosynthetic gene clusters were identified by using </w:t>
      </w:r>
      <w:proofErr w:type="spellStart"/>
      <w:r w:rsidRPr="007D40CB">
        <w:rPr>
          <w:rFonts w:cs="Arial"/>
          <w:szCs w:val="22"/>
        </w:rPr>
        <w:t>MiBiG</w:t>
      </w:r>
      <w:proofErr w:type="spellEnd"/>
      <w:r w:rsidRPr="007D40CB">
        <w:rPr>
          <w:rFonts w:cs="Arial"/>
          <w:szCs w:val="22"/>
        </w:rPr>
        <w:t xml:space="preserve"> library across a range of different organisms, including: </w:t>
      </w:r>
      <w:proofErr w:type="spellStart"/>
      <w:r w:rsidRPr="007D40CB">
        <w:rPr>
          <w:rFonts w:cs="Arial"/>
          <w:szCs w:val="22"/>
        </w:rPr>
        <w:t>DifD</w:t>
      </w:r>
      <w:proofErr w:type="spellEnd"/>
      <w:r w:rsidRPr="007D40CB">
        <w:rPr>
          <w:rFonts w:cs="Arial"/>
          <w:szCs w:val="22"/>
        </w:rPr>
        <w:t xml:space="preserve"> from </w:t>
      </w:r>
      <w:r w:rsidRPr="007D40CB">
        <w:rPr>
          <w:rFonts w:cs="Arial"/>
          <w:i/>
          <w:iCs/>
          <w:szCs w:val="22"/>
        </w:rPr>
        <w:t xml:space="preserve">Bacillus </w:t>
      </w:r>
      <w:proofErr w:type="spellStart"/>
      <w:r w:rsidRPr="007D40CB">
        <w:rPr>
          <w:rFonts w:cs="Arial"/>
          <w:i/>
          <w:iCs/>
          <w:szCs w:val="22"/>
        </w:rPr>
        <w:t>velezensis</w:t>
      </w:r>
      <w:proofErr w:type="spellEnd"/>
      <w:r w:rsidRPr="007D40CB">
        <w:rPr>
          <w:rFonts w:cs="Arial"/>
          <w:szCs w:val="22"/>
        </w:rPr>
        <w:t xml:space="preserve">, strain KKLW (GenBank: CP054714.1); </w:t>
      </w:r>
      <w:proofErr w:type="spellStart"/>
      <w:r w:rsidRPr="007D40CB">
        <w:rPr>
          <w:rFonts w:cs="Arial"/>
          <w:szCs w:val="22"/>
        </w:rPr>
        <w:t>HasG</w:t>
      </w:r>
      <w:proofErr w:type="spellEnd"/>
      <w:r w:rsidRPr="007D40CB">
        <w:rPr>
          <w:rFonts w:cs="Arial"/>
          <w:szCs w:val="22"/>
        </w:rPr>
        <w:t xml:space="preserve"> from </w:t>
      </w:r>
      <w:r w:rsidRPr="007D40CB">
        <w:rPr>
          <w:rFonts w:cs="Arial"/>
          <w:i/>
          <w:iCs/>
          <w:szCs w:val="22"/>
        </w:rPr>
        <w:t>Anabaena sp. 90</w:t>
      </w:r>
      <w:r w:rsidRPr="007D40CB">
        <w:rPr>
          <w:rFonts w:cs="Arial"/>
          <w:szCs w:val="22"/>
        </w:rPr>
        <w:t xml:space="preserve"> chromosome chANA01 (GenBank: CP003284.1); </w:t>
      </w:r>
      <w:proofErr w:type="spellStart"/>
      <w:r w:rsidRPr="007D40CB">
        <w:rPr>
          <w:rFonts w:cs="Arial"/>
          <w:szCs w:val="22"/>
        </w:rPr>
        <w:t>FscA</w:t>
      </w:r>
      <w:proofErr w:type="spellEnd"/>
      <w:r w:rsidRPr="007D40CB">
        <w:rPr>
          <w:rFonts w:cs="Arial"/>
          <w:szCs w:val="22"/>
        </w:rPr>
        <w:t xml:space="preserve"> from </w:t>
      </w:r>
      <w:r w:rsidRPr="007D40CB">
        <w:rPr>
          <w:rFonts w:cs="Arial"/>
          <w:i/>
          <w:iCs/>
          <w:szCs w:val="22"/>
        </w:rPr>
        <w:t>Streptomyces sp. FR-008</w:t>
      </w:r>
      <w:r w:rsidRPr="007D40CB">
        <w:rPr>
          <w:rFonts w:cs="Arial"/>
          <w:szCs w:val="22"/>
        </w:rPr>
        <w:t xml:space="preserve"> (GenBank: AY310323.2); </w:t>
      </w:r>
      <w:proofErr w:type="spellStart"/>
      <w:r w:rsidRPr="007D40CB">
        <w:rPr>
          <w:rFonts w:cs="Arial"/>
          <w:szCs w:val="22"/>
        </w:rPr>
        <w:t>PcbAB</w:t>
      </w:r>
      <w:proofErr w:type="spellEnd"/>
      <w:r w:rsidRPr="007D40CB">
        <w:rPr>
          <w:rFonts w:cs="Arial"/>
          <w:szCs w:val="22"/>
        </w:rPr>
        <w:t xml:space="preserve"> from </w:t>
      </w:r>
      <w:r w:rsidRPr="007D40CB">
        <w:rPr>
          <w:rFonts w:cs="Arial"/>
          <w:i/>
          <w:iCs/>
          <w:szCs w:val="22"/>
        </w:rPr>
        <w:t xml:space="preserve">Penicillium </w:t>
      </w:r>
      <w:proofErr w:type="spellStart"/>
      <w:r w:rsidRPr="007D40CB">
        <w:rPr>
          <w:rFonts w:cs="Arial"/>
          <w:i/>
          <w:iCs/>
          <w:szCs w:val="22"/>
        </w:rPr>
        <w:t>chrysogenum</w:t>
      </w:r>
      <w:proofErr w:type="spellEnd"/>
      <w:r w:rsidRPr="007D40CB">
        <w:rPr>
          <w:rFonts w:cs="Arial"/>
          <w:szCs w:val="22"/>
        </w:rPr>
        <w:t xml:space="preserve"> strain Wisconsin 54-1255 (GenBank: AM920436.1); </w:t>
      </w:r>
      <w:proofErr w:type="spellStart"/>
      <w:r w:rsidRPr="007D40CB">
        <w:rPr>
          <w:rFonts w:cs="Arial"/>
          <w:szCs w:val="22"/>
        </w:rPr>
        <w:t>FkbP</w:t>
      </w:r>
      <w:proofErr w:type="spellEnd"/>
      <w:r w:rsidRPr="007D40CB">
        <w:rPr>
          <w:rFonts w:cs="Arial"/>
          <w:szCs w:val="22"/>
        </w:rPr>
        <w:t xml:space="preserve"> from </w:t>
      </w:r>
      <w:r w:rsidRPr="007D40CB">
        <w:rPr>
          <w:rFonts w:cs="Arial"/>
          <w:i/>
          <w:iCs/>
          <w:szCs w:val="22"/>
        </w:rPr>
        <w:t>Streptomyces sp. MA6548</w:t>
      </w:r>
      <w:r w:rsidRPr="007D40CB">
        <w:rPr>
          <w:rFonts w:cs="Arial"/>
          <w:szCs w:val="22"/>
        </w:rPr>
        <w:t xml:space="preserve"> (GenBank: AF082100.1). Sequence alignment of these chosen A domains and the A domain of </w:t>
      </w:r>
      <w:proofErr w:type="spellStart"/>
      <w:r w:rsidRPr="007D40CB">
        <w:rPr>
          <w:rFonts w:cs="Arial"/>
          <w:szCs w:val="22"/>
        </w:rPr>
        <w:t>BpsA</w:t>
      </w:r>
      <w:proofErr w:type="spellEnd"/>
      <w:r w:rsidRPr="007D40CB">
        <w:rPr>
          <w:rFonts w:cs="Arial"/>
          <w:szCs w:val="22"/>
        </w:rPr>
        <w:t xml:space="preserve"> was determined by using the multiple sequence alignment tool from </w:t>
      </w:r>
      <w:proofErr w:type="spellStart"/>
      <w:r w:rsidRPr="007D40CB">
        <w:rPr>
          <w:rFonts w:cs="Arial"/>
          <w:szCs w:val="22"/>
        </w:rPr>
        <w:t>Clustal</w:t>
      </w:r>
      <w:proofErr w:type="spellEnd"/>
      <w:r w:rsidRPr="007D40CB">
        <w:rPr>
          <w:rFonts w:cs="Arial"/>
          <w:szCs w:val="22"/>
        </w:rPr>
        <w:t xml:space="preserve"> Omega. </w:t>
      </w:r>
    </w:p>
    <w:p w14:paraId="3294E9C1" w14:textId="77777777" w:rsidR="00D60D4C" w:rsidRPr="00755719" w:rsidRDefault="00D60D4C" w:rsidP="00D60D4C">
      <w:pPr>
        <w:jc w:val="center"/>
        <w:rPr>
          <w:rFonts w:ascii="Times New Roman" w:hAnsi="Times New Roman" w:cs="Times New Roman"/>
          <w:b/>
          <w:bCs/>
        </w:rPr>
      </w:pPr>
    </w:p>
    <w:p w14:paraId="15D86B68" w14:textId="77777777" w:rsidR="00D60D4C" w:rsidRPr="00D60D4C" w:rsidRDefault="00D60D4C" w:rsidP="00D60D4C">
      <w:pPr>
        <w:rPr>
          <w:rFonts w:cs="Arial"/>
          <w:b/>
          <w:bCs/>
          <w:szCs w:val="22"/>
        </w:rPr>
      </w:pPr>
      <w:r w:rsidRPr="00D60D4C">
        <w:rPr>
          <w:rFonts w:cs="Arial"/>
          <w:b/>
          <w:bCs/>
          <w:noProof/>
          <w:szCs w:val="22"/>
        </w:rPr>
        <w:lastRenderedPageBreak/>
        <w:drawing>
          <wp:inline distT="0" distB="0" distL="0" distR="0" wp14:anchorId="027A3E0C" wp14:editId="26AAF128">
            <wp:extent cx="5943600" cy="3954145"/>
            <wp:effectExtent l="0" t="0" r="0" b="0"/>
            <wp:docPr id="192" name="Picture 19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56" cstate="screen">
                      <a:extLst>
                        <a:ext uri="{28A0092B-C50C-407E-A947-70E740481C1C}">
                          <a14:useLocalDpi xmlns:a14="http://schemas.microsoft.com/office/drawing/2010/main"/>
                        </a:ext>
                      </a:extLst>
                    </a:blip>
                    <a:stretch>
                      <a:fillRect/>
                    </a:stretch>
                  </pic:blipFill>
                  <pic:spPr>
                    <a:xfrm>
                      <a:off x="0" y="0"/>
                      <a:ext cx="5943600" cy="3954145"/>
                    </a:xfrm>
                    <a:prstGeom prst="rect">
                      <a:avLst/>
                    </a:prstGeom>
                  </pic:spPr>
                </pic:pic>
              </a:graphicData>
            </a:graphic>
          </wp:inline>
        </w:drawing>
      </w:r>
    </w:p>
    <w:p w14:paraId="2A9D238A" w14:textId="05616E8D" w:rsidR="00D60D4C" w:rsidRPr="00D60D4C" w:rsidRDefault="00D60D4C" w:rsidP="00D60D4C">
      <w:pPr>
        <w:rPr>
          <w:rFonts w:cs="Arial"/>
          <w:color w:val="000000" w:themeColor="text1"/>
          <w:szCs w:val="22"/>
        </w:rPr>
      </w:pPr>
      <w:bookmarkStart w:id="149" w:name="_Toc129701179"/>
      <w:r w:rsidRPr="00F256F4">
        <w:rPr>
          <w:rStyle w:val="FigurecaptionChar"/>
        </w:rPr>
        <w:t xml:space="preserve">Figure </w:t>
      </w:r>
      <w:r w:rsidR="00A90B05" w:rsidRPr="00F256F4">
        <w:rPr>
          <w:rStyle w:val="FigurecaptionChar"/>
        </w:rPr>
        <w:t>5.1</w:t>
      </w:r>
      <w:r w:rsidR="00F256F4" w:rsidRPr="00F256F4">
        <w:rPr>
          <w:rStyle w:val="FigurecaptionChar"/>
        </w:rPr>
        <w:t>3</w:t>
      </w:r>
      <w:r w:rsidRPr="00F256F4">
        <w:rPr>
          <w:rStyle w:val="FigurecaptionChar"/>
        </w:rPr>
        <w:t xml:space="preserve">. Effects of A domain activity on </w:t>
      </w:r>
      <w:proofErr w:type="spellStart"/>
      <w:r w:rsidRPr="00F256F4">
        <w:rPr>
          <w:rStyle w:val="FigurecaptionChar"/>
        </w:rPr>
        <w:t>BpsA’s</w:t>
      </w:r>
      <w:proofErr w:type="spellEnd"/>
      <w:r w:rsidRPr="00F256F4">
        <w:rPr>
          <w:rStyle w:val="FigurecaptionChar"/>
        </w:rPr>
        <w:t xml:space="preserve"> PEP usage and expression.</w:t>
      </w:r>
      <w:bookmarkEnd w:id="149"/>
      <w:r w:rsidRPr="00D60D4C">
        <w:rPr>
          <w:rFonts w:cs="Arial"/>
          <w:szCs w:val="22"/>
        </w:rPr>
        <w:t xml:space="preserve"> SDS-PAGE gels of pooled reactions (n=3) expressing </w:t>
      </w:r>
      <w:proofErr w:type="spellStart"/>
      <w:r w:rsidRPr="00D60D4C">
        <w:rPr>
          <w:rFonts w:cs="Arial"/>
          <w:szCs w:val="22"/>
        </w:rPr>
        <w:t>BpsA</w:t>
      </w:r>
      <w:proofErr w:type="spellEnd"/>
      <w:r w:rsidRPr="00D60D4C">
        <w:rPr>
          <w:rFonts w:cs="Arial"/>
          <w:szCs w:val="22"/>
        </w:rPr>
        <w:t xml:space="preserve">-TC prepared with different concentrations of </w:t>
      </w:r>
      <w:r w:rsidRPr="00D60D4C">
        <w:rPr>
          <w:rFonts w:cs="Arial"/>
          <w:b/>
          <w:bCs/>
          <w:szCs w:val="22"/>
        </w:rPr>
        <w:t>A)</w:t>
      </w:r>
      <w:r w:rsidRPr="00D60D4C">
        <w:rPr>
          <w:rFonts w:cs="Arial"/>
          <w:szCs w:val="22"/>
        </w:rPr>
        <w:t xml:space="preserve"> PEP and </w:t>
      </w:r>
      <w:r w:rsidRPr="00D60D4C">
        <w:rPr>
          <w:rFonts w:cs="Arial"/>
          <w:b/>
          <w:bCs/>
          <w:szCs w:val="22"/>
        </w:rPr>
        <w:t>B)</w:t>
      </w:r>
      <w:r w:rsidRPr="00D60D4C">
        <w:rPr>
          <w:rFonts w:cs="Arial"/>
          <w:szCs w:val="22"/>
        </w:rPr>
        <w:t xml:space="preserve"> ATP. </w:t>
      </w:r>
      <w:r w:rsidRPr="00D60D4C">
        <w:rPr>
          <w:rFonts w:cs="Arial"/>
          <w:b/>
          <w:bCs/>
          <w:color w:val="000000" w:themeColor="text1"/>
          <w:szCs w:val="22"/>
        </w:rPr>
        <w:t xml:space="preserve">C) </w:t>
      </w:r>
      <w:r w:rsidRPr="00D60D4C">
        <w:rPr>
          <w:rFonts w:cs="Arial"/>
          <w:color w:val="000000" w:themeColor="text1"/>
          <w:szCs w:val="22"/>
        </w:rPr>
        <w:t>Differences in TC/</w:t>
      </w:r>
      <w:proofErr w:type="spellStart"/>
      <w:r w:rsidRPr="00D60D4C">
        <w:rPr>
          <w:rFonts w:cs="Arial"/>
          <w:color w:val="000000" w:themeColor="text1"/>
          <w:szCs w:val="22"/>
        </w:rPr>
        <w:t>FlAsH</w:t>
      </w:r>
      <w:proofErr w:type="spellEnd"/>
      <w:r w:rsidRPr="00D60D4C">
        <w:rPr>
          <w:rFonts w:cs="Arial"/>
          <w:color w:val="000000" w:themeColor="text1"/>
          <w:szCs w:val="22"/>
        </w:rPr>
        <w:t xml:space="preserve"> signals of </w:t>
      </w:r>
      <w:proofErr w:type="spellStart"/>
      <w:r w:rsidRPr="00D60D4C">
        <w:rPr>
          <w:rFonts w:cs="Arial"/>
          <w:color w:val="000000" w:themeColor="text1"/>
          <w:szCs w:val="22"/>
        </w:rPr>
        <w:t>BpsA</w:t>
      </w:r>
      <w:proofErr w:type="spellEnd"/>
      <w:r w:rsidRPr="00D60D4C">
        <w:rPr>
          <w:rFonts w:cs="Arial"/>
          <w:color w:val="000000" w:themeColor="text1"/>
          <w:szCs w:val="22"/>
        </w:rPr>
        <w:t xml:space="preserve">-TC and BpsA-TC_E315A expression in reactions initiated with 77 mM PEP. </w:t>
      </w:r>
      <w:r w:rsidRPr="00D60D4C">
        <w:rPr>
          <w:rFonts w:cs="Arial"/>
          <w:b/>
          <w:bCs/>
          <w:color w:val="000000" w:themeColor="text1"/>
          <w:szCs w:val="22"/>
        </w:rPr>
        <w:t xml:space="preserve">D) </w:t>
      </w:r>
      <w:r w:rsidRPr="00D60D4C">
        <w:rPr>
          <w:rFonts w:cs="Arial"/>
          <w:color w:val="000000" w:themeColor="text1"/>
          <w:szCs w:val="22"/>
        </w:rPr>
        <w:t xml:space="preserve">Western Blot confirmation of </w:t>
      </w:r>
      <w:proofErr w:type="spellStart"/>
      <w:r w:rsidRPr="00D60D4C">
        <w:rPr>
          <w:rFonts w:cs="Arial"/>
          <w:color w:val="000000" w:themeColor="text1"/>
          <w:szCs w:val="22"/>
        </w:rPr>
        <w:t>BpsA</w:t>
      </w:r>
      <w:proofErr w:type="spellEnd"/>
      <w:r w:rsidRPr="00D60D4C">
        <w:rPr>
          <w:rFonts w:cs="Arial"/>
          <w:color w:val="000000" w:themeColor="text1"/>
          <w:szCs w:val="22"/>
        </w:rPr>
        <w:t xml:space="preserve">-TC and BpsA-TC_E315A made in CFE reactions initiated with 77 mM PEP. All reactions were prepared with </w:t>
      </w:r>
      <w:r w:rsidRPr="00D60D4C">
        <w:rPr>
          <w:rFonts w:cs="Arial"/>
          <w:i/>
          <w:iCs/>
          <w:color w:val="000000" w:themeColor="text1"/>
          <w:szCs w:val="22"/>
        </w:rPr>
        <w:t xml:space="preserve">E. coli </w:t>
      </w:r>
      <w:r w:rsidRPr="00D60D4C">
        <w:rPr>
          <w:rFonts w:cs="Arial"/>
          <w:color w:val="000000" w:themeColor="text1"/>
          <w:szCs w:val="22"/>
        </w:rPr>
        <w:t>BL21 (Star)DE3 lysates. Reactions were run in triplicate and TC/</w:t>
      </w:r>
      <w:proofErr w:type="spellStart"/>
      <w:r w:rsidRPr="00D60D4C">
        <w:rPr>
          <w:rFonts w:cs="Arial"/>
          <w:color w:val="000000" w:themeColor="text1"/>
          <w:szCs w:val="22"/>
        </w:rPr>
        <w:t>FlAsH</w:t>
      </w:r>
      <w:proofErr w:type="spellEnd"/>
      <w:r w:rsidRPr="00D60D4C">
        <w:rPr>
          <w:rFonts w:cs="Arial"/>
          <w:color w:val="000000" w:themeColor="text1"/>
          <w:szCs w:val="22"/>
        </w:rPr>
        <w:t xml:space="preserve"> measurements were obtained by adding 30 µM </w:t>
      </w:r>
      <w:proofErr w:type="spellStart"/>
      <w:r w:rsidRPr="00D60D4C">
        <w:rPr>
          <w:rFonts w:cs="Arial"/>
          <w:color w:val="000000" w:themeColor="text1"/>
          <w:szCs w:val="22"/>
        </w:rPr>
        <w:t>FlAsH</w:t>
      </w:r>
      <w:proofErr w:type="spellEnd"/>
      <w:r w:rsidRPr="00D60D4C">
        <w:rPr>
          <w:rFonts w:cs="Arial"/>
          <w:color w:val="000000" w:themeColor="text1"/>
          <w:szCs w:val="22"/>
        </w:rPr>
        <w:t xml:space="preserve"> reagent to each reaction after ~ 20 h incubation. TC/</w:t>
      </w:r>
      <w:proofErr w:type="spellStart"/>
      <w:r w:rsidRPr="00D60D4C">
        <w:rPr>
          <w:rFonts w:cs="Arial"/>
          <w:color w:val="000000" w:themeColor="text1"/>
          <w:szCs w:val="22"/>
        </w:rPr>
        <w:t>FlAsH</w:t>
      </w:r>
      <w:proofErr w:type="spellEnd"/>
      <w:r w:rsidRPr="00D60D4C">
        <w:rPr>
          <w:rFonts w:cs="Arial"/>
          <w:color w:val="000000" w:themeColor="text1"/>
          <w:szCs w:val="22"/>
        </w:rPr>
        <w:t xml:space="preserve"> measurements are presented as % relative intensities for visual comparison of trends between </w:t>
      </w:r>
      <w:proofErr w:type="spellStart"/>
      <w:r w:rsidRPr="00D60D4C">
        <w:rPr>
          <w:rFonts w:cs="Arial"/>
          <w:color w:val="000000" w:themeColor="text1"/>
          <w:szCs w:val="22"/>
        </w:rPr>
        <w:t>BpsA</w:t>
      </w:r>
      <w:proofErr w:type="spellEnd"/>
      <w:r w:rsidRPr="00D60D4C">
        <w:rPr>
          <w:rFonts w:cs="Arial"/>
          <w:color w:val="000000" w:themeColor="text1"/>
          <w:szCs w:val="22"/>
        </w:rPr>
        <w:t xml:space="preserve">-TC and BpsA-TC_E315A data since these experiments were run on separate days. Error bars represent the standard error of the mean (n=3). </w:t>
      </w:r>
    </w:p>
    <w:p w14:paraId="696925CB" w14:textId="77777777" w:rsidR="00D60D4C" w:rsidRPr="00D60D4C" w:rsidRDefault="00D60D4C" w:rsidP="00D60D4C">
      <w:pPr>
        <w:jc w:val="center"/>
        <w:rPr>
          <w:rFonts w:cs="Arial"/>
          <w:szCs w:val="22"/>
        </w:rPr>
      </w:pPr>
      <w:r w:rsidRPr="00D60D4C">
        <w:rPr>
          <w:rFonts w:cs="Arial"/>
          <w:noProof/>
          <w:szCs w:val="22"/>
        </w:rPr>
        <w:lastRenderedPageBreak/>
        <w:drawing>
          <wp:inline distT="0" distB="0" distL="0" distR="0" wp14:anchorId="06F2581D" wp14:editId="1A2B0D14">
            <wp:extent cx="3158927" cy="2334427"/>
            <wp:effectExtent l="0" t="0" r="0" b="2540"/>
            <wp:docPr id="193" name="Picture 193" descr="A picture containing gui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guitar&#10;&#10;Description automatically generated"/>
                    <pic:cNvPicPr/>
                  </pic:nvPicPr>
                  <pic:blipFill>
                    <a:blip r:embed="rId57" cstate="screen">
                      <a:extLst>
                        <a:ext uri="{28A0092B-C50C-407E-A947-70E740481C1C}">
                          <a14:useLocalDpi xmlns:a14="http://schemas.microsoft.com/office/drawing/2010/main"/>
                        </a:ext>
                      </a:extLst>
                    </a:blip>
                    <a:stretch>
                      <a:fillRect/>
                    </a:stretch>
                  </pic:blipFill>
                  <pic:spPr>
                    <a:xfrm>
                      <a:off x="0" y="0"/>
                      <a:ext cx="3173212" cy="2344984"/>
                    </a:xfrm>
                    <a:prstGeom prst="rect">
                      <a:avLst/>
                    </a:prstGeom>
                  </pic:spPr>
                </pic:pic>
              </a:graphicData>
            </a:graphic>
          </wp:inline>
        </w:drawing>
      </w:r>
    </w:p>
    <w:p w14:paraId="69A36742" w14:textId="37910BA4" w:rsidR="00EA1382" w:rsidRDefault="00D60D4C" w:rsidP="00EA1382">
      <w:pPr>
        <w:rPr>
          <w:rFonts w:cs="Arial"/>
          <w:color w:val="000000" w:themeColor="text1"/>
          <w:szCs w:val="22"/>
        </w:rPr>
      </w:pPr>
      <w:bookmarkStart w:id="150" w:name="_Toc129701180"/>
      <w:r w:rsidRPr="00F256F4">
        <w:rPr>
          <w:rStyle w:val="FigurecaptionChar"/>
        </w:rPr>
        <w:t xml:space="preserve">Figure </w:t>
      </w:r>
      <w:r w:rsidR="00A90B05" w:rsidRPr="00F256F4">
        <w:rPr>
          <w:rStyle w:val="FigurecaptionChar"/>
        </w:rPr>
        <w:t>5.1</w:t>
      </w:r>
      <w:r w:rsidR="00F256F4" w:rsidRPr="00F256F4">
        <w:rPr>
          <w:rStyle w:val="FigurecaptionChar"/>
        </w:rPr>
        <w:t>4</w:t>
      </w:r>
      <w:r w:rsidR="00A90B05" w:rsidRPr="00F256F4">
        <w:rPr>
          <w:rStyle w:val="FigurecaptionChar"/>
        </w:rPr>
        <w:t>.</w:t>
      </w:r>
      <w:r w:rsidRPr="00F256F4">
        <w:rPr>
          <w:rStyle w:val="FigurecaptionChar"/>
        </w:rPr>
        <w:t xml:space="preserve"> </w:t>
      </w:r>
      <w:r w:rsidR="00F256F4">
        <w:rPr>
          <w:rStyle w:val="FigurecaptionChar"/>
        </w:rPr>
        <w:t xml:space="preserve">SDS-PAGE validation of </w:t>
      </w:r>
      <w:r w:rsidR="00F256F4" w:rsidRPr="00F256F4">
        <w:rPr>
          <w:rStyle w:val="FigurecaptionChar"/>
        </w:rPr>
        <w:t xml:space="preserve">magnesium concentration </w:t>
      </w:r>
      <w:r w:rsidR="00F256F4">
        <w:rPr>
          <w:rStyle w:val="FigurecaptionChar"/>
        </w:rPr>
        <w:t xml:space="preserve">effects </w:t>
      </w:r>
      <w:r w:rsidR="00F256F4" w:rsidRPr="00F256F4">
        <w:rPr>
          <w:rStyle w:val="FigurecaptionChar"/>
        </w:rPr>
        <w:t xml:space="preserve">on </w:t>
      </w:r>
      <w:proofErr w:type="spellStart"/>
      <w:r w:rsidR="00F256F4" w:rsidRPr="00F256F4">
        <w:rPr>
          <w:rStyle w:val="FigurecaptionChar"/>
        </w:rPr>
        <w:t>BpsA</w:t>
      </w:r>
      <w:proofErr w:type="spellEnd"/>
      <w:r w:rsidR="00F256F4" w:rsidRPr="00F256F4">
        <w:rPr>
          <w:rStyle w:val="FigurecaptionChar"/>
        </w:rPr>
        <w:t xml:space="preserve"> expression.</w:t>
      </w:r>
      <w:bookmarkEnd w:id="150"/>
      <w:r w:rsidR="00F256F4">
        <w:t xml:space="preserve"> </w:t>
      </w:r>
      <w:r w:rsidRPr="00F256F4">
        <w:t xml:space="preserve">SDS-PAGE gel of pooled reactions (n=3) prepared with varying magnesium glutamate concentrations, expressing </w:t>
      </w:r>
      <w:proofErr w:type="spellStart"/>
      <w:r w:rsidRPr="00F256F4">
        <w:t>BpsA</w:t>
      </w:r>
      <w:proofErr w:type="spellEnd"/>
      <w:r w:rsidRPr="00F256F4">
        <w:t>-TC.</w:t>
      </w:r>
      <w:r w:rsidRPr="00D60D4C">
        <w:rPr>
          <w:rFonts w:cs="Arial"/>
          <w:szCs w:val="22"/>
        </w:rPr>
        <w:t xml:space="preserve"> </w:t>
      </w:r>
      <w:r w:rsidRPr="00D60D4C">
        <w:rPr>
          <w:rFonts w:cs="Arial"/>
          <w:color w:val="000000" w:themeColor="text1"/>
          <w:szCs w:val="22"/>
        </w:rPr>
        <w:t xml:space="preserve">All reactions were prepared with </w:t>
      </w:r>
      <w:r w:rsidRPr="00D60D4C">
        <w:rPr>
          <w:rFonts w:cs="Arial"/>
          <w:i/>
          <w:iCs/>
          <w:color w:val="000000" w:themeColor="text1"/>
          <w:szCs w:val="22"/>
        </w:rPr>
        <w:t xml:space="preserve">E. coli </w:t>
      </w:r>
      <w:r w:rsidRPr="00D60D4C">
        <w:rPr>
          <w:rFonts w:cs="Arial"/>
          <w:color w:val="000000" w:themeColor="text1"/>
          <w:szCs w:val="22"/>
        </w:rPr>
        <w:t>BL21 (Star)DE3 lysates.</w:t>
      </w:r>
    </w:p>
    <w:p w14:paraId="52785BC8" w14:textId="77777777" w:rsidR="00EA1382" w:rsidRPr="00EA1382" w:rsidRDefault="00EA1382" w:rsidP="00EA1382">
      <w:pPr>
        <w:rPr>
          <w:rFonts w:cs="Arial"/>
          <w:color w:val="000000" w:themeColor="text1"/>
          <w:szCs w:val="22"/>
        </w:rPr>
      </w:pPr>
    </w:p>
    <w:p w14:paraId="56CAE2FC" w14:textId="77777777" w:rsidR="00EA1382" w:rsidRDefault="00D60D4C" w:rsidP="00D60D4C">
      <w:pPr>
        <w:rPr>
          <w:rStyle w:val="FigurecaptionChar"/>
        </w:rPr>
      </w:pPr>
      <w:r w:rsidRPr="00D60D4C">
        <w:rPr>
          <w:rFonts w:cs="Arial"/>
          <w:noProof/>
          <w:szCs w:val="22"/>
        </w:rPr>
        <w:drawing>
          <wp:inline distT="0" distB="0" distL="0" distR="0" wp14:anchorId="00A1891E" wp14:editId="5015F700">
            <wp:extent cx="5943600" cy="1957705"/>
            <wp:effectExtent l="0" t="0" r="0" b="0"/>
            <wp:docPr id="194" name="Picture 194" descr="A picture containing text, guitar, mus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guitar, music&#10;&#10;Description automatically generated"/>
                    <pic:cNvPicPr/>
                  </pic:nvPicPr>
                  <pic:blipFill>
                    <a:blip r:embed="rId58" cstate="screen">
                      <a:extLst>
                        <a:ext uri="{28A0092B-C50C-407E-A947-70E740481C1C}">
                          <a14:useLocalDpi xmlns:a14="http://schemas.microsoft.com/office/drawing/2010/main"/>
                        </a:ext>
                      </a:extLst>
                    </a:blip>
                    <a:stretch>
                      <a:fillRect/>
                    </a:stretch>
                  </pic:blipFill>
                  <pic:spPr>
                    <a:xfrm>
                      <a:off x="0" y="0"/>
                      <a:ext cx="5943600" cy="1957705"/>
                    </a:xfrm>
                    <a:prstGeom prst="rect">
                      <a:avLst/>
                    </a:prstGeom>
                  </pic:spPr>
                </pic:pic>
              </a:graphicData>
            </a:graphic>
          </wp:inline>
        </w:drawing>
      </w:r>
    </w:p>
    <w:p w14:paraId="6950D81D" w14:textId="191EE1F1" w:rsidR="00D60D4C" w:rsidRPr="00EA1382" w:rsidRDefault="00EA1382" w:rsidP="00D60D4C">
      <w:pPr>
        <w:rPr>
          <w:rFonts w:cs="Arial"/>
          <w:b/>
          <w:bCs/>
          <w:color w:val="000000" w:themeColor="text1"/>
          <w:szCs w:val="22"/>
        </w:rPr>
      </w:pPr>
      <w:bookmarkStart w:id="151" w:name="_Toc129701181"/>
      <w:r w:rsidRPr="00F256F4">
        <w:rPr>
          <w:rStyle w:val="FigurecaptionChar"/>
        </w:rPr>
        <w:t>Figure 5.1</w:t>
      </w:r>
      <w:r>
        <w:rPr>
          <w:rStyle w:val="FigurecaptionChar"/>
        </w:rPr>
        <w:t>5</w:t>
      </w:r>
      <w:r w:rsidRPr="00F256F4">
        <w:rPr>
          <w:rStyle w:val="FigurecaptionChar"/>
        </w:rPr>
        <w:t xml:space="preserve">. </w:t>
      </w:r>
      <w:r>
        <w:rPr>
          <w:rStyle w:val="FigurecaptionChar"/>
        </w:rPr>
        <w:t>SDS-PAGE validation of amino acid</w:t>
      </w:r>
      <w:r w:rsidRPr="00F256F4">
        <w:rPr>
          <w:rStyle w:val="FigurecaptionChar"/>
        </w:rPr>
        <w:t xml:space="preserve"> concentration </w:t>
      </w:r>
      <w:r>
        <w:rPr>
          <w:rStyle w:val="FigurecaptionChar"/>
        </w:rPr>
        <w:t xml:space="preserve">effects </w:t>
      </w:r>
      <w:r w:rsidRPr="00F256F4">
        <w:rPr>
          <w:rStyle w:val="FigurecaptionChar"/>
        </w:rPr>
        <w:t xml:space="preserve">on </w:t>
      </w:r>
      <w:proofErr w:type="spellStart"/>
      <w:r w:rsidRPr="00F256F4">
        <w:rPr>
          <w:rStyle w:val="FigurecaptionChar"/>
        </w:rPr>
        <w:t>BpsA</w:t>
      </w:r>
      <w:proofErr w:type="spellEnd"/>
      <w:r w:rsidRPr="00F256F4">
        <w:rPr>
          <w:rStyle w:val="FigurecaptionChar"/>
        </w:rPr>
        <w:t xml:space="preserve"> expression.</w:t>
      </w:r>
      <w:bookmarkEnd w:id="151"/>
      <w:r>
        <w:t xml:space="preserve"> </w:t>
      </w:r>
      <w:r w:rsidR="00D60D4C" w:rsidRPr="00D60D4C">
        <w:rPr>
          <w:rFonts w:cs="Arial"/>
          <w:szCs w:val="22"/>
        </w:rPr>
        <w:t xml:space="preserve"> SDS-PAGE gels of pooled CFE reactions (n=3) expressing </w:t>
      </w:r>
      <w:proofErr w:type="spellStart"/>
      <w:r w:rsidR="00D60D4C" w:rsidRPr="00D60D4C">
        <w:rPr>
          <w:rFonts w:cs="Arial"/>
          <w:szCs w:val="22"/>
        </w:rPr>
        <w:t>BpsA</w:t>
      </w:r>
      <w:proofErr w:type="spellEnd"/>
      <w:r w:rsidR="00D60D4C" w:rsidRPr="00D60D4C">
        <w:rPr>
          <w:rFonts w:cs="Arial"/>
          <w:szCs w:val="22"/>
        </w:rPr>
        <w:t xml:space="preserve">-TC with </w:t>
      </w:r>
      <w:r w:rsidR="00D60D4C" w:rsidRPr="00D60D4C">
        <w:rPr>
          <w:rFonts w:cs="Arial"/>
          <w:b/>
          <w:bCs/>
          <w:szCs w:val="22"/>
        </w:rPr>
        <w:t xml:space="preserve">A) </w:t>
      </w:r>
      <w:r w:rsidR="00D60D4C" w:rsidRPr="00D60D4C">
        <w:rPr>
          <w:rFonts w:cs="Arial"/>
          <w:szCs w:val="22"/>
        </w:rPr>
        <w:t xml:space="preserve">varying amino acids concentrations, and </w:t>
      </w:r>
      <w:r w:rsidR="00D60D4C" w:rsidRPr="00D60D4C">
        <w:rPr>
          <w:rFonts w:cs="Arial"/>
          <w:b/>
          <w:bCs/>
          <w:szCs w:val="22"/>
        </w:rPr>
        <w:t>B)</w:t>
      </w:r>
      <w:r w:rsidR="00D60D4C" w:rsidRPr="00D60D4C">
        <w:rPr>
          <w:rFonts w:cs="Arial"/>
          <w:szCs w:val="22"/>
        </w:rPr>
        <w:t xml:space="preserve"> varying concentrations of supplemented L-glutamine.</w:t>
      </w:r>
      <w:r w:rsidR="00D60D4C" w:rsidRPr="00D60D4C">
        <w:rPr>
          <w:rFonts w:cs="Arial"/>
          <w:color w:val="000000" w:themeColor="text1"/>
          <w:szCs w:val="22"/>
        </w:rPr>
        <w:t xml:space="preserve"> All reactions were prepared with </w:t>
      </w:r>
      <w:r w:rsidR="00D60D4C" w:rsidRPr="00D60D4C">
        <w:rPr>
          <w:rFonts w:cs="Arial"/>
          <w:i/>
          <w:iCs/>
          <w:color w:val="000000" w:themeColor="text1"/>
          <w:szCs w:val="22"/>
        </w:rPr>
        <w:t xml:space="preserve">E. coli </w:t>
      </w:r>
      <w:r w:rsidR="00D60D4C" w:rsidRPr="00D60D4C">
        <w:rPr>
          <w:rFonts w:cs="Arial"/>
          <w:color w:val="000000" w:themeColor="text1"/>
          <w:szCs w:val="22"/>
        </w:rPr>
        <w:t>BL21 (Star)DE3 lysates.</w:t>
      </w:r>
    </w:p>
    <w:p w14:paraId="5D7FBA56" w14:textId="77777777" w:rsidR="00D60D4C" w:rsidRPr="00D60D4C" w:rsidRDefault="00D60D4C" w:rsidP="00D60D4C">
      <w:pPr>
        <w:rPr>
          <w:rFonts w:cs="Arial"/>
          <w:szCs w:val="22"/>
        </w:rPr>
      </w:pPr>
    </w:p>
    <w:p w14:paraId="081C5202" w14:textId="77777777" w:rsidR="00D60D4C" w:rsidRPr="00D60D4C" w:rsidRDefault="00D60D4C" w:rsidP="00D60D4C">
      <w:pPr>
        <w:rPr>
          <w:rFonts w:cs="Arial"/>
          <w:szCs w:val="22"/>
        </w:rPr>
      </w:pPr>
    </w:p>
    <w:p w14:paraId="4182C542" w14:textId="77777777" w:rsidR="00D60D4C" w:rsidRPr="00D60D4C" w:rsidRDefault="00D60D4C" w:rsidP="00D60D4C">
      <w:pPr>
        <w:jc w:val="center"/>
        <w:rPr>
          <w:rFonts w:cs="Arial"/>
          <w:szCs w:val="22"/>
        </w:rPr>
      </w:pPr>
      <w:r w:rsidRPr="00D60D4C">
        <w:rPr>
          <w:rFonts w:cs="Arial"/>
          <w:noProof/>
          <w:szCs w:val="22"/>
        </w:rPr>
        <w:lastRenderedPageBreak/>
        <w:drawing>
          <wp:inline distT="0" distB="0" distL="0" distR="0" wp14:anchorId="75B19031" wp14:editId="37F5A143">
            <wp:extent cx="2977869" cy="2022010"/>
            <wp:effectExtent l="0" t="0" r="0" b="0"/>
            <wp:docPr id="195" name="Picture 195"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indoor&#10;&#10;Description automatically generated"/>
                    <pic:cNvPicPr/>
                  </pic:nvPicPr>
                  <pic:blipFill>
                    <a:blip r:embed="rId59" cstate="screen">
                      <a:extLst>
                        <a:ext uri="{28A0092B-C50C-407E-A947-70E740481C1C}">
                          <a14:useLocalDpi xmlns:a14="http://schemas.microsoft.com/office/drawing/2010/main"/>
                        </a:ext>
                      </a:extLst>
                    </a:blip>
                    <a:stretch>
                      <a:fillRect/>
                    </a:stretch>
                  </pic:blipFill>
                  <pic:spPr>
                    <a:xfrm>
                      <a:off x="0" y="0"/>
                      <a:ext cx="2986531" cy="2027892"/>
                    </a:xfrm>
                    <a:prstGeom prst="rect">
                      <a:avLst/>
                    </a:prstGeom>
                  </pic:spPr>
                </pic:pic>
              </a:graphicData>
            </a:graphic>
          </wp:inline>
        </w:drawing>
      </w:r>
    </w:p>
    <w:p w14:paraId="09FC2A85" w14:textId="385B8EA7" w:rsidR="00A90B05" w:rsidRDefault="00D60D4C" w:rsidP="00D60D4C">
      <w:pPr>
        <w:rPr>
          <w:rFonts w:cs="Arial"/>
          <w:szCs w:val="22"/>
        </w:rPr>
      </w:pPr>
      <w:bookmarkStart w:id="152" w:name="_Toc129701182"/>
      <w:r w:rsidRPr="00F256F4">
        <w:rPr>
          <w:rStyle w:val="FigurecaptionChar"/>
        </w:rPr>
        <w:t xml:space="preserve">Figure </w:t>
      </w:r>
      <w:r w:rsidR="00A90B05" w:rsidRPr="00F256F4">
        <w:rPr>
          <w:rStyle w:val="FigurecaptionChar"/>
        </w:rPr>
        <w:t>5.1</w:t>
      </w:r>
      <w:r w:rsidR="00BD523B">
        <w:rPr>
          <w:rStyle w:val="FigurecaptionChar"/>
        </w:rPr>
        <w:t>6</w:t>
      </w:r>
      <w:r w:rsidR="00A90B05" w:rsidRPr="00F256F4">
        <w:rPr>
          <w:rStyle w:val="FigurecaptionChar"/>
        </w:rPr>
        <w:t>.</w:t>
      </w:r>
      <w:r w:rsidRPr="00F256F4">
        <w:rPr>
          <w:rStyle w:val="FigurecaptionChar"/>
        </w:rPr>
        <w:t xml:space="preserve"> SDS-PAGE gel of </w:t>
      </w:r>
      <w:proofErr w:type="spellStart"/>
      <w:r w:rsidRPr="00F256F4">
        <w:rPr>
          <w:rStyle w:val="FigurecaptionChar"/>
        </w:rPr>
        <w:t>elutions</w:t>
      </w:r>
      <w:proofErr w:type="spellEnd"/>
      <w:r w:rsidRPr="00F256F4">
        <w:rPr>
          <w:rStyle w:val="FigurecaptionChar"/>
        </w:rPr>
        <w:t xml:space="preserve"> from the </w:t>
      </w:r>
      <w:proofErr w:type="spellStart"/>
      <w:r w:rsidRPr="00F256F4">
        <w:rPr>
          <w:rStyle w:val="FigurecaptionChar"/>
        </w:rPr>
        <w:t>StrepII</w:t>
      </w:r>
      <w:proofErr w:type="spellEnd"/>
      <w:r w:rsidRPr="00F256F4">
        <w:rPr>
          <w:rStyle w:val="FigurecaptionChar"/>
        </w:rPr>
        <w:t xml:space="preserve">-tag purification of </w:t>
      </w:r>
      <w:proofErr w:type="spellStart"/>
      <w:r w:rsidRPr="00F256F4">
        <w:rPr>
          <w:rStyle w:val="FigurecaptionChar"/>
        </w:rPr>
        <w:t>TycA</w:t>
      </w:r>
      <w:proofErr w:type="spellEnd"/>
      <w:r w:rsidRPr="00F256F4">
        <w:rPr>
          <w:rStyle w:val="FigurecaptionChar"/>
        </w:rPr>
        <w:t>.</w:t>
      </w:r>
      <w:bookmarkEnd w:id="152"/>
      <w:r w:rsidRPr="00D60D4C">
        <w:rPr>
          <w:rFonts w:cs="Arial"/>
          <w:szCs w:val="22"/>
        </w:rPr>
        <w:t xml:space="preserve"> “</w:t>
      </w:r>
      <w:proofErr w:type="spellStart"/>
      <w:r w:rsidRPr="00D60D4C">
        <w:rPr>
          <w:rFonts w:cs="Arial"/>
          <w:szCs w:val="22"/>
        </w:rPr>
        <w:t>Opt</w:t>
      </w:r>
      <w:proofErr w:type="spellEnd"/>
      <w:r w:rsidRPr="00D60D4C">
        <w:rPr>
          <w:rFonts w:cs="Arial"/>
          <w:szCs w:val="22"/>
        </w:rPr>
        <w:t xml:space="preserve">” = reactions run in </w:t>
      </w:r>
      <w:proofErr w:type="spellStart"/>
      <w:r w:rsidRPr="00D60D4C">
        <w:rPr>
          <w:rFonts w:cs="Arial"/>
          <w:szCs w:val="22"/>
        </w:rPr>
        <w:t>BpsA</w:t>
      </w:r>
      <w:proofErr w:type="spellEnd"/>
      <w:r w:rsidRPr="00D60D4C">
        <w:rPr>
          <w:rFonts w:cs="Arial"/>
          <w:szCs w:val="22"/>
        </w:rPr>
        <w:t xml:space="preserve"> optimized conditions (25 ˚C, 77 mM PEP, and 18 mM magnesium); “Std” = reactions run in standard conditions (30 ˚C, 33 mM PEP, and 12 mM magnesium).</w:t>
      </w:r>
    </w:p>
    <w:p w14:paraId="26802DB2" w14:textId="77777777" w:rsidR="00A90B05" w:rsidRDefault="00A90B05" w:rsidP="00D60D4C">
      <w:pPr>
        <w:rPr>
          <w:rFonts w:cs="Arial"/>
          <w:szCs w:val="22"/>
        </w:rPr>
      </w:pPr>
    </w:p>
    <w:p w14:paraId="41CC911C" w14:textId="77777777" w:rsidR="00A90B05" w:rsidRDefault="00A90B05">
      <w:pPr>
        <w:rPr>
          <w:rFonts w:cs="Arial"/>
          <w:szCs w:val="22"/>
        </w:rPr>
      </w:pPr>
      <w:r>
        <w:rPr>
          <w:rFonts w:cs="Arial"/>
          <w:szCs w:val="22"/>
        </w:rPr>
        <w:br w:type="page"/>
      </w:r>
    </w:p>
    <w:p w14:paraId="467EC8CC" w14:textId="4ABC9B9C" w:rsidR="00D60D4C" w:rsidRPr="00D60D4C" w:rsidRDefault="00D60D4C" w:rsidP="00BD523B">
      <w:pPr>
        <w:pStyle w:val="Tablecaption"/>
      </w:pPr>
      <w:bookmarkStart w:id="153" w:name="_Toc129676397"/>
      <w:r w:rsidRPr="00D60D4C">
        <w:rPr>
          <w:bCs/>
        </w:rPr>
        <w:lastRenderedPageBreak/>
        <w:t xml:space="preserve">Table </w:t>
      </w:r>
      <w:r w:rsidR="00A90B05">
        <w:rPr>
          <w:bCs/>
        </w:rPr>
        <w:t>5.</w:t>
      </w:r>
      <w:r w:rsidRPr="00D60D4C">
        <w:rPr>
          <w:bCs/>
        </w:rPr>
        <w:t>1.</w:t>
      </w:r>
      <w:r w:rsidRPr="00D60D4C">
        <w:rPr>
          <w:i/>
          <w:iCs/>
        </w:rPr>
        <w:t xml:space="preserve"> </w:t>
      </w:r>
      <w:r w:rsidRPr="00D60D4C">
        <w:t>Plasmid and gene sequences used in this study.</w:t>
      </w:r>
      <w:bookmarkEnd w:id="153"/>
    </w:p>
    <w:tbl>
      <w:tblPr>
        <w:tblStyle w:val="TableGrid"/>
        <w:tblW w:w="0" w:type="auto"/>
        <w:tblInd w:w="0" w:type="dxa"/>
        <w:tblLayout w:type="fixed"/>
        <w:tblLook w:val="04A0" w:firstRow="1" w:lastRow="0" w:firstColumn="1" w:lastColumn="0" w:noHBand="0" w:noVBand="1"/>
      </w:tblPr>
      <w:tblGrid>
        <w:gridCol w:w="1525"/>
        <w:gridCol w:w="7825"/>
      </w:tblGrid>
      <w:tr w:rsidR="00D60D4C" w:rsidRPr="00A90B05" w14:paraId="2A063AC0" w14:textId="77777777" w:rsidTr="00747667">
        <w:tc>
          <w:tcPr>
            <w:tcW w:w="1525" w:type="dxa"/>
          </w:tcPr>
          <w:p w14:paraId="08EA1753" w14:textId="77777777" w:rsidR="00D60D4C" w:rsidRPr="00A90B05" w:rsidRDefault="00D60D4C" w:rsidP="00A90B05">
            <w:pPr>
              <w:spacing w:line="240" w:lineRule="auto"/>
              <w:rPr>
                <w:rFonts w:cs="Arial"/>
              </w:rPr>
            </w:pPr>
            <w:r w:rsidRPr="00A90B05">
              <w:rPr>
                <w:rFonts w:cs="Arial"/>
              </w:rPr>
              <w:t>Name</w:t>
            </w:r>
          </w:p>
        </w:tc>
        <w:tc>
          <w:tcPr>
            <w:tcW w:w="7825" w:type="dxa"/>
          </w:tcPr>
          <w:p w14:paraId="178D7D22" w14:textId="6E92A540" w:rsidR="00D60D4C" w:rsidRPr="00A90B05" w:rsidRDefault="00A90B05" w:rsidP="00A90B05">
            <w:pPr>
              <w:spacing w:line="240" w:lineRule="auto"/>
              <w:rPr>
                <w:rFonts w:cs="Arial"/>
              </w:rPr>
            </w:pPr>
            <w:r w:rsidRPr="00A90B05">
              <w:rPr>
                <w:rFonts w:cs="Arial"/>
              </w:rPr>
              <w:t>S</w:t>
            </w:r>
            <w:r w:rsidR="00D60D4C" w:rsidRPr="00A90B05">
              <w:rPr>
                <w:rFonts w:cs="Arial"/>
              </w:rPr>
              <w:t>equence</w:t>
            </w:r>
          </w:p>
        </w:tc>
      </w:tr>
      <w:tr w:rsidR="00D60D4C" w:rsidRPr="00A90B05" w14:paraId="00DAA3C3" w14:textId="77777777" w:rsidTr="00747667">
        <w:tc>
          <w:tcPr>
            <w:tcW w:w="1525" w:type="dxa"/>
          </w:tcPr>
          <w:p w14:paraId="4C089078" w14:textId="77777777" w:rsidR="00D60D4C" w:rsidRPr="00A90B05" w:rsidRDefault="00D60D4C" w:rsidP="00A90B05">
            <w:pPr>
              <w:spacing w:line="240" w:lineRule="auto"/>
              <w:rPr>
                <w:rFonts w:cs="Arial"/>
                <w:sz w:val="20"/>
                <w:szCs w:val="20"/>
              </w:rPr>
            </w:pPr>
            <w:proofErr w:type="spellStart"/>
            <w:r w:rsidRPr="00A90B05">
              <w:rPr>
                <w:rFonts w:cs="Arial"/>
                <w:i/>
                <w:iCs/>
                <w:sz w:val="20"/>
                <w:szCs w:val="20"/>
              </w:rPr>
              <w:t>bpsA</w:t>
            </w:r>
            <w:proofErr w:type="spellEnd"/>
            <w:r w:rsidRPr="00A90B05">
              <w:rPr>
                <w:rFonts w:cs="Arial"/>
                <w:sz w:val="20"/>
                <w:szCs w:val="20"/>
              </w:rPr>
              <w:t xml:space="preserve"> </w:t>
            </w:r>
            <w:r w:rsidRPr="00A90B05">
              <w:rPr>
                <w:rFonts w:cs="Arial"/>
                <w:i/>
                <w:iCs/>
                <w:sz w:val="20"/>
                <w:szCs w:val="20"/>
              </w:rPr>
              <w:t>E. coli</w:t>
            </w:r>
            <w:r w:rsidRPr="00A90B05">
              <w:rPr>
                <w:rFonts w:cs="Arial"/>
                <w:sz w:val="20"/>
                <w:szCs w:val="20"/>
              </w:rPr>
              <w:t xml:space="preserve"> codon optimized part 1</w:t>
            </w:r>
          </w:p>
        </w:tc>
        <w:tc>
          <w:tcPr>
            <w:tcW w:w="7825" w:type="dxa"/>
          </w:tcPr>
          <w:p w14:paraId="56E28312" w14:textId="77777777" w:rsidR="00A90B05" w:rsidRPr="00A90B05" w:rsidRDefault="00D60D4C" w:rsidP="00A90B05">
            <w:pPr>
              <w:spacing w:line="240" w:lineRule="auto"/>
              <w:rPr>
                <w:rFonts w:cs="Arial"/>
                <w:sz w:val="20"/>
                <w:szCs w:val="20"/>
              </w:rPr>
            </w:pPr>
            <w:r w:rsidRPr="00A90B05">
              <w:rPr>
                <w:rFonts w:cs="Arial"/>
                <w:sz w:val="20"/>
                <w:szCs w:val="20"/>
              </w:rPr>
              <w:t>atgacgttgcaagagacttcggtactggagcctaccttacaggggacaacgaccttacccggcttacttgcacagcgtgtcgctgaacacccagaagctattgcggtggcatatcgtgacgataagttaaccttccgcgagttagcttcccgcagcgcggcgttggcagattacttagagcatttaggggttagcgcggatgactgtgtaggcctgtttgtagagccatccatcgacctgatggtgggcgcctggggaattttgaatgcaggagcagcttacttacccctttcgccggagtaccccgaggatcgtcttcgttatatgatcgagaattcggaaacaaaaattattttggcccagcaacgtctggttagtcgcctgcgcgagcttgcacctaaggacgttactattgtcacattgcgtgaaagcgaagcatttgttcgccctgagggtactgaggcaccagctgcccgtagcgcacgtccagacacccttgcctatgtaatctatacctctggatctacgggaaagccgaagggtgtgatgattgagcatcgctccattgtaaaccagttaggatggctgcgcgaaacatatgccatcgatcgttccaaggtcatccttcagaaaaccccgatgtcttttgacgcagcgcaatgggagatcctgtcgccggctaacggtgctaccgtcgtaatgggcgccccaggagtgtatgcagatccggaagggctgattgaaacaatcgtcaagcacaacgtcacaacattacagtgtgtcccaactctgctgcagggcttaattgatacagagaaattcccggagtgcgtatcactgcagcaaattttctcgggtggagaggccttaagtcgcctgttagcaattcaaacaacccaggaaatgccgggacgtgcactgattaatgtatatggccccacggagacaacgatcaatagttctagctttccagtcgatcccgcggatctggatgagggaccccaatcgatctcaatcggatcgcctgtgcatgggacgacttaccatatcttggacaaagagactcttaagcctgtgggagtaggcgaaatcggggagttatacattggaggcattcagctggcccgcggctaccttcatcgtgacgacttaactgccgaacgctttcttgagattgaactggaggaaggtgccgagccggtacgtttatacaagactggagacttaggccaatggaataatgacgggacggtccagttcgccggtcgtgccgacaatcaagtgaaacttcgtggatatcgtgtggaattggacgagatctctttagctattgaaaatcacgattgggtgcgtaatgcggctgtaatcgtgaagaatgatgggcgcacaggttttcagaatcttatcgcctgcattgaattatccgagaaggaagccgcccttatggaccagggcaaccacggctcccaccatgcatccaagaaatcgaagttacaagtaaaggctcaactgtctaacccaggactgcgtgacgacgcagaactggcagctcgtcctgcttttgacctggagggcgctgagcctacgccagaacagcgcgcccgtgtatttgcccgcaagacttaccgcttttacgaagggggagccgttacgcag</w:t>
            </w:r>
          </w:p>
          <w:p w14:paraId="7F9B38B0" w14:textId="4ACB3F1A" w:rsidR="00D60D4C" w:rsidRPr="00A90B05" w:rsidRDefault="00D60D4C" w:rsidP="00A90B05">
            <w:pPr>
              <w:spacing w:line="240" w:lineRule="auto"/>
              <w:rPr>
                <w:rFonts w:cs="Arial"/>
                <w:b/>
                <w:bCs/>
                <w:sz w:val="20"/>
                <w:szCs w:val="20"/>
              </w:rPr>
            </w:pPr>
            <w:r w:rsidRPr="00A90B05">
              <w:rPr>
                <w:rFonts w:cs="Arial"/>
                <w:sz w:val="20"/>
                <w:szCs w:val="20"/>
              </w:rPr>
              <w:t>gcggatttacttgggcttctgggggctaccgttacggcagggtattcgcgtaaagccgcagatttggcgccagccgaattaggacaaattctgcgttggtttgggcagtacatctcggaagaacgcttgttgccaaagtatgggtatgcatccccgggggctttgtatgctacacagatgtactttgaacttgaaggtgtgggtgggcttaaaccaggctactattactatcaaccggtccgtcatcaactggtgcttatttcagagcgtgaggctactggtaaggctaccgctcagattcactttattggcaaaaaatcgggcatcgagcctgtgtacaagaacaacatcctggaggttttagagatcgaaacgggtcacatggtaggactttttgaacaaattttgccggcctacggattggacatccacgatcgtgcttacgaaccagctgtgaaggatttgcttgatgtagctgatgaagactattatcttgggacattcgagttggtgccacatgccggggcccgcgatgaccaagccgaagtgtatgtccaaacgcatggtggtaaagtggccggactgcccgaggggcaatatcgttacgaaaatggagaacttactcgcttttctgatgacattgtcttaaagaagcatgttattgctatcaaccagtccgtgtaccaggctgcatcg</w:t>
            </w:r>
          </w:p>
        </w:tc>
      </w:tr>
      <w:tr w:rsidR="00D60D4C" w:rsidRPr="00A90B05" w14:paraId="439A6823" w14:textId="77777777" w:rsidTr="00747667">
        <w:tc>
          <w:tcPr>
            <w:tcW w:w="1525" w:type="dxa"/>
          </w:tcPr>
          <w:p w14:paraId="5EC93200" w14:textId="77777777" w:rsidR="00D60D4C" w:rsidRPr="00A90B05" w:rsidRDefault="00D60D4C" w:rsidP="00A90B05">
            <w:pPr>
              <w:spacing w:line="240" w:lineRule="auto"/>
              <w:rPr>
                <w:rFonts w:cs="Arial"/>
                <w:b/>
                <w:bCs/>
                <w:sz w:val="20"/>
                <w:szCs w:val="20"/>
              </w:rPr>
            </w:pPr>
            <w:proofErr w:type="spellStart"/>
            <w:r w:rsidRPr="00A90B05">
              <w:rPr>
                <w:rFonts w:cs="Arial"/>
                <w:i/>
                <w:iCs/>
                <w:sz w:val="20"/>
                <w:szCs w:val="20"/>
              </w:rPr>
              <w:t>bpsA</w:t>
            </w:r>
            <w:proofErr w:type="spellEnd"/>
            <w:r w:rsidRPr="00A90B05">
              <w:rPr>
                <w:rFonts w:cs="Arial"/>
                <w:sz w:val="20"/>
                <w:szCs w:val="20"/>
              </w:rPr>
              <w:t xml:space="preserve"> </w:t>
            </w:r>
            <w:r w:rsidRPr="00A90B05">
              <w:rPr>
                <w:rFonts w:cs="Arial"/>
                <w:i/>
                <w:iCs/>
                <w:sz w:val="20"/>
                <w:szCs w:val="20"/>
              </w:rPr>
              <w:t>E. coli</w:t>
            </w:r>
            <w:r w:rsidRPr="00A90B05">
              <w:rPr>
                <w:rFonts w:cs="Arial"/>
                <w:sz w:val="20"/>
                <w:szCs w:val="20"/>
              </w:rPr>
              <w:t xml:space="preserve"> codon optimized part 2</w:t>
            </w:r>
          </w:p>
        </w:tc>
        <w:tc>
          <w:tcPr>
            <w:tcW w:w="7825" w:type="dxa"/>
          </w:tcPr>
          <w:p w14:paraId="679012C0" w14:textId="77777777" w:rsidR="00D60D4C" w:rsidRPr="00A90B05" w:rsidRDefault="00D60D4C" w:rsidP="00A90B05">
            <w:pPr>
              <w:spacing w:line="240" w:lineRule="auto"/>
              <w:rPr>
                <w:rFonts w:cs="Arial"/>
                <w:sz w:val="20"/>
                <w:szCs w:val="20"/>
              </w:rPr>
            </w:pPr>
            <w:r w:rsidRPr="00A90B05">
              <w:rPr>
                <w:rFonts w:cs="Arial"/>
                <w:sz w:val="20"/>
                <w:szCs w:val="20"/>
              </w:rPr>
              <w:t>tttggaatttcagtatatagtcgcgcagaggaggaatggctgaaatatattacactgggcaaaaaacttcaacatcttatgatgaacggcttgaacttgggattcatgtccagcggttattcgtccaagactggcaaccccctgccagcttctcgccgtatggacgctgtattaggcgcgaacggggttgactcggccccaatgtatttttttgtaggaggacgtatctctgatgagcagattggacatgaaggtatgcgtgaagacagcgttcacatgcgcgggcctgccgaattaatccgtgacgacttggtctccttcctgccagattatatgatcccgaaccgtgtcgttgtgttcgaccgtttaccgttgagtgctaacggaaaaattgacgtcaaagccttagctgcatcagaccaagtcaacgcagaattggtggagcgcccgttcgtagcgcctcgtaccgagacagagaaagaaattgccgccgtatgggagaaggctcttcgccgtgaaaatgcctcggttcaagacgacttcttcgaaagtggaggtaattcgctgattgcagtaggattagtccgcgaactgaatgcacgtttaggcgttagccttcccttacagtctgtacttgagagccctaccattgagaagttggctcgtcgcttggaacgcgaagtcgcgcaggaatcgtcccgctttgtgcgtcttcacgctgaaaccggcaaagcccgtccggtcatctgctggcctggtctgggaggctatccaatgaatttgcgctcacttgcaggagagatcggcctgggacgctcgttctatggggttcaaagctatggcatcaatgagggggagactccctacgaaaccattactgagatggcgaagaaagacatcgaggccttgaaggagatccagcccgcagggccatatactctgtgggggtattctttcggcgctcgtgtggcgtttgagactgcatatcagctggaacaggcgggcgagaaagtggacaacttattcttaatcgccccgggtagtccaaaagtccgtgcggagaatggcaaagtctggggccgcgaggccagtttcgccaatcgcgggtatacaacgatccttttctccgtctttactgggaccatcagcggcccagatcttgatcgctgcttagagacggtaactgacgaggcatccttcgccgaattcattagtgaactgaaaggcattgacgtggacttggcgcgccgtattattagtgtcgttggccaaacatatgaattcgaatactcgttccatgagttggcggaacgtactttacaggcacctattagtattttcaaggctgtgggtgacgactattcgttccttgaaaattcgagcggctatagcgctgagccaccgaccgtaattgacttggacgccgaccactatagcttgttgcgtgaagacatcggagaactggtcaagcatatccgctatttacttggtgaatgttgcccgggttgctgtcatcaccatcaccatcactaa</w:t>
            </w:r>
          </w:p>
          <w:p w14:paraId="1D2C3282" w14:textId="77777777" w:rsidR="00D60D4C" w:rsidRPr="00A90B05" w:rsidRDefault="00D60D4C" w:rsidP="00A90B05">
            <w:pPr>
              <w:spacing w:line="240" w:lineRule="auto"/>
              <w:rPr>
                <w:rFonts w:cs="Arial"/>
                <w:b/>
                <w:bCs/>
                <w:sz w:val="20"/>
                <w:szCs w:val="20"/>
              </w:rPr>
            </w:pPr>
          </w:p>
        </w:tc>
      </w:tr>
    </w:tbl>
    <w:p w14:paraId="05F4E7C5" w14:textId="5648E45B" w:rsidR="00D60D4C" w:rsidRDefault="00D60D4C" w:rsidP="00D60D4C">
      <w:pPr>
        <w:rPr>
          <w:rStyle w:val="CommentReference"/>
          <w:rFonts w:cs="Arial"/>
          <w:sz w:val="22"/>
          <w:szCs w:val="22"/>
        </w:rPr>
      </w:pPr>
    </w:p>
    <w:p w14:paraId="456D57DE" w14:textId="560B038E" w:rsidR="00A90B05" w:rsidRPr="00BD523B" w:rsidRDefault="00A90B05" w:rsidP="00BD523B">
      <w:pPr>
        <w:rPr>
          <w:rStyle w:val="CommentReference"/>
          <w:b/>
          <w:bCs/>
          <w:sz w:val="22"/>
          <w:szCs w:val="24"/>
        </w:rPr>
      </w:pPr>
      <w:r w:rsidRPr="00BD523B">
        <w:rPr>
          <w:rStyle w:val="CommentReference"/>
          <w:b/>
          <w:bCs/>
          <w:sz w:val="22"/>
          <w:szCs w:val="24"/>
        </w:rPr>
        <w:lastRenderedPageBreak/>
        <w:t>Table 5.1 continued</w:t>
      </w:r>
    </w:p>
    <w:tbl>
      <w:tblPr>
        <w:tblStyle w:val="TableGrid"/>
        <w:tblW w:w="0" w:type="auto"/>
        <w:tblInd w:w="0" w:type="dxa"/>
        <w:tblLayout w:type="fixed"/>
        <w:tblLook w:val="04A0" w:firstRow="1" w:lastRow="0" w:firstColumn="1" w:lastColumn="0" w:noHBand="0" w:noVBand="1"/>
      </w:tblPr>
      <w:tblGrid>
        <w:gridCol w:w="1525"/>
        <w:gridCol w:w="7825"/>
      </w:tblGrid>
      <w:tr w:rsidR="00A90B05" w:rsidRPr="00A90B05" w14:paraId="71F69C6E" w14:textId="77777777" w:rsidTr="00747667">
        <w:tc>
          <w:tcPr>
            <w:tcW w:w="1525" w:type="dxa"/>
          </w:tcPr>
          <w:p w14:paraId="2DDA6317" w14:textId="77777777" w:rsidR="00A90B05" w:rsidRPr="00A90B05" w:rsidRDefault="00A90B05" w:rsidP="00747667">
            <w:pPr>
              <w:spacing w:line="240" w:lineRule="auto"/>
              <w:rPr>
                <w:rFonts w:cs="Arial"/>
                <w:sz w:val="20"/>
                <w:szCs w:val="20"/>
              </w:rPr>
            </w:pPr>
            <w:proofErr w:type="spellStart"/>
            <w:r w:rsidRPr="00A90B05">
              <w:rPr>
                <w:rFonts w:cs="Arial"/>
                <w:i/>
                <w:iCs/>
                <w:sz w:val="20"/>
                <w:szCs w:val="20"/>
              </w:rPr>
              <w:t>pys</w:t>
            </w:r>
            <w:proofErr w:type="spellEnd"/>
            <w:r w:rsidRPr="00A90B05">
              <w:rPr>
                <w:rFonts w:cs="Arial"/>
                <w:i/>
                <w:iCs/>
                <w:sz w:val="20"/>
                <w:szCs w:val="20"/>
              </w:rPr>
              <w:t xml:space="preserve"> E. coli</w:t>
            </w:r>
            <w:r w:rsidRPr="00A90B05">
              <w:rPr>
                <w:rFonts w:cs="Arial"/>
                <w:sz w:val="20"/>
                <w:szCs w:val="20"/>
              </w:rPr>
              <w:t xml:space="preserve"> codon optimized part 1</w:t>
            </w:r>
          </w:p>
        </w:tc>
        <w:tc>
          <w:tcPr>
            <w:tcW w:w="7825" w:type="dxa"/>
          </w:tcPr>
          <w:p w14:paraId="2E1836AF" w14:textId="77777777" w:rsidR="00A90B05" w:rsidRPr="00A90B05" w:rsidRDefault="00A90B05" w:rsidP="00747667">
            <w:pPr>
              <w:spacing w:line="240" w:lineRule="auto"/>
              <w:rPr>
                <w:rFonts w:cs="Arial"/>
                <w:sz w:val="20"/>
                <w:szCs w:val="20"/>
              </w:rPr>
            </w:pPr>
            <w:r w:rsidRPr="00A90B05">
              <w:rPr>
                <w:rFonts w:cs="Arial"/>
                <w:sz w:val="20"/>
                <w:szCs w:val="20"/>
              </w:rPr>
              <w:t>atgcgcgatgtccacccatgcccactgagtactgcgcaacaagaagtgtgcttggccattagtcaatctcattcaaatctgaattaccatctttgtgatgtaattgaattgcgcggcgaacttcacttgccttggcttgaagcggccattcgtgcccagtttttacaaacggacacccttcgcgcaacattcgacatcgacccgactacgggaacatacgcccagcatatccagcctgccgatgcgttaccggcgaaggcatttgagtcacttgacgtaagcgaccaggcagaccccgcgcaggccagtaacgagcttttggagcatctgttggatcaagacatggatttacaacacgggccgttaatccgctatgtgctgattcgtctggcaccgcaacattatcgcatgattgaactggcttctcatttagtagtcgacggcttcggccacggaatcctttttgggaatattactgctcactataacgctttgtcacgcggtgagacggtagaagcacttgaattagccccgttatctagcgtgttcgatgcccaagaagagtatcgccattcggatatgcataagaaggatcgtacgtattggcgccagtattgtctgaaaatgcccgaaccaacacaattggtccctggagatgctccgttgattaaactgaatcgtctgcgcaaagtctttggaggcgccacacttcttcagcttcgtgccgcggcgtccgagcatcaacttcgtttatcctctatcctgttggctttatgtgccacatatttgcagcgcatgaccgggcagcacgagttggccttgggcatgccagttgcggcacgtcagttaaaggctttgcgcaatgtaccctctatggtagcaaatatcttgccactgcacttgtcatttacaccggagtcaaccgtcttaagcgtcgcggccaatcttcaacgccagttacgccatcacttgctgcatcaatcttaccgttcggagtcgatgatccgcgacttacatgcggaacgcgggaataagccgttatttaataccttgttgaacatcgttgcgtatgaccaagggccgggatttgcgggctgcgatactacgatccaaaacgtcgccaacgggccagccgaccaccttggcattgacatcttcgaccgtcatgacgacggtcgtttggagatcgggttcaatgccaatgctgatctgtattcggctgaggcattggagctgcactaccaacgtttgactgcgttattcgagcgcttcgctaacgctccccaaacgctggcagcagactataacctgttcttaccagacgagcaacaacgccactacgcacttcccccccatccagaaaagcttcctgtttttgcggaggcgtttgcgaacgcggttcatgactacgctgagcgcccagcactttcccaaggagcccagaccctgagttaccgtcgtttggacgatgacgctacacgcctggcagcccacctgcgcgaacgtggggtgcgcgccggagattgcgtcgtagtcatgttcagtcgctccgtcgagtgggcggtagcggccgtagctttgtttaagctgggagcgtgttacgtaccagtggatccagatctgcccgaagcccgcattgaacatatcttctctgacgccgacccggcagtagtcattgtggcaccaggatcacagcttaaggtggaggtagccgcagataaactgctgcgtctttccgcagagactttagctcagttgccagctgtcacgcaacctctgtcagcattcgatgctggcttgcctggctatcttatttatactagcggatctacagggaagcctaagggcgtggaggtgacgcagcgcaactta</w:t>
            </w:r>
          </w:p>
        </w:tc>
      </w:tr>
      <w:tr w:rsidR="00A90B05" w:rsidRPr="00A90B05" w14:paraId="618589A3" w14:textId="77777777" w:rsidTr="00747667">
        <w:tc>
          <w:tcPr>
            <w:tcW w:w="1525" w:type="dxa"/>
          </w:tcPr>
          <w:p w14:paraId="1CDC2565" w14:textId="77777777" w:rsidR="00A90B05" w:rsidRPr="00A90B05" w:rsidRDefault="00A90B05" w:rsidP="00747667">
            <w:pPr>
              <w:spacing w:line="240" w:lineRule="auto"/>
              <w:rPr>
                <w:rFonts w:cs="Arial"/>
                <w:i/>
                <w:iCs/>
                <w:sz w:val="20"/>
                <w:szCs w:val="20"/>
              </w:rPr>
            </w:pPr>
            <w:proofErr w:type="spellStart"/>
            <w:r w:rsidRPr="00A90B05">
              <w:rPr>
                <w:rFonts w:cs="Arial"/>
                <w:i/>
                <w:iCs/>
                <w:sz w:val="20"/>
                <w:szCs w:val="20"/>
              </w:rPr>
              <w:t>pys</w:t>
            </w:r>
            <w:proofErr w:type="spellEnd"/>
            <w:r w:rsidRPr="00A90B05">
              <w:rPr>
                <w:rFonts w:cs="Arial"/>
                <w:i/>
                <w:iCs/>
                <w:sz w:val="20"/>
                <w:szCs w:val="20"/>
              </w:rPr>
              <w:t xml:space="preserve"> E.  coli</w:t>
            </w:r>
            <w:r w:rsidRPr="00A90B05">
              <w:rPr>
                <w:rFonts w:cs="Arial"/>
                <w:sz w:val="20"/>
                <w:szCs w:val="20"/>
              </w:rPr>
              <w:t xml:space="preserve"> codon optimized part 2</w:t>
            </w:r>
          </w:p>
        </w:tc>
        <w:tc>
          <w:tcPr>
            <w:tcW w:w="7825" w:type="dxa"/>
          </w:tcPr>
          <w:p w14:paraId="449349DD" w14:textId="77777777" w:rsidR="00A90B05" w:rsidRPr="00A90B05" w:rsidRDefault="00A90B05" w:rsidP="00747667">
            <w:pPr>
              <w:spacing w:line="240" w:lineRule="auto"/>
              <w:rPr>
                <w:rFonts w:cs="Arial"/>
                <w:sz w:val="20"/>
                <w:szCs w:val="20"/>
              </w:rPr>
            </w:pPr>
            <w:r w:rsidRPr="00A90B05">
              <w:rPr>
                <w:rFonts w:cs="Arial"/>
                <w:sz w:val="20"/>
                <w:szCs w:val="20"/>
              </w:rPr>
              <w:t>gtgcccatcgctcgtactgctatcaatgccgcccagctgcaaccaggcgcgcgtgtgcttcagttcatcgcagctggatttgacatgtctgttttagagattatgatgacgcttttagcgggggccgaattagtaattacagacaaagtatcgagtgctccagggaaagcgcttgctacactggttaagcgtgagggcatcaatttgcttgtaatgaccccgtccctgttggcctgtcaccaaactgaggactttccccaggatacggtcttaatgcttggaggggagccttgtacgcccgccctgctggcgcgttttgcccactgtcgtttgttgaacgtgtatggaccaacagaaaccagtttcgcaacaagtattaacgcctgctatggagcgggggacttatctatcggtccggccacggctaacactcgcttgtatgtagtcgatgggcaacagcgcttacttcctccgggagcctggggggatttgtttatcgggggtcccggtgtagcccgtggctaccgtaaccgccccgacttaactgctaagggttttgtagcagatttgttagactctgcatcaacgatgtaccgtgcaggggaccgtgtgttcttcgaccatgccggacgcattcattacctgggtcgtcaagataatcaaattaagttacgcggtttgcgcatcgaattagacgagattaagaatgtcttgttaggatgtgcaggcgtagatgacgccacagttattttacgtgaattggggcacggaccagcgattgtgggttacgtggcgtctaaggattccagtcttgatggtcaacatcttaagcaggcgctgggccgtcatttaccccaacatatggtgccgtccgtaatcatgtgtgttagcgagttccctctgacccccaatggtaaattagctgttgatcgtttgccagctccggcactgtatgatgccactgaactggctccagctcaaaacgctgaggaggcggccatgtgcaagttgtttgcggaggccttagattgcaacgaagttttcgcgaaccagaatttttttgaccttggcggccatagtttactggggttgcagcttgtgagtcgtattaaggagcagttcgggattgcacttggaattgccgattttcttgctgcgccaacaccgcgccaattagcgcagcgcttacagacaaactcaggcgactctgacccgtttgatgcagtcttaaccctgcgcagtgaaggttctcgcccacccctgttttgcatccatccagggggggggattgcgtggccctatgccggattattaccattcttgccggaagaccaaccaatgtacgcccttcaatcgccgattctgcgtgatccgactcgtgttatcgggagcttagatgaactggccgccgagtatttacaacgcattgtagacttgcatcctgaaggtccctaccaacttgcaggctggtcagtgggaggcaaccttgccttacgtatcggtgctatgcttcaagcgcgtggccgtgaggtatcttttttatgcatgtttgactcatatccattgcagggaggccccgcttcgttgaaacttgatgatgcgatgattatctcacgcatgacccgtgctattgtcggaactcctcgtgcgggattaaagggcctgaagtccgcaatggaagaagtcttgggaagccgtcaaattggcgacgaattcttgacacgccttgtagacgattcaaaattgatgttagagttgttagggcgcacgcagtatgaggtatttaatggcgatctgctgttcattcgcgcgacaacagacattcttcgccaagatgagcagcagccaggtctgtgggcaccgtacatttctggtgagttaatccagcacgacgtcgaggctcctcacgaatgcttgcttcaacgccagtacttagaacaatttgggaaggcgttcgtagaggctttacttaaacgtcaagcctcccccgcttcggaaacccaaaagctgtcggaagtctgttgcccgggttgctgttggagccacccgcagttcgaaaaataa</w:t>
            </w:r>
          </w:p>
        </w:tc>
      </w:tr>
    </w:tbl>
    <w:p w14:paraId="7F8DE3AC" w14:textId="77777777" w:rsidR="00A90B05" w:rsidRDefault="00A90B05" w:rsidP="00D60D4C">
      <w:pPr>
        <w:rPr>
          <w:rFonts w:cs="Arial"/>
          <w:b/>
          <w:bCs/>
          <w:szCs w:val="22"/>
        </w:rPr>
      </w:pPr>
    </w:p>
    <w:p w14:paraId="7DF876BF" w14:textId="77777777" w:rsidR="00A90B05" w:rsidRDefault="00A90B05">
      <w:pPr>
        <w:rPr>
          <w:rFonts w:cs="Arial"/>
          <w:b/>
          <w:bCs/>
          <w:szCs w:val="22"/>
        </w:rPr>
      </w:pPr>
    </w:p>
    <w:p w14:paraId="1F3EEBF6" w14:textId="77777777" w:rsidR="00A90B05" w:rsidRDefault="00A90B05" w:rsidP="00A90B05">
      <w:pPr>
        <w:rPr>
          <w:rStyle w:val="CommentReference"/>
          <w:rFonts w:cs="Arial"/>
          <w:b/>
          <w:bCs/>
          <w:sz w:val="22"/>
          <w:szCs w:val="22"/>
        </w:rPr>
      </w:pPr>
      <w:r>
        <w:rPr>
          <w:rStyle w:val="CommentReference"/>
          <w:rFonts w:cs="Arial"/>
          <w:b/>
          <w:bCs/>
          <w:sz w:val="22"/>
          <w:szCs w:val="22"/>
        </w:rPr>
        <w:lastRenderedPageBreak/>
        <w:t>Table 5.1 continued</w:t>
      </w:r>
    </w:p>
    <w:tbl>
      <w:tblPr>
        <w:tblStyle w:val="TableGrid"/>
        <w:tblW w:w="0" w:type="auto"/>
        <w:tblInd w:w="0" w:type="dxa"/>
        <w:tblLayout w:type="fixed"/>
        <w:tblLook w:val="04A0" w:firstRow="1" w:lastRow="0" w:firstColumn="1" w:lastColumn="0" w:noHBand="0" w:noVBand="1"/>
      </w:tblPr>
      <w:tblGrid>
        <w:gridCol w:w="1525"/>
        <w:gridCol w:w="7825"/>
      </w:tblGrid>
      <w:tr w:rsidR="00A90B05" w:rsidRPr="00A90B05" w14:paraId="712F0F8B" w14:textId="77777777" w:rsidTr="00747667">
        <w:tc>
          <w:tcPr>
            <w:tcW w:w="1525" w:type="dxa"/>
          </w:tcPr>
          <w:p w14:paraId="4BEF0F50" w14:textId="77777777" w:rsidR="00A90B05" w:rsidRPr="00A90B05" w:rsidRDefault="00A90B05" w:rsidP="00747667">
            <w:pPr>
              <w:spacing w:line="240" w:lineRule="auto"/>
              <w:rPr>
                <w:rFonts w:cs="Arial"/>
                <w:i/>
                <w:iCs/>
                <w:sz w:val="20"/>
                <w:szCs w:val="20"/>
              </w:rPr>
            </w:pPr>
            <w:proofErr w:type="spellStart"/>
            <w:r w:rsidRPr="00A90B05">
              <w:rPr>
                <w:rFonts w:cs="Arial"/>
                <w:i/>
                <w:iCs/>
                <w:sz w:val="20"/>
                <w:szCs w:val="20"/>
              </w:rPr>
              <w:t>tycA</w:t>
            </w:r>
            <w:proofErr w:type="spellEnd"/>
            <w:r w:rsidRPr="00A90B05">
              <w:rPr>
                <w:rFonts w:cs="Arial"/>
                <w:i/>
                <w:iCs/>
                <w:sz w:val="20"/>
                <w:szCs w:val="20"/>
              </w:rPr>
              <w:t xml:space="preserve"> E. coli</w:t>
            </w:r>
            <w:r w:rsidRPr="00A90B05">
              <w:rPr>
                <w:rFonts w:cs="Arial"/>
                <w:sz w:val="20"/>
                <w:szCs w:val="20"/>
              </w:rPr>
              <w:t xml:space="preserve"> codon optimized part 1</w:t>
            </w:r>
          </w:p>
        </w:tc>
        <w:tc>
          <w:tcPr>
            <w:tcW w:w="7825" w:type="dxa"/>
          </w:tcPr>
          <w:p w14:paraId="2D2B4CD3" w14:textId="77777777" w:rsidR="00A90B05" w:rsidRPr="00A90B05" w:rsidRDefault="00A90B05" w:rsidP="00747667">
            <w:pPr>
              <w:spacing w:line="240" w:lineRule="auto"/>
              <w:rPr>
                <w:rFonts w:cs="Arial"/>
                <w:sz w:val="20"/>
                <w:szCs w:val="20"/>
              </w:rPr>
            </w:pPr>
            <w:r w:rsidRPr="00A90B05">
              <w:rPr>
                <w:rFonts w:cs="Arial"/>
                <w:sz w:val="20"/>
                <w:szCs w:val="20"/>
              </w:rPr>
              <w:t>atgcttgcaaaccaagctaatcttattgaccttgaatgggagaaagaacaagttgcgctttttaacgacaccaaagcggagtaccctcaggacaagagcatccaccaattattcgaggaacgtgccgaagcagtcccgcatcgcgtggcaattgtgtatgaaaatgagcgcttaacctaccaggaattaaataaaaaagccaaccaattagcgcgtgccctgattgaaaaaggcatcacaacagattctatcgtgggagtcatgatggaaaagtctattgaaaatgtcacagccattttagctattttaaaggcaggtggagcgtatgttcccatcgacattgagtacccgcgtgaccgtatccaatacatcttgcaggactcccagactaaaatcgtaattacacaaaagaatgttagtcaattagtctacgatgtcgggtatcgtgggcctgttgtcgtattggaagaagaacagctggactctcgtcctaactcgaacttgcatttgccgtcgaaaccgactgatatggcctacgtaatttatacctcaggcacaacaggcaagccaaagggaactatgttggaacacaaaggtattgcaaacttgcagtctttttttcagaacacgtttgacgtaacgcccgccgaccgtattggtcagttcgcgtccatgagtttcgatgcaagtgtctgggagatgtttatggctcttttgaccggagccagcttatatattttgtcgaaacagacgattcatgacttcatcagcttggaaaactaccttaatgagaatgagcttaccattattactcttcccccgacataccttacacaccttaatcctgaccatattactactcttcgtatcatgattacggccggatctgcagcaaattttccgttagtaaatcgttggaaaaataaagtccgttatgtaaacgcctatgggcctacggaaacaagcatttgtgcgactatttgggaggcgcctcctaacgaacttttaaatcagacaatccctatcggaaaacccattcagaatacatatgcatatattgttaacgaagaactgcaacttcagcctattggctcggaaggggaattgtgcatcgggggagtagggctggcccgcgggtattggaaccgtccggatttaaccgcggagaagtttgttgataatcctttcgttccaggggaaaaaatgtatcgtacaggggacctggccaaatggcttccgtctggagagatcgaattccttggccgtatcgaccaccaggtcaagatccgtgggcaccgcatcgagttgggcgaaattgagtctgtattgcttaaacatgaacaaattaaggaagctgtcgtaattgcgcgcgaagaccaacatgcgcaaccatatttgtgcgcatacttcatttcgcagaaagaagtgacgcccgctcaaattcgtgaatacgccgctcagaagctgccagcatacatgttgccgtcttatttcgttaaacttgacaagatgccgctgacacctaatgataagattgaccgcaaggccctg</w:t>
            </w:r>
          </w:p>
        </w:tc>
      </w:tr>
      <w:tr w:rsidR="00A90B05" w:rsidRPr="00A90B05" w14:paraId="464864AE" w14:textId="77777777" w:rsidTr="00747667">
        <w:tc>
          <w:tcPr>
            <w:tcW w:w="1525" w:type="dxa"/>
          </w:tcPr>
          <w:p w14:paraId="35743FFB" w14:textId="77777777" w:rsidR="00A90B05" w:rsidRPr="00A90B05" w:rsidRDefault="00A90B05" w:rsidP="00747667">
            <w:pPr>
              <w:spacing w:line="240" w:lineRule="auto"/>
              <w:rPr>
                <w:rFonts w:cs="Arial"/>
                <w:i/>
                <w:iCs/>
                <w:sz w:val="20"/>
                <w:szCs w:val="20"/>
              </w:rPr>
            </w:pPr>
            <w:proofErr w:type="spellStart"/>
            <w:r w:rsidRPr="00A90B05">
              <w:rPr>
                <w:rFonts w:cs="Arial"/>
                <w:i/>
                <w:iCs/>
                <w:sz w:val="20"/>
                <w:szCs w:val="20"/>
              </w:rPr>
              <w:t>tycA</w:t>
            </w:r>
            <w:proofErr w:type="spellEnd"/>
            <w:r w:rsidRPr="00A90B05">
              <w:rPr>
                <w:rFonts w:cs="Arial"/>
                <w:i/>
                <w:iCs/>
                <w:sz w:val="20"/>
                <w:szCs w:val="20"/>
              </w:rPr>
              <w:t xml:space="preserve"> E. coli</w:t>
            </w:r>
            <w:r w:rsidRPr="00A90B05">
              <w:rPr>
                <w:rFonts w:cs="Arial"/>
                <w:sz w:val="20"/>
                <w:szCs w:val="20"/>
              </w:rPr>
              <w:t xml:space="preserve"> codon optimized part 2</w:t>
            </w:r>
          </w:p>
        </w:tc>
        <w:tc>
          <w:tcPr>
            <w:tcW w:w="7825" w:type="dxa"/>
          </w:tcPr>
          <w:p w14:paraId="47C75D05" w14:textId="77777777" w:rsidR="00A90B05" w:rsidRPr="00A90B05" w:rsidRDefault="00A90B05" w:rsidP="00747667">
            <w:pPr>
              <w:spacing w:line="240" w:lineRule="auto"/>
              <w:rPr>
                <w:rFonts w:cs="Arial"/>
                <w:sz w:val="20"/>
                <w:szCs w:val="20"/>
              </w:rPr>
            </w:pPr>
            <w:r w:rsidRPr="00A90B05">
              <w:rPr>
                <w:rFonts w:cs="Arial"/>
                <w:sz w:val="20"/>
                <w:szCs w:val="20"/>
              </w:rPr>
              <w:t>cccgaacctgacgtaacgtcggaaactaatccagcgtatgagcctcctcgcaatcagaccgaaaagattctggctacagtatggcaggaagttcttggaatcgaaaagattgggattctggacaacttctattcgttaggtggtgatagcattcaagcgattcaagtggcagcgcgtctgcacgcctatcagcgcaagttagacacgaaggatttattaaactatccgaccatttcccaagtcgcattatacgtgaagtccacgacccgcagctccgaacagggaattatcgaaggcccagtagcactgacacccatccagcactggtttttcgagaaaaacttcacaaacatgtcgcattggaaccaaagctatgttctgtatcgtgaacaggggttcgatccagaggccattcgcaaagctctggataagattttaagtcaccacgacgcgttgcgcatgatctaccagcgtgaaaatgggtctatcgtacagcagaatcgcggattgggtagtgaactgtatcaattcttgcaatatgacctgacatcgcactgggacgtacagaaggctatcgaagaagaaaccaaacgcttgcatagttcaatgaatctgcaagaagggcaattagtaaaagcggcccttttccacacgcttcaaggcgatcacttgttccttgcaatccaccatctggttatggacggtatttcttggcgcattctgttcgaagaccttgcaacggcatacagtcaggtagttgcggggaaggagatcgttctgcccgagaaaactgattcatttaaggactggacagtgtggttaaacgattacgctaatagcgacgctctgatgcgtgaaatcccctactgggagaacttggaatcaggagctcgtaatgcctcacttcccaaagactatgagacagtaggatgtaagcaaaaaagtacccgcaatatccaggttggtcttctggcagctgaaaccgaacaattactgaaacaggcaaatagcgcttaccaaacggaaattaatgatctgctgttagccgccctgggtcttgcagtggctgagtggggacgtcttgaccaaattgttatcaacttggaagggcacggtcgtgaagacgttattgagcacgcaaatgtgactcgtactattggctggtttacatctcagtatccggtccttctggacgtctctcaaatgaaccacttaccaaaccacattaagtgtacaaaggagaatcttcgcaaaatccctaacaagggtatcggctacgaaatcttaaagtatatgacggaacccgaacgtcgcggctctttgtcattctctctgcaacctgaggttacattcaattatttaggtcagtttgattcagggttgaattcagaactgtttactcgtagcccatactccagcgggaatacccttggagccgatggtaagaataatcttagtccggattctgagatttacactgccctgaacattaccggacgcattgaaggtggagagcttttgatcacatttacgtattccgaggagcagtttcgtgaggagtccatccatcaattatcggaaaattaccagaaacacctgcgctcgatcattacacactgcgtacaaaaaaaagaagtagagcgtacaccctcggatttctccctgaagggccttcagatggaggaaatggatgatatctttgaggtcttggctaacaccttaaactgttgcccgggttgctgttggagccacccgcagttcgaaaaataa</w:t>
            </w:r>
          </w:p>
        </w:tc>
      </w:tr>
    </w:tbl>
    <w:p w14:paraId="1C1D7E58" w14:textId="77777777" w:rsidR="00A90B05" w:rsidRDefault="00A90B05" w:rsidP="00A90B05">
      <w:pPr>
        <w:rPr>
          <w:rFonts w:cs="Arial"/>
          <w:b/>
          <w:bCs/>
          <w:szCs w:val="22"/>
        </w:rPr>
      </w:pPr>
    </w:p>
    <w:p w14:paraId="26FAC55D" w14:textId="77777777" w:rsidR="00A90B05" w:rsidRDefault="00A90B05" w:rsidP="00A90B05">
      <w:pPr>
        <w:rPr>
          <w:rFonts w:cs="Arial"/>
          <w:b/>
          <w:bCs/>
          <w:szCs w:val="22"/>
        </w:rPr>
      </w:pPr>
    </w:p>
    <w:p w14:paraId="239BE55F" w14:textId="77777777" w:rsidR="00A90B05" w:rsidRDefault="00A90B05" w:rsidP="00A90B05">
      <w:pPr>
        <w:rPr>
          <w:rFonts w:cs="Arial"/>
          <w:b/>
          <w:bCs/>
          <w:szCs w:val="22"/>
        </w:rPr>
      </w:pPr>
    </w:p>
    <w:p w14:paraId="60DE22AD" w14:textId="77777777" w:rsidR="00A90B05" w:rsidRDefault="00A90B05" w:rsidP="00A90B05">
      <w:pPr>
        <w:rPr>
          <w:rFonts w:cs="Arial"/>
          <w:b/>
          <w:bCs/>
          <w:szCs w:val="22"/>
        </w:rPr>
      </w:pPr>
    </w:p>
    <w:p w14:paraId="294B61C3" w14:textId="77777777" w:rsidR="00A90B05" w:rsidRDefault="00A90B05" w:rsidP="00A90B05">
      <w:pPr>
        <w:rPr>
          <w:rFonts w:cs="Arial"/>
          <w:b/>
          <w:bCs/>
          <w:szCs w:val="22"/>
        </w:rPr>
      </w:pPr>
    </w:p>
    <w:p w14:paraId="53BF37F4" w14:textId="77777777" w:rsidR="00A90B05" w:rsidRDefault="00A90B05" w:rsidP="00A90B05">
      <w:pPr>
        <w:rPr>
          <w:rFonts w:cs="Arial"/>
          <w:b/>
          <w:bCs/>
          <w:szCs w:val="22"/>
        </w:rPr>
      </w:pPr>
      <w:r>
        <w:rPr>
          <w:rFonts w:cs="Arial"/>
          <w:b/>
          <w:bCs/>
          <w:szCs w:val="22"/>
        </w:rPr>
        <w:lastRenderedPageBreak/>
        <w:t>Table 5.1 continued</w:t>
      </w:r>
    </w:p>
    <w:tbl>
      <w:tblPr>
        <w:tblStyle w:val="TableGrid"/>
        <w:tblW w:w="0" w:type="auto"/>
        <w:tblInd w:w="0" w:type="dxa"/>
        <w:tblLayout w:type="fixed"/>
        <w:tblLook w:val="04A0" w:firstRow="1" w:lastRow="0" w:firstColumn="1" w:lastColumn="0" w:noHBand="0" w:noVBand="1"/>
      </w:tblPr>
      <w:tblGrid>
        <w:gridCol w:w="1525"/>
        <w:gridCol w:w="7825"/>
      </w:tblGrid>
      <w:tr w:rsidR="00A90B05" w:rsidRPr="00A90B05" w14:paraId="512892C9" w14:textId="77777777" w:rsidTr="00747667">
        <w:tc>
          <w:tcPr>
            <w:tcW w:w="1525" w:type="dxa"/>
          </w:tcPr>
          <w:p w14:paraId="69D25C56" w14:textId="77777777" w:rsidR="00A90B05" w:rsidRPr="00A90B05" w:rsidRDefault="00A90B05" w:rsidP="00747667">
            <w:pPr>
              <w:spacing w:line="240" w:lineRule="auto"/>
              <w:rPr>
                <w:rFonts w:cs="Arial"/>
                <w:sz w:val="20"/>
                <w:szCs w:val="20"/>
              </w:rPr>
            </w:pPr>
            <w:r w:rsidRPr="00A90B05">
              <w:rPr>
                <w:rFonts w:cs="Arial"/>
                <w:sz w:val="20"/>
                <w:szCs w:val="20"/>
              </w:rPr>
              <w:t>pET28</w:t>
            </w:r>
            <w:proofErr w:type="gramStart"/>
            <w:r w:rsidRPr="00A90B05">
              <w:rPr>
                <w:rFonts w:cs="Arial"/>
                <w:sz w:val="20"/>
                <w:szCs w:val="20"/>
              </w:rPr>
              <w:t>a(</w:t>
            </w:r>
            <w:proofErr w:type="gramEnd"/>
            <w:r w:rsidRPr="00A90B05">
              <w:rPr>
                <w:rFonts w:cs="Arial"/>
                <w:sz w:val="20"/>
                <w:szCs w:val="20"/>
              </w:rPr>
              <w:t>+) sequence with TC tag</w:t>
            </w:r>
          </w:p>
        </w:tc>
        <w:tc>
          <w:tcPr>
            <w:tcW w:w="7825" w:type="dxa"/>
          </w:tcPr>
          <w:p w14:paraId="462D4122" w14:textId="78270218" w:rsidR="00A90B05" w:rsidRPr="00A90B05" w:rsidRDefault="00A90B05" w:rsidP="00747667">
            <w:pPr>
              <w:spacing w:line="240" w:lineRule="auto"/>
              <w:rPr>
                <w:rFonts w:cs="Arial"/>
                <w:sz w:val="20"/>
                <w:szCs w:val="20"/>
              </w:rPr>
            </w:pPr>
            <w:r w:rsidRPr="00A90B05">
              <w:rPr>
                <w:rFonts w:cs="Arial"/>
                <w:sz w:val="20"/>
                <w:szCs w:val="20"/>
              </w:rPr>
              <w:t>gatgtaactgaatgaaatggtgaaggacgggtccagtaggctgcttcggcagcctacttgttgagtagagtgtgagctccgtaactagttacatcctagcataaccccttggggcctctaaacgggtcttgaggggttttttgcggatccgaactcgagcaccaccaccaccaccactgagatccggctgctaacaaagcccgaaaggaagctgagttggctgctgccaccgctgagcaataactagcataaccccttggggcctctaaacgggtcttgaggggttttttgctgaaaggaggaactatatccggat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caggtggcacttttcggggaaatgtgcgcggaacccctatttgtttatttttctaaatacattcaaatatgtatccgctcatgaattaattc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w:t>
            </w:r>
          </w:p>
        </w:tc>
      </w:tr>
    </w:tbl>
    <w:p w14:paraId="5DEF1C14" w14:textId="6EA65E14" w:rsidR="00A90B05" w:rsidRDefault="00A90B05" w:rsidP="00A90B05">
      <w:pPr>
        <w:rPr>
          <w:rFonts w:cs="Arial"/>
          <w:b/>
          <w:bCs/>
          <w:szCs w:val="22"/>
        </w:rPr>
      </w:pPr>
      <w:r>
        <w:rPr>
          <w:rFonts w:cs="Arial"/>
          <w:b/>
          <w:bCs/>
          <w:szCs w:val="22"/>
        </w:rPr>
        <w:lastRenderedPageBreak/>
        <w:t>Table 5.1 continued</w:t>
      </w:r>
    </w:p>
    <w:tbl>
      <w:tblPr>
        <w:tblStyle w:val="TableGrid"/>
        <w:tblW w:w="0" w:type="auto"/>
        <w:tblInd w:w="0" w:type="dxa"/>
        <w:tblLayout w:type="fixed"/>
        <w:tblLook w:val="04A0" w:firstRow="1" w:lastRow="0" w:firstColumn="1" w:lastColumn="0" w:noHBand="0" w:noVBand="1"/>
      </w:tblPr>
      <w:tblGrid>
        <w:gridCol w:w="1525"/>
        <w:gridCol w:w="7825"/>
      </w:tblGrid>
      <w:tr w:rsidR="00A90B05" w:rsidRPr="00A90B05" w14:paraId="08D85CA7" w14:textId="77777777" w:rsidTr="00747667">
        <w:tc>
          <w:tcPr>
            <w:tcW w:w="1525" w:type="dxa"/>
          </w:tcPr>
          <w:p w14:paraId="241E8730" w14:textId="5F5C4AFF" w:rsidR="00A90B05" w:rsidRPr="00A90B05" w:rsidRDefault="00A90B05" w:rsidP="00747667">
            <w:pPr>
              <w:spacing w:line="240" w:lineRule="auto"/>
              <w:rPr>
                <w:rFonts w:cs="Arial"/>
                <w:i/>
                <w:iCs/>
                <w:sz w:val="20"/>
                <w:szCs w:val="20"/>
              </w:rPr>
            </w:pPr>
            <w:r w:rsidRPr="00A90B05">
              <w:rPr>
                <w:rFonts w:cs="Arial"/>
                <w:sz w:val="20"/>
                <w:szCs w:val="20"/>
              </w:rPr>
              <w:t>pET28</w:t>
            </w:r>
            <w:proofErr w:type="gramStart"/>
            <w:r w:rsidRPr="00A90B05">
              <w:rPr>
                <w:rFonts w:cs="Arial"/>
                <w:sz w:val="20"/>
                <w:szCs w:val="20"/>
              </w:rPr>
              <w:t>a(</w:t>
            </w:r>
            <w:proofErr w:type="gramEnd"/>
            <w:r w:rsidRPr="00A90B05">
              <w:rPr>
                <w:rFonts w:cs="Arial"/>
                <w:sz w:val="20"/>
                <w:szCs w:val="20"/>
              </w:rPr>
              <w:t>+) sequence with TC tag</w:t>
            </w:r>
            <w:r>
              <w:rPr>
                <w:rFonts w:cs="Arial"/>
                <w:sz w:val="20"/>
                <w:szCs w:val="20"/>
              </w:rPr>
              <w:t xml:space="preserve"> (continued)</w:t>
            </w:r>
          </w:p>
        </w:tc>
        <w:tc>
          <w:tcPr>
            <w:tcW w:w="7825" w:type="dxa"/>
          </w:tcPr>
          <w:p w14:paraId="423510F5" w14:textId="0C0C764B" w:rsidR="00A90B05" w:rsidRPr="00A90B05" w:rsidRDefault="00A90B05" w:rsidP="00747667">
            <w:pPr>
              <w:spacing w:line="240" w:lineRule="auto"/>
              <w:rPr>
                <w:rFonts w:cs="Arial"/>
                <w:sz w:val="20"/>
                <w:szCs w:val="20"/>
              </w:rPr>
            </w:pPr>
            <w:r w:rsidRPr="00A90B05">
              <w:rPr>
                <w:rFonts w:cs="Arial"/>
                <w:sz w:val="20"/>
                <w:szCs w:val="20"/>
              </w:rPr>
              <w:t>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cc</w:t>
            </w:r>
          </w:p>
        </w:tc>
      </w:tr>
    </w:tbl>
    <w:p w14:paraId="4F036696" w14:textId="77777777" w:rsidR="00A90B05" w:rsidRDefault="00A90B05" w:rsidP="00D60D4C">
      <w:pPr>
        <w:rPr>
          <w:rFonts w:cs="Arial"/>
          <w:b/>
          <w:bCs/>
          <w:szCs w:val="22"/>
        </w:rPr>
      </w:pPr>
    </w:p>
    <w:p w14:paraId="5215B602" w14:textId="77777777" w:rsidR="00A90B05" w:rsidRDefault="00A90B05">
      <w:pPr>
        <w:rPr>
          <w:rFonts w:cs="Arial"/>
          <w:b/>
          <w:bCs/>
          <w:szCs w:val="22"/>
        </w:rPr>
      </w:pPr>
      <w:r>
        <w:rPr>
          <w:rFonts w:cs="Arial"/>
          <w:b/>
          <w:bCs/>
          <w:szCs w:val="22"/>
        </w:rPr>
        <w:br w:type="page"/>
      </w:r>
    </w:p>
    <w:p w14:paraId="1F6C1FEC" w14:textId="5B613DA0" w:rsidR="00D60D4C" w:rsidRPr="00D60D4C" w:rsidRDefault="00D60D4C" w:rsidP="00BD523B">
      <w:pPr>
        <w:pStyle w:val="Tablecaption"/>
      </w:pPr>
      <w:bookmarkStart w:id="154" w:name="_Toc129676398"/>
      <w:r w:rsidRPr="00D60D4C">
        <w:rPr>
          <w:bCs/>
        </w:rPr>
        <w:lastRenderedPageBreak/>
        <w:t xml:space="preserve">Table </w:t>
      </w:r>
      <w:r w:rsidR="00A90B05">
        <w:rPr>
          <w:bCs/>
        </w:rPr>
        <w:t>5.</w:t>
      </w:r>
      <w:r w:rsidRPr="00D60D4C">
        <w:rPr>
          <w:bCs/>
        </w:rPr>
        <w:t>2</w:t>
      </w:r>
      <w:r w:rsidR="00A90B05">
        <w:rPr>
          <w:bCs/>
        </w:rPr>
        <w:t>.</w:t>
      </w:r>
      <w:r w:rsidRPr="00D60D4C">
        <w:t xml:space="preserve"> Primers used in this study; highlighted nucleotides are for the point mutation</w:t>
      </w:r>
      <w:r w:rsidR="00BD523B">
        <w:t xml:space="preserve"> in the A domain</w:t>
      </w:r>
      <w:r w:rsidRPr="00D60D4C">
        <w:t>: E315A.</w:t>
      </w:r>
      <w:bookmarkEnd w:id="154"/>
    </w:p>
    <w:tbl>
      <w:tblPr>
        <w:tblStyle w:val="TableGrid"/>
        <w:tblW w:w="0" w:type="auto"/>
        <w:tblInd w:w="0" w:type="dxa"/>
        <w:tblLayout w:type="fixed"/>
        <w:tblLook w:val="04A0" w:firstRow="1" w:lastRow="0" w:firstColumn="1" w:lastColumn="0" w:noHBand="0" w:noVBand="1"/>
      </w:tblPr>
      <w:tblGrid>
        <w:gridCol w:w="2245"/>
        <w:gridCol w:w="7105"/>
      </w:tblGrid>
      <w:tr w:rsidR="00D60D4C" w:rsidRPr="00D60D4C" w14:paraId="731E4CA9" w14:textId="77777777" w:rsidTr="00747667">
        <w:tc>
          <w:tcPr>
            <w:tcW w:w="2245" w:type="dxa"/>
          </w:tcPr>
          <w:p w14:paraId="121172C9" w14:textId="77777777" w:rsidR="00D60D4C" w:rsidRPr="00A90B05" w:rsidRDefault="00D60D4C" w:rsidP="00A90B05">
            <w:pPr>
              <w:spacing w:line="240" w:lineRule="auto"/>
              <w:rPr>
                <w:rFonts w:cs="Arial"/>
              </w:rPr>
            </w:pPr>
            <w:r w:rsidRPr="00A90B05">
              <w:rPr>
                <w:rFonts w:cs="Arial"/>
              </w:rPr>
              <w:t>Primer name</w:t>
            </w:r>
          </w:p>
        </w:tc>
        <w:tc>
          <w:tcPr>
            <w:tcW w:w="7105" w:type="dxa"/>
          </w:tcPr>
          <w:p w14:paraId="426D3886" w14:textId="77777777" w:rsidR="00D60D4C" w:rsidRPr="00A90B05" w:rsidRDefault="00D60D4C" w:rsidP="00A90B05">
            <w:pPr>
              <w:spacing w:line="240" w:lineRule="auto"/>
              <w:rPr>
                <w:rFonts w:cs="Arial"/>
              </w:rPr>
            </w:pPr>
            <w:r w:rsidRPr="00A90B05">
              <w:rPr>
                <w:rFonts w:cs="Arial"/>
              </w:rPr>
              <w:t>Sequence</w:t>
            </w:r>
          </w:p>
        </w:tc>
      </w:tr>
      <w:tr w:rsidR="00D60D4C" w:rsidRPr="00D60D4C" w14:paraId="121ED82E" w14:textId="77777777" w:rsidTr="00747667">
        <w:tc>
          <w:tcPr>
            <w:tcW w:w="2245" w:type="dxa"/>
          </w:tcPr>
          <w:p w14:paraId="6C6FE362" w14:textId="77777777" w:rsidR="00D60D4C" w:rsidRPr="00A90B05" w:rsidRDefault="00D60D4C" w:rsidP="00A90B05">
            <w:pPr>
              <w:spacing w:line="240" w:lineRule="auto"/>
              <w:rPr>
                <w:rFonts w:cs="Arial"/>
                <w:sz w:val="20"/>
                <w:szCs w:val="20"/>
              </w:rPr>
            </w:pP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BpsA</w:t>
            </w:r>
            <w:proofErr w:type="spellEnd"/>
            <w:r w:rsidRPr="00A90B05">
              <w:rPr>
                <w:rFonts w:cs="Arial"/>
                <w:sz w:val="20"/>
                <w:szCs w:val="20"/>
              </w:rPr>
              <w:t xml:space="preserve"> part 1 Forward</w:t>
            </w:r>
          </w:p>
        </w:tc>
        <w:tc>
          <w:tcPr>
            <w:tcW w:w="7105" w:type="dxa"/>
          </w:tcPr>
          <w:tbl>
            <w:tblPr>
              <w:tblW w:w="7960" w:type="dxa"/>
              <w:tblLayout w:type="fixed"/>
              <w:tblLook w:val="04A0" w:firstRow="1" w:lastRow="0" w:firstColumn="1" w:lastColumn="0" w:noHBand="0" w:noVBand="1"/>
            </w:tblPr>
            <w:tblGrid>
              <w:gridCol w:w="7960"/>
            </w:tblGrid>
            <w:tr w:rsidR="00D60D4C" w:rsidRPr="00A90B05" w14:paraId="75134068" w14:textId="77777777" w:rsidTr="00747667">
              <w:trPr>
                <w:trHeight w:val="320"/>
              </w:trPr>
              <w:tc>
                <w:tcPr>
                  <w:tcW w:w="7960" w:type="dxa"/>
                  <w:tcBorders>
                    <w:top w:val="nil"/>
                    <w:left w:val="nil"/>
                    <w:bottom w:val="nil"/>
                    <w:right w:val="nil"/>
                  </w:tcBorders>
                  <w:shd w:val="clear" w:color="auto" w:fill="auto"/>
                  <w:noWrap/>
                  <w:vAlign w:val="bottom"/>
                  <w:hideMark/>
                </w:tcPr>
                <w:p w14:paraId="1B730756" w14:textId="77777777" w:rsidR="00D60D4C" w:rsidRPr="00A90B05" w:rsidRDefault="00D60D4C" w:rsidP="00A90B05">
                  <w:pPr>
                    <w:spacing w:line="240" w:lineRule="auto"/>
                    <w:rPr>
                      <w:rFonts w:cs="Arial"/>
                      <w:color w:val="000000"/>
                      <w:sz w:val="20"/>
                      <w:szCs w:val="20"/>
                    </w:rPr>
                  </w:pPr>
                  <w:r w:rsidRPr="00A90B05">
                    <w:rPr>
                      <w:rFonts w:cs="Arial"/>
                      <w:color w:val="000000"/>
                      <w:sz w:val="20"/>
                      <w:szCs w:val="20"/>
                    </w:rPr>
                    <w:t>CACACCAGGTCTCACAATGACGTTGCAAGAGACTTCGG</w:t>
                  </w:r>
                </w:p>
                <w:p w14:paraId="26ED34E7" w14:textId="77777777" w:rsidR="00D60D4C" w:rsidRPr="00A90B05" w:rsidRDefault="00D60D4C" w:rsidP="00A90B05">
                  <w:pPr>
                    <w:spacing w:line="240" w:lineRule="auto"/>
                    <w:rPr>
                      <w:rFonts w:cs="Arial"/>
                      <w:color w:val="000000"/>
                      <w:sz w:val="20"/>
                      <w:szCs w:val="20"/>
                    </w:rPr>
                  </w:pPr>
                </w:p>
              </w:tc>
            </w:tr>
          </w:tbl>
          <w:p w14:paraId="7E9AC259" w14:textId="77777777" w:rsidR="00D60D4C" w:rsidRPr="00A90B05" w:rsidRDefault="00D60D4C" w:rsidP="00A90B05">
            <w:pPr>
              <w:spacing w:line="240" w:lineRule="auto"/>
              <w:rPr>
                <w:rFonts w:cs="Arial"/>
                <w:sz w:val="20"/>
                <w:szCs w:val="20"/>
              </w:rPr>
            </w:pPr>
          </w:p>
        </w:tc>
      </w:tr>
      <w:tr w:rsidR="00D60D4C" w:rsidRPr="00D60D4C" w14:paraId="2665CD64" w14:textId="77777777" w:rsidTr="00747667">
        <w:tc>
          <w:tcPr>
            <w:tcW w:w="2245" w:type="dxa"/>
          </w:tcPr>
          <w:p w14:paraId="44581C53" w14:textId="77777777" w:rsidR="00D60D4C" w:rsidRPr="00A90B05" w:rsidRDefault="00D60D4C" w:rsidP="00A90B05">
            <w:pPr>
              <w:spacing w:line="240" w:lineRule="auto"/>
              <w:rPr>
                <w:rFonts w:cs="Arial"/>
                <w:sz w:val="20"/>
                <w:szCs w:val="20"/>
              </w:rPr>
            </w:pP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BpsA</w:t>
            </w:r>
            <w:proofErr w:type="spellEnd"/>
            <w:r w:rsidRPr="00A90B05">
              <w:rPr>
                <w:rFonts w:cs="Arial"/>
                <w:sz w:val="20"/>
                <w:szCs w:val="20"/>
              </w:rPr>
              <w:t xml:space="preserve"> part 1 Reverse</w:t>
            </w:r>
          </w:p>
        </w:tc>
        <w:tc>
          <w:tcPr>
            <w:tcW w:w="7105" w:type="dxa"/>
          </w:tcPr>
          <w:p w14:paraId="03437E2A" w14:textId="77777777" w:rsidR="00D60D4C" w:rsidRPr="00A90B05" w:rsidRDefault="00D60D4C" w:rsidP="00A90B05">
            <w:pPr>
              <w:spacing w:line="240" w:lineRule="auto"/>
              <w:rPr>
                <w:rFonts w:cs="Arial"/>
                <w:color w:val="000000"/>
                <w:sz w:val="20"/>
                <w:szCs w:val="20"/>
              </w:rPr>
            </w:pPr>
            <w:r w:rsidRPr="00A90B05">
              <w:rPr>
                <w:rFonts w:cs="Arial"/>
                <w:color w:val="000000"/>
                <w:sz w:val="20"/>
                <w:szCs w:val="20"/>
              </w:rPr>
              <w:t>CACACCAGGTCTCAAACGATGCAGCCTGGTACACGG</w:t>
            </w:r>
          </w:p>
          <w:p w14:paraId="4F4BB4D9" w14:textId="77777777" w:rsidR="00D60D4C" w:rsidRPr="00A90B05" w:rsidRDefault="00D60D4C" w:rsidP="00A90B05">
            <w:pPr>
              <w:pStyle w:val="NormalWeb"/>
              <w:spacing w:before="0" w:beforeAutospacing="0" w:after="80" w:afterAutospacing="0" w:line="240" w:lineRule="auto"/>
              <w:rPr>
                <w:rFonts w:ascii="Arial" w:hAnsi="Arial" w:cs="Arial"/>
                <w:sz w:val="20"/>
                <w:szCs w:val="20"/>
              </w:rPr>
            </w:pPr>
          </w:p>
        </w:tc>
      </w:tr>
      <w:tr w:rsidR="00D60D4C" w:rsidRPr="00D60D4C" w14:paraId="5E97ED22" w14:textId="77777777" w:rsidTr="00747667">
        <w:tc>
          <w:tcPr>
            <w:tcW w:w="2245" w:type="dxa"/>
          </w:tcPr>
          <w:p w14:paraId="2A8536AB" w14:textId="77777777" w:rsidR="00D60D4C" w:rsidRPr="00A90B05" w:rsidRDefault="00D60D4C" w:rsidP="00A90B05">
            <w:pPr>
              <w:spacing w:line="240" w:lineRule="auto"/>
              <w:rPr>
                <w:rFonts w:cs="Arial"/>
                <w:sz w:val="20"/>
                <w:szCs w:val="20"/>
              </w:rPr>
            </w:pP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BpsA</w:t>
            </w:r>
            <w:proofErr w:type="spellEnd"/>
            <w:r w:rsidRPr="00A90B05">
              <w:rPr>
                <w:rFonts w:cs="Arial"/>
                <w:sz w:val="20"/>
                <w:szCs w:val="20"/>
              </w:rPr>
              <w:t xml:space="preserve"> part 2 Forward</w:t>
            </w:r>
          </w:p>
        </w:tc>
        <w:tc>
          <w:tcPr>
            <w:tcW w:w="7105" w:type="dxa"/>
          </w:tcPr>
          <w:p w14:paraId="538F0095" w14:textId="77777777" w:rsidR="00D60D4C" w:rsidRPr="00A90B05" w:rsidRDefault="00D60D4C" w:rsidP="00A90B05">
            <w:pPr>
              <w:spacing w:line="240" w:lineRule="auto"/>
              <w:rPr>
                <w:rFonts w:cs="Arial"/>
                <w:color w:val="000000"/>
                <w:sz w:val="20"/>
                <w:szCs w:val="20"/>
              </w:rPr>
            </w:pPr>
            <w:r w:rsidRPr="00A90B05">
              <w:rPr>
                <w:rFonts w:cs="Arial"/>
                <w:color w:val="000000"/>
                <w:sz w:val="20"/>
                <w:szCs w:val="20"/>
              </w:rPr>
              <w:t>CACACCAGGTCTCAAACGATGCAGCCTGGTACACGG</w:t>
            </w:r>
          </w:p>
          <w:p w14:paraId="30163264" w14:textId="77777777" w:rsidR="00D60D4C" w:rsidRPr="00A90B05" w:rsidRDefault="00D60D4C" w:rsidP="00A90B05">
            <w:pPr>
              <w:spacing w:line="240" w:lineRule="auto"/>
              <w:rPr>
                <w:rFonts w:cs="Arial"/>
                <w:sz w:val="20"/>
                <w:szCs w:val="20"/>
              </w:rPr>
            </w:pPr>
          </w:p>
        </w:tc>
      </w:tr>
      <w:tr w:rsidR="00D60D4C" w:rsidRPr="00D60D4C" w14:paraId="11C80F15" w14:textId="77777777" w:rsidTr="00747667">
        <w:tc>
          <w:tcPr>
            <w:tcW w:w="2245" w:type="dxa"/>
          </w:tcPr>
          <w:p w14:paraId="05712425" w14:textId="77777777" w:rsidR="00D60D4C" w:rsidRPr="00A90B05" w:rsidRDefault="00D60D4C" w:rsidP="00A90B05">
            <w:pPr>
              <w:spacing w:line="240" w:lineRule="auto"/>
              <w:rPr>
                <w:rFonts w:cs="Arial"/>
                <w:sz w:val="20"/>
                <w:szCs w:val="20"/>
              </w:rPr>
            </w:pP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BpsA</w:t>
            </w:r>
            <w:proofErr w:type="spellEnd"/>
            <w:r w:rsidRPr="00A90B05">
              <w:rPr>
                <w:rFonts w:cs="Arial"/>
                <w:sz w:val="20"/>
                <w:szCs w:val="20"/>
              </w:rPr>
              <w:t xml:space="preserve"> part 2 Reverse</w:t>
            </w:r>
          </w:p>
        </w:tc>
        <w:tc>
          <w:tcPr>
            <w:tcW w:w="7105" w:type="dxa"/>
          </w:tcPr>
          <w:p w14:paraId="60845D68" w14:textId="77777777" w:rsidR="00D60D4C" w:rsidRPr="00A90B05" w:rsidRDefault="00D60D4C" w:rsidP="00A90B05">
            <w:pPr>
              <w:spacing w:line="240" w:lineRule="auto"/>
              <w:rPr>
                <w:rFonts w:cs="Arial"/>
                <w:color w:val="000000"/>
                <w:sz w:val="20"/>
                <w:szCs w:val="20"/>
              </w:rPr>
            </w:pPr>
            <w:r w:rsidRPr="00A90B05">
              <w:rPr>
                <w:rFonts w:cs="Arial"/>
                <w:color w:val="000000"/>
                <w:sz w:val="20"/>
                <w:szCs w:val="20"/>
              </w:rPr>
              <w:t>CACACCAGGTCTCATTATTCACCAAGTAAATAGCGGATATGC</w:t>
            </w:r>
          </w:p>
          <w:p w14:paraId="510040F0" w14:textId="77777777" w:rsidR="00D60D4C" w:rsidRPr="00A90B05" w:rsidRDefault="00D60D4C" w:rsidP="00A90B05">
            <w:pPr>
              <w:spacing w:line="240" w:lineRule="auto"/>
              <w:rPr>
                <w:rFonts w:cs="Arial"/>
                <w:sz w:val="20"/>
                <w:szCs w:val="20"/>
              </w:rPr>
            </w:pPr>
          </w:p>
        </w:tc>
      </w:tr>
      <w:tr w:rsidR="00D60D4C" w:rsidRPr="00D60D4C" w14:paraId="438E26D2" w14:textId="77777777" w:rsidTr="00747667">
        <w:tc>
          <w:tcPr>
            <w:tcW w:w="2245" w:type="dxa"/>
          </w:tcPr>
          <w:p w14:paraId="42F74E94" w14:textId="77777777" w:rsidR="00D60D4C" w:rsidRPr="00A90B05" w:rsidRDefault="00D60D4C" w:rsidP="00A90B05">
            <w:pPr>
              <w:spacing w:line="240" w:lineRule="auto"/>
              <w:rPr>
                <w:rFonts w:cs="Arial"/>
                <w:sz w:val="20"/>
                <w:szCs w:val="20"/>
              </w:rPr>
            </w:pPr>
            <w:r w:rsidRPr="00A90B05">
              <w:rPr>
                <w:rFonts w:cs="Arial"/>
                <w:sz w:val="20"/>
                <w:szCs w:val="20"/>
              </w:rPr>
              <w:t xml:space="preserve">pET28a with </w:t>
            </w: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BpsA</w:t>
            </w:r>
            <w:proofErr w:type="spellEnd"/>
            <w:r w:rsidRPr="00A90B05">
              <w:rPr>
                <w:rFonts w:cs="Arial"/>
                <w:sz w:val="20"/>
                <w:szCs w:val="20"/>
              </w:rPr>
              <w:t xml:space="preserve"> Forward</w:t>
            </w:r>
          </w:p>
        </w:tc>
        <w:tc>
          <w:tcPr>
            <w:tcW w:w="7105" w:type="dxa"/>
          </w:tcPr>
          <w:p w14:paraId="248E5537" w14:textId="77777777" w:rsidR="00D60D4C" w:rsidRPr="00A90B05" w:rsidRDefault="00D60D4C" w:rsidP="00A90B05">
            <w:pPr>
              <w:spacing w:line="240" w:lineRule="auto"/>
              <w:rPr>
                <w:rFonts w:cs="Arial"/>
                <w:color w:val="000000"/>
                <w:sz w:val="20"/>
                <w:szCs w:val="20"/>
              </w:rPr>
            </w:pPr>
            <w:r w:rsidRPr="00A90B05">
              <w:rPr>
                <w:rFonts w:cs="Arial"/>
                <w:color w:val="000000"/>
                <w:sz w:val="20"/>
                <w:szCs w:val="20"/>
              </w:rPr>
              <w:t>CACACCAGGTCTCAATAACTGCCAGCGCATCAACAATATTTTCACC</w:t>
            </w:r>
          </w:p>
          <w:p w14:paraId="0367E378" w14:textId="77777777" w:rsidR="00D60D4C" w:rsidRPr="00A90B05" w:rsidRDefault="00D60D4C" w:rsidP="00A90B05">
            <w:pPr>
              <w:spacing w:line="240" w:lineRule="auto"/>
              <w:rPr>
                <w:rFonts w:cs="Arial"/>
                <w:sz w:val="20"/>
                <w:szCs w:val="20"/>
              </w:rPr>
            </w:pPr>
          </w:p>
        </w:tc>
      </w:tr>
      <w:tr w:rsidR="00D60D4C" w:rsidRPr="00D60D4C" w14:paraId="0F832BFC" w14:textId="77777777" w:rsidTr="00747667">
        <w:tc>
          <w:tcPr>
            <w:tcW w:w="2245" w:type="dxa"/>
          </w:tcPr>
          <w:p w14:paraId="3F7410EB" w14:textId="77777777" w:rsidR="00D60D4C" w:rsidRPr="00A90B05" w:rsidRDefault="00D60D4C" w:rsidP="00A90B05">
            <w:pPr>
              <w:spacing w:line="240" w:lineRule="auto"/>
              <w:rPr>
                <w:rFonts w:cs="Arial"/>
                <w:sz w:val="20"/>
                <w:szCs w:val="20"/>
              </w:rPr>
            </w:pPr>
            <w:r w:rsidRPr="00A90B05">
              <w:rPr>
                <w:rFonts w:cs="Arial"/>
                <w:sz w:val="20"/>
                <w:szCs w:val="20"/>
              </w:rPr>
              <w:t xml:space="preserve">pET28a with </w:t>
            </w: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BpsA</w:t>
            </w:r>
            <w:proofErr w:type="spellEnd"/>
            <w:r w:rsidRPr="00A90B05">
              <w:rPr>
                <w:rFonts w:cs="Arial"/>
                <w:sz w:val="20"/>
                <w:szCs w:val="20"/>
              </w:rPr>
              <w:t xml:space="preserve"> Reverse</w:t>
            </w:r>
          </w:p>
        </w:tc>
        <w:tc>
          <w:tcPr>
            <w:tcW w:w="7105" w:type="dxa"/>
          </w:tcPr>
          <w:p w14:paraId="62B9DDE9" w14:textId="77777777" w:rsidR="00D60D4C" w:rsidRPr="00A90B05" w:rsidRDefault="00D60D4C" w:rsidP="00A90B05">
            <w:pPr>
              <w:spacing w:line="240" w:lineRule="auto"/>
              <w:rPr>
                <w:rFonts w:cs="Arial"/>
                <w:color w:val="000000"/>
                <w:sz w:val="20"/>
                <w:szCs w:val="20"/>
              </w:rPr>
            </w:pPr>
            <w:r w:rsidRPr="00A90B05">
              <w:rPr>
                <w:rFonts w:cs="Arial"/>
                <w:color w:val="000000"/>
                <w:sz w:val="20"/>
                <w:szCs w:val="20"/>
              </w:rPr>
              <w:t>CACACCAGGTCTCAATAACTGCCAGCGCATCAACAATATTTTCACC</w:t>
            </w:r>
          </w:p>
        </w:tc>
      </w:tr>
      <w:tr w:rsidR="00D60D4C" w:rsidRPr="00D60D4C" w14:paraId="31CCE18D" w14:textId="77777777" w:rsidTr="00747667">
        <w:tc>
          <w:tcPr>
            <w:tcW w:w="2245" w:type="dxa"/>
          </w:tcPr>
          <w:p w14:paraId="363B0B16" w14:textId="77777777" w:rsidR="00D60D4C" w:rsidRPr="00A90B05" w:rsidRDefault="00D60D4C" w:rsidP="00A90B05">
            <w:pPr>
              <w:spacing w:line="240" w:lineRule="auto"/>
              <w:rPr>
                <w:rFonts w:cs="Arial"/>
                <w:sz w:val="20"/>
                <w:szCs w:val="20"/>
              </w:rPr>
            </w:pPr>
            <w:r w:rsidRPr="00A90B05">
              <w:rPr>
                <w:rFonts w:cs="Arial"/>
                <w:sz w:val="20"/>
                <w:szCs w:val="20"/>
              </w:rPr>
              <w:t>BpsA-TC_E315A part 1 Forward</w:t>
            </w:r>
          </w:p>
        </w:tc>
        <w:tc>
          <w:tcPr>
            <w:tcW w:w="7105" w:type="dxa"/>
            <w:vAlign w:val="bottom"/>
          </w:tcPr>
          <w:p w14:paraId="122508BC" w14:textId="77777777" w:rsidR="00D60D4C" w:rsidRPr="00A90B05" w:rsidRDefault="00D60D4C" w:rsidP="00A90B05">
            <w:pPr>
              <w:spacing w:line="240" w:lineRule="auto"/>
              <w:rPr>
                <w:rFonts w:cs="Arial"/>
                <w:sz w:val="20"/>
                <w:szCs w:val="20"/>
              </w:rPr>
            </w:pPr>
            <w:r w:rsidRPr="00A90B05">
              <w:rPr>
                <w:rFonts w:cs="Arial"/>
                <w:color w:val="000000"/>
                <w:sz w:val="20"/>
                <w:szCs w:val="20"/>
              </w:rPr>
              <w:t>AGATCAAAGGATCTTCTTGAGATCCTTTTTTTCTGCGCGT</w:t>
            </w:r>
          </w:p>
        </w:tc>
      </w:tr>
      <w:tr w:rsidR="00D60D4C" w:rsidRPr="00D60D4C" w14:paraId="29FD9838" w14:textId="77777777" w:rsidTr="00747667">
        <w:tc>
          <w:tcPr>
            <w:tcW w:w="2245" w:type="dxa"/>
          </w:tcPr>
          <w:p w14:paraId="1BF59C1E" w14:textId="77777777" w:rsidR="00D60D4C" w:rsidRPr="00A90B05" w:rsidRDefault="00D60D4C" w:rsidP="00A90B05">
            <w:pPr>
              <w:spacing w:line="240" w:lineRule="auto"/>
              <w:rPr>
                <w:rFonts w:cs="Arial"/>
                <w:sz w:val="20"/>
                <w:szCs w:val="20"/>
              </w:rPr>
            </w:pPr>
            <w:r w:rsidRPr="00A90B05">
              <w:rPr>
                <w:rFonts w:cs="Arial"/>
                <w:sz w:val="20"/>
                <w:szCs w:val="20"/>
              </w:rPr>
              <w:t>BpsA-TC_E315A part 1 Reverse</w:t>
            </w:r>
          </w:p>
        </w:tc>
        <w:tc>
          <w:tcPr>
            <w:tcW w:w="7105" w:type="dxa"/>
            <w:vAlign w:val="bottom"/>
          </w:tcPr>
          <w:p w14:paraId="3872DFB9" w14:textId="77777777" w:rsidR="00D60D4C" w:rsidRPr="00A90B05" w:rsidRDefault="00D60D4C" w:rsidP="00A90B05">
            <w:pPr>
              <w:spacing w:line="240" w:lineRule="auto"/>
              <w:rPr>
                <w:rFonts w:cs="Arial"/>
                <w:sz w:val="20"/>
                <w:szCs w:val="20"/>
              </w:rPr>
            </w:pPr>
            <w:r w:rsidRPr="00A90B05">
              <w:rPr>
                <w:rFonts w:cs="Arial"/>
                <w:color w:val="000000"/>
                <w:sz w:val="20"/>
                <w:szCs w:val="20"/>
              </w:rPr>
              <w:t>ATCGTTGTCGCCGTGGGGCCATATACATTAATCAGTGCA</w:t>
            </w:r>
          </w:p>
        </w:tc>
      </w:tr>
      <w:tr w:rsidR="00D60D4C" w:rsidRPr="00D60D4C" w14:paraId="60E39FB7" w14:textId="77777777" w:rsidTr="00747667">
        <w:tc>
          <w:tcPr>
            <w:tcW w:w="2245" w:type="dxa"/>
          </w:tcPr>
          <w:p w14:paraId="00C57849" w14:textId="77777777" w:rsidR="00D60D4C" w:rsidRPr="00A90B05" w:rsidRDefault="00D60D4C" w:rsidP="00A90B05">
            <w:pPr>
              <w:spacing w:line="240" w:lineRule="auto"/>
              <w:rPr>
                <w:rFonts w:cs="Arial"/>
                <w:sz w:val="20"/>
                <w:szCs w:val="20"/>
              </w:rPr>
            </w:pPr>
            <w:r w:rsidRPr="00A90B05">
              <w:rPr>
                <w:rFonts w:cs="Arial"/>
                <w:sz w:val="20"/>
                <w:szCs w:val="20"/>
              </w:rPr>
              <w:t>BpsA-TC_E315A part 2 Forward</w:t>
            </w:r>
          </w:p>
        </w:tc>
        <w:tc>
          <w:tcPr>
            <w:tcW w:w="7105" w:type="dxa"/>
            <w:vAlign w:val="bottom"/>
          </w:tcPr>
          <w:p w14:paraId="32A43720" w14:textId="77777777" w:rsidR="00D60D4C" w:rsidRPr="00A90B05" w:rsidRDefault="00D60D4C" w:rsidP="00A90B05">
            <w:pPr>
              <w:spacing w:line="240" w:lineRule="auto"/>
              <w:rPr>
                <w:rFonts w:cs="Arial"/>
                <w:sz w:val="20"/>
                <w:szCs w:val="20"/>
              </w:rPr>
            </w:pPr>
            <w:r w:rsidRPr="00A90B05">
              <w:rPr>
                <w:rFonts w:cs="Arial"/>
                <w:color w:val="000000"/>
                <w:sz w:val="20"/>
                <w:szCs w:val="20"/>
              </w:rPr>
              <w:t>GTATATGGCCCCACGGCGACAACGATCAATAGTTCTAGCTTTCCAGT</w:t>
            </w:r>
          </w:p>
        </w:tc>
      </w:tr>
      <w:tr w:rsidR="00D60D4C" w:rsidRPr="00D60D4C" w14:paraId="644D422D" w14:textId="77777777" w:rsidTr="00747667">
        <w:tc>
          <w:tcPr>
            <w:tcW w:w="2245" w:type="dxa"/>
          </w:tcPr>
          <w:p w14:paraId="177313B3" w14:textId="77777777" w:rsidR="00D60D4C" w:rsidRPr="00A90B05" w:rsidRDefault="00D60D4C" w:rsidP="00A90B05">
            <w:pPr>
              <w:spacing w:line="240" w:lineRule="auto"/>
              <w:rPr>
                <w:rFonts w:cs="Arial"/>
                <w:sz w:val="20"/>
                <w:szCs w:val="20"/>
              </w:rPr>
            </w:pPr>
            <w:r w:rsidRPr="00A90B05">
              <w:rPr>
                <w:rFonts w:cs="Arial"/>
                <w:sz w:val="20"/>
                <w:szCs w:val="20"/>
              </w:rPr>
              <w:t>BpsA-TC_E315A part 2 Reverse</w:t>
            </w:r>
          </w:p>
        </w:tc>
        <w:tc>
          <w:tcPr>
            <w:tcW w:w="7105" w:type="dxa"/>
            <w:vAlign w:val="bottom"/>
          </w:tcPr>
          <w:p w14:paraId="34C77E83" w14:textId="77777777" w:rsidR="00D60D4C" w:rsidRPr="00A90B05" w:rsidRDefault="00D60D4C" w:rsidP="00A90B05">
            <w:pPr>
              <w:spacing w:line="240" w:lineRule="auto"/>
              <w:rPr>
                <w:rFonts w:cs="Arial"/>
                <w:sz w:val="20"/>
                <w:szCs w:val="20"/>
              </w:rPr>
            </w:pPr>
            <w:r w:rsidRPr="00A90B05">
              <w:rPr>
                <w:rFonts w:cs="Arial"/>
                <w:color w:val="000000"/>
                <w:sz w:val="20"/>
                <w:szCs w:val="20"/>
              </w:rPr>
              <w:t>CGCGCAGAAAAAAAGGATCTCAAGAAGATCCTTTGATCTTTTCTACGGGGTCTGACG</w:t>
            </w:r>
          </w:p>
        </w:tc>
      </w:tr>
      <w:tr w:rsidR="00D60D4C" w:rsidRPr="00D60D4C" w14:paraId="5D7294C7" w14:textId="77777777" w:rsidTr="00747667">
        <w:tc>
          <w:tcPr>
            <w:tcW w:w="2245" w:type="dxa"/>
          </w:tcPr>
          <w:p w14:paraId="02F0A958" w14:textId="77777777" w:rsidR="00D60D4C" w:rsidRPr="00A90B05" w:rsidRDefault="00D60D4C" w:rsidP="00A90B05">
            <w:pPr>
              <w:spacing w:line="240" w:lineRule="auto"/>
              <w:rPr>
                <w:rFonts w:cs="Arial"/>
                <w:sz w:val="20"/>
                <w:szCs w:val="20"/>
              </w:rPr>
            </w:pP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Pys</w:t>
            </w:r>
            <w:proofErr w:type="spellEnd"/>
            <w:r w:rsidRPr="00A90B05">
              <w:rPr>
                <w:rFonts w:cs="Arial"/>
                <w:i/>
                <w:iCs/>
                <w:sz w:val="20"/>
                <w:szCs w:val="20"/>
              </w:rPr>
              <w:t xml:space="preserve"> </w:t>
            </w:r>
            <w:r w:rsidRPr="00A90B05">
              <w:rPr>
                <w:rFonts w:cs="Arial"/>
                <w:sz w:val="20"/>
                <w:szCs w:val="20"/>
              </w:rPr>
              <w:t>part 1 Forward</w:t>
            </w:r>
          </w:p>
        </w:tc>
        <w:tc>
          <w:tcPr>
            <w:tcW w:w="7105" w:type="dxa"/>
            <w:vAlign w:val="bottom"/>
          </w:tcPr>
          <w:p w14:paraId="659D4525" w14:textId="77777777" w:rsidR="00D60D4C" w:rsidRPr="00A90B05" w:rsidRDefault="00D60D4C" w:rsidP="00A90B05">
            <w:pPr>
              <w:spacing w:line="240" w:lineRule="auto"/>
              <w:rPr>
                <w:rFonts w:cs="Arial"/>
                <w:color w:val="000000"/>
                <w:sz w:val="20"/>
                <w:szCs w:val="20"/>
              </w:rPr>
            </w:pPr>
            <w:r w:rsidRPr="00A90B05">
              <w:rPr>
                <w:rFonts w:cs="Arial"/>
                <w:color w:val="000000"/>
                <w:sz w:val="20"/>
                <w:szCs w:val="20"/>
              </w:rPr>
              <w:t>CACACCAGGTCTCAGCATGCGCGATGTCCACCCATGC</w:t>
            </w:r>
          </w:p>
        </w:tc>
      </w:tr>
      <w:tr w:rsidR="00D60D4C" w:rsidRPr="00D60D4C" w14:paraId="6FEE49F7" w14:textId="77777777" w:rsidTr="00747667">
        <w:tc>
          <w:tcPr>
            <w:tcW w:w="2245" w:type="dxa"/>
          </w:tcPr>
          <w:p w14:paraId="0FC27C33" w14:textId="77777777" w:rsidR="00D60D4C" w:rsidRPr="00A90B05" w:rsidRDefault="00D60D4C" w:rsidP="00A90B05">
            <w:pPr>
              <w:spacing w:line="240" w:lineRule="auto"/>
              <w:rPr>
                <w:rFonts w:cs="Arial"/>
                <w:sz w:val="20"/>
                <w:szCs w:val="20"/>
              </w:rPr>
            </w:pP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Pys</w:t>
            </w:r>
            <w:proofErr w:type="spellEnd"/>
            <w:r w:rsidRPr="00A90B05">
              <w:rPr>
                <w:rFonts w:cs="Arial"/>
                <w:i/>
                <w:iCs/>
                <w:sz w:val="20"/>
                <w:szCs w:val="20"/>
              </w:rPr>
              <w:t xml:space="preserve"> </w:t>
            </w:r>
            <w:r w:rsidRPr="00A90B05">
              <w:rPr>
                <w:rFonts w:cs="Arial"/>
                <w:sz w:val="20"/>
                <w:szCs w:val="20"/>
              </w:rPr>
              <w:t>part 1 Reverse</w:t>
            </w:r>
          </w:p>
        </w:tc>
        <w:tc>
          <w:tcPr>
            <w:tcW w:w="7105" w:type="dxa"/>
          </w:tcPr>
          <w:p w14:paraId="33236534" w14:textId="77777777" w:rsidR="00D60D4C" w:rsidRPr="00A90B05" w:rsidRDefault="00D60D4C" w:rsidP="00A90B05">
            <w:pPr>
              <w:spacing w:line="240" w:lineRule="auto"/>
              <w:rPr>
                <w:rFonts w:cs="Arial"/>
                <w:color w:val="000000"/>
                <w:sz w:val="20"/>
                <w:szCs w:val="20"/>
              </w:rPr>
            </w:pPr>
            <w:r w:rsidRPr="00A90B05">
              <w:rPr>
                <w:rFonts w:cs="Arial"/>
                <w:color w:val="000000"/>
                <w:sz w:val="20"/>
                <w:szCs w:val="20"/>
              </w:rPr>
              <w:t>CACACCAGGTCTCAACTAAGTTGCGCTGCGTCACCTCC</w:t>
            </w:r>
          </w:p>
        </w:tc>
      </w:tr>
      <w:tr w:rsidR="00D60D4C" w:rsidRPr="00D60D4C" w14:paraId="2025B04B" w14:textId="77777777" w:rsidTr="00747667">
        <w:tc>
          <w:tcPr>
            <w:tcW w:w="2245" w:type="dxa"/>
          </w:tcPr>
          <w:p w14:paraId="23986CE9" w14:textId="77777777" w:rsidR="00D60D4C" w:rsidRPr="00A90B05" w:rsidRDefault="00D60D4C" w:rsidP="00A90B05">
            <w:pPr>
              <w:spacing w:line="240" w:lineRule="auto"/>
              <w:rPr>
                <w:rFonts w:cs="Arial"/>
                <w:sz w:val="20"/>
                <w:szCs w:val="20"/>
              </w:rPr>
            </w:pP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Pys</w:t>
            </w:r>
            <w:proofErr w:type="spellEnd"/>
            <w:r w:rsidRPr="00A90B05">
              <w:rPr>
                <w:rFonts w:cs="Arial"/>
                <w:i/>
                <w:iCs/>
                <w:sz w:val="20"/>
                <w:szCs w:val="20"/>
              </w:rPr>
              <w:t xml:space="preserve"> </w:t>
            </w:r>
            <w:r w:rsidRPr="00A90B05">
              <w:rPr>
                <w:rFonts w:cs="Arial"/>
                <w:sz w:val="20"/>
                <w:szCs w:val="20"/>
              </w:rPr>
              <w:t>part 2 Forward</w:t>
            </w:r>
          </w:p>
        </w:tc>
        <w:tc>
          <w:tcPr>
            <w:tcW w:w="7105" w:type="dxa"/>
          </w:tcPr>
          <w:p w14:paraId="2996FAF1" w14:textId="77777777" w:rsidR="00D60D4C" w:rsidRPr="00A90B05" w:rsidRDefault="00D60D4C" w:rsidP="00A90B05">
            <w:pPr>
              <w:tabs>
                <w:tab w:val="left" w:pos="1353"/>
              </w:tabs>
              <w:spacing w:line="240" w:lineRule="auto"/>
              <w:rPr>
                <w:rFonts w:cs="Arial"/>
                <w:color w:val="000000"/>
                <w:sz w:val="20"/>
                <w:szCs w:val="20"/>
              </w:rPr>
            </w:pPr>
            <w:r w:rsidRPr="00A90B05">
              <w:rPr>
                <w:rFonts w:cs="Arial"/>
                <w:color w:val="000000"/>
                <w:sz w:val="20"/>
                <w:szCs w:val="20"/>
              </w:rPr>
              <w:t>CACACCAGGTCTCATAGTGCCCATCGCTCGTACTGC</w:t>
            </w:r>
          </w:p>
        </w:tc>
      </w:tr>
      <w:tr w:rsidR="00D60D4C" w:rsidRPr="00D60D4C" w14:paraId="58CF56A0" w14:textId="77777777" w:rsidTr="00747667">
        <w:tc>
          <w:tcPr>
            <w:tcW w:w="2245" w:type="dxa"/>
          </w:tcPr>
          <w:p w14:paraId="60E8DE53" w14:textId="77777777" w:rsidR="00D60D4C" w:rsidRPr="00A90B05" w:rsidRDefault="00D60D4C" w:rsidP="00A90B05">
            <w:pPr>
              <w:spacing w:line="240" w:lineRule="auto"/>
              <w:rPr>
                <w:rFonts w:cs="Arial"/>
                <w:sz w:val="20"/>
                <w:szCs w:val="20"/>
              </w:rPr>
            </w:pP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Pys</w:t>
            </w:r>
            <w:proofErr w:type="spellEnd"/>
            <w:r w:rsidRPr="00A90B05">
              <w:rPr>
                <w:rFonts w:cs="Arial"/>
                <w:i/>
                <w:iCs/>
                <w:sz w:val="20"/>
                <w:szCs w:val="20"/>
              </w:rPr>
              <w:t xml:space="preserve"> </w:t>
            </w:r>
            <w:r w:rsidRPr="00A90B05">
              <w:rPr>
                <w:rFonts w:cs="Arial"/>
                <w:sz w:val="20"/>
                <w:szCs w:val="20"/>
              </w:rPr>
              <w:t>part 2 Reverse</w:t>
            </w:r>
          </w:p>
        </w:tc>
        <w:tc>
          <w:tcPr>
            <w:tcW w:w="7105" w:type="dxa"/>
          </w:tcPr>
          <w:p w14:paraId="60A5EF04" w14:textId="77777777" w:rsidR="00D60D4C" w:rsidRPr="00A90B05" w:rsidRDefault="00D60D4C" w:rsidP="00A90B05">
            <w:pPr>
              <w:spacing w:line="240" w:lineRule="auto"/>
              <w:rPr>
                <w:rFonts w:cs="Arial"/>
                <w:color w:val="000000"/>
                <w:sz w:val="20"/>
                <w:szCs w:val="20"/>
              </w:rPr>
            </w:pPr>
            <w:r w:rsidRPr="00A90B05">
              <w:rPr>
                <w:rFonts w:cs="Arial"/>
                <w:color w:val="000000"/>
                <w:sz w:val="20"/>
                <w:szCs w:val="20"/>
              </w:rPr>
              <w:t>CACACCAGGTCTCATTTTATTTTTCGAACTGCGGGTGGCTCC</w:t>
            </w:r>
          </w:p>
        </w:tc>
      </w:tr>
      <w:tr w:rsidR="00D60D4C" w:rsidRPr="00D60D4C" w14:paraId="43F17F45" w14:textId="77777777" w:rsidTr="00747667">
        <w:tc>
          <w:tcPr>
            <w:tcW w:w="2245" w:type="dxa"/>
          </w:tcPr>
          <w:p w14:paraId="253B20BA" w14:textId="77777777" w:rsidR="00D60D4C" w:rsidRPr="00A90B05" w:rsidRDefault="00D60D4C" w:rsidP="00A90B05">
            <w:pPr>
              <w:spacing w:line="240" w:lineRule="auto"/>
              <w:rPr>
                <w:rFonts w:cs="Arial"/>
                <w:sz w:val="20"/>
                <w:szCs w:val="20"/>
              </w:rPr>
            </w:pPr>
            <w:r w:rsidRPr="00A90B05">
              <w:rPr>
                <w:rFonts w:cs="Arial"/>
                <w:sz w:val="20"/>
                <w:szCs w:val="20"/>
              </w:rPr>
              <w:t xml:space="preserve">pET28a with </w:t>
            </w: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Pys</w:t>
            </w:r>
            <w:proofErr w:type="spellEnd"/>
            <w:r w:rsidRPr="00A90B05">
              <w:rPr>
                <w:rFonts w:cs="Arial"/>
                <w:i/>
                <w:iCs/>
                <w:sz w:val="20"/>
                <w:szCs w:val="20"/>
              </w:rPr>
              <w:t xml:space="preserve"> </w:t>
            </w:r>
            <w:r w:rsidRPr="00A90B05">
              <w:rPr>
                <w:rFonts w:cs="Arial"/>
                <w:sz w:val="20"/>
                <w:szCs w:val="20"/>
              </w:rPr>
              <w:t>Forward</w:t>
            </w:r>
          </w:p>
        </w:tc>
        <w:tc>
          <w:tcPr>
            <w:tcW w:w="7105" w:type="dxa"/>
          </w:tcPr>
          <w:p w14:paraId="686348EC" w14:textId="77777777" w:rsidR="00D60D4C" w:rsidRPr="00A90B05" w:rsidRDefault="00D60D4C" w:rsidP="00A90B05">
            <w:pPr>
              <w:spacing w:line="240" w:lineRule="auto"/>
              <w:rPr>
                <w:rFonts w:cs="Arial"/>
                <w:color w:val="000000"/>
                <w:sz w:val="20"/>
                <w:szCs w:val="20"/>
              </w:rPr>
            </w:pPr>
            <w:r w:rsidRPr="00A90B05">
              <w:rPr>
                <w:rFonts w:cs="Arial"/>
                <w:color w:val="000000"/>
                <w:sz w:val="20"/>
                <w:szCs w:val="20"/>
              </w:rPr>
              <w:t>CACACCAGGTCTCAAAAAGCTTGCGGCCGCACTCG</w:t>
            </w:r>
          </w:p>
        </w:tc>
      </w:tr>
      <w:tr w:rsidR="00D60D4C" w:rsidRPr="00D60D4C" w14:paraId="59D0773D" w14:textId="77777777" w:rsidTr="00747667">
        <w:tc>
          <w:tcPr>
            <w:tcW w:w="2245" w:type="dxa"/>
          </w:tcPr>
          <w:p w14:paraId="22AC455F" w14:textId="77777777" w:rsidR="00D60D4C" w:rsidRPr="00A90B05" w:rsidRDefault="00D60D4C" w:rsidP="00A90B05">
            <w:pPr>
              <w:spacing w:line="240" w:lineRule="auto"/>
              <w:rPr>
                <w:rFonts w:cs="Arial"/>
                <w:sz w:val="20"/>
                <w:szCs w:val="20"/>
              </w:rPr>
            </w:pPr>
            <w:r w:rsidRPr="00A90B05">
              <w:rPr>
                <w:rFonts w:cs="Arial"/>
                <w:sz w:val="20"/>
                <w:szCs w:val="20"/>
              </w:rPr>
              <w:t xml:space="preserve">pET28a with </w:t>
            </w: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Pys</w:t>
            </w:r>
            <w:proofErr w:type="spellEnd"/>
            <w:r w:rsidRPr="00A90B05">
              <w:rPr>
                <w:rFonts w:cs="Arial"/>
                <w:i/>
                <w:iCs/>
                <w:sz w:val="20"/>
                <w:szCs w:val="20"/>
              </w:rPr>
              <w:t xml:space="preserve"> </w:t>
            </w:r>
            <w:r w:rsidRPr="00A90B05">
              <w:rPr>
                <w:rFonts w:cs="Arial"/>
                <w:sz w:val="20"/>
                <w:szCs w:val="20"/>
              </w:rPr>
              <w:t>Reverse</w:t>
            </w:r>
          </w:p>
        </w:tc>
        <w:tc>
          <w:tcPr>
            <w:tcW w:w="7105" w:type="dxa"/>
          </w:tcPr>
          <w:p w14:paraId="45EE160B" w14:textId="77777777" w:rsidR="00D60D4C" w:rsidRPr="00A90B05" w:rsidRDefault="00D60D4C" w:rsidP="00A90B05">
            <w:pPr>
              <w:tabs>
                <w:tab w:val="left" w:pos="2324"/>
              </w:tabs>
              <w:spacing w:line="240" w:lineRule="auto"/>
              <w:rPr>
                <w:rFonts w:cs="Arial"/>
                <w:color w:val="000000"/>
                <w:sz w:val="20"/>
                <w:szCs w:val="20"/>
              </w:rPr>
            </w:pPr>
            <w:r w:rsidRPr="00A90B05">
              <w:rPr>
                <w:rFonts w:cs="Arial"/>
                <w:color w:val="000000"/>
                <w:sz w:val="20"/>
                <w:szCs w:val="20"/>
              </w:rPr>
              <w:t>CACACCAGGTCTCAAAAAGCTTGCGGCCGCACTCG</w:t>
            </w:r>
          </w:p>
        </w:tc>
      </w:tr>
      <w:tr w:rsidR="00D60D4C" w:rsidRPr="00D60D4C" w14:paraId="16B54EF0" w14:textId="77777777" w:rsidTr="00747667">
        <w:tc>
          <w:tcPr>
            <w:tcW w:w="2245" w:type="dxa"/>
          </w:tcPr>
          <w:p w14:paraId="2D7B57CC" w14:textId="77777777" w:rsidR="00D60D4C" w:rsidRPr="00A90B05" w:rsidRDefault="00D60D4C" w:rsidP="00A90B05">
            <w:pPr>
              <w:spacing w:line="240" w:lineRule="auto"/>
              <w:rPr>
                <w:rFonts w:cs="Arial"/>
                <w:sz w:val="20"/>
                <w:szCs w:val="20"/>
              </w:rPr>
            </w:pP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TycA</w:t>
            </w:r>
            <w:proofErr w:type="spellEnd"/>
            <w:r w:rsidRPr="00A90B05">
              <w:rPr>
                <w:rFonts w:cs="Arial"/>
                <w:sz w:val="20"/>
                <w:szCs w:val="20"/>
              </w:rPr>
              <w:t xml:space="preserve"> part 1 Forward</w:t>
            </w:r>
          </w:p>
        </w:tc>
        <w:tc>
          <w:tcPr>
            <w:tcW w:w="7105" w:type="dxa"/>
          </w:tcPr>
          <w:p w14:paraId="6FE3F184" w14:textId="77777777" w:rsidR="00D60D4C" w:rsidRPr="00A90B05" w:rsidRDefault="00D60D4C" w:rsidP="00A90B05">
            <w:pPr>
              <w:tabs>
                <w:tab w:val="left" w:pos="2116"/>
              </w:tabs>
              <w:spacing w:line="240" w:lineRule="auto"/>
              <w:rPr>
                <w:rFonts w:cs="Arial"/>
                <w:sz w:val="20"/>
                <w:szCs w:val="20"/>
              </w:rPr>
            </w:pPr>
            <w:r w:rsidRPr="00A90B05">
              <w:rPr>
                <w:rFonts w:cs="Arial"/>
                <w:color w:val="000000"/>
                <w:sz w:val="20"/>
                <w:szCs w:val="20"/>
              </w:rPr>
              <w:t>CACACCAGGTCTCACAGCATGCTTGCAAACCAAGCTAATCTTATTGACCT</w:t>
            </w:r>
          </w:p>
        </w:tc>
      </w:tr>
      <w:tr w:rsidR="00D60D4C" w:rsidRPr="00D60D4C" w14:paraId="7079248D" w14:textId="77777777" w:rsidTr="00747667">
        <w:tc>
          <w:tcPr>
            <w:tcW w:w="2245" w:type="dxa"/>
          </w:tcPr>
          <w:p w14:paraId="44A21BF0" w14:textId="77777777" w:rsidR="00D60D4C" w:rsidRPr="00A90B05" w:rsidRDefault="00D60D4C" w:rsidP="00A90B05">
            <w:pPr>
              <w:spacing w:line="240" w:lineRule="auto"/>
              <w:rPr>
                <w:rFonts w:cs="Arial"/>
                <w:sz w:val="20"/>
                <w:szCs w:val="20"/>
              </w:rPr>
            </w:pP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TycA</w:t>
            </w:r>
            <w:proofErr w:type="spellEnd"/>
            <w:r w:rsidRPr="00A90B05">
              <w:rPr>
                <w:rFonts w:cs="Arial"/>
                <w:sz w:val="20"/>
                <w:szCs w:val="20"/>
              </w:rPr>
              <w:t xml:space="preserve"> part 1 Reverse</w:t>
            </w:r>
          </w:p>
        </w:tc>
        <w:tc>
          <w:tcPr>
            <w:tcW w:w="7105" w:type="dxa"/>
          </w:tcPr>
          <w:p w14:paraId="1A169C5C" w14:textId="77777777" w:rsidR="00D60D4C" w:rsidRPr="00A90B05" w:rsidRDefault="00D60D4C" w:rsidP="00A90B05">
            <w:pPr>
              <w:spacing w:line="240" w:lineRule="auto"/>
              <w:rPr>
                <w:rFonts w:cs="Arial"/>
                <w:color w:val="000000"/>
                <w:sz w:val="20"/>
                <w:szCs w:val="20"/>
              </w:rPr>
            </w:pPr>
            <w:r w:rsidRPr="00A90B05">
              <w:rPr>
                <w:rFonts w:cs="Arial"/>
                <w:color w:val="000000"/>
                <w:sz w:val="20"/>
                <w:szCs w:val="20"/>
              </w:rPr>
              <w:t>CACACCAGGTCTCAGGCAGGGCCTTGCGGTCAATCT</w:t>
            </w:r>
          </w:p>
        </w:tc>
      </w:tr>
      <w:tr w:rsidR="00D60D4C" w:rsidRPr="00D60D4C" w14:paraId="6EC68C67" w14:textId="77777777" w:rsidTr="00747667">
        <w:tc>
          <w:tcPr>
            <w:tcW w:w="2245" w:type="dxa"/>
          </w:tcPr>
          <w:p w14:paraId="727C18BA" w14:textId="77777777" w:rsidR="00D60D4C" w:rsidRPr="00A90B05" w:rsidRDefault="00D60D4C" w:rsidP="00A90B05">
            <w:pPr>
              <w:spacing w:line="240" w:lineRule="auto"/>
              <w:rPr>
                <w:rFonts w:cs="Arial"/>
                <w:sz w:val="20"/>
                <w:szCs w:val="20"/>
              </w:rPr>
            </w:pP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TycA</w:t>
            </w:r>
            <w:proofErr w:type="spellEnd"/>
            <w:r w:rsidRPr="00A90B05">
              <w:rPr>
                <w:rFonts w:cs="Arial"/>
                <w:sz w:val="20"/>
                <w:szCs w:val="20"/>
              </w:rPr>
              <w:t xml:space="preserve"> part 2 Forward</w:t>
            </w:r>
          </w:p>
        </w:tc>
        <w:tc>
          <w:tcPr>
            <w:tcW w:w="7105" w:type="dxa"/>
          </w:tcPr>
          <w:p w14:paraId="1DCD79CE" w14:textId="77777777" w:rsidR="00D60D4C" w:rsidRPr="00A90B05" w:rsidRDefault="00D60D4C" w:rsidP="00A90B05">
            <w:pPr>
              <w:spacing w:line="240" w:lineRule="auto"/>
              <w:rPr>
                <w:rFonts w:cs="Arial"/>
                <w:color w:val="000000"/>
                <w:sz w:val="20"/>
                <w:szCs w:val="20"/>
              </w:rPr>
            </w:pPr>
            <w:r w:rsidRPr="00A90B05">
              <w:rPr>
                <w:rFonts w:cs="Arial"/>
                <w:color w:val="000000"/>
                <w:sz w:val="20"/>
                <w:szCs w:val="20"/>
              </w:rPr>
              <w:t>CACACCAGGTCTCAGGCAGGGCCTTGCGGTCAATCT</w:t>
            </w:r>
          </w:p>
        </w:tc>
      </w:tr>
      <w:tr w:rsidR="00D60D4C" w:rsidRPr="00D60D4C" w14:paraId="40FF6DB1" w14:textId="77777777" w:rsidTr="00747667">
        <w:tc>
          <w:tcPr>
            <w:tcW w:w="2245" w:type="dxa"/>
          </w:tcPr>
          <w:p w14:paraId="520550F0" w14:textId="77777777" w:rsidR="00D60D4C" w:rsidRPr="00A90B05" w:rsidRDefault="00D60D4C" w:rsidP="00A90B05">
            <w:pPr>
              <w:spacing w:line="240" w:lineRule="auto"/>
              <w:rPr>
                <w:rFonts w:cs="Arial"/>
                <w:sz w:val="20"/>
                <w:szCs w:val="20"/>
              </w:rPr>
            </w:pP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TycA</w:t>
            </w:r>
            <w:proofErr w:type="spellEnd"/>
            <w:r w:rsidRPr="00A90B05">
              <w:rPr>
                <w:rFonts w:cs="Arial"/>
                <w:sz w:val="20"/>
                <w:szCs w:val="20"/>
              </w:rPr>
              <w:t xml:space="preserve"> part 2 Reverse</w:t>
            </w:r>
          </w:p>
        </w:tc>
        <w:tc>
          <w:tcPr>
            <w:tcW w:w="7105" w:type="dxa"/>
          </w:tcPr>
          <w:p w14:paraId="30FEFB67" w14:textId="77777777" w:rsidR="00D60D4C" w:rsidRPr="00A90B05" w:rsidRDefault="00D60D4C" w:rsidP="00A90B05">
            <w:pPr>
              <w:tabs>
                <w:tab w:val="left" w:pos="2618"/>
              </w:tabs>
              <w:spacing w:line="240" w:lineRule="auto"/>
              <w:rPr>
                <w:rFonts w:cs="Arial"/>
                <w:sz w:val="20"/>
                <w:szCs w:val="20"/>
              </w:rPr>
            </w:pPr>
            <w:r w:rsidRPr="00A90B05">
              <w:rPr>
                <w:rFonts w:cs="Arial"/>
                <w:color w:val="000000"/>
                <w:sz w:val="20"/>
                <w:szCs w:val="20"/>
              </w:rPr>
              <w:t>CACACCAGGTCTCATTTTATTTTTCGAACTGCGGGTGGC</w:t>
            </w:r>
          </w:p>
        </w:tc>
      </w:tr>
      <w:tr w:rsidR="00D60D4C" w:rsidRPr="00D60D4C" w14:paraId="167BF84D" w14:textId="77777777" w:rsidTr="00747667">
        <w:tc>
          <w:tcPr>
            <w:tcW w:w="2245" w:type="dxa"/>
          </w:tcPr>
          <w:p w14:paraId="221FFFE3" w14:textId="77777777" w:rsidR="00D60D4C" w:rsidRPr="00A90B05" w:rsidRDefault="00D60D4C" w:rsidP="00A90B05">
            <w:pPr>
              <w:spacing w:line="240" w:lineRule="auto"/>
              <w:rPr>
                <w:rFonts w:cs="Arial"/>
                <w:sz w:val="20"/>
                <w:szCs w:val="20"/>
              </w:rPr>
            </w:pPr>
            <w:r w:rsidRPr="00A90B05">
              <w:rPr>
                <w:rFonts w:cs="Arial"/>
                <w:sz w:val="20"/>
                <w:szCs w:val="20"/>
              </w:rPr>
              <w:t xml:space="preserve">pET28a with </w:t>
            </w: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TycA</w:t>
            </w:r>
            <w:proofErr w:type="spellEnd"/>
            <w:r w:rsidRPr="00A90B05">
              <w:rPr>
                <w:rFonts w:cs="Arial"/>
                <w:sz w:val="20"/>
                <w:szCs w:val="20"/>
              </w:rPr>
              <w:t xml:space="preserve"> Forward</w:t>
            </w:r>
          </w:p>
        </w:tc>
        <w:tc>
          <w:tcPr>
            <w:tcW w:w="7105" w:type="dxa"/>
          </w:tcPr>
          <w:p w14:paraId="40A8601C" w14:textId="77777777" w:rsidR="00D60D4C" w:rsidRPr="00A90B05" w:rsidRDefault="00D60D4C" w:rsidP="00A90B05">
            <w:pPr>
              <w:tabs>
                <w:tab w:val="left" w:pos="2105"/>
              </w:tabs>
              <w:spacing w:line="240" w:lineRule="auto"/>
              <w:rPr>
                <w:rFonts w:cs="Arial"/>
                <w:sz w:val="20"/>
                <w:szCs w:val="20"/>
              </w:rPr>
            </w:pPr>
            <w:r w:rsidRPr="00A90B05">
              <w:rPr>
                <w:rFonts w:cs="Arial"/>
                <w:color w:val="000000"/>
                <w:sz w:val="20"/>
                <w:szCs w:val="20"/>
              </w:rPr>
              <w:t>CACACCAGGTCTCAAAAAGCTTGCGGCCGCACTCG</w:t>
            </w:r>
          </w:p>
        </w:tc>
      </w:tr>
      <w:tr w:rsidR="00D60D4C" w:rsidRPr="00D60D4C" w14:paraId="5E5790E9" w14:textId="77777777" w:rsidTr="00747667">
        <w:tc>
          <w:tcPr>
            <w:tcW w:w="2245" w:type="dxa"/>
          </w:tcPr>
          <w:p w14:paraId="2CF16B8E" w14:textId="77777777" w:rsidR="00D60D4C" w:rsidRPr="00A90B05" w:rsidRDefault="00D60D4C" w:rsidP="00A90B05">
            <w:pPr>
              <w:spacing w:line="240" w:lineRule="auto"/>
              <w:rPr>
                <w:rFonts w:cs="Arial"/>
                <w:sz w:val="20"/>
                <w:szCs w:val="20"/>
              </w:rPr>
            </w:pPr>
            <w:r w:rsidRPr="00A90B05">
              <w:rPr>
                <w:rFonts w:cs="Arial"/>
                <w:sz w:val="20"/>
                <w:szCs w:val="20"/>
              </w:rPr>
              <w:t xml:space="preserve">pET28a with </w:t>
            </w:r>
            <w:r w:rsidRPr="00A90B05">
              <w:rPr>
                <w:rFonts w:cs="Arial"/>
                <w:i/>
                <w:iCs/>
                <w:sz w:val="20"/>
                <w:szCs w:val="20"/>
              </w:rPr>
              <w:t>E. coli</w:t>
            </w:r>
            <w:r w:rsidRPr="00A90B05">
              <w:rPr>
                <w:rFonts w:cs="Arial"/>
                <w:sz w:val="20"/>
                <w:szCs w:val="20"/>
              </w:rPr>
              <w:t xml:space="preserve"> </w:t>
            </w:r>
            <w:proofErr w:type="spellStart"/>
            <w:r w:rsidRPr="00A90B05">
              <w:rPr>
                <w:rFonts w:cs="Arial"/>
                <w:sz w:val="20"/>
                <w:szCs w:val="20"/>
              </w:rPr>
              <w:t>TycA</w:t>
            </w:r>
            <w:proofErr w:type="spellEnd"/>
            <w:r w:rsidRPr="00A90B05">
              <w:rPr>
                <w:rFonts w:cs="Arial"/>
                <w:sz w:val="20"/>
                <w:szCs w:val="20"/>
              </w:rPr>
              <w:t xml:space="preserve"> Reverse</w:t>
            </w:r>
          </w:p>
        </w:tc>
        <w:tc>
          <w:tcPr>
            <w:tcW w:w="7105" w:type="dxa"/>
          </w:tcPr>
          <w:p w14:paraId="44B7E84C" w14:textId="77777777" w:rsidR="00D60D4C" w:rsidRPr="00A90B05" w:rsidRDefault="00D60D4C" w:rsidP="00A90B05">
            <w:pPr>
              <w:spacing w:line="240" w:lineRule="auto"/>
              <w:rPr>
                <w:rFonts w:cs="Arial"/>
                <w:color w:val="000000"/>
                <w:sz w:val="20"/>
                <w:szCs w:val="20"/>
              </w:rPr>
            </w:pPr>
            <w:r w:rsidRPr="00A90B05">
              <w:rPr>
                <w:rFonts w:cs="Arial"/>
                <w:color w:val="000000"/>
                <w:sz w:val="20"/>
                <w:szCs w:val="20"/>
              </w:rPr>
              <w:t>CACACCAGGTCTCAGCTGCTGCCCATGGTATATCTCC</w:t>
            </w:r>
          </w:p>
        </w:tc>
      </w:tr>
    </w:tbl>
    <w:p w14:paraId="605F2AA9" w14:textId="77777777" w:rsidR="00D60D4C" w:rsidRPr="00D60D4C" w:rsidRDefault="00D60D4C" w:rsidP="00D60D4C">
      <w:pPr>
        <w:rPr>
          <w:rFonts w:cs="Arial"/>
          <w:b/>
          <w:bCs/>
          <w:szCs w:val="22"/>
        </w:rPr>
      </w:pPr>
    </w:p>
    <w:p w14:paraId="3DF48470" w14:textId="77777777" w:rsidR="00D60D4C" w:rsidRPr="00D60D4C" w:rsidRDefault="00D60D4C" w:rsidP="00D60D4C">
      <w:pPr>
        <w:rPr>
          <w:rFonts w:cs="Arial"/>
          <w:b/>
          <w:bCs/>
          <w:szCs w:val="22"/>
        </w:rPr>
      </w:pPr>
    </w:p>
    <w:p w14:paraId="4ABF07FD" w14:textId="49E021D5" w:rsidR="0032379E" w:rsidRPr="00BD523B" w:rsidRDefault="00D60D4C" w:rsidP="00BD523B">
      <w:pPr>
        <w:jc w:val="center"/>
        <w:rPr>
          <w:rFonts w:ascii="Times New Roman" w:hAnsi="Times New Roman" w:cs="Times New Roman"/>
          <w:b/>
          <w:bCs/>
        </w:rPr>
      </w:pPr>
      <w:r w:rsidRPr="00755719">
        <w:rPr>
          <w:rFonts w:ascii="Times New Roman" w:hAnsi="Times New Roman" w:cs="Times New Roman"/>
          <w:b/>
          <w:bCs/>
        </w:rPr>
        <w:br w:type="page"/>
      </w:r>
      <w:bookmarkStart w:id="155" w:name="_Toc128490591"/>
      <w:r w:rsidR="003B5E9C" w:rsidRPr="0032379E">
        <w:rPr>
          <w:rFonts w:cs="Arial"/>
          <w:b/>
          <w:bCs/>
          <w:sz w:val="32"/>
          <w:szCs w:val="32"/>
        </w:rPr>
        <w:lastRenderedPageBreak/>
        <w:t>CHAPTER 6</w:t>
      </w:r>
      <w:bookmarkEnd w:id="155"/>
    </w:p>
    <w:p w14:paraId="599058FA" w14:textId="0337A8EE" w:rsidR="00AB1BFA" w:rsidRPr="0032379E" w:rsidRDefault="00526E45" w:rsidP="0032379E">
      <w:pPr>
        <w:pStyle w:val="ChapterTitle"/>
      </w:pPr>
      <w:bookmarkStart w:id="156" w:name="_Toc129701077"/>
      <w:r w:rsidRPr="0032379E">
        <w:t>CONCLUDING STATEMENTS</w:t>
      </w:r>
      <w:bookmarkEnd w:id="156"/>
    </w:p>
    <w:p w14:paraId="71FAA95F" w14:textId="77777777" w:rsidR="00AB1BFA" w:rsidRDefault="00AB1BFA" w:rsidP="00526E45">
      <w:pPr>
        <w:jc w:val="center"/>
        <w:rPr>
          <w:rFonts w:cs="Arial"/>
          <w:b/>
          <w:bCs/>
          <w:sz w:val="28"/>
          <w:szCs w:val="28"/>
        </w:rPr>
      </w:pPr>
    </w:p>
    <w:p w14:paraId="7B3BD096" w14:textId="77777777" w:rsidR="003B5E9C" w:rsidRDefault="003B5E9C">
      <w:pPr>
        <w:rPr>
          <w:rFonts w:cs="Arial"/>
          <w:szCs w:val="22"/>
          <w:lang w:val="en-US"/>
        </w:rPr>
      </w:pPr>
      <w:r>
        <w:rPr>
          <w:rFonts w:cs="Arial"/>
          <w:szCs w:val="22"/>
          <w:lang w:val="en-US"/>
        </w:rPr>
        <w:br w:type="page"/>
      </w:r>
    </w:p>
    <w:p w14:paraId="23BE360A" w14:textId="77AE3B3D" w:rsidR="00D00440" w:rsidRDefault="00D00440" w:rsidP="00D00440">
      <w:pPr>
        <w:ind w:firstLine="720"/>
        <w:rPr>
          <w:rFonts w:cs="Arial"/>
          <w:szCs w:val="22"/>
          <w:lang w:val="en-US"/>
        </w:rPr>
      </w:pPr>
      <w:r>
        <w:rPr>
          <w:rFonts w:cs="Arial"/>
          <w:szCs w:val="22"/>
          <w:lang w:val="en-US"/>
        </w:rPr>
        <w:lastRenderedPageBreak/>
        <w:t>Lysate-based cell-free systems offer a potential route to the accelerated growth of bio-based industries and, consequently, the bioeconomy. Economically viable cell factories are replacing a few petrochemical-based industries, but</w:t>
      </w:r>
      <w:r w:rsidR="0071033C">
        <w:rPr>
          <w:rFonts w:cs="Arial"/>
          <w:szCs w:val="22"/>
          <w:lang w:val="en-US"/>
        </w:rPr>
        <w:t xml:space="preserve"> their</w:t>
      </w:r>
      <w:r>
        <w:rPr>
          <w:rFonts w:cs="Arial"/>
          <w:szCs w:val="22"/>
          <w:lang w:val="en-US"/>
        </w:rPr>
        <w:t xml:space="preserve"> optimization is </w:t>
      </w:r>
      <w:r w:rsidR="0071033C">
        <w:rPr>
          <w:rFonts w:cs="Arial"/>
          <w:szCs w:val="22"/>
          <w:lang w:val="en-US"/>
        </w:rPr>
        <w:t>a rate limiting process</w:t>
      </w:r>
      <w:r>
        <w:rPr>
          <w:rFonts w:cs="Arial"/>
          <w:szCs w:val="22"/>
          <w:lang w:val="en-US"/>
        </w:rPr>
        <w:t>. Because cells are naturally resistant to being programmed, engineering their metabolic pathways to convert inexpensive substrates to value-added compounds is laborious and time-consuming. Integrating innovative strategies that improve the production efficiencies of lysates can help attain economically viable, next-generation manufacturing in these systems</w:t>
      </w:r>
      <w:r w:rsidR="00AB6070">
        <w:rPr>
          <w:rFonts w:cs="Arial"/>
          <w:szCs w:val="22"/>
          <w:lang w:val="en-US"/>
        </w:rPr>
        <w:fldChar w:fldCharType="begin" w:fldLock="1"/>
      </w:r>
      <w:r w:rsidR="00E21CCB">
        <w:rPr>
          <w:rFonts w:cs="Arial"/>
          <w:szCs w:val="22"/>
          <w:lang w:val="en-US"/>
        </w:rPr>
        <w:instrText>ADDIN CSL_CITATION {"citationItems":[{"id":"ITEM-1","itemData":{"DOI":"10.1016/J.COPBIO.2020.12.012","ISSN":"0958-1669","PMID":"33453438","abstract":"Industrial biotechnology is an attractive approach to address the need for low-cost fuels and products from sustainable resources. Unfortunately, cells impose inherent limitations on the effective synthesis and release of target products. One key constraint is that cellular survival objectives often work against the production objectives of biochemical engineers. Additionally, industrial strains release CO2 and struggle to utilize sustainable, potentially profitable feedstocks. Cell-free biotechnology, which uses biological machinery harvested from cells, can address these challenges with advantages including: (i) shorter development times, (ii) higher volumetric production rates, and (iii) tolerance to otherwise toxic molecules. In this review, we highlight recent advances in cell-free technologies toward the production of non-protein products beyond lab-scale demonstrations and describe guiding principles for designing cell-free systems. Specifically, we discuss carbon and energy sources, reaction homeostasis, and scale-up. Expanding the scope of cell-free biomanufacturing practice could enable innovative approaches for the industrial production of green chemicals.","author":[{"dropping-particle":"","family":"Rasor","given":"Blake J.","non-dropping-particle":"","parse-names":false,"suffix":""},{"dropping-particle":"","family":"Vögeli","given":"Bastian","non-dropping-particle":"","parse-names":false,"suffix":""},{"dropping-particle":"","family":"Landwehr","given":"Grant M.","non-dropping-particle":"","parse-names":false,"suffix":""},{"dropping-particle":"","family":"Bogart","given":"Jonathan W.","non-dropping-particle":"","parse-names":false,"suffix":""},{"dropping-particle":"","family":"Karim","given":"Ashty S.","non-dropping-particle":"","parse-names":false,"suffix":""},{"dropping-particle":"","family":"Jewett","given":"Michael C.","non-dropping-particle":"","parse-names":false,"suffix":""}],"container-title":"Current Opinion in Biotechnology","id":"ITEM-1","issued":{"date-parts":[["2021","6","1"]]},"page":"136-144","publisher":"Elsevier Current Trends","title":"Toward sustainable, cell-free biomanufacturing","type":"article-journal","volume":"69"},"uris":["http://www.mendeley.com/documents/?uuid=7f479995-6171-3f2e-bb99-2b784934562a"]}],"mendeley":{"formattedCitation":"&lt;sup&gt;11&lt;/sup&gt;","plainTextFormattedCitation":"11","previouslyFormattedCitation":"&lt;sup&gt;11&lt;/sup&gt;"},"properties":{"noteIndex":0},"schema":"https://github.com/citation-style-language/schema/raw/master/csl-citation.json"}</w:instrText>
      </w:r>
      <w:r w:rsidR="00AB6070">
        <w:rPr>
          <w:rFonts w:cs="Arial"/>
          <w:szCs w:val="22"/>
          <w:lang w:val="en-US"/>
        </w:rPr>
        <w:fldChar w:fldCharType="separate"/>
      </w:r>
      <w:r w:rsidR="00AB6070" w:rsidRPr="00AB6070">
        <w:rPr>
          <w:rFonts w:cs="Arial"/>
          <w:noProof/>
          <w:szCs w:val="22"/>
          <w:vertAlign w:val="superscript"/>
          <w:lang w:val="en-US"/>
        </w:rPr>
        <w:t>11</w:t>
      </w:r>
      <w:r w:rsidR="00AB6070">
        <w:rPr>
          <w:rFonts w:cs="Arial"/>
          <w:szCs w:val="22"/>
          <w:lang w:val="en-US"/>
        </w:rPr>
        <w:fldChar w:fldCharType="end"/>
      </w:r>
      <w:r>
        <w:rPr>
          <w:rFonts w:cs="Arial"/>
          <w:szCs w:val="22"/>
          <w:lang w:val="en-US"/>
        </w:rPr>
        <w:t xml:space="preserve">. Further, they afford easier and faster pathway building. This work provides techniques that can improve </w:t>
      </w:r>
      <w:r>
        <w:rPr>
          <w:rFonts w:cs="Arial"/>
          <w:i/>
          <w:iCs/>
          <w:szCs w:val="22"/>
          <w:lang w:val="en-US"/>
        </w:rPr>
        <w:t>E. coli</w:t>
      </w:r>
      <w:r>
        <w:rPr>
          <w:rFonts w:cs="Arial"/>
          <w:szCs w:val="22"/>
          <w:lang w:val="en-US"/>
        </w:rPr>
        <w:t xml:space="preserve"> lysate pathway yield, a metric that must be optimized for sustainable production in cell extracts. These approaches are designed to be void of source strain viability constraints and </w:t>
      </w:r>
      <w:r w:rsidR="0071033C">
        <w:rPr>
          <w:rFonts w:cs="Arial"/>
          <w:szCs w:val="22"/>
          <w:lang w:val="en-US"/>
        </w:rPr>
        <w:t>to</w:t>
      </w:r>
      <w:r>
        <w:rPr>
          <w:rFonts w:cs="Arial"/>
          <w:szCs w:val="22"/>
          <w:lang w:val="en-US"/>
        </w:rPr>
        <w:t xml:space="preserve"> exploit features of cell-free systems </w:t>
      </w:r>
      <w:r w:rsidR="0071033C">
        <w:rPr>
          <w:rFonts w:cs="Arial"/>
          <w:szCs w:val="22"/>
          <w:lang w:val="en-US"/>
        </w:rPr>
        <w:t>that allow</w:t>
      </w:r>
      <w:r>
        <w:rPr>
          <w:rFonts w:cs="Arial"/>
          <w:szCs w:val="22"/>
          <w:lang w:val="en-US"/>
        </w:rPr>
        <w:t xml:space="preserve"> fast pathway engineering. Specifically, this work details the development of new strategies for 1) restructuring endogenous pathways post-lysis to focus flux through target native pathways, and 2) quickly improving the CFE of commercially relevant biosynthetic enzymes to increase flux through a heterologous module without source strain optimization. The results of these efforts support the feasibility of building efficient lysate-based biomanufacturing systems while providing points of improvement </w:t>
      </w:r>
      <w:r w:rsidR="0071033C">
        <w:rPr>
          <w:rFonts w:cs="Arial"/>
          <w:szCs w:val="22"/>
          <w:lang w:val="en-US"/>
        </w:rPr>
        <w:t>for achieving</w:t>
      </w:r>
      <w:r>
        <w:rPr>
          <w:rFonts w:cs="Arial"/>
          <w:szCs w:val="22"/>
          <w:lang w:val="en-US"/>
        </w:rPr>
        <w:t xml:space="preserve"> sustainable, totally cell-free engineering workflows. </w:t>
      </w:r>
    </w:p>
    <w:p w14:paraId="56604A0B" w14:textId="7E5964AC" w:rsidR="00D00440" w:rsidRDefault="00D00440" w:rsidP="0032379E">
      <w:pPr>
        <w:ind w:firstLine="720"/>
        <w:rPr>
          <w:rFonts w:cs="Arial"/>
          <w:color w:val="000000"/>
          <w:szCs w:val="22"/>
        </w:rPr>
      </w:pPr>
      <w:r w:rsidRPr="00E43B04">
        <w:rPr>
          <w:rFonts w:eastAsia="Times New Roman" w:cs="Arial"/>
          <w:color w:val="000000"/>
          <w:szCs w:val="22"/>
        </w:rPr>
        <w:t xml:space="preserve">Part I of this dissertation encompasses Chapters 2-4 </w:t>
      </w:r>
      <w:r w:rsidR="0071033C">
        <w:rPr>
          <w:rFonts w:eastAsia="Times New Roman" w:cs="Arial"/>
          <w:color w:val="000000"/>
          <w:szCs w:val="22"/>
        </w:rPr>
        <w:t>and</w:t>
      </w:r>
      <w:r w:rsidRPr="00E43B04">
        <w:rPr>
          <w:rFonts w:eastAsia="Times New Roman" w:cs="Arial"/>
          <w:color w:val="000000"/>
          <w:szCs w:val="22"/>
        </w:rPr>
        <w:t xml:space="preserve"> describe</w:t>
      </w:r>
      <w:r w:rsidR="0071033C">
        <w:rPr>
          <w:rFonts w:eastAsia="Times New Roman" w:cs="Arial"/>
          <w:color w:val="000000"/>
          <w:szCs w:val="22"/>
        </w:rPr>
        <w:t>s</w:t>
      </w:r>
      <w:r w:rsidRPr="00E43B04">
        <w:rPr>
          <w:rFonts w:eastAsia="Times New Roman" w:cs="Arial"/>
          <w:color w:val="000000"/>
          <w:szCs w:val="22"/>
        </w:rPr>
        <w:t xml:space="preserve"> the development and application of a proteome engineering technique for maximizing conversion yield through pathways that are endogenous to the </w:t>
      </w:r>
      <w:r w:rsidRPr="00E43B04">
        <w:rPr>
          <w:rFonts w:eastAsia="Times New Roman" w:cs="Arial"/>
          <w:i/>
          <w:iCs/>
          <w:color w:val="000000"/>
          <w:szCs w:val="22"/>
        </w:rPr>
        <w:t xml:space="preserve">E. coli </w:t>
      </w:r>
      <w:r w:rsidRPr="00E43B04">
        <w:rPr>
          <w:rFonts w:eastAsia="Times New Roman" w:cs="Arial"/>
          <w:color w:val="000000"/>
          <w:szCs w:val="22"/>
        </w:rPr>
        <w:t xml:space="preserve">lysate. </w:t>
      </w:r>
      <w:r w:rsidRPr="00E43B04">
        <w:rPr>
          <w:rFonts w:eastAsia="Times New Roman" w:cs="Arial"/>
          <w:color w:val="000000"/>
          <w:szCs w:val="22"/>
          <w:shd w:val="clear" w:color="auto" w:fill="FFFFFF"/>
        </w:rPr>
        <w:t xml:space="preserve">Part II of </w:t>
      </w:r>
      <w:r w:rsidR="0071033C">
        <w:rPr>
          <w:rFonts w:eastAsia="Times New Roman" w:cs="Arial"/>
          <w:color w:val="000000"/>
          <w:szCs w:val="22"/>
          <w:shd w:val="clear" w:color="auto" w:fill="FFFFFF"/>
        </w:rPr>
        <w:t xml:space="preserve">this thesis </w:t>
      </w:r>
      <w:r w:rsidRPr="00E43B04">
        <w:rPr>
          <w:rFonts w:eastAsia="Times New Roman" w:cs="Arial"/>
          <w:color w:val="000000"/>
          <w:szCs w:val="22"/>
          <w:shd w:val="clear" w:color="auto" w:fill="FFFFFF"/>
        </w:rPr>
        <w:t xml:space="preserve">consists of Chapter 5 which </w:t>
      </w:r>
      <w:r>
        <w:rPr>
          <w:rFonts w:cs="Arial"/>
          <w:color w:val="000000"/>
          <w:szCs w:val="22"/>
          <w:shd w:val="clear" w:color="auto" w:fill="FFFFFF"/>
        </w:rPr>
        <w:t>implements a</w:t>
      </w:r>
      <w:r w:rsidRPr="00E43B04">
        <w:rPr>
          <w:rFonts w:eastAsia="Times New Roman" w:cs="Arial"/>
          <w:color w:val="000000"/>
          <w:szCs w:val="22"/>
          <w:shd w:val="clear" w:color="auto" w:fill="FFFFFF"/>
        </w:rPr>
        <w:t xml:space="preserve"> reporter-based assay </w:t>
      </w:r>
      <w:r>
        <w:rPr>
          <w:rFonts w:cs="Arial"/>
          <w:color w:val="000000"/>
          <w:szCs w:val="22"/>
          <w:shd w:val="clear" w:color="auto" w:fill="FFFFFF"/>
        </w:rPr>
        <w:t xml:space="preserve">for investigating biosynthetic enzyme expression under </w:t>
      </w:r>
      <w:r w:rsidRPr="00E43B04">
        <w:rPr>
          <w:rFonts w:eastAsia="Times New Roman" w:cs="Arial"/>
          <w:color w:val="000000"/>
          <w:szCs w:val="22"/>
          <w:shd w:val="clear" w:color="auto" w:fill="FFFFFF"/>
        </w:rPr>
        <w:t xml:space="preserve">different </w:t>
      </w:r>
      <w:r>
        <w:rPr>
          <w:rFonts w:cs="Arial"/>
          <w:color w:val="000000"/>
          <w:szCs w:val="22"/>
          <w:shd w:val="clear" w:color="auto" w:fill="FFFFFF"/>
        </w:rPr>
        <w:t xml:space="preserve">CFE </w:t>
      </w:r>
      <w:r w:rsidRPr="00E43B04">
        <w:rPr>
          <w:rFonts w:eastAsia="Times New Roman" w:cs="Arial"/>
          <w:color w:val="000000"/>
          <w:szCs w:val="22"/>
          <w:shd w:val="clear" w:color="auto" w:fill="FFFFFF"/>
        </w:rPr>
        <w:t>condition sets in lysate</w:t>
      </w:r>
      <w:r>
        <w:rPr>
          <w:rFonts w:cs="Arial"/>
          <w:color w:val="000000"/>
          <w:szCs w:val="22"/>
          <w:shd w:val="clear" w:color="auto" w:fill="FFFFFF"/>
        </w:rPr>
        <w:t xml:space="preserve">s, enabling increased heterologous </w:t>
      </w:r>
      <w:r w:rsidRPr="00E43B04">
        <w:rPr>
          <w:rFonts w:eastAsia="Times New Roman" w:cs="Arial"/>
          <w:color w:val="000000"/>
          <w:szCs w:val="22"/>
          <w:shd w:val="clear" w:color="auto" w:fill="FFFFFF"/>
        </w:rPr>
        <w:t xml:space="preserve">enzyme </w:t>
      </w:r>
      <w:r>
        <w:rPr>
          <w:rFonts w:cs="Arial"/>
          <w:color w:val="000000"/>
          <w:szCs w:val="22"/>
          <w:shd w:val="clear" w:color="auto" w:fill="FFFFFF"/>
        </w:rPr>
        <w:t>expression.</w:t>
      </w:r>
    </w:p>
    <w:p w14:paraId="47057F0F" w14:textId="6922E049" w:rsidR="00D00440" w:rsidRDefault="00D00440" w:rsidP="00D00440">
      <w:pPr>
        <w:ind w:firstLine="720"/>
        <w:rPr>
          <w:rFonts w:cs="Arial"/>
          <w:color w:val="000000"/>
          <w:szCs w:val="22"/>
          <w:shd w:val="clear" w:color="auto" w:fill="FFFFFF"/>
        </w:rPr>
      </w:pPr>
      <w:r w:rsidRPr="00E43B04">
        <w:rPr>
          <w:rFonts w:eastAsia="Times New Roman" w:cs="Arial"/>
          <w:color w:val="000000"/>
          <w:szCs w:val="22"/>
        </w:rPr>
        <w:t>Chapter 2</w:t>
      </w:r>
      <w:r w:rsidRPr="00E43B04">
        <w:rPr>
          <w:rFonts w:eastAsia="Times New Roman" w:cs="Arial"/>
          <w:color w:val="000000"/>
          <w:szCs w:val="22"/>
          <w:shd w:val="clear" w:color="auto" w:fill="FFFFFF"/>
        </w:rPr>
        <w:t xml:space="preserve"> </w:t>
      </w:r>
      <w:r>
        <w:rPr>
          <w:rFonts w:cs="Arial"/>
          <w:color w:val="000000"/>
          <w:szCs w:val="22"/>
          <w:shd w:val="clear" w:color="auto" w:fill="FFFFFF"/>
        </w:rPr>
        <w:t>details methods for analyzing lysate metabolomes and investigates</w:t>
      </w:r>
      <w:r>
        <w:rPr>
          <w:rFonts w:cs="Arial"/>
          <w:color w:val="000000"/>
          <w:szCs w:val="22"/>
        </w:rPr>
        <w:t xml:space="preserve"> how carbon flows from glucose through </w:t>
      </w:r>
      <w:r>
        <w:rPr>
          <w:rFonts w:cs="Arial"/>
          <w:i/>
          <w:iCs/>
          <w:color w:val="000000"/>
          <w:szCs w:val="22"/>
        </w:rPr>
        <w:t xml:space="preserve">E. coli </w:t>
      </w:r>
      <w:r>
        <w:rPr>
          <w:rFonts w:cs="Arial"/>
          <w:color w:val="000000"/>
          <w:szCs w:val="22"/>
        </w:rPr>
        <w:t xml:space="preserve">lysate metabolism. Given the less dynamic nature of lysate proteomes, metabolic flux in lysates is expected to behave differently compared to that in cells. The ability of interfacing pathways to “sense” one another via transcriptional regulation </w:t>
      </w:r>
      <w:r w:rsidR="0071033C">
        <w:rPr>
          <w:rFonts w:cs="Arial"/>
          <w:color w:val="000000"/>
          <w:szCs w:val="22"/>
        </w:rPr>
        <w:t>is</w:t>
      </w:r>
      <w:r>
        <w:rPr>
          <w:rFonts w:cs="Arial"/>
          <w:color w:val="000000"/>
          <w:szCs w:val="22"/>
        </w:rPr>
        <w:t xml:space="preserve"> lost in </w:t>
      </w:r>
      <w:r>
        <w:rPr>
          <w:rFonts w:cs="Arial"/>
          <w:color w:val="000000"/>
          <w:szCs w:val="22"/>
        </w:rPr>
        <w:lastRenderedPageBreak/>
        <w:t xml:space="preserve">lysates, resulting in potential bottlenecks or the unexpected accumulation of certain metabolites. Further, cofactors are present in limited supply which impacts the turnover of cofactor-regenerating reactions.  </w:t>
      </w:r>
      <w:r w:rsidR="0071033C">
        <w:rPr>
          <w:rFonts w:cs="Arial"/>
          <w:color w:val="000000"/>
          <w:szCs w:val="22"/>
        </w:rPr>
        <w:t xml:space="preserve">By leveraging </w:t>
      </w:r>
      <w:r>
        <w:rPr>
          <w:rFonts w:cs="Arial"/>
          <w:color w:val="000000"/>
          <w:szCs w:val="22"/>
        </w:rPr>
        <w:t>LC-MS</w:t>
      </w:r>
      <w:r w:rsidR="0071033C">
        <w:rPr>
          <w:rFonts w:cs="Arial"/>
          <w:color w:val="000000"/>
          <w:szCs w:val="22"/>
        </w:rPr>
        <w:t>/MS</w:t>
      </w:r>
      <w:r>
        <w:rPr>
          <w:rFonts w:cs="Arial"/>
          <w:color w:val="000000"/>
          <w:szCs w:val="22"/>
        </w:rPr>
        <w:t>-enabled isotope tracing and HPLC techniques</w:t>
      </w:r>
      <w:r w:rsidR="0071033C">
        <w:rPr>
          <w:rFonts w:cs="Arial"/>
          <w:color w:val="000000"/>
          <w:szCs w:val="22"/>
        </w:rPr>
        <w:t xml:space="preserve">, </w:t>
      </w:r>
      <w:r w:rsidRPr="00E43B04">
        <w:rPr>
          <w:rFonts w:eastAsia="Times New Roman" w:cs="Arial"/>
          <w:color w:val="000000"/>
          <w:szCs w:val="22"/>
          <w:shd w:val="clear" w:color="auto" w:fill="FFFFFF"/>
        </w:rPr>
        <w:t xml:space="preserve">metabolites formed in glucose-fed </w:t>
      </w:r>
      <w:r w:rsidRPr="00E43B04">
        <w:rPr>
          <w:rFonts w:eastAsia="Times New Roman" w:cs="Arial"/>
          <w:i/>
          <w:iCs/>
          <w:color w:val="000000"/>
          <w:szCs w:val="22"/>
          <w:shd w:val="clear" w:color="auto" w:fill="FFFFFF"/>
        </w:rPr>
        <w:t xml:space="preserve">E. coli </w:t>
      </w:r>
      <w:r w:rsidRPr="00E43B04">
        <w:rPr>
          <w:rFonts w:eastAsia="Times New Roman" w:cs="Arial"/>
          <w:color w:val="000000"/>
          <w:szCs w:val="22"/>
          <w:shd w:val="clear" w:color="auto" w:fill="FFFFFF"/>
        </w:rPr>
        <w:t xml:space="preserve">lysates </w:t>
      </w:r>
      <w:r w:rsidR="0071033C">
        <w:rPr>
          <w:rFonts w:eastAsia="Times New Roman" w:cs="Arial"/>
          <w:color w:val="000000"/>
          <w:szCs w:val="22"/>
          <w:shd w:val="clear" w:color="auto" w:fill="FFFFFF"/>
        </w:rPr>
        <w:t xml:space="preserve">can be measured </w:t>
      </w:r>
      <w:r w:rsidRPr="00E43B04">
        <w:rPr>
          <w:rFonts w:eastAsia="Times New Roman" w:cs="Arial"/>
          <w:color w:val="000000"/>
          <w:szCs w:val="22"/>
          <w:shd w:val="clear" w:color="auto" w:fill="FFFFFF"/>
        </w:rPr>
        <w:t>through time</w:t>
      </w:r>
      <w:r>
        <w:rPr>
          <w:rFonts w:cs="Arial"/>
          <w:color w:val="000000"/>
          <w:szCs w:val="22"/>
          <w:shd w:val="clear" w:color="auto" w:fill="FFFFFF"/>
        </w:rPr>
        <w:t xml:space="preserve">. Based on these data, a model of the central metabolic network in this extract is </w:t>
      </w:r>
      <w:r w:rsidRPr="00E43B04">
        <w:rPr>
          <w:rFonts w:eastAsia="Times New Roman" w:cs="Arial"/>
          <w:color w:val="000000"/>
          <w:szCs w:val="22"/>
          <w:shd w:val="clear" w:color="auto" w:fill="FFFFFF"/>
        </w:rPr>
        <w:t>propose</w:t>
      </w:r>
      <w:r>
        <w:rPr>
          <w:rFonts w:cs="Arial"/>
          <w:color w:val="000000"/>
          <w:szCs w:val="22"/>
          <w:shd w:val="clear" w:color="auto" w:fill="FFFFFF"/>
        </w:rPr>
        <w:t xml:space="preserve">d. The results confirm previous assumptions of metabolic behavior in lysates while </w:t>
      </w:r>
      <w:r w:rsidR="00E21CCB">
        <w:rPr>
          <w:rFonts w:cs="Arial"/>
          <w:color w:val="000000"/>
          <w:szCs w:val="22"/>
          <w:shd w:val="clear" w:color="auto" w:fill="FFFFFF"/>
        </w:rPr>
        <w:t xml:space="preserve">contradicting </w:t>
      </w:r>
      <w:r>
        <w:rPr>
          <w:rFonts w:cs="Arial"/>
          <w:color w:val="000000"/>
          <w:szCs w:val="22"/>
          <w:shd w:val="clear" w:color="auto" w:fill="FFFFFF"/>
        </w:rPr>
        <w:t xml:space="preserve">others. For example, these results justify that lysate metabolism is largely fermentative, mostly producing lactate and ethanol, to regenerate cofactors for glycolysis. </w:t>
      </w:r>
      <w:r w:rsidR="00E21CCB">
        <w:rPr>
          <w:rFonts w:cs="Arial"/>
          <w:color w:val="000000"/>
          <w:szCs w:val="22"/>
          <w:shd w:val="clear" w:color="auto" w:fill="FFFFFF"/>
        </w:rPr>
        <w:t>Succinate seems to be made largely through a fermentative pathway and other TCA cycle intermediates are undetected, implying an inactive</w:t>
      </w:r>
      <w:r>
        <w:rPr>
          <w:rFonts w:cs="Arial"/>
          <w:color w:val="000000"/>
          <w:szCs w:val="22"/>
          <w:shd w:val="clear" w:color="auto" w:fill="FFFFFF"/>
        </w:rPr>
        <w:t xml:space="preserve"> TCA cycle in</w:t>
      </w:r>
      <w:r w:rsidR="00AB6070">
        <w:rPr>
          <w:rFonts w:cs="Arial"/>
          <w:color w:val="000000"/>
          <w:szCs w:val="22"/>
          <w:shd w:val="clear" w:color="auto" w:fill="FFFFFF"/>
        </w:rPr>
        <w:t xml:space="preserve"> the </w:t>
      </w:r>
      <w:r w:rsidR="00AB6070">
        <w:rPr>
          <w:rFonts w:cs="Arial"/>
          <w:i/>
          <w:iCs/>
          <w:color w:val="000000"/>
          <w:szCs w:val="22"/>
          <w:shd w:val="clear" w:color="auto" w:fill="FFFFFF"/>
        </w:rPr>
        <w:t>E. coli</w:t>
      </w:r>
      <w:r>
        <w:rPr>
          <w:rFonts w:cs="Arial"/>
          <w:color w:val="000000"/>
          <w:szCs w:val="22"/>
          <w:shd w:val="clear" w:color="auto" w:fill="FFFFFF"/>
        </w:rPr>
        <w:t xml:space="preserve"> extract. These data further provide important information on flux bottlenecks in glucose-fed extracts, given that several intermediates of central metabolic pathways are accumulated. Generally, the proposed model serves as a guide for future investigations of lysate metabolism. In the context of pathway engineering, insights obtained from these analyses provide design principles for restructuring the endogenous metabolism in lysates.</w:t>
      </w:r>
    </w:p>
    <w:p w14:paraId="38E82DFA" w14:textId="676A7E09" w:rsidR="00D00440" w:rsidRDefault="00D00440" w:rsidP="00D00440">
      <w:pPr>
        <w:ind w:firstLine="720"/>
        <w:rPr>
          <w:rFonts w:cs="Arial"/>
          <w:color w:val="000000"/>
          <w:szCs w:val="22"/>
          <w:shd w:val="clear" w:color="auto" w:fill="FFFFFF"/>
        </w:rPr>
      </w:pPr>
      <w:r w:rsidRPr="00E43B04">
        <w:rPr>
          <w:rFonts w:eastAsia="Times New Roman" w:cs="Arial"/>
          <w:color w:val="000000"/>
          <w:szCs w:val="22"/>
          <w:shd w:val="clear" w:color="auto" w:fill="FFFFFF"/>
        </w:rPr>
        <w:t xml:space="preserve">Chapter 3 </w:t>
      </w:r>
      <w:r>
        <w:rPr>
          <w:rFonts w:cs="Arial"/>
          <w:color w:val="000000"/>
          <w:szCs w:val="22"/>
          <w:shd w:val="clear" w:color="auto" w:fill="FFFFFF"/>
        </w:rPr>
        <w:t>introduces</w:t>
      </w:r>
      <w:r w:rsidRPr="00E43B04">
        <w:rPr>
          <w:rFonts w:eastAsia="Times New Roman" w:cs="Arial"/>
          <w:color w:val="000000"/>
          <w:szCs w:val="22"/>
          <w:shd w:val="clear" w:color="auto" w:fill="FFFFFF"/>
        </w:rPr>
        <w:t xml:space="preserve"> a new approach for the post-lysis reduction of selective enzyme activity from an </w:t>
      </w:r>
      <w:r w:rsidRPr="00E43B04">
        <w:rPr>
          <w:rFonts w:eastAsia="Times New Roman" w:cs="Arial"/>
          <w:i/>
          <w:iCs/>
          <w:color w:val="000000"/>
          <w:szCs w:val="22"/>
          <w:shd w:val="clear" w:color="auto" w:fill="FFFFFF"/>
        </w:rPr>
        <w:t xml:space="preserve">E. coli </w:t>
      </w:r>
      <w:r w:rsidRPr="00E43B04">
        <w:rPr>
          <w:rFonts w:eastAsia="Times New Roman" w:cs="Arial"/>
          <w:color w:val="000000"/>
          <w:szCs w:val="22"/>
          <w:shd w:val="clear" w:color="auto" w:fill="FFFFFF"/>
        </w:rPr>
        <w:t xml:space="preserve">extract. </w:t>
      </w:r>
      <w:r>
        <w:rPr>
          <w:rFonts w:cs="Arial"/>
          <w:color w:val="000000"/>
          <w:szCs w:val="22"/>
          <w:shd w:val="clear" w:color="auto" w:fill="FFFFFF"/>
        </w:rPr>
        <w:t>Pathway crosstalk inherent to cells still occurs in their derived lysates. Prior to the publication of this work, CFME efforts to shave the lysate proteome’s complexity involved knocking out genes in the source strain</w:t>
      </w:r>
      <w:r w:rsidR="00E21CCB">
        <w:rPr>
          <w:rFonts w:cs="Arial"/>
          <w:color w:val="000000"/>
          <w:szCs w:val="22"/>
          <w:shd w:val="clear" w:color="auto" w:fill="FFFFFF"/>
        </w:rPr>
        <w:fldChar w:fldCharType="begin" w:fldLock="1"/>
      </w:r>
      <w:r w:rsidR="00567FF4">
        <w:rPr>
          <w:rFonts w:cs="Arial"/>
          <w:color w:val="000000"/>
          <w:szCs w:val="22"/>
          <w:shd w:val="clear" w:color="auto" w:fill="FFFFFF"/>
        </w:rPr>
        <w:instrText>ADDIN CSL_CITATION {"citationItems":[{"id":"ITEM-1","itemData":{"DOI":"10.1002/bit.22666","ISSN":"00063592","PMID":"20091765","abstract":"The orchestration of a multitude of enzyme catalysts allows cells to carry out complex and thermodynamically unfavorable chemical conversions. In an effort to recruit these advantages for in vitro biotransformations, we have assembled a 10-step catalytic system - a system of biotransformations (SBT) - for the synthesis of unnatural monosaccharides based on the versatile building block dihydroxyacetone phosphate (DHAP). To facilitate the assembly of such a network, we have insulated a production pathway from Escherichia coli's central carbon metabolism. This pathway consists of the endogenous glycolysis without triose-phosphate isomerase to enable accumulation of DHAP and was completed with lactate dehydrogenase to regenerate NAD+. It could be readily extended for the synthesis of unnatural sugar molecules, such as the unnatural monosaccharide phosphate 5,6,7-trideoxy-D-threoheptulose-1-phosphate from DHAP and butanal. Insulation required in particular inactivation of the amn gene encoding the AMP nucleosidase, which otherwise led to glucoseindependent DHAP production from adenosine phosphates. The work demonstrates that a sufficiently insulated in vitro multi-step enzymatic system can be readily assembled from central carbon metabolism pathways. © 2010 Wiley Periodicals, Inc.","author":[{"dropping-particle":"","family":"Bujara","given":"Matthias","non-dropping-particle":"","parse-names":false,"suffix":""},{"dropping-particle":"","family":"Schümperli","given":"Michael","non-dropping-particle":"","parse-names":false,"suffix":""},{"dropping-particle":"","family":"Billerbeck","given":"Sonja","non-dropping-particle":"","parse-names":false,"suffix":""},{"dropping-particle":"","family":"Heinemann","given":"Matthias","non-dropping-particle":"","parse-names":false,"suffix":""},{"dropping-particle":"","family":"Panke","given":"Sven","non-dropping-particle":"","parse-names":false,"suffix":""}],"container-title":"Biotechnology and Bioengineering","id":"ITEM-1","issue":"3","issued":{"date-parts":[["2010","6","15"]]},"page":"376-389","publisher":"Biotechnol Bioeng","title":"Exploiting cell-free systems: Implementation and debugging of a system of biotransformations","type":"article-journal","volume":"106"},"uris":["http://www.mendeley.com/documents/?uuid=dcf05f7d-a050-3deb-b73b-d5fe4b460eed"]},{"id":"ITEM-2","itemData":{"DOI":"10.1021/acssynbio.6b00154","author":[{"dropping-particle":"","family":"Dudley","given":"Quentin M","non-dropping-particle":"","parse-names":false,"suffix":""},{"dropping-particle":"","family":"Anderson","given":"Kim C","non-dropping-particle":"","parse-names":false,"suffix":""},{"dropping-particle":"","family":"Jewett","given":"Michael C","non-dropping-particle":"","parse-names":false,"suffix":""}],"id":"ITEM-2","issued":{"date-parts":[["2016"]]},"title":"Cell-Free Mixing of Escherichia coli Crude Extracts to Prototype and Rationally Engineer High-Titer Mevalonate Synthesis","type":"article-journal"},"uris":["http://www.mendeley.com/documents/?uuid=99336352-fabf-4121-855f-c8567c91a0c0"]}],"mendeley":{"formattedCitation":"&lt;sup&gt;47,53&lt;/sup&gt;","plainTextFormattedCitation":"47,53","previouslyFormattedCitation":"&lt;sup&gt;47,53&lt;/sup&gt;"},"properties":{"noteIndex":0},"schema":"https://github.com/citation-style-language/schema/raw/master/csl-citation.json"}</w:instrText>
      </w:r>
      <w:r w:rsidR="00E21CCB">
        <w:rPr>
          <w:rFonts w:cs="Arial"/>
          <w:color w:val="000000"/>
          <w:szCs w:val="22"/>
          <w:shd w:val="clear" w:color="auto" w:fill="FFFFFF"/>
        </w:rPr>
        <w:fldChar w:fldCharType="separate"/>
      </w:r>
      <w:r w:rsidR="00567FF4" w:rsidRPr="00567FF4">
        <w:rPr>
          <w:rFonts w:cs="Arial"/>
          <w:noProof/>
          <w:color w:val="000000"/>
          <w:szCs w:val="22"/>
          <w:shd w:val="clear" w:color="auto" w:fill="FFFFFF"/>
          <w:vertAlign w:val="superscript"/>
        </w:rPr>
        <w:t>47,53</w:t>
      </w:r>
      <w:r w:rsidR="00E21CCB">
        <w:rPr>
          <w:rFonts w:cs="Arial"/>
          <w:color w:val="000000"/>
          <w:szCs w:val="22"/>
          <w:shd w:val="clear" w:color="auto" w:fill="FFFFFF"/>
        </w:rPr>
        <w:fldChar w:fldCharType="end"/>
      </w:r>
      <w:r>
        <w:rPr>
          <w:rFonts w:cs="Arial"/>
          <w:color w:val="000000"/>
          <w:szCs w:val="22"/>
          <w:shd w:val="clear" w:color="auto" w:fill="FFFFFF"/>
        </w:rPr>
        <w:t>. However, cell-free systems present the unique advantage of bypassing challenges in cellular engineering that are associated with host viability. Our method leverages the extract’s open reaction environment for restructuring the lysate metabolic proteome after cell lysis. As a result, pyruvate can be transiently accumulated 40-fold better in a modified extract compared to the control without imposing metabolic burden on the host cell. This work provides a proof-of-concept that engineering the endogenous enzymes of cells to display tags can be innocuous to cell growth, and that the post-lysis manipulation of tagged enzymes is a viable cell-free engineering technique for reducing pathway crosstalk. Alternative approaches that are agnostic to source strain health involve the CRISPR-enabled down-</w:t>
      </w:r>
      <w:r>
        <w:rPr>
          <w:rFonts w:cs="Arial"/>
          <w:color w:val="000000"/>
          <w:szCs w:val="22"/>
          <w:shd w:val="clear" w:color="auto" w:fill="FFFFFF"/>
        </w:rPr>
        <w:lastRenderedPageBreak/>
        <w:t>regulation of select genes or the use of inhibitors to inactivate certain enzymes in the lysate</w:t>
      </w:r>
      <w:r w:rsidR="00E21CCB">
        <w:rPr>
          <w:rFonts w:cs="Arial"/>
          <w:color w:val="000000"/>
          <w:szCs w:val="22"/>
          <w:shd w:val="clear" w:color="auto" w:fill="FFFFFF"/>
        </w:rPr>
        <w:fldChar w:fldCharType="begin" w:fldLock="1"/>
      </w:r>
      <w:r w:rsidR="004F3109">
        <w:rPr>
          <w:rFonts w:cs="Arial"/>
          <w:color w:val="000000"/>
          <w:szCs w:val="22"/>
          <w:shd w:val="clear" w:color="auto" w:fill="FFFFFF"/>
        </w:rPr>
        <w:instrText>ADDIN CSL_CITATION {"citationItems":[{"id":"ITEM-1","itemData":{"DOI":"10.1038/s41467-021-25233-y","ISSN":"20411723","abstract":"Cell-free systems using crude cell extracts present appealing opportunities for designing biosynthetic pathways and enabling sustainable chemical synthesis. However, the lack of tools to effectively manipulate the underlying host metabolism in vitro limits the potential of these systems. Here, we create an integrated framework to address this gap that leverages cell extracts from host strains genetically rewired by multiplexed CRISPR-dCas9 modulation and other metabolic engineering techniques. As a model, we explore conversion of glucose to 2,3-butanediol in extracts from flux-enhanced Saccharomyces cerevisiae strains. We show that cellular flux rewiring in several strains of S. cerevisiae combined with systematic optimization of the cell-free reaction environment significantly increases 2,3-butanediol titers and volumetric productivities, reaching productivities greater than 0.9 g/L-h. We then show the generalizability of the framework by improving cell-free itaconic acid and glycerol biosynthesis. Our coupled in vivo/in vitro metabolic engineering approach opens opportunities for synthetic biology prototyping efforts and cell-free biomanufacturing.","author":[{"dropping-particle":"","family":"Rasor","given":"Blake J.","non-dropping-particle":"","parse-names":false,"suffix":""},{"dropping-particle":"","family":"Yi","given":"Xiunan","non-dropping-particle":"","parse-names":false,"suffix":""},{"dropping-particle":"","family":"Brown","given":"Hunter","non-dropping-particle":"","parse-names":false,"suffix":""},{"dropping-particle":"","family":"Alper","given":"Hal S.","non-dropping-particle":"","parse-names":false,"suffix":""},{"dropping-particle":"","family":"Jewett","given":"Michael C.","non-dropping-particle":"","parse-names":false,"suffix":""}],"container-title":"Nature Communications","id":"ITEM-1","issue":"1","issued":{"date-parts":[["2021"]]},"title":"An integrated in vivo/in vitro framework to enhance cell-free biosynthesis with metabolically rewired yeast extracts","type":"article-journal","volume":"12"},"uris":["http://www.mendeley.com/documents/?uuid=de3655a6-6de6-3969-b0d9-b134deac4cdc"]},{"id":"ITEM-2","itemData":{"DOI":"10.1016/J.JBIOTEC.2020.09.011","ISSN":"0168-1656","PMID":"32961202","abstract":"Bioavailable glutamine (Gln) is critical for metabolism, intestinal health, immune function, and cell signaling. Routine measurement of serum Gln concentrations could facilitate improved diagnosis and treatment of severe infections, anorexia nervosa, chronic kidney disease, diabetes, and cancer. Current methods for quantifying tissue Gln concentrations rely mainly on HPLC, which requires extensive sample preparation and expensive equipment. Consequently, patient Gln levels may be clinically underutilized. Cell-free protein synthesis (CFPS) is an emerging sensing platform with promising clinical applications, including detection of hormones, amino acids, nucleic acids, and other biomarkers. In this work, in vitro E. coli amino acid metabolism is engineered with methionine sulfoximine to inhibit glutamine synthetase and create a CFPS Gln sensor. The sensor features a strong signal-to-noise ratio and a detection range ideally suited to physiological Gln concentrations. Furthermore, it quantifies Gln concentration in the presence of human serum. This work demonstrates that CFPS reactions which harness the metabolic power of E. coli lysate may be engineered to detect clinically relevant analytes in human samples. This approach could lead to transformative point-of-care diagnostics and improved treatment regimens for a variety of diseases including cancer, diabetes, anorexia nervosa, chronic kidney disease, and severe infections.","author":[{"dropping-particle":"","family":"Hunt","given":"J. Porter","non-dropping-particle":"","parse-names":false,"suffix":""},{"dropping-particle":"","family":"Barnett","given":"R. Jordan","non-dropping-particle":"","parse-names":false,"suffix":""},{"dropping-particle":"","family":"Robinson","given":"Hannah","non-dropping-particle":"","parse-names":false,"suffix":""},{"dropping-particle":"","family":"Soltani","given":"Mehran","non-dropping-particle":"","parse-names":false,"suffix":""},{"dropping-particle":"","family":"Nelson","given":"J. Andrew D.","non-dropping-particle":"","parse-names":false,"suffix":""},{"dropping-particle":"","family":"Bundy","given":"Bradley C.","non-dropping-particle":"","parse-names":false,"suffix":""}],"container-title":"Journal of Biotechnology","id":"ITEM-2","issued":{"date-parts":[["2021","1","10"]]},"page":"389-394","publisher":"Elsevier","title":"Rapid sensing of clinically relevant glutamine concentrations in human serum with metabolically engineered E. coli-based cell-free protein synthesis","type":"article-journal","volume":"325"},"uris":["http://www.mendeley.com/documents/?uuid=a169b5d7-2d82-3a64-a8d2-21f6556963b2"]}],"mendeley":{"formattedCitation":"&lt;sup&gt;62,153&lt;/sup&gt;","plainTextFormattedCitation":"62,153","previouslyFormattedCitation":"&lt;sup&gt;62,153&lt;/sup&gt;"},"properties":{"noteIndex":0},"schema":"https://github.com/citation-style-language/schema/raw/master/csl-citation.json"}</w:instrText>
      </w:r>
      <w:r w:rsidR="00E21CCB">
        <w:rPr>
          <w:rFonts w:cs="Arial"/>
          <w:color w:val="000000"/>
          <w:szCs w:val="22"/>
          <w:shd w:val="clear" w:color="auto" w:fill="FFFFFF"/>
        </w:rPr>
        <w:fldChar w:fldCharType="separate"/>
      </w:r>
      <w:r w:rsidR="00A91591" w:rsidRPr="00A91591">
        <w:rPr>
          <w:rFonts w:cs="Arial"/>
          <w:noProof/>
          <w:color w:val="000000"/>
          <w:szCs w:val="22"/>
          <w:shd w:val="clear" w:color="auto" w:fill="FFFFFF"/>
          <w:vertAlign w:val="superscript"/>
        </w:rPr>
        <w:t>62,153</w:t>
      </w:r>
      <w:r w:rsidR="00E21CCB">
        <w:rPr>
          <w:rFonts w:cs="Arial"/>
          <w:color w:val="000000"/>
          <w:szCs w:val="22"/>
          <w:shd w:val="clear" w:color="auto" w:fill="FFFFFF"/>
        </w:rPr>
        <w:fldChar w:fldCharType="end"/>
      </w:r>
      <w:r>
        <w:rPr>
          <w:rFonts w:cs="Arial"/>
          <w:color w:val="000000"/>
          <w:szCs w:val="22"/>
          <w:shd w:val="clear" w:color="auto" w:fill="FFFFFF"/>
        </w:rPr>
        <w:t>. In theory, gene down-regulation in the source strain cannot completely eliminate flux-competing reactions in derivative lysates. The use of inhibitors is restricted by their availability and cost of production. Meanwhile, the affinity-based pull-down procedure can be optimized to improve the removal of select enzymes. These results could also inspire the exploration of other protein tag technologies that would reduce the method’s overall cost.</w:t>
      </w:r>
    </w:p>
    <w:p w14:paraId="3E38AD42" w14:textId="2B3E5F9A" w:rsidR="00D00440" w:rsidRDefault="00D00440" w:rsidP="00D00440">
      <w:pPr>
        <w:ind w:firstLine="720"/>
        <w:rPr>
          <w:rFonts w:cs="Arial"/>
          <w:color w:val="000000"/>
          <w:szCs w:val="22"/>
          <w:shd w:val="clear" w:color="auto" w:fill="FFFFFF"/>
        </w:rPr>
      </w:pPr>
      <w:r w:rsidRPr="00E43B04">
        <w:rPr>
          <w:rFonts w:eastAsia="Times New Roman" w:cs="Arial"/>
          <w:color w:val="000000"/>
          <w:szCs w:val="22"/>
          <w:shd w:val="clear" w:color="auto" w:fill="FFFFFF"/>
        </w:rPr>
        <w:t>Chapter 4</w:t>
      </w:r>
      <w:r>
        <w:rPr>
          <w:rFonts w:cs="Arial"/>
          <w:color w:val="000000"/>
          <w:szCs w:val="22"/>
          <w:shd w:val="clear" w:color="auto" w:fill="FFFFFF"/>
        </w:rPr>
        <w:t xml:space="preserve"> leverages insights gained from Chapter 2 and the method established in Chapter 3 to develop the first </w:t>
      </w:r>
      <w:r w:rsidRPr="00E43B04">
        <w:rPr>
          <w:rFonts w:eastAsia="Times New Roman" w:cs="Arial"/>
          <w:color w:val="000000"/>
          <w:szCs w:val="22"/>
          <w:shd w:val="clear" w:color="auto" w:fill="FFFFFF"/>
        </w:rPr>
        <w:t xml:space="preserve">workflow that engineers 100% yield through a lysate pathway that initially had </w:t>
      </w:r>
      <w:r>
        <w:rPr>
          <w:rFonts w:cs="Arial"/>
          <w:color w:val="000000"/>
          <w:szCs w:val="22"/>
          <w:shd w:val="clear" w:color="auto" w:fill="FFFFFF"/>
        </w:rPr>
        <w:t>10% yield.</w:t>
      </w:r>
      <w:r w:rsidRPr="00E43B04">
        <w:rPr>
          <w:rFonts w:eastAsia="Times New Roman" w:cs="Arial"/>
          <w:color w:val="000000"/>
          <w:szCs w:val="22"/>
          <w:shd w:val="clear" w:color="auto" w:fill="FFFFFF"/>
        </w:rPr>
        <w:t xml:space="preserve"> This was achieved by the optimization of </w:t>
      </w:r>
      <w:r>
        <w:rPr>
          <w:rFonts w:cs="Arial"/>
          <w:color w:val="000000"/>
          <w:szCs w:val="22"/>
          <w:shd w:val="clear" w:color="auto" w:fill="FFFFFF"/>
        </w:rPr>
        <w:t xml:space="preserve">our </w:t>
      </w:r>
      <w:r w:rsidRPr="00E43B04">
        <w:rPr>
          <w:rFonts w:eastAsia="Times New Roman" w:cs="Arial"/>
          <w:color w:val="000000"/>
          <w:szCs w:val="22"/>
          <w:shd w:val="clear" w:color="auto" w:fill="FFFFFF"/>
        </w:rPr>
        <w:t xml:space="preserve">proteome engineering method </w:t>
      </w:r>
      <w:r>
        <w:rPr>
          <w:rFonts w:cs="Arial"/>
          <w:color w:val="000000"/>
          <w:szCs w:val="22"/>
          <w:shd w:val="clear" w:color="auto" w:fill="FFFFFF"/>
        </w:rPr>
        <w:t xml:space="preserve">to remove unwanted reactions, </w:t>
      </w:r>
      <w:r w:rsidRPr="00E43B04">
        <w:rPr>
          <w:rFonts w:eastAsia="Times New Roman" w:cs="Arial"/>
          <w:color w:val="000000"/>
          <w:szCs w:val="22"/>
          <w:shd w:val="clear" w:color="auto" w:fill="FFFFFF"/>
        </w:rPr>
        <w:t xml:space="preserve">and its application with complementary </w:t>
      </w:r>
      <w:r>
        <w:rPr>
          <w:rFonts w:cs="Arial"/>
          <w:color w:val="000000"/>
          <w:szCs w:val="22"/>
          <w:shd w:val="clear" w:color="auto" w:fill="FFFFFF"/>
        </w:rPr>
        <w:t>CFME</w:t>
      </w:r>
      <w:r w:rsidRPr="00E43B04">
        <w:rPr>
          <w:rFonts w:eastAsia="Times New Roman" w:cs="Arial"/>
          <w:color w:val="000000"/>
          <w:szCs w:val="22"/>
          <w:shd w:val="clear" w:color="auto" w:fill="FFFFFF"/>
        </w:rPr>
        <w:t xml:space="preserve"> techniques t</w:t>
      </w:r>
      <w:r>
        <w:rPr>
          <w:rFonts w:cs="Arial"/>
          <w:color w:val="000000"/>
          <w:szCs w:val="22"/>
          <w:shd w:val="clear" w:color="auto" w:fill="FFFFFF"/>
        </w:rPr>
        <w:t>hat</w:t>
      </w:r>
      <w:r w:rsidRPr="00E43B04">
        <w:rPr>
          <w:rFonts w:eastAsia="Times New Roman" w:cs="Arial"/>
          <w:color w:val="000000"/>
          <w:szCs w:val="22"/>
          <w:shd w:val="clear" w:color="auto" w:fill="FFFFFF"/>
        </w:rPr>
        <w:t xml:space="preserve"> drive</w:t>
      </w:r>
      <w:r>
        <w:rPr>
          <w:rFonts w:cs="Arial"/>
          <w:color w:val="000000"/>
          <w:szCs w:val="22"/>
          <w:shd w:val="clear" w:color="auto" w:fill="FFFFFF"/>
        </w:rPr>
        <w:t xml:space="preserve"> </w:t>
      </w:r>
      <w:r w:rsidRPr="00E43B04">
        <w:rPr>
          <w:rFonts w:eastAsia="Times New Roman" w:cs="Arial"/>
          <w:color w:val="000000"/>
          <w:szCs w:val="22"/>
          <w:shd w:val="clear" w:color="auto" w:fill="FFFFFF"/>
        </w:rPr>
        <w:t>flux through</w:t>
      </w:r>
      <w:r>
        <w:rPr>
          <w:rFonts w:cs="Arial"/>
          <w:color w:val="000000"/>
          <w:szCs w:val="22"/>
          <w:shd w:val="clear" w:color="auto" w:fill="FFFFFF"/>
        </w:rPr>
        <w:t xml:space="preserve"> bottlenecks and towards</w:t>
      </w:r>
      <w:r w:rsidRPr="00E43B04">
        <w:rPr>
          <w:rFonts w:eastAsia="Times New Roman" w:cs="Arial"/>
          <w:color w:val="000000"/>
          <w:szCs w:val="22"/>
          <w:shd w:val="clear" w:color="auto" w:fill="FFFFFF"/>
        </w:rPr>
        <w:t xml:space="preserve"> a specific </w:t>
      </w:r>
      <w:r>
        <w:rPr>
          <w:rFonts w:cs="Arial"/>
          <w:color w:val="000000"/>
          <w:szCs w:val="22"/>
          <w:shd w:val="clear" w:color="auto" w:fill="FFFFFF"/>
        </w:rPr>
        <w:t xml:space="preserve">native end-product, ethanol, in </w:t>
      </w:r>
      <w:r>
        <w:rPr>
          <w:rFonts w:cs="Arial"/>
          <w:i/>
          <w:iCs/>
          <w:color w:val="000000"/>
          <w:szCs w:val="22"/>
          <w:shd w:val="clear" w:color="auto" w:fill="FFFFFF"/>
        </w:rPr>
        <w:t xml:space="preserve">E. coli </w:t>
      </w:r>
      <w:r>
        <w:rPr>
          <w:rFonts w:cs="Arial"/>
          <w:color w:val="000000"/>
          <w:szCs w:val="22"/>
          <w:shd w:val="clear" w:color="auto" w:fill="FFFFFF"/>
        </w:rPr>
        <w:t>lysates</w:t>
      </w:r>
      <w:r w:rsidRPr="00E43B04">
        <w:rPr>
          <w:rFonts w:eastAsia="Times New Roman" w:cs="Arial"/>
          <w:color w:val="000000"/>
          <w:szCs w:val="22"/>
          <w:shd w:val="clear" w:color="auto" w:fill="FFFFFF"/>
        </w:rPr>
        <w:t xml:space="preserve">. </w:t>
      </w:r>
      <w:r>
        <w:rPr>
          <w:rFonts w:cs="Arial"/>
          <w:color w:val="000000"/>
          <w:szCs w:val="22"/>
          <w:shd w:val="clear" w:color="auto" w:fill="FFFFFF"/>
        </w:rPr>
        <w:t xml:space="preserve">The workflow is </w:t>
      </w:r>
      <w:r w:rsidR="0071033C">
        <w:rPr>
          <w:rFonts w:cs="Arial"/>
          <w:color w:val="000000"/>
          <w:szCs w:val="22"/>
          <w:shd w:val="clear" w:color="auto" w:fill="FFFFFF"/>
        </w:rPr>
        <w:t>completely</w:t>
      </w:r>
      <w:r>
        <w:rPr>
          <w:rFonts w:cs="Arial"/>
          <w:color w:val="000000"/>
          <w:szCs w:val="22"/>
          <w:shd w:val="clear" w:color="auto" w:fill="FFFFFF"/>
        </w:rPr>
        <w:t xml:space="preserve"> cell-free as every step is unconstrained by source strain viability, allowing pathway yield optimization while bypassing time-consuming source strain optimization. Importantly, demonstrating maximum conversion yield in lysates advances the feasibility of their commercialization for synthesizing high-value targets</w:t>
      </w:r>
      <w:r w:rsidR="00FE6713">
        <w:rPr>
          <w:rFonts w:cs="Arial"/>
          <w:color w:val="000000"/>
          <w:szCs w:val="22"/>
          <w:shd w:val="clear" w:color="auto" w:fill="FFFFFF"/>
        </w:rPr>
        <w:t xml:space="preserve"> especially when coupled with efficient heterologous pathway modules</w:t>
      </w:r>
      <w:r>
        <w:rPr>
          <w:rFonts w:cs="Arial"/>
          <w:color w:val="000000"/>
          <w:szCs w:val="22"/>
          <w:shd w:val="clear" w:color="auto" w:fill="FFFFFF"/>
        </w:rPr>
        <w:t xml:space="preserve">. Furthermore, the technique can be used for prototyping high-yield or even unconventional pathway designs in integrated </w:t>
      </w:r>
      <w:r>
        <w:rPr>
          <w:rFonts w:cs="Arial"/>
          <w:i/>
          <w:iCs/>
          <w:color w:val="000000"/>
          <w:szCs w:val="22"/>
          <w:shd w:val="clear" w:color="auto" w:fill="FFFFFF"/>
        </w:rPr>
        <w:t>in vitro</w:t>
      </w:r>
      <w:r>
        <w:rPr>
          <w:rFonts w:cs="Arial"/>
          <w:color w:val="000000"/>
          <w:szCs w:val="22"/>
          <w:shd w:val="clear" w:color="auto" w:fill="FFFFFF"/>
        </w:rPr>
        <w:t>-</w:t>
      </w:r>
      <w:r>
        <w:rPr>
          <w:rFonts w:cs="Arial"/>
          <w:i/>
          <w:iCs/>
          <w:color w:val="000000"/>
          <w:szCs w:val="22"/>
          <w:shd w:val="clear" w:color="auto" w:fill="FFFFFF"/>
        </w:rPr>
        <w:t xml:space="preserve">in vivo </w:t>
      </w:r>
      <w:r>
        <w:rPr>
          <w:rFonts w:cs="Arial"/>
          <w:color w:val="000000"/>
          <w:szCs w:val="22"/>
          <w:shd w:val="clear" w:color="auto" w:fill="FFFFFF"/>
        </w:rPr>
        <w:t>engineering frameworks.</w:t>
      </w:r>
    </w:p>
    <w:p w14:paraId="1F5B83DC" w14:textId="4F7AC678" w:rsidR="00D00440" w:rsidRPr="00C7018C" w:rsidRDefault="00D00440" w:rsidP="00D00440">
      <w:pPr>
        <w:ind w:firstLine="720"/>
        <w:rPr>
          <w:rFonts w:cs="Arial"/>
          <w:color w:val="000000"/>
          <w:szCs w:val="22"/>
          <w:shd w:val="clear" w:color="auto" w:fill="FFFFFF"/>
        </w:rPr>
      </w:pPr>
      <w:r>
        <w:rPr>
          <w:rFonts w:cs="Arial"/>
          <w:szCs w:val="22"/>
          <w:lang w:val="en-US"/>
        </w:rPr>
        <w:t xml:space="preserve">Future efforts will seek to </w:t>
      </w:r>
      <w:r w:rsidR="00AB6070">
        <w:rPr>
          <w:rFonts w:cs="Arial"/>
          <w:szCs w:val="22"/>
          <w:lang w:val="en-US"/>
        </w:rPr>
        <w:t>address</w:t>
      </w:r>
      <w:r>
        <w:rPr>
          <w:rFonts w:cs="Arial"/>
          <w:szCs w:val="22"/>
          <w:lang w:val="en-US"/>
        </w:rPr>
        <w:t xml:space="preserve"> limitations of the flux rewiring workflow developed in Part I</w:t>
      </w:r>
      <w:r w:rsidR="00AB6070">
        <w:rPr>
          <w:rFonts w:cs="Arial"/>
          <w:szCs w:val="22"/>
          <w:lang w:val="en-US"/>
        </w:rPr>
        <w:t xml:space="preserve">, which include the </w:t>
      </w:r>
      <w:r>
        <w:rPr>
          <w:rFonts w:cs="Arial"/>
          <w:szCs w:val="22"/>
          <w:lang w:val="en-US"/>
        </w:rPr>
        <w:t xml:space="preserve">efficiency of the genome engineering tool used and the cost of the current enzyme depletion strategy. While </w:t>
      </w:r>
      <w:proofErr w:type="spellStart"/>
      <w:r>
        <w:rPr>
          <w:rFonts w:cs="Arial"/>
          <w:szCs w:val="22"/>
          <w:lang w:val="en-US"/>
        </w:rPr>
        <w:t>pORTMAGE’s</w:t>
      </w:r>
      <w:proofErr w:type="spellEnd"/>
      <w:r>
        <w:rPr>
          <w:rFonts w:cs="Arial"/>
          <w:szCs w:val="22"/>
          <w:lang w:val="en-US"/>
        </w:rPr>
        <w:t xml:space="preserve"> portability and specificity make it an appealing choice for genome editing, its efficiency for inserting protein tag sequences into the genome is low, requiring 23 cycles (~ 2 weeks) of MAGE for the insertion of the 6xHis-tag sequence at both </w:t>
      </w:r>
      <w:proofErr w:type="spellStart"/>
      <w:r>
        <w:rPr>
          <w:rFonts w:cs="Arial"/>
          <w:i/>
          <w:iCs/>
          <w:szCs w:val="22"/>
          <w:lang w:val="en-US"/>
        </w:rPr>
        <w:t>pflB</w:t>
      </w:r>
      <w:proofErr w:type="spellEnd"/>
      <w:r>
        <w:rPr>
          <w:rFonts w:cs="Arial"/>
          <w:i/>
          <w:iCs/>
          <w:szCs w:val="22"/>
          <w:lang w:val="en-US"/>
        </w:rPr>
        <w:t xml:space="preserve"> </w:t>
      </w:r>
      <w:r>
        <w:rPr>
          <w:rFonts w:cs="Arial"/>
          <w:szCs w:val="22"/>
          <w:lang w:val="en-US"/>
        </w:rPr>
        <w:t xml:space="preserve">and </w:t>
      </w:r>
      <w:proofErr w:type="spellStart"/>
      <w:r>
        <w:rPr>
          <w:rFonts w:cs="Arial"/>
          <w:i/>
          <w:iCs/>
          <w:szCs w:val="22"/>
          <w:lang w:val="en-US"/>
        </w:rPr>
        <w:t>ldhA</w:t>
      </w:r>
      <w:proofErr w:type="spellEnd"/>
      <w:r>
        <w:rPr>
          <w:rFonts w:cs="Arial"/>
          <w:i/>
          <w:iCs/>
          <w:szCs w:val="22"/>
          <w:lang w:val="en-US"/>
        </w:rPr>
        <w:t xml:space="preserve"> </w:t>
      </w:r>
      <w:r>
        <w:rPr>
          <w:rFonts w:cs="Arial"/>
          <w:szCs w:val="22"/>
          <w:lang w:val="en-US"/>
        </w:rPr>
        <w:t xml:space="preserve">sites. The incorporation of genome engineering tools with higher success rates per cycle will speed up this part of the enzyme depletion process. Since we initiated the development of our strategy, </w:t>
      </w:r>
      <w:proofErr w:type="spellStart"/>
      <w:r>
        <w:rPr>
          <w:rFonts w:cs="Arial"/>
          <w:szCs w:val="22"/>
          <w:lang w:val="en-US"/>
        </w:rPr>
        <w:t>pORTMAGE</w:t>
      </w:r>
      <w:proofErr w:type="spellEnd"/>
      <w:r>
        <w:rPr>
          <w:rFonts w:cs="Arial"/>
          <w:szCs w:val="22"/>
          <w:lang w:val="en-US"/>
        </w:rPr>
        <w:t xml:space="preserve"> has been modified to allow 5- to 10-fold increases in multiplex editing </w:t>
      </w:r>
      <w:r>
        <w:rPr>
          <w:rFonts w:cs="Arial"/>
          <w:szCs w:val="22"/>
          <w:lang w:val="en-US"/>
        </w:rPr>
        <w:lastRenderedPageBreak/>
        <w:t xml:space="preserve">in </w:t>
      </w:r>
      <w:r>
        <w:rPr>
          <w:rFonts w:cs="Arial"/>
          <w:i/>
          <w:iCs/>
          <w:szCs w:val="22"/>
          <w:lang w:val="en-US"/>
        </w:rPr>
        <w:t>E. coli</w:t>
      </w:r>
      <w:r w:rsidR="001A5210">
        <w:rPr>
          <w:rFonts w:cs="Arial"/>
          <w:i/>
          <w:iCs/>
          <w:szCs w:val="22"/>
          <w:lang w:val="en-US"/>
        </w:rPr>
        <w:fldChar w:fldCharType="begin" w:fldLock="1"/>
      </w:r>
      <w:r w:rsidR="004F3109">
        <w:rPr>
          <w:rFonts w:cs="Arial"/>
          <w:i/>
          <w:iCs/>
          <w:szCs w:val="22"/>
          <w:lang w:val="en-US"/>
        </w:rPr>
        <w:instrText>ADDIN CSL_CITATION {"citationItems":[{"id":"ITEM-1","itemData":{"DOI":"10.1073/PNAS.2001588117/SUPPL_FILE/PNAS.2001588117.SD01.XLSX","ISSN":"10916490","PMID":"32467157","abstract":"Exploiting bacteriophage-derived homologous recombination processes has enabled precise, multiplex editing of microbial genomes and the construction of billions of customized genetic variants in a single day. The techniques that enable this, multiplex automated genome engineering (MAGE) and directed evolution with random genomic mutations (DIvERGE), are however, currently limited to a handful of microorganisms for which single-stranded DNA-annealing proteins (SSAPs) that promote efficient recombineering have been identified. Thus, to enable genome-scale engineering in new hosts, efficient SSAPs must first be found. Here we introduce a highthroughput method for SSAP discovery that we call \"serial enrichment for efficient recombineering\" (SEER). By performing SEER in Escherichia coli to screen hundreds of putative SSAPs, we identify highly active variants PapRecT and CspRecT. CspRecT increases the efficiency of single-locus editing to as high as 50% and improves multiplex editing by 5- to 10-fold in E. coli, while PapRecT enables efficient recombineering in Pseudomonas aeruginosa, a concerning human pathogen. CspRecT and PapRecT are also active in other, clinically and biotechnologically relevant enterobacteria. We envision that the deployment of SEER in new species will pave the way toward pooled interrogation of genotype-to-phenotype relationships in previously intractable bacteria.","author":[{"dropping-particle":"","family":"Wannier","given":"Timothy M.","non-dropping-particle":"","parse-names":false,"suffix":""},{"dropping-particle":"","family":"Nyerges","given":"Akos","non-dropping-particle":"","parse-names":false,"suffix":""},{"dropping-particle":"","family":"Kuchwara","given":"Helene M.","non-dropping-particle":"","parse-names":false,"suffix":""},{"dropping-particle":"","family":"Czikkely","given":"Márton","non-dropping-particle":"","parse-names":false,"suffix":""},{"dropping-particle":"","family":"Balogh","given":"Dávid","non-dropping-particle":"","parse-names":false,"suffix":""},{"dropping-particle":"","family":"Filsinger","given":"Gabriel T.","non-dropping-particle":"","parse-names":false,"suffix":""},{"dropping-particle":"","family":"Borders","given":"Nathaniel C.","non-dropping-particle":"","parse-names":false,"suffix":""},{"dropping-particle":"","family":"Gregg","given":"Christopher J.","non-dropping-particle":"","parse-names":false,"suffix":""},{"dropping-particle":"","family":"Lajoie","given":"Marc J.","non-dropping-particle":"","parse-names":false,"suffix":""},{"dropping-particle":"","family":"Rios","given":"Xavier","non-dropping-particle":"","parse-names":false,"suffix":""},{"dropping-particle":"","family":"Pál","given":"Csaba","non-dropping-particle":"","parse-names":false,"suffix":""},{"dropping-particle":"","family":"Church","given":"George M.","non-dropping-particle":"","parse-names":false,"suffix":""}],"container-title":"Proceedings of the National Academy of Sciences of the United States of America","id":"ITEM-1","issue":"24","issued":{"date-parts":[["2020","6","16"]]},"page":"13689-13698","publisher":"National Academy of Sciences","title":"Improved bacterial recombineering by parallelized protein discovery","type":"article-journal","volume":"117"},"uris":["http://www.mendeley.com/documents/?uuid=cb646703-0049-3d2d-b450-c5c25cb1052b"]}],"mendeley":{"formattedCitation":"&lt;sup&gt;247&lt;/sup&gt;","plainTextFormattedCitation":"247","previouslyFormattedCitation":"&lt;sup&gt;247&lt;/sup&gt;"},"properties":{"noteIndex":0},"schema":"https://github.com/citation-style-language/schema/raw/master/csl-citation.json"}</w:instrText>
      </w:r>
      <w:r w:rsidR="001A5210">
        <w:rPr>
          <w:rFonts w:cs="Arial"/>
          <w:i/>
          <w:iCs/>
          <w:szCs w:val="22"/>
          <w:lang w:val="en-US"/>
        </w:rPr>
        <w:fldChar w:fldCharType="separate"/>
      </w:r>
      <w:r w:rsidR="00A91591" w:rsidRPr="00A91591">
        <w:rPr>
          <w:rFonts w:cs="Arial"/>
          <w:iCs/>
          <w:noProof/>
          <w:szCs w:val="22"/>
          <w:vertAlign w:val="superscript"/>
          <w:lang w:val="en-US"/>
        </w:rPr>
        <w:t>247</w:t>
      </w:r>
      <w:r w:rsidR="001A5210">
        <w:rPr>
          <w:rFonts w:cs="Arial"/>
          <w:i/>
          <w:iCs/>
          <w:szCs w:val="22"/>
          <w:lang w:val="en-US"/>
        </w:rPr>
        <w:fldChar w:fldCharType="end"/>
      </w:r>
      <w:r w:rsidR="001A5210">
        <w:rPr>
          <w:rFonts w:cs="Arial"/>
          <w:i/>
          <w:iCs/>
          <w:szCs w:val="22"/>
          <w:lang w:val="en-US"/>
        </w:rPr>
        <w:t xml:space="preserve">. </w:t>
      </w:r>
      <w:r>
        <w:rPr>
          <w:rFonts w:cs="Arial"/>
          <w:szCs w:val="22"/>
          <w:lang w:val="en-US"/>
        </w:rPr>
        <w:t xml:space="preserve">A CRISPR-based technique for integrating up to 0.5 kb DNA into targeted sites with ~ 80% efficiency in </w:t>
      </w:r>
      <w:r>
        <w:rPr>
          <w:rFonts w:cs="Arial"/>
          <w:i/>
          <w:iCs/>
          <w:szCs w:val="22"/>
          <w:lang w:val="en-US"/>
        </w:rPr>
        <w:t xml:space="preserve">E. coli </w:t>
      </w:r>
      <w:r>
        <w:rPr>
          <w:rFonts w:cs="Arial"/>
          <w:szCs w:val="22"/>
          <w:lang w:val="en-US"/>
        </w:rPr>
        <w:t>has also been released</w:t>
      </w:r>
      <w:r w:rsidR="001A5210">
        <w:rPr>
          <w:rFonts w:cs="Arial"/>
          <w:szCs w:val="22"/>
          <w:lang w:val="en-US"/>
        </w:rPr>
        <w:fldChar w:fldCharType="begin" w:fldLock="1"/>
      </w:r>
      <w:r w:rsidR="004F3109">
        <w:rPr>
          <w:rFonts w:cs="Arial"/>
          <w:szCs w:val="22"/>
          <w:lang w:val="en-US"/>
        </w:rPr>
        <w:instrText>ADDIN CSL_CITATION {"citationItems":[{"id":"ITEM-1","itemData":{"DOI":"10.1126/SCIENCE.AAX9181/SUPPL_FILE/AAX9181_STRECKER_SM.PDF","ISSN":"10959203","PMID":"31171706","abstract":"CRISPR-Cas nucleases are powerful tools for manipulating nucleic acids; however, targeted insertion of DNA remains a challenge, as it requires host cell repair machinery. Here we characterize a CRISPR-associated transposase from cyanobacteria Scytonema hofmanni (ShCAST) that consists of Tn7-like transposase subunits and the type V-K CRISPR effector (Cas12k). ShCAST catalyzes RNA-guided DNA transposition by unidirectionally inserting segments of DNA 60 to 66 base pairs downstream of the protospacer. ShCAST integrates DNA into targeted sites in the Escherichia coli genome with frequencies of up to 80% without positive selection. This work expands our understanding of the functional diversity of CRISPR-Cas systems and establishes a paradigm for precision DNA insertion.","author":[{"dropping-particle":"","family":"Strecker","given":"Jonathan","non-dropping-particle":"","parse-names":false,"suffix":""},{"dropping-particle":"","family":"Ladha","given":"Alim","non-dropping-particle":"","parse-names":false,"suffix":""},{"dropping-particle":"","family":"Gardner","given":"Zachary","non-dropping-particle":"","parse-names":false,"suffix":""},{"dropping-particle":"","family":"Schmid-Burgk","given":"Jonathan L.","non-dropping-particle":"","parse-names":false,"suffix":""},{"dropping-particle":"","family":"Makarova","given":"Kira S.","non-dropping-particle":"","parse-names":false,"suffix":""},{"dropping-particle":"V.","family":"Koonin","given":"Eugene","non-dropping-particle":"","parse-names":false,"suffix":""},{"dropping-particle":"","family":"Zhang","given":"Feng","non-dropping-particle":"","parse-names":false,"suffix":""}],"container-title":"Science","id":"ITEM-1","issue":"6448","issued":{"date-parts":[["2019","7","5"]]},"page":"48-53","publisher":"American Association for the Advancement of Science","title":"RNA-guided DNA insertion with CRISPR-associated transposases","type":"article-journal","volume":"364"},"uris":["http://www.mendeley.com/documents/?uuid=953e0151-0b2a-36ce-a093-3347d8a6dfa6"]}],"mendeley":{"formattedCitation":"&lt;sup&gt;248&lt;/sup&gt;","plainTextFormattedCitation":"248","previouslyFormattedCitation":"&lt;sup&gt;248&lt;/sup&gt;"},"properties":{"noteIndex":0},"schema":"https://github.com/citation-style-language/schema/raw/master/csl-citation.json"}</w:instrText>
      </w:r>
      <w:r w:rsidR="001A5210">
        <w:rPr>
          <w:rFonts w:cs="Arial"/>
          <w:szCs w:val="22"/>
          <w:lang w:val="en-US"/>
        </w:rPr>
        <w:fldChar w:fldCharType="separate"/>
      </w:r>
      <w:r w:rsidR="00A91591" w:rsidRPr="00A91591">
        <w:rPr>
          <w:rFonts w:cs="Arial"/>
          <w:noProof/>
          <w:szCs w:val="22"/>
          <w:vertAlign w:val="superscript"/>
          <w:lang w:val="en-US"/>
        </w:rPr>
        <w:t>248</w:t>
      </w:r>
      <w:r w:rsidR="001A5210">
        <w:rPr>
          <w:rFonts w:cs="Arial"/>
          <w:szCs w:val="22"/>
          <w:lang w:val="en-US"/>
        </w:rPr>
        <w:fldChar w:fldCharType="end"/>
      </w:r>
      <w:r w:rsidR="001A5210">
        <w:rPr>
          <w:rFonts w:cs="Arial"/>
          <w:szCs w:val="22"/>
          <w:lang w:val="en-US"/>
        </w:rPr>
        <w:t xml:space="preserve">. </w:t>
      </w:r>
      <w:r>
        <w:rPr>
          <w:rFonts w:cs="Arial"/>
          <w:szCs w:val="22"/>
          <w:lang w:val="en-US"/>
        </w:rPr>
        <w:t>Alternative protein tag technologies can be assessed to reduce the cost of the enzyme removal process which, in its current state, is too expensive for building profitable lysate-based biomanufacturing systems. We discuss the economics of this process and the feasibility of using cellulose-binding domains and microcrystalline cellulose beads in Chapter 4 (Appendix). The genomic integration of protease tags and compartmentalized expression of a compatible protease in the same source strain could also be cheaper than an affinity-based enzyme removal approach.</w:t>
      </w:r>
    </w:p>
    <w:p w14:paraId="14DE6252" w14:textId="7190001C" w:rsidR="00D00440" w:rsidRDefault="00D00440" w:rsidP="00D00440">
      <w:pPr>
        <w:ind w:firstLine="720"/>
        <w:rPr>
          <w:rFonts w:cs="Arial"/>
          <w:color w:val="000000"/>
          <w:szCs w:val="22"/>
          <w:shd w:val="clear" w:color="auto" w:fill="FFFFFF"/>
        </w:rPr>
      </w:pPr>
      <w:r>
        <w:rPr>
          <w:rFonts w:cs="Arial"/>
          <w:color w:val="000000"/>
          <w:szCs w:val="22"/>
          <w:shd w:val="clear" w:color="auto" w:fill="FFFFFF"/>
        </w:rPr>
        <w:t xml:space="preserve">Part II of this dissertation, which consists of </w:t>
      </w:r>
      <w:r w:rsidRPr="00E43B04">
        <w:rPr>
          <w:rFonts w:eastAsia="Times New Roman" w:cs="Arial"/>
          <w:color w:val="000000"/>
          <w:szCs w:val="22"/>
          <w:shd w:val="clear" w:color="auto" w:fill="FFFFFF"/>
        </w:rPr>
        <w:t>Chapter 5</w:t>
      </w:r>
      <w:r>
        <w:rPr>
          <w:rFonts w:cs="Arial"/>
          <w:color w:val="000000"/>
          <w:szCs w:val="22"/>
          <w:shd w:val="clear" w:color="auto" w:fill="FFFFFF"/>
        </w:rPr>
        <w:t>,</w:t>
      </w:r>
      <w:r w:rsidRPr="00E43B04">
        <w:rPr>
          <w:rFonts w:eastAsia="Times New Roman" w:cs="Arial"/>
          <w:color w:val="000000"/>
          <w:szCs w:val="22"/>
          <w:shd w:val="clear" w:color="auto" w:fill="FFFFFF"/>
        </w:rPr>
        <w:t xml:space="preserve"> details the optimization </w:t>
      </w:r>
      <w:r>
        <w:rPr>
          <w:rFonts w:cs="Arial"/>
          <w:color w:val="000000"/>
          <w:szCs w:val="22"/>
          <w:shd w:val="clear" w:color="auto" w:fill="FFFFFF"/>
        </w:rPr>
        <w:t xml:space="preserve">and implementation </w:t>
      </w:r>
      <w:r w:rsidRPr="00E43B04">
        <w:rPr>
          <w:rFonts w:eastAsia="Times New Roman" w:cs="Arial"/>
          <w:color w:val="000000"/>
          <w:szCs w:val="22"/>
          <w:shd w:val="clear" w:color="auto" w:fill="FFFFFF"/>
        </w:rPr>
        <w:t xml:space="preserve">of a reporter-based assay for quickly sampling different condition sets in lysate-based CFE reactions. </w:t>
      </w:r>
      <w:r>
        <w:rPr>
          <w:rFonts w:cs="Arial"/>
          <w:color w:val="000000"/>
          <w:szCs w:val="22"/>
          <w:shd w:val="clear" w:color="auto" w:fill="FFFFFF"/>
        </w:rPr>
        <w:t xml:space="preserve">CFE is a powerful tool for constructing heterologous pathways at sufficient concentrations for high-yield bioconversion, especially when considering enzyme classes that are difficult to synthesize or functionalize </w:t>
      </w:r>
      <w:r>
        <w:rPr>
          <w:rFonts w:cs="Arial"/>
          <w:i/>
          <w:iCs/>
          <w:color w:val="000000"/>
          <w:szCs w:val="22"/>
          <w:shd w:val="clear" w:color="auto" w:fill="FFFFFF"/>
        </w:rPr>
        <w:t>in vivo</w:t>
      </w:r>
      <w:r>
        <w:rPr>
          <w:rFonts w:cs="Arial"/>
          <w:color w:val="000000"/>
          <w:szCs w:val="22"/>
          <w:shd w:val="clear" w:color="auto" w:fill="FFFFFF"/>
        </w:rPr>
        <w:t>. These include naturally abundant biosynthetic enzymes that convert central metabolites into high-value natural products</w:t>
      </w:r>
      <w:r w:rsidR="00567FF4">
        <w:rPr>
          <w:rFonts w:cs="Arial"/>
          <w:color w:val="000000"/>
          <w:szCs w:val="22"/>
          <w:shd w:val="clear" w:color="auto" w:fill="FFFFFF"/>
        </w:rPr>
        <w:fldChar w:fldCharType="begin" w:fldLock="1"/>
      </w:r>
      <w:r w:rsidR="00567FF4">
        <w:rPr>
          <w:rFonts w:cs="Arial"/>
          <w:color w:val="000000"/>
          <w:szCs w:val="22"/>
          <w:shd w:val="clear" w:color="auto" w:fill="FFFFFF"/>
        </w:rPr>
        <w:instrText>ADDIN CSL_CITATION {"citationItems":[{"id":"ITEM-1","itemData":{"DOI":"10.1002/CBIC.202000452","ISSN":"1439-7633","PMID":"32783358","abstract":"Natural products and secondary metabolites comprise an indispensable resource from living organisms that have transformed areas of medicine, agriculture, and biotechnology. Recent advances in high-throughput DNA sequencing and computational analysis suggest that the vast majority of natural products remain undiscovered. To accelerate the natural product discovery pipeline, cell-free metabolic engineering approaches used to develop robust catalytic networks are being repurposed to access new chemical scaffolds, and new enzymes capable of performing diverse chemistries. Such enzymes could serve as flexible biocatalytic tools to further expand the unique chemical space of natural products and secondary metabolites, and provide a more sustainable route to manufacture these molecules. Herein, we highlight select examples of natural product biosynthesis using cell-free systems and propose how cell-free technologies could facilitate our ability to access and modify these structures to transform synthetic and chemical biology.","author":[{"dropping-particle":"","family":"Bogart","given":"Jonathan W.","non-dropping-particle":"","parse-names":false,"suffix":""},{"dropping-particle":"","family":"Cabezas","given":"Maria D.","non-dropping-particle":"","parse-names":false,"suffix":""},{"dropping-particle":"","family":"Vögeli","given":"Bastian","non-dropping-particle":"","parse-names":false,"suffix":""},{"dropping-particle":"","family":"Wong","given":"Derek A.","non-dropping-particle":"","parse-names":false,"suffix":""},{"dropping-particle":"","family":"Karim","given":"Ashty S.","non-dropping-particle":"","parse-names":false,"suffix":""},{"dropping-particle":"","family":"Jewett","given":"Michael C.","non-dropping-particle":"","parse-names":false,"suffix":""}],"container-title":"ChemBioChem","id":"ITEM-1","issue":"1","issued":{"date-parts":[["2021","1","5"]]},"page":"84-91","publisher":"John Wiley &amp; Sons, Ltd","title":"Cell-Free Exploration of the Natural Product Chemical Space","type":"article-journal","volume":"22"},"uris":["http://www.mendeley.com/documents/?uuid=2c0a0937-7132-37c3-8935-67f1b28b1702"]}],"mendeley":{"formattedCitation":"&lt;sup&gt;28&lt;/sup&gt;","plainTextFormattedCitation":"28","previouslyFormattedCitation":"&lt;sup&gt;28&lt;/sup&gt;"},"properties":{"noteIndex":0},"schema":"https://github.com/citation-style-language/schema/raw/master/csl-citation.json"}</w:instrText>
      </w:r>
      <w:r w:rsidR="00567FF4">
        <w:rPr>
          <w:rFonts w:cs="Arial"/>
          <w:color w:val="000000"/>
          <w:szCs w:val="22"/>
          <w:shd w:val="clear" w:color="auto" w:fill="FFFFFF"/>
        </w:rPr>
        <w:fldChar w:fldCharType="separate"/>
      </w:r>
      <w:r w:rsidR="00567FF4" w:rsidRPr="00567FF4">
        <w:rPr>
          <w:rFonts w:cs="Arial"/>
          <w:noProof/>
          <w:color w:val="000000"/>
          <w:szCs w:val="22"/>
          <w:shd w:val="clear" w:color="auto" w:fill="FFFFFF"/>
          <w:vertAlign w:val="superscript"/>
        </w:rPr>
        <w:t>28</w:t>
      </w:r>
      <w:r w:rsidR="00567FF4">
        <w:rPr>
          <w:rFonts w:cs="Arial"/>
          <w:color w:val="000000"/>
          <w:szCs w:val="22"/>
          <w:shd w:val="clear" w:color="auto" w:fill="FFFFFF"/>
        </w:rPr>
        <w:fldChar w:fldCharType="end"/>
      </w:r>
      <w:r w:rsidR="0071033C">
        <w:rPr>
          <w:rFonts w:cs="Arial"/>
          <w:color w:val="000000"/>
          <w:szCs w:val="22"/>
          <w:shd w:val="clear" w:color="auto" w:fill="FFFFFF"/>
        </w:rPr>
        <w:t xml:space="preserve">. </w:t>
      </w:r>
      <w:r>
        <w:rPr>
          <w:rFonts w:cs="Arial"/>
          <w:color w:val="000000"/>
          <w:szCs w:val="22"/>
          <w:shd w:val="clear" w:color="auto" w:fill="FFFFFF"/>
        </w:rPr>
        <w:t>Broadly, this work investigates how target enzyme structure and catalytic activity impact CFE requirements in extracts. The resource competition between TX-TL processes involved in the synthesis of the enzyme and the enzyme itself is highlighted as a significant barrier in the advancement of CFE for rapid heterologous pathway building in lysates. Tailoring CFE reaction condition sets to different enzyme targets is thus needed, especially for enzymes that interface with lysate endogenous metabolism and thus contribute to the unproductive sequestration of TX-TL resources (e.g., energy substrates and salts). This tool enables such investigation, demonstrated through the</w:t>
      </w:r>
      <w:r w:rsidRPr="00E43B04">
        <w:rPr>
          <w:rFonts w:eastAsia="Times New Roman" w:cs="Arial"/>
          <w:color w:val="000000"/>
          <w:szCs w:val="22"/>
          <w:shd w:val="clear" w:color="auto" w:fill="FFFFFF"/>
        </w:rPr>
        <w:t xml:space="preserve"> improve</w:t>
      </w:r>
      <w:r>
        <w:rPr>
          <w:rFonts w:cs="Arial"/>
          <w:color w:val="000000"/>
          <w:szCs w:val="22"/>
          <w:shd w:val="clear" w:color="auto" w:fill="FFFFFF"/>
        </w:rPr>
        <w:t xml:space="preserve">d expression </w:t>
      </w:r>
      <w:r w:rsidRPr="00E43B04">
        <w:rPr>
          <w:rFonts w:eastAsia="Times New Roman" w:cs="Arial"/>
          <w:color w:val="000000"/>
          <w:szCs w:val="22"/>
          <w:shd w:val="clear" w:color="auto" w:fill="FFFFFF"/>
        </w:rPr>
        <w:t>of</w:t>
      </w:r>
      <w:r>
        <w:rPr>
          <w:rFonts w:cs="Arial"/>
          <w:color w:val="000000"/>
          <w:szCs w:val="22"/>
          <w:shd w:val="clear" w:color="auto" w:fill="FFFFFF"/>
        </w:rPr>
        <w:t xml:space="preserve"> large biosynthetic enzymes, </w:t>
      </w:r>
      <w:r w:rsidRPr="00E43B04">
        <w:rPr>
          <w:rFonts w:eastAsia="Times New Roman" w:cs="Arial"/>
          <w:color w:val="000000"/>
          <w:szCs w:val="22"/>
          <w:shd w:val="clear" w:color="auto" w:fill="FFFFFF"/>
        </w:rPr>
        <w:t>NRPS</w:t>
      </w:r>
      <w:r>
        <w:rPr>
          <w:rFonts w:cs="Arial"/>
          <w:color w:val="000000"/>
          <w:szCs w:val="22"/>
          <w:shd w:val="clear" w:color="auto" w:fill="FFFFFF"/>
        </w:rPr>
        <w:t>s,</w:t>
      </w:r>
      <w:r w:rsidRPr="00E43B04">
        <w:rPr>
          <w:rFonts w:eastAsia="Times New Roman" w:cs="Arial"/>
          <w:color w:val="000000"/>
          <w:szCs w:val="22"/>
          <w:shd w:val="clear" w:color="auto" w:fill="FFFFFF"/>
        </w:rPr>
        <w:t xml:space="preserve"> </w:t>
      </w:r>
      <w:r>
        <w:rPr>
          <w:rFonts w:cs="Arial"/>
          <w:color w:val="000000"/>
          <w:szCs w:val="22"/>
          <w:shd w:val="clear" w:color="auto" w:fill="FFFFFF"/>
        </w:rPr>
        <w:t xml:space="preserve">in cell extracts with higher throughput than conventional techniques. The results also show a concordant increase in </w:t>
      </w:r>
      <w:proofErr w:type="spellStart"/>
      <w:r>
        <w:rPr>
          <w:rFonts w:cs="Arial"/>
          <w:color w:val="000000"/>
          <w:szCs w:val="22"/>
          <w:shd w:val="clear" w:color="auto" w:fill="FFFFFF"/>
        </w:rPr>
        <w:t>nonribosomal</w:t>
      </w:r>
      <w:proofErr w:type="spellEnd"/>
      <w:r>
        <w:rPr>
          <w:rFonts w:cs="Arial"/>
          <w:color w:val="000000"/>
          <w:szCs w:val="22"/>
          <w:shd w:val="clear" w:color="auto" w:fill="FFFFFF"/>
        </w:rPr>
        <w:t xml:space="preserve"> peptide formation with higher NRPS expression. By accelerating CFE condition optimization for valuable biosynthetic enzymes, the current strategy enables the rapid construction of efficient whole biosynthetic pathways in extracts. This is not only important for </w:t>
      </w:r>
      <w:r>
        <w:rPr>
          <w:rFonts w:cs="Arial"/>
          <w:color w:val="000000"/>
          <w:szCs w:val="22"/>
          <w:shd w:val="clear" w:color="auto" w:fill="FFFFFF"/>
        </w:rPr>
        <w:lastRenderedPageBreak/>
        <w:t>quickly expressing known heterologous enzymes, but also for screening engineered variants or novel heterologous pathways</w:t>
      </w:r>
      <w:r w:rsidR="001A5210">
        <w:rPr>
          <w:rFonts w:cs="Arial"/>
          <w:color w:val="000000"/>
          <w:szCs w:val="22"/>
          <w:shd w:val="clear" w:color="auto" w:fill="FFFFFF"/>
        </w:rPr>
        <w:fldChar w:fldCharType="begin" w:fldLock="1"/>
      </w:r>
      <w:r w:rsidR="004F3109">
        <w:rPr>
          <w:rFonts w:cs="Arial"/>
          <w:color w:val="000000"/>
          <w:szCs w:val="22"/>
          <w:shd w:val="clear" w:color="auto" w:fill="FFFFFF"/>
        </w:rPr>
        <w:instrText>ADDIN CSL_CITATION {"citationItems":[{"id":"ITEM-1","itemData":{"DOI":"10.3390/CATAL9020190","ISSN":"2073-4344","abstract":"Cell-free protein synthesis (CFPS) has become an established tool for rapid protein synthesis in order to accelerate the discovery of new enzymes and the development of proteins with improved characteristics. Over the past years, progress in CFPS system preparation has been made towards simplification, and many applications have been developed with regard to tailor-made solutions for specific purposes. In this review, various preparation methods of CFPS systems are compared and the significance of individual supplements is assessed. The recent applications of CFPS are summarized and the potential for biocatalyst development discussed. One of the central features is the high-throughput synthesis of protein variants, which enables sophisticated approaches for rapid prototyping of enzymes. These applications demonstrate the contribution of CFPS to enhance enzyme functionalities and the complementation to in vivo protein synthesis. However, there are different issues to be addressed, such as the low predictability of CFPS performance and transferability to in vivo protein synthesis. Nevertheless, the usage of CFPS for high-throughput enzyme screening has been proven to be an efficient method to discover novel biocatalysts and improved enzyme variants.","author":[{"dropping-particle":"","family":"Rolf","given":"Jascha","non-dropping-particle":"","parse-names":false,"suffix":""},{"dropping-particle":"","family":"Rosenthal","given":"Katrin","non-dropping-particle":"","parse-names":false,"suffix":""},{"dropping-particle":"","family":"Lütz","given":"Stephan","non-dropping-particle":"","parse-names":false,"suffix":""}],"container-title":"Catalysts 2019, Vol. 9, Page 190","id":"ITEM-1","issue":"2","issued":{"date-parts":[["2019","2","19"]]},"page":"190","publisher":"Multidisciplinary Digital Publishing Institute","title":"Application of Cell-Free Protein Synthesis for Faster Biocatalyst Development","type":"article-journal","volume":"9"},"uris":["http://www.mendeley.com/documents/?uuid=b16306ed-4b44-3383-8fed-d5f8a22ea69e"]}],"mendeley":{"formattedCitation":"&lt;sup&gt;249&lt;/sup&gt;","plainTextFormattedCitation":"249","previouslyFormattedCitation":"&lt;sup&gt;249&lt;/sup&gt;"},"properties":{"noteIndex":0},"schema":"https://github.com/citation-style-language/schema/raw/master/csl-citation.json"}</w:instrText>
      </w:r>
      <w:r w:rsidR="001A5210">
        <w:rPr>
          <w:rFonts w:cs="Arial"/>
          <w:color w:val="000000"/>
          <w:szCs w:val="22"/>
          <w:shd w:val="clear" w:color="auto" w:fill="FFFFFF"/>
        </w:rPr>
        <w:fldChar w:fldCharType="separate"/>
      </w:r>
      <w:r w:rsidR="00A91591" w:rsidRPr="00A91591">
        <w:rPr>
          <w:rFonts w:cs="Arial"/>
          <w:noProof/>
          <w:color w:val="000000"/>
          <w:szCs w:val="22"/>
          <w:shd w:val="clear" w:color="auto" w:fill="FFFFFF"/>
          <w:vertAlign w:val="superscript"/>
        </w:rPr>
        <w:t>249</w:t>
      </w:r>
      <w:r w:rsidR="001A5210">
        <w:rPr>
          <w:rFonts w:cs="Arial"/>
          <w:color w:val="000000"/>
          <w:szCs w:val="22"/>
          <w:shd w:val="clear" w:color="auto" w:fill="FFFFFF"/>
        </w:rPr>
        <w:fldChar w:fldCharType="end"/>
      </w:r>
      <w:r w:rsidR="001A5210">
        <w:rPr>
          <w:rFonts w:cs="Arial"/>
          <w:color w:val="000000"/>
          <w:szCs w:val="22"/>
          <w:shd w:val="clear" w:color="auto" w:fill="FFFFFF"/>
        </w:rPr>
        <w:t>.</w:t>
      </w:r>
      <w:r>
        <w:rPr>
          <w:rFonts w:cs="Arial"/>
          <w:color w:val="000000"/>
          <w:szCs w:val="22"/>
          <w:shd w:val="clear" w:color="auto" w:fill="FFFFFF"/>
        </w:rPr>
        <w:t xml:space="preserve"> </w:t>
      </w:r>
    </w:p>
    <w:p w14:paraId="326E9DA3" w14:textId="7275C607" w:rsidR="00D00440" w:rsidRPr="0094091D" w:rsidRDefault="00AB6070" w:rsidP="00D00440">
      <w:pPr>
        <w:ind w:firstLine="720"/>
        <w:rPr>
          <w:rFonts w:cs="Arial"/>
          <w:color w:val="000000"/>
          <w:szCs w:val="22"/>
          <w:shd w:val="clear" w:color="auto" w:fill="FFFFFF"/>
        </w:rPr>
      </w:pPr>
      <w:r>
        <w:rPr>
          <w:rFonts w:cs="Arial"/>
          <w:szCs w:val="22"/>
          <w:lang w:val="en-US"/>
        </w:rPr>
        <w:t xml:space="preserve">Future CFME studies that leverage CFE for heterologous pathway building will benefit from refining the current technique or exploring alternatives for high-throughput enzyme expression validation. </w:t>
      </w:r>
      <w:r w:rsidR="00D00440">
        <w:rPr>
          <w:rFonts w:cs="Arial"/>
          <w:szCs w:val="22"/>
          <w:lang w:val="en-US"/>
        </w:rPr>
        <w:t xml:space="preserve">A limitation of the </w:t>
      </w:r>
      <w:proofErr w:type="spellStart"/>
      <w:r w:rsidR="00D00440">
        <w:rPr>
          <w:rFonts w:cs="Arial"/>
          <w:szCs w:val="22"/>
          <w:lang w:val="en-US"/>
        </w:rPr>
        <w:t>FlAsH</w:t>
      </w:r>
      <w:proofErr w:type="spellEnd"/>
      <w:r w:rsidR="00D00440">
        <w:rPr>
          <w:rFonts w:cs="Arial"/>
          <w:szCs w:val="22"/>
          <w:lang w:val="en-US"/>
        </w:rPr>
        <w:t xml:space="preserve"> reagent is that it interacts with the lysate background and possibly different components of the reaction environment. Consequently, the signal-to-noise ratio decreases over time, and only end-point measurements can be reliably made. Further, careful negative controls must be designed to subtract noise when measuring TC/</w:t>
      </w:r>
      <w:proofErr w:type="spellStart"/>
      <w:r w:rsidR="00D00440">
        <w:rPr>
          <w:rFonts w:cs="Arial"/>
          <w:szCs w:val="22"/>
          <w:lang w:val="en-US"/>
        </w:rPr>
        <w:t>FlAsH</w:t>
      </w:r>
      <w:proofErr w:type="spellEnd"/>
      <w:r w:rsidR="00D00440">
        <w:rPr>
          <w:rFonts w:cs="Arial"/>
          <w:szCs w:val="22"/>
          <w:lang w:val="en-US"/>
        </w:rPr>
        <w:t xml:space="preserve"> fluorescence under different reaction condition sets. Testing tags that carry the </w:t>
      </w:r>
      <w:proofErr w:type="spellStart"/>
      <w:r w:rsidR="00D00440">
        <w:rPr>
          <w:rFonts w:cs="Arial"/>
          <w:szCs w:val="22"/>
          <w:lang w:val="en-US"/>
        </w:rPr>
        <w:t>tetracysteine</w:t>
      </w:r>
      <w:proofErr w:type="spellEnd"/>
      <w:r w:rsidR="00D00440">
        <w:rPr>
          <w:rFonts w:cs="Arial"/>
          <w:szCs w:val="22"/>
          <w:lang w:val="en-US"/>
        </w:rPr>
        <w:t xml:space="preserve"> motif but have higher specificity for </w:t>
      </w:r>
      <w:proofErr w:type="spellStart"/>
      <w:r w:rsidR="00D00440">
        <w:rPr>
          <w:rFonts w:cs="Arial"/>
          <w:szCs w:val="22"/>
          <w:lang w:val="en-US"/>
        </w:rPr>
        <w:t>FlAsH</w:t>
      </w:r>
      <w:proofErr w:type="spellEnd"/>
      <w:r w:rsidR="00D00440">
        <w:rPr>
          <w:rFonts w:cs="Arial"/>
          <w:szCs w:val="22"/>
          <w:lang w:val="en-US"/>
        </w:rPr>
        <w:t xml:space="preserve"> may reduce this noise. An alternative approach that can be used for screening reaction conditions was reported at the same time we ended our investigation. This method leverages the split-GFP system and was used to validate the parallel expression of enzyme homologs in lysates</w:t>
      </w:r>
      <w:r w:rsidR="00E26021">
        <w:rPr>
          <w:rFonts w:cs="Arial"/>
          <w:szCs w:val="22"/>
          <w:lang w:val="en-US"/>
        </w:rPr>
        <w:fldChar w:fldCharType="begin" w:fldLock="1"/>
      </w:r>
      <w:r w:rsidR="004F3109">
        <w:rPr>
          <w:rFonts w:cs="Arial"/>
          <w:szCs w:val="22"/>
          <w:lang w:val="en-US"/>
        </w:rPr>
        <w:instrText>ADDIN CSL_CITATION {"citationItems":[{"id":"ITEM-1","itemData":{"DOI":"10.1002/BIT.28326","ISSN":"1097-0290","PMID":"36585353","abstract":"Engineering biological systems to test new pathway variants containing different enzyme homologs is laborious and time-consuming. To tackle this challenge, a strategy was developed for rapidly prototyping enzyme homologs by combining cell-free protein synthesis (CFPS) with split green fluorescent protein (GFP). This strategy featured two main advantages: (1) dozens of enzyme homologs were parallelly produced by CFPS within hours, and (2) the expression level and activity of each homolog was determined simultaneously by using the split GFP assay. As a model, this strategy was applied to optimize a 3-step pathway for nicotinamide mononucleotide (NMN) synthesis. Ten enzyme homologs from different organisms were selected for each step. Here, the most productive homolog of each step was identified within 24 h rather than weeks or months. Finally, the titer of NMN was increased to 1213 mg/L by improving physiochemical conditions, tuning enzyme ratios and cofactor concentrations, and decreasing the feedback inhibition, which was a more than 12-fold improvement over the initial setup. This strategy would provide a promising way to accelerate design-build-test cycles for metabolic engineering to improve the production of desired products.","author":[{"dropping-particle":"","family":"Yuan","given":"Qingyan","non-dropping-particle":"","parse-names":false,"suffix":""},{"dropping-particle":"","family":"Wu","given":"Minhui","non-dropping-particle":"","parse-names":false,"suffix":""},{"dropping-particle":"","family":"Liao","given":"Yibo","non-dropping-particle":"","parse-names":false,"suffix":""},{"dropping-particle":"","family":"Liang","given":"Shuli","non-dropping-particle":"","parse-names":false,"suffix":""},{"dropping-particle":"","family":"Lu","given":"Yuan","non-dropping-particle":"","parse-names":false,"suffix":""},{"dropping-particle":"","family":"Lin","given":"Ying","non-dropping-particle":"","parse-names":false,"suffix":""}],"container-title":"Biotechnology and Bioengineering","id":"ITEM-1","issued":{"date-parts":[["2023"]]},"publisher":"John Wiley &amp; Sons, Ltd","title":"Rapid prototyping enzyme homologs to improve titer of nicotinamide mononucleotide using a strategy combining cell-free protein synthesis with split GFP","type":"article-journal"},"uris":["http://www.mendeley.com/documents/?uuid=1cd59d08-83dd-3ed6-a0b8-8e4edef60b2d"]}],"mendeley":{"formattedCitation":"&lt;sup&gt;250&lt;/sup&gt;","plainTextFormattedCitation":"250","previouslyFormattedCitation":"&lt;sup&gt;250&lt;/sup&gt;"},"properties":{"noteIndex":0},"schema":"https://github.com/citation-style-language/schema/raw/master/csl-citation.json"}</w:instrText>
      </w:r>
      <w:r w:rsidR="00E26021">
        <w:rPr>
          <w:rFonts w:cs="Arial"/>
          <w:szCs w:val="22"/>
          <w:lang w:val="en-US"/>
        </w:rPr>
        <w:fldChar w:fldCharType="separate"/>
      </w:r>
      <w:r w:rsidR="00A91591" w:rsidRPr="00A91591">
        <w:rPr>
          <w:rFonts w:cs="Arial"/>
          <w:noProof/>
          <w:szCs w:val="22"/>
          <w:vertAlign w:val="superscript"/>
          <w:lang w:val="en-US"/>
        </w:rPr>
        <w:t>250</w:t>
      </w:r>
      <w:r w:rsidR="00E26021">
        <w:rPr>
          <w:rFonts w:cs="Arial"/>
          <w:szCs w:val="22"/>
          <w:lang w:val="en-US"/>
        </w:rPr>
        <w:fldChar w:fldCharType="end"/>
      </w:r>
      <w:r w:rsidR="00E26021">
        <w:rPr>
          <w:rFonts w:cs="Arial"/>
          <w:szCs w:val="22"/>
          <w:lang w:val="en-US"/>
        </w:rPr>
        <w:t xml:space="preserve">. </w:t>
      </w:r>
      <w:r w:rsidR="00D00440">
        <w:rPr>
          <w:rFonts w:cs="Arial"/>
          <w:szCs w:val="22"/>
          <w:lang w:val="en-US"/>
        </w:rPr>
        <w:t xml:space="preserve">Briefly, a 28-amino acid tag carrying a small, non-fluorescent fragment of </w:t>
      </w:r>
      <w:proofErr w:type="spellStart"/>
      <w:r w:rsidR="00D00440">
        <w:rPr>
          <w:rFonts w:cs="Arial"/>
          <w:szCs w:val="22"/>
          <w:lang w:val="en-US"/>
        </w:rPr>
        <w:t>sfGFP</w:t>
      </w:r>
      <w:proofErr w:type="spellEnd"/>
      <w:r w:rsidR="00D00440">
        <w:rPr>
          <w:rFonts w:cs="Arial"/>
          <w:szCs w:val="22"/>
          <w:lang w:val="en-US"/>
        </w:rPr>
        <w:t xml:space="preserve"> called GFP11 is displayed on the C-terminus of an expressed enzyme in a lysate reaction. A larger fragment of </w:t>
      </w:r>
      <w:proofErr w:type="spellStart"/>
      <w:r w:rsidR="00D00440">
        <w:rPr>
          <w:rFonts w:cs="Arial"/>
          <w:szCs w:val="22"/>
          <w:lang w:val="en-US"/>
        </w:rPr>
        <w:t>sfGFP</w:t>
      </w:r>
      <w:proofErr w:type="spellEnd"/>
      <w:r w:rsidR="00D00440">
        <w:rPr>
          <w:rFonts w:cs="Arial"/>
          <w:szCs w:val="22"/>
          <w:lang w:val="en-US"/>
        </w:rPr>
        <w:t xml:space="preserve"> called GFP1-10 is then added exogenously to the enzyme enriched lysate and forms the fluorescent GFP complex with the tagged enzyme. The split-GFP assay does not suffer from high background noise and thus does not require negative (i.e., no DNA) controls when making relative comparisons of different reaction condition sets. However, GFP11 is a larger tag than the 6-amino acid TC tag and may thus interfere with the structure and activity of the tagged enzyme. Also, whether different reaction conditions (e.g., ionic strength, reaction temperature) impact the binding of GFP1-10 and GFP11 </w:t>
      </w:r>
      <w:r w:rsidR="00E26021">
        <w:rPr>
          <w:rFonts w:cs="Arial"/>
          <w:szCs w:val="22"/>
          <w:lang w:val="en-US"/>
        </w:rPr>
        <w:t>has yet to</w:t>
      </w:r>
      <w:r w:rsidR="00D00440">
        <w:rPr>
          <w:rFonts w:cs="Arial"/>
          <w:szCs w:val="22"/>
          <w:lang w:val="en-US"/>
        </w:rPr>
        <w:t xml:space="preserve"> be evaluated. </w:t>
      </w:r>
    </w:p>
    <w:p w14:paraId="58A23262" w14:textId="251B03BC" w:rsidR="00D00440" w:rsidRDefault="00E75D6E" w:rsidP="00E75D6E">
      <w:pPr>
        <w:ind w:firstLine="720"/>
        <w:rPr>
          <w:rFonts w:cs="Arial"/>
          <w:szCs w:val="22"/>
          <w:lang w:val="en-US"/>
        </w:rPr>
      </w:pPr>
      <w:r>
        <w:rPr>
          <w:rFonts w:cs="Arial"/>
          <w:szCs w:val="22"/>
          <w:lang w:val="en-US"/>
        </w:rPr>
        <w:t>Developing strategies</w:t>
      </w:r>
      <w:r w:rsidR="00D00440">
        <w:rPr>
          <w:rFonts w:cs="Arial"/>
          <w:szCs w:val="22"/>
          <w:lang w:val="en-US"/>
        </w:rPr>
        <w:t xml:space="preserve"> that improve the production efficiencies of lysates</w:t>
      </w:r>
      <w:r>
        <w:rPr>
          <w:rFonts w:cs="Arial"/>
          <w:szCs w:val="22"/>
          <w:lang w:val="en-US"/>
        </w:rPr>
        <w:t xml:space="preserve"> </w:t>
      </w:r>
      <w:r w:rsidR="00D00440">
        <w:rPr>
          <w:rFonts w:cs="Arial"/>
          <w:szCs w:val="22"/>
          <w:lang w:val="en-US"/>
        </w:rPr>
        <w:t>while affording accelerated (i.e., unconstrained by cell viability) engineering campaig</w:t>
      </w:r>
      <w:r w:rsidR="0011340F">
        <w:rPr>
          <w:rFonts w:cs="Arial"/>
          <w:szCs w:val="22"/>
          <w:lang w:val="en-US"/>
        </w:rPr>
        <w:t xml:space="preserve">ns </w:t>
      </w:r>
      <w:r w:rsidR="001B42D9">
        <w:rPr>
          <w:rFonts w:cs="Arial"/>
          <w:szCs w:val="22"/>
          <w:lang w:val="en-US"/>
        </w:rPr>
        <w:t xml:space="preserve">will help actualize </w:t>
      </w:r>
      <w:r w:rsidR="0011340F">
        <w:rPr>
          <w:rFonts w:cs="Arial"/>
          <w:szCs w:val="22"/>
          <w:lang w:val="en-US"/>
        </w:rPr>
        <w:t xml:space="preserve">lysate-based biomanufacturing. </w:t>
      </w:r>
      <w:r w:rsidR="00E26021">
        <w:rPr>
          <w:rFonts w:cs="Arial"/>
          <w:szCs w:val="22"/>
          <w:lang w:val="en-US"/>
        </w:rPr>
        <w:t>The</w:t>
      </w:r>
      <w:r w:rsidR="001B42D9">
        <w:rPr>
          <w:rFonts w:cs="Arial"/>
          <w:szCs w:val="22"/>
          <w:lang w:val="en-US"/>
        </w:rPr>
        <w:t xml:space="preserve"> expedited development of biomanufacturing processes in lysates can accelerate the diversification of bioindustries and the subsequent replacement of most </w:t>
      </w:r>
      <w:r w:rsidR="001B42D9">
        <w:rPr>
          <w:rFonts w:cs="Arial"/>
          <w:szCs w:val="22"/>
          <w:lang w:val="en-US"/>
        </w:rPr>
        <w:lastRenderedPageBreak/>
        <w:t xml:space="preserve">petrochemical-based manufacturing processes with sustainable alternatives. Additionally, the ability of productive extracts to be lyophilized and distributed without a cold chain enables decentralized manufacturing during supply chain disruptions. </w:t>
      </w:r>
      <w:r w:rsidR="00E26021">
        <w:rPr>
          <w:rFonts w:cs="Arial"/>
          <w:szCs w:val="22"/>
          <w:lang w:val="en-US"/>
        </w:rPr>
        <w:t>Thus, refining and integrating these strategies into cost-effective CFME workflows will expand our biomanufacturing capabilities, and as</w:t>
      </w:r>
      <w:r w:rsidR="001B42D9">
        <w:rPr>
          <w:rFonts w:cs="Arial"/>
          <w:szCs w:val="22"/>
          <w:lang w:val="en-US"/>
        </w:rPr>
        <w:t xml:space="preserve"> our cell-free engineering toolkit grows, so too will the bioeconomy.</w:t>
      </w:r>
    </w:p>
    <w:p w14:paraId="00C25FC0" w14:textId="77777777" w:rsidR="00AB1BFA" w:rsidRDefault="00AB1BFA" w:rsidP="00526E45">
      <w:pPr>
        <w:jc w:val="center"/>
        <w:rPr>
          <w:rFonts w:cs="Arial"/>
          <w:b/>
          <w:bCs/>
          <w:sz w:val="28"/>
          <w:szCs w:val="28"/>
        </w:rPr>
      </w:pPr>
    </w:p>
    <w:p w14:paraId="58AF6596" w14:textId="5BD90794" w:rsidR="00526E45" w:rsidRDefault="00526E45" w:rsidP="00526E45">
      <w:pPr>
        <w:jc w:val="center"/>
        <w:rPr>
          <w:rFonts w:cs="Arial"/>
          <w:b/>
          <w:bCs/>
          <w:sz w:val="28"/>
          <w:szCs w:val="28"/>
        </w:rPr>
      </w:pPr>
    </w:p>
    <w:p w14:paraId="30049BAC" w14:textId="77777777" w:rsidR="00526E45" w:rsidRPr="00526E45" w:rsidRDefault="00526E45" w:rsidP="00526E45">
      <w:pPr>
        <w:rPr>
          <w:rFonts w:cs="Arial"/>
          <w:b/>
          <w:bCs/>
          <w:sz w:val="28"/>
          <w:szCs w:val="28"/>
        </w:rPr>
      </w:pPr>
    </w:p>
    <w:p w14:paraId="5EAC3503" w14:textId="0F7A8D55" w:rsidR="00526E45" w:rsidRDefault="00526E45">
      <w:pPr>
        <w:rPr>
          <w:rFonts w:cs="Arial"/>
          <w:szCs w:val="22"/>
        </w:rPr>
      </w:pPr>
      <w:r>
        <w:rPr>
          <w:rFonts w:cs="Arial"/>
          <w:szCs w:val="22"/>
        </w:rPr>
        <w:br w:type="page"/>
      </w:r>
    </w:p>
    <w:p w14:paraId="468D8BA4" w14:textId="367ECCA2" w:rsidR="002B6B32" w:rsidRPr="002B6B32" w:rsidRDefault="002B385F" w:rsidP="00BD523B">
      <w:pPr>
        <w:jc w:val="center"/>
        <w:rPr>
          <w:rFonts w:cs="Arial"/>
          <w:b/>
          <w:bCs/>
          <w:color w:val="000000" w:themeColor="text1"/>
          <w:sz w:val="32"/>
          <w:szCs w:val="32"/>
        </w:rPr>
      </w:pPr>
      <w:r w:rsidRPr="002B6B32">
        <w:rPr>
          <w:rFonts w:cs="Arial"/>
          <w:b/>
          <w:bCs/>
          <w:color w:val="000000" w:themeColor="text1"/>
          <w:sz w:val="32"/>
          <w:szCs w:val="32"/>
        </w:rPr>
        <w:lastRenderedPageBreak/>
        <w:t>REFERENCES</w:t>
      </w:r>
    </w:p>
    <w:p w14:paraId="2E86D05C" w14:textId="19D60D93" w:rsidR="004F3109" w:rsidRPr="004F3109" w:rsidRDefault="0031140D" w:rsidP="004F3109">
      <w:pPr>
        <w:widowControl w:val="0"/>
        <w:autoSpaceDE w:val="0"/>
        <w:autoSpaceDN w:val="0"/>
        <w:adjustRightInd w:val="0"/>
        <w:rPr>
          <w:rFonts w:cs="Arial"/>
          <w:noProof/>
          <w:lang w:val="en-US"/>
        </w:rPr>
      </w:pPr>
      <w:r w:rsidRPr="00A71FCF">
        <w:rPr>
          <w:rFonts w:cs="Arial"/>
          <w:szCs w:val="22"/>
        </w:rPr>
        <w:fldChar w:fldCharType="begin" w:fldLock="1"/>
      </w:r>
      <w:r w:rsidRPr="00A71FCF">
        <w:rPr>
          <w:rFonts w:cs="Arial"/>
          <w:szCs w:val="22"/>
        </w:rPr>
        <w:instrText xml:space="preserve">ADDIN Mendeley Bibliography CSL_BIBLIOGRAPHY </w:instrText>
      </w:r>
      <w:r w:rsidRPr="00A71FCF">
        <w:rPr>
          <w:rFonts w:cs="Arial"/>
          <w:szCs w:val="22"/>
        </w:rPr>
        <w:fldChar w:fldCharType="separate"/>
      </w:r>
      <w:r w:rsidR="004F3109" w:rsidRPr="004F3109">
        <w:rPr>
          <w:rFonts w:cs="Arial"/>
          <w:noProof/>
          <w:lang w:val="en-US"/>
        </w:rPr>
        <w:t xml:space="preserve">(1) National Academies of Sciences, E. and M. (2020) Safeguarding the Bioeconomy. </w:t>
      </w:r>
      <w:r w:rsidR="004F3109" w:rsidRPr="004F3109">
        <w:rPr>
          <w:rFonts w:cs="Arial"/>
          <w:i/>
          <w:iCs/>
          <w:noProof/>
          <w:lang w:val="en-US"/>
        </w:rPr>
        <w:t>Safeguarding the Bioeconomy</w:t>
      </w:r>
      <w:r w:rsidR="004F3109" w:rsidRPr="004F3109">
        <w:rPr>
          <w:rFonts w:cs="Arial"/>
          <w:noProof/>
          <w:lang w:val="en-US"/>
        </w:rPr>
        <w:t>. National Academies Press.</w:t>
      </w:r>
    </w:p>
    <w:p w14:paraId="04F4279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(2) Gallo, M. E. (2022) The Bioeconomy: A Primer.</w:t>
      </w:r>
    </w:p>
    <w:p w14:paraId="259EF73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(3) Rogers, J. N., Stokes, B., Dunn, J., Cai, H., Wu, M., Haq, Z., and Baumes, H. (2017) An assessment of the potential products and economic and environmental impacts resulting from a billion ton bioeconomy. </w:t>
      </w:r>
      <w:r w:rsidRPr="004F3109">
        <w:rPr>
          <w:rFonts w:cs="Arial"/>
          <w:i/>
          <w:iCs/>
          <w:noProof/>
          <w:lang w:val="en-US"/>
        </w:rPr>
        <w:t>Biofuels, Bioprod. Biorefining</w:t>
      </w:r>
      <w:r w:rsidRPr="004F3109">
        <w:rPr>
          <w:rFonts w:cs="Arial"/>
          <w:noProof/>
          <w:lang w:val="en-US"/>
        </w:rPr>
        <w:t xml:space="preserve"> </w:t>
      </w:r>
      <w:r w:rsidRPr="004F3109">
        <w:rPr>
          <w:rFonts w:cs="Arial"/>
          <w:i/>
          <w:iCs/>
          <w:noProof/>
          <w:lang w:val="en-US"/>
        </w:rPr>
        <w:t>11</w:t>
      </w:r>
      <w:r w:rsidRPr="004F3109">
        <w:rPr>
          <w:rFonts w:cs="Arial"/>
          <w:noProof/>
          <w:lang w:val="en-US"/>
        </w:rPr>
        <w:t>, 110–128.</w:t>
      </w:r>
    </w:p>
    <w:p w14:paraId="5E7DBC8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(4) Hinman, A. W., and Friedman, D. (2022) Actions to Enable an Equitable and Innovative. </w:t>
      </w:r>
      <w:r w:rsidRPr="004F3109">
        <w:rPr>
          <w:rFonts w:cs="Arial"/>
          <w:i/>
          <w:iCs/>
          <w:noProof/>
          <w:lang w:val="en-US"/>
        </w:rPr>
        <w:t>Ebrc</w:t>
      </w:r>
      <w:r w:rsidRPr="004F3109">
        <w:rPr>
          <w:rFonts w:cs="Arial"/>
          <w:noProof/>
          <w:lang w:val="en-US"/>
        </w:rPr>
        <w:t>.</w:t>
      </w:r>
    </w:p>
    <w:p w14:paraId="18B6B44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(5) Chui, M., Evers, M., Manyika, J., Zheng, A., and Nisbet, T. (2020) The Bio Revolution Innovations transforming economies, societies, and our lives. </w:t>
      </w:r>
      <w:r w:rsidRPr="004F3109">
        <w:rPr>
          <w:rFonts w:cs="Arial"/>
          <w:i/>
          <w:iCs/>
          <w:noProof/>
          <w:lang w:val="en-US"/>
        </w:rPr>
        <w:t>McKinsey Glob. Inst.</w:t>
      </w:r>
    </w:p>
    <w:p w14:paraId="342EDFD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(6) Scown, C. D. (2022) Prospects for carbon-negative biomanufacturing. </w:t>
      </w:r>
      <w:r w:rsidRPr="004F3109">
        <w:rPr>
          <w:rFonts w:cs="Arial"/>
          <w:i/>
          <w:iCs/>
          <w:noProof/>
          <w:lang w:val="en-US"/>
        </w:rPr>
        <w:t>Trends Biotechnol.</w:t>
      </w:r>
      <w:r w:rsidRPr="004F3109">
        <w:rPr>
          <w:rFonts w:cs="Arial"/>
          <w:noProof/>
          <w:lang w:val="en-US"/>
        </w:rPr>
        <w:t xml:space="preserve"> </w:t>
      </w:r>
      <w:r w:rsidRPr="004F3109">
        <w:rPr>
          <w:rFonts w:cs="Arial"/>
          <w:i/>
          <w:iCs/>
          <w:noProof/>
          <w:lang w:val="en-US"/>
        </w:rPr>
        <w:t>40</w:t>
      </w:r>
      <w:r w:rsidRPr="004F3109">
        <w:rPr>
          <w:rFonts w:cs="Arial"/>
          <w:noProof/>
          <w:lang w:val="en-US"/>
        </w:rPr>
        <w:t>, 1415–1424.</w:t>
      </w:r>
    </w:p>
    <w:p w14:paraId="054DD8A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(7) Scown, C. D., and Keasling, J. D. (2022) Sustainable manufacturing with synthetic biology. </w:t>
      </w:r>
      <w:r w:rsidRPr="004F3109">
        <w:rPr>
          <w:rFonts w:cs="Arial"/>
          <w:i/>
          <w:iCs/>
          <w:noProof/>
          <w:lang w:val="en-US"/>
        </w:rPr>
        <w:t>Nat. Biotechnol. 2022 403</w:t>
      </w:r>
      <w:r w:rsidRPr="004F3109">
        <w:rPr>
          <w:rFonts w:cs="Arial"/>
          <w:noProof/>
          <w:lang w:val="en-US"/>
        </w:rPr>
        <w:t xml:space="preserve"> </w:t>
      </w:r>
      <w:r w:rsidRPr="004F3109">
        <w:rPr>
          <w:rFonts w:cs="Arial"/>
          <w:i/>
          <w:iCs/>
          <w:noProof/>
          <w:lang w:val="en-US"/>
        </w:rPr>
        <w:t>40</w:t>
      </w:r>
      <w:r w:rsidRPr="004F3109">
        <w:rPr>
          <w:rFonts w:cs="Arial"/>
          <w:noProof/>
          <w:lang w:val="en-US"/>
        </w:rPr>
        <w:t>, 304–307.</w:t>
      </w:r>
    </w:p>
    <w:p w14:paraId="167C61B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(8) Tan, E. C. D., and Lamers, P. (2021) Circular Bioeconomy Concepts—A Perspective. </w:t>
      </w:r>
      <w:r w:rsidRPr="004F3109">
        <w:rPr>
          <w:rFonts w:cs="Arial"/>
          <w:i/>
          <w:iCs/>
          <w:noProof/>
          <w:lang w:val="en-US"/>
        </w:rPr>
        <w:t>Front. Sustain.</w:t>
      </w:r>
      <w:r w:rsidRPr="004F3109">
        <w:rPr>
          <w:rFonts w:cs="Arial"/>
          <w:noProof/>
          <w:lang w:val="en-US"/>
        </w:rPr>
        <w:t xml:space="preserve"> </w:t>
      </w:r>
      <w:r w:rsidRPr="004F3109">
        <w:rPr>
          <w:rFonts w:cs="Arial"/>
          <w:i/>
          <w:iCs/>
          <w:noProof/>
          <w:lang w:val="en-US"/>
        </w:rPr>
        <w:t>2</w:t>
      </w:r>
      <w:r w:rsidRPr="004F3109">
        <w:rPr>
          <w:rFonts w:cs="Arial"/>
          <w:noProof/>
          <w:lang w:val="en-US"/>
        </w:rPr>
        <w:t>, 53.</w:t>
      </w:r>
    </w:p>
    <w:p w14:paraId="3CBCAEE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(9)  (2018) Fourth Industrial Revolution for the Earth Series Harnessing the Fourth Industrial Revolution for Life on Land.</w:t>
      </w:r>
    </w:p>
    <w:p w14:paraId="2D8E811A"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(10) Zhang, Y. H. P., Sun, J., and Ma, Y. (2017, May 1) Biomanufacturing: history and perspective. </w:t>
      </w:r>
      <w:r w:rsidRPr="004F3109">
        <w:rPr>
          <w:rFonts w:cs="Arial"/>
          <w:i/>
          <w:iCs/>
          <w:noProof/>
          <w:lang w:val="en-US"/>
        </w:rPr>
        <w:t>J. Ind. Microbiol. Biotechnol.</w:t>
      </w:r>
      <w:r w:rsidRPr="004F3109">
        <w:rPr>
          <w:rFonts w:cs="Arial"/>
          <w:noProof/>
          <w:lang w:val="en-US"/>
        </w:rPr>
        <w:t xml:space="preserve"> Springer Verlag.</w:t>
      </w:r>
    </w:p>
    <w:p w14:paraId="4EFB8A3A"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(11) Rasor, B. J., Vögeli, B., Landwehr, G. M., Bogart, J. W., Karim, A. S., and Jewett, M. C. (2021) Toward sustainable, cell-free biomanufacturing. </w:t>
      </w:r>
      <w:r w:rsidRPr="004F3109">
        <w:rPr>
          <w:rFonts w:cs="Arial"/>
          <w:i/>
          <w:iCs/>
          <w:noProof/>
          <w:lang w:val="en-US"/>
        </w:rPr>
        <w:t>Curr. Opin. Biotechnol.</w:t>
      </w:r>
      <w:r w:rsidRPr="004F3109">
        <w:rPr>
          <w:rFonts w:cs="Arial"/>
          <w:noProof/>
          <w:lang w:val="en-US"/>
        </w:rPr>
        <w:t xml:space="preserve"> </w:t>
      </w:r>
      <w:r w:rsidRPr="004F3109">
        <w:rPr>
          <w:rFonts w:cs="Arial"/>
          <w:i/>
          <w:iCs/>
          <w:noProof/>
          <w:lang w:val="en-US"/>
        </w:rPr>
        <w:t>69</w:t>
      </w:r>
      <w:r w:rsidRPr="004F3109">
        <w:rPr>
          <w:rFonts w:cs="Arial"/>
          <w:noProof/>
          <w:lang w:val="en-US"/>
        </w:rPr>
        <w:t>, 136–144.</w:t>
      </w:r>
    </w:p>
    <w:p w14:paraId="22F2AD5C"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(12) Du, J., Shao, Z., and Zhao, H. (2011) Engineering microbial factories for synthesis of value-added products. </w:t>
      </w:r>
      <w:r w:rsidRPr="004F3109">
        <w:rPr>
          <w:rFonts w:cs="Arial"/>
          <w:i/>
          <w:iCs/>
          <w:noProof/>
          <w:lang w:val="en-US"/>
        </w:rPr>
        <w:t>J. Ind. Microbiol. Biotechnol.</w:t>
      </w:r>
      <w:r w:rsidRPr="004F3109">
        <w:rPr>
          <w:rFonts w:cs="Arial"/>
          <w:noProof/>
          <w:lang w:val="en-US"/>
        </w:rPr>
        <w:t xml:space="preserve"> </w:t>
      </w:r>
      <w:r w:rsidRPr="004F3109">
        <w:rPr>
          <w:rFonts w:cs="Arial"/>
          <w:i/>
          <w:iCs/>
          <w:noProof/>
          <w:lang w:val="en-US"/>
        </w:rPr>
        <w:t>38</w:t>
      </w:r>
      <w:r w:rsidRPr="004F3109">
        <w:rPr>
          <w:rFonts w:cs="Arial"/>
          <w:noProof/>
          <w:lang w:val="en-US"/>
        </w:rPr>
        <w:t>, 873.</w:t>
      </w:r>
    </w:p>
    <w:p w14:paraId="52F1778A"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(13) Woolston, B. M., Edgar, S., and Stephanopoulos, G. (2013) Metabolic Engineering: Past and </w:t>
      </w:r>
      <w:r w:rsidRPr="004F3109">
        <w:rPr>
          <w:rFonts w:cs="Arial"/>
          <w:noProof/>
          <w:lang w:val="en-US"/>
        </w:rPr>
        <w:lastRenderedPageBreak/>
        <w:t xml:space="preserve">Future. </w:t>
      </w:r>
      <w:r w:rsidRPr="004F3109">
        <w:rPr>
          <w:rFonts w:cs="Arial"/>
          <w:i/>
          <w:iCs/>
          <w:noProof/>
          <w:lang w:val="en-US"/>
        </w:rPr>
        <w:t>Annu. Rev. Chem. Biomol. Eng.</w:t>
      </w:r>
      <w:r w:rsidRPr="004F3109">
        <w:rPr>
          <w:rFonts w:cs="Arial"/>
          <w:noProof/>
          <w:lang w:val="en-US"/>
        </w:rPr>
        <w:t xml:space="preserve"> </w:t>
      </w:r>
      <w:r w:rsidRPr="004F3109">
        <w:rPr>
          <w:rFonts w:cs="Arial"/>
          <w:i/>
          <w:iCs/>
          <w:noProof/>
          <w:lang w:val="en-US"/>
        </w:rPr>
        <w:t>4</w:t>
      </w:r>
      <w:r w:rsidRPr="004F3109">
        <w:rPr>
          <w:rFonts w:cs="Arial"/>
          <w:noProof/>
          <w:lang w:val="en-US"/>
        </w:rPr>
        <w:t>, 259–288.</w:t>
      </w:r>
    </w:p>
    <w:p w14:paraId="1483D02A"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(14) Zhang, J., Babtie, A., and Stephanopoulos, G. (2012, November 1) Metabolic engineering: Enabling technology of a bio-based economy. </w:t>
      </w:r>
      <w:r w:rsidRPr="004F3109">
        <w:rPr>
          <w:rFonts w:cs="Arial"/>
          <w:i/>
          <w:iCs/>
          <w:noProof/>
          <w:lang w:val="en-US"/>
        </w:rPr>
        <w:t>Curr. Opin. Chem. Eng.</w:t>
      </w:r>
      <w:r w:rsidRPr="004F3109">
        <w:rPr>
          <w:rFonts w:cs="Arial"/>
          <w:noProof/>
          <w:lang w:val="en-US"/>
        </w:rPr>
        <w:t xml:space="preserve"> Elsevier Ltd.</w:t>
      </w:r>
    </w:p>
    <w:p w14:paraId="1FD5855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(15) García-Granados, R., Lerma-Escalera, J. A., and Morones-Ramírez, J. R. (2019) Metabolic engineering and synthetic biology: Synergies, future, and challenges. </w:t>
      </w:r>
      <w:r w:rsidRPr="004F3109">
        <w:rPr>
          <w:rFonts w:cs="Arial"/>
          <w:i/>
          <w:iCs/>
          <w:noProof/>
          <w:lang w:val="en-US"/>
        </w:rPr>
        <w:t>Front. Bioeng. Biotechnol.</w:t>
      </w:r>
      <w:r w:rsidRPr="004F3109">
        <w:rPr>
          <w:rFonts w:cs="Arial"/>
          <w:noProof/>
          <w:lang w:val="en-US"/>
        </w:rPr>
        <w:t xml:space="preserve"> </w:t>
      </w:r>
      <w:r w:rsidRPr="004F3109">
        <w:rPr>
          <w:rFonts w:cs="Arial"/>
          <w:i/>
          <w:iCs/>
          <w:noProof/>
          <w:lang w:val="en-US"/>
        </w:rPr>
        <w:t>7</w:t>
      </w:r>
      <w:r w:rsidRPr="004F3109">
        <w:rPr>
          <w:rFonts w:cs="Arial"/>
          <w:noProof/>
          <w:lang w:val="en-US"/>
        </w:rPr>
        <w:t>, 36.</w:t>
      </w:r>
    </w:p>
    <w:p w14:paraId="5D6A442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(16) Jullesson, D., David, F., Pfleger, B., and Nielsen, J. (2015) Impact of synthetic biology and metabolic engineering on industrial production of fine chemicals. </w:t>
      </w:r>
      <w:r w:rsidRPr="004F3109">
        <w:rPr>
          <w:rFonts w:cs="Arial"/>
          <w:i/>
          <w:iCs/>
          <w:noProof/>
          <w:lang w:val="en-US"/>
        </w:rPr>
        <w:t>Biotechnol. Adv.</w:t>
      </w:r>
      <w:r w:rsidRPr="004F3109">
        <w:rPr>
          <w:rFonts w:cs="Arial"/>
          <w:noProof/>
          <w:lang w:val="en-US"/>
        </w:rPr>
        <w:t xml:space="preserve"> </w:t>
      </w:r>
      <w:r w:rsidRPr="004F3109">
        <w:rPr>
          <w:rFonts w:cs="Arial"/>
          <w:i/>
          <w:iCs/>
          <w:noProof/>
          <w:lang w:val="en-US"/>
        </w:rPr>
        <w:t>33</w:t>
      </w:r>
      <w:r w:rsidRPr="004F3109">
        <w:rPr>
          <w:rFonts w:cs="Arial"/>
          <w:noProof/>
          <w:lang w:val="en-US"/>
        </w:rPr>
        <w:t>, 1395–1402.</w:t>
      </w:r>
    </w:p>
    <w:p w14:paraId="50C4B62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(17) Lim, H. J., and Kim, D. M. (2019) Cell-Free Metabolic Engineering: Recent Developments and Future Prospects. </w:t>
      </w:r>
      <w:r w:rsidRPr="004F3109">
        <w:rPr>
          <w:rFonts w:cs="Arial"/>
          <w:i/>
          <w:iCs/>
          <w:noProof/>
          <w:lang w:val="en-US"/>
        </w:rPr>
        <w:t>Methods Protoc. 2019, Vol. 2, Page 33</w:t>
      </w:r>
      <w:r w:rsidRPr="004F3109">
        <w:rPr>
          <w:rFonts w:cs="Arial"/>
          <w:noProof/>
          <w:lang w:val="en-US"/>
        </w:rPr>
        <w:t xml:space="preserve"> </w:t>
      </w:r>
      <w:r w:rsidRPr="004F3109">
        <w:rPr>
          <w:rFonts w:cs="Arial"/>
          <w:i/>
          <w:iCs/>
          <w:noProof/>
          <w:lang w:val="en-US"/>
        </w:rPr>
        <w:t>2</w:t>
      </w:r>
      <w:r w:rsidRPr="004F3109">
        <w:rPr>
          <w:rFonts w:cs="Arial"/>
          <w:noProof/>
          <w:lang w:val="en-US"/>
        </w:rPr>
        <w:t>, 33.</w:t>
      </w:r>
    </w:p>
    <w:p w14:paraId="258CBBEE"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(18) Guo, W., Sheng, J., and Feng, X. (2017, January 1) Mini-review: In vitro Metabolic Engineering for Biomanufacturing of High-value Products. </w:t>
      </w:r>
      <w:r w:rsidRPr="004F3109">
        <w:rPr>
          <w:rFonts w:cs="Arial"/>
          <w:i/>
          <w:iCs/>
          <w:noProof/>
          <w:lang w:val="en-US"/>
        </w:rPr>
        <w:t>Comput. Struct. Biotechnol. J.</w:t>
      </w:r>
      <w:r w:rsidRPr="004F3109">
        <w:rPr>
          <w:rFonts w:cs="Arial"/>
          <w:noProof/>
          <w:lang w:val="en-US"/>
        </w:rPr>
        <w:t xml:space="preserve"> Elsevier B.V.</w:t>
      </w:r>
    </w:p>
    <w:p w14:paraId="2312510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(19) Swartz, J. R. (2018) Expanding biological applications using cell-free metabolic engineering: An overview. </w:t>
      </w:r>
      <w:r w:rsidRPr="004F3109">
        <w:rPr>
          <w:rFonts w:cs="Arial"/>
          <w:i/>
          <w:iCs/>
          <w:noProof/>
          <w:lang w:val="en-US"/>
        </w:rPr>
        <w:t>Metab. Eng.</w:t>
      </w:r>
    </w:p>
    <w:p w14:paraId="10BC7DC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(20) Bowie, J. U., Sherkhanov, S., Korman, T. P., Valliere, M. A., Opgenorth, P. H., and Liu, H. (2020, January 23) Synthetic Biochemistry: The Bio-inspired Cell-Free Approach to Commodity Chemical Production. </w:t>
      </w:r>
      <w:r w:rsidRPr="004F3109">
        <w:rPr>
          <w:rFonts w:cs="Arial"/>
          <w:i/>
          <w:iCs/>
          <w:noProof/>
          <w:lang w:val="en-US"/>
        </w:rPr>
        <w:t>Trends Biotechnol.</w:t>
      </w:r>
      <w:r w:rsidRPr="004F3109">
        <w:rPr>
          <w:rFonts w:cs="Arial"/>
          <w:noProof/>
          <w:lang w:val="en-US"/>
        </w:rPr>
        <w:t xml:space="preserve"> Elsevier Ltd.</w:t>
      </w:r>
    </w:p>
    <w:p w14:paraId="2A30E54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(21) Dudley, Q. M., Karim, A. S., and Jewett, M. C. (2015) Cell-Free Metabolic Engineering: Biomanufacturing beyond the cell. </w:t>
      </w:r>
      <w:r w:rsidRPr="004F3109">
        <w:rPr>
          <w:rFonts w:cs="Arial"/>
          <w:i/>
          <w:iCs/>
          <w:noProof/>
          <w:lang w:val="en-US"/>
        </w:rPr>
        <w:t>Biotechnol. J.</w:t>
      </w:r>
      <w:r w:rsidRPr="004F3109">
        <w:rPr>
          <w:rFonts w:cs="Arial"/>
          <w:noProof/>
          <w:lang w:val="en-US"/>
        </w:rPr>
        <w:t xml:space="preserve"> </w:t>
      </w:r>
      <w:r w:rsidRPr="004F3109">
        <w:rPr>
          <w:rFonts w:cs="Arial"/>
          <w:i/>
          <w:iCs/>
          <w:noProof/>
          <w:lang w:val="en-US"/>
        </w:rPr>
        <w:t>10</w:t>
      </w:r>
      <w:r w:rsidRPr="004F3109">
        <w:rPr>
          <w:rFonts w:cs="Arial"/>
          <w:noProof/>
          <w:lang w:val="en-US"/>
        </w:rPr>
        <w:t>, 69.</w:t>
      </w:r>
    </w:p>
    <w:p w14:paraId="30D97771"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(22) Karim, A. S., and Jewett, M. C. (2018) Cell-Free Synthetic Biology for Pathway Prototyping, in </w:t>
      </w:r>
      <w:r w:rsidRPr="004F3109">
        <w:rPr>
          <w:rFonts w:cs="Arial"/>
          <w:i/>
          <w:iCs/>
          <w:noProof/>
          <w:lang w:val="en-US"/>
        </w:rPr>
        <w:t>Methods in Enzymology</w:t>
      </w:r>
      <w:r w:rsidRPr="004F3109">
        <w:rPr>
          <w:rFonts w:cs="Arial"/>
          <w:noProof/>
          <w:lang w:val="en-US"/>
        </w:rPr>
        <w:t>, pp 31–57. Academic Press Inc.</w:t>
      </w:r>
    </w:p>
    <w:p w14:paraId="21C7F3E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(23) Karim, A. S., Dudley, Q. M., Juminaga, A., Yuan, Y., Crowe, S. A., Heggestad, J. T., Garg, S., Abdalla, T., Grubbe, W. S., Rasor, B. J., Coar, D. N., Torculas, M., Krein, M., Liew, F. M. (Eric), Quattlebaum, A., Jensen, R. O., Stuart, J. A., Simpson, S. D., Köpke, M., and Jewett, M. C. (2020) In vitro prototyping and rapid optimization of biosynthetic enzymes for cell design. </w:t>
      </w:r>
      <w:r w:rsidRPr="004F3109">
        <w:rPr>
          <w:rFonts w:cs="Arial"/>
          <w:i/>
          <w:iCs/>
          <w:noProof/>
          <w:lang w:val="en-US"/>
        </w:rPr>
        <w:t xml:space="preserve">Nat. Chem. </w:t>
      </w:r>
      <w:r w:rsidRPr="004F3109">
        <w:rPr>
          <w:rFonts w:cs="Arial"/>
          <w:i/>
          <w:iCs/>
          <w:noProof/>
          <w:lang w:val="en-US"/>
        </w:rPr>
        <w:lastRenderedPageBreak/>
        <w:t>Biol. 2020 168</w:t>
      </w:r>
      <w:r w:rsidRPr="004F3109">
        <w:rPr>
          <w:rFonts w:cs="Arial"/>
          <w:noProof/>
          <w:lang w:val="en-US"/>
        </w:rPr>
        <w:t xml:space="preserve"> </w:t>
      </w:r>
      <w:r w:rsidRPr="004F3109">
        <w:rPr>
          <w:rFonts w:cs="Arial"/>
          <w:i/>
          <w:iCs/>
          <w:noProof/>
          <w:lang w:val="en-US"/>
        </w:rPr>
        <w:t>16</w:t>
      </w:r>
      <w:r w:rsidRPr="004F3109">
        <w:rPr>
          <w:rFonts w:cs="Arial"/>
          <w:noProof/>
          <w:lang w:val="en-US"/>
        </w:rPr>
        <w:t>, 912–919.</w:t>
      </w:r>
    </w:p>
    <w:p w14:paraId="0EE5CF0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(24) Dudley, Q. M., Karim, A. S., Nash, C. J., and Jewett, M. C. (2020) In vitro prototyping of limonene biosynthesis using cell-free protein synthesis. </w:t>
      </w:r>
      <w:r w:rsidRPr="004F3109">
        <w:rPr>
          <w:rFonts w:cs="Arial"/>
          <w:i/>
          <w:iCs/>
          <w:noProof/>
          <w:lang w:val="en-US"/>
        </w:rPr>
        <w:t>Metab. Eng.</w:t>
      </w:r>
      <w:r w:rsidRPr="004F3109">
        <w:rPr>
          <w:rFonts w:cs="Arial"/>
          <w:noProof/>
          <w:lang w:val="en-US"/>
        </w:rPr>
        <w:t xml:space="preserve"> </w:t>
      </w:r>
      <w:r w:rsidRPr="004F3109">
        <w:rPr>
          <w:rFonts w:cs="Arial"/>
          <w:i/>
          <w:iCs/>
          <w:noProof/>
          <w:lang w:val="en-US"/>
        </w:rPr>
        <w:t>61</w:t>
      </w:r>
      <w:r w:rsidRPr="004F3109">
        <w:rPr>
          <w:rFonts w:cs="Arial"/>
          <w:noProof/>
          <w:lang w:val="en-US"/>
        </w:rPr>
        <w:t>, 251–260.</w:t>
      </w:r>
    </w:p>
    <w:p w14:paraId="2144D42E"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(25) Wu, G., Yan, Q., Jones, J. A., Tang, Y. J., Fong, S. S., and Koffas, M. A. G. (2016) Metabolic Burden: Cornerstones in Synthetic Biology and Metabolic Engineering Applications. </w:t>
      </w:r>
      <w:r w:rsidRPr="004F3109">
        <w:rPr>
          <w:rFonts w:cs="Arial"/>
          <w:i/>
          <w:iCs/>
          <w:noProof/>
          <w:lang w:val="en-US"/>
        </w:rPr>
        <w:t>Trends Biotechnol.</w:t>
      </w:r>
      <w:r w:rsidRPr="004F3109">
        <w:rPr>
          <w:rFonts w:cs="Arial"/>
          <w:noProof/>
          <w:lang w:val="en-US"/>
        </w:rPr>
        <w:t xml:space="preserve"> </w:t>
      </w:r>
      <w:r w:rsidRPr="004F3109">
        <w:rPr>
          <w:rFonts w:cs="Arial"/>
          <w:i/>
          <w:iCs/>
          <w:noProof/>
          <w:lang w:val="en-US"/>
        </w:rPr>
        <w:t>34</w:t>
      </w:r>
      <w:r w:rsidRPr="004F3109">
        <w:rPr>
          <w:rFonts w:cs="Arial"/>
          <w:noProof/>
          <w:lang w:val="en-US"/>
        </w:rPr>
        <w:t>, 652–664.</w:t>
      </w:r>
    </w:p>
    <w:p w14:paraId="688CB3D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(26) Vögeli, B., Schulz, L., Garg, S., Tarasava, K., Clomburg, J. M., Lee, S. H., Gonnot, A., Moully, E. H., Kimmel, B. R., Tran, L., Zeleznik, H., Brown, S. D., Simpson, S. D., Mrksich, M., Karim, A. S., Gonzalez, R., Köpke, M., and Jewett, M. C. (2022) Cell-free prototyping enables implementation of optimized reverse β-oxidation pathways in heterotrophic and autotrophic bacteria. </w:t>
      </w:r>
      <w:r w:rsidRPr="004F3109">
        <w:rPr>
          <w:rFonts w:cs="Arial"/>
          <w:i/>
          <w:iCs/>
          <w:noProof/>
          <w:lang w:val="en-US"/>
        </w:rPr>
        <w:t>Nat. Commun. 2022 131</w:t>
      </w:r>
      <w:r w:rsidRPr="004F3109">
        <w:rPr>
          <w:rFonts w:cs="Arial"/>
          <w:noProof/>
          <w:lang w:val="en-US"/>
        </w:rPr>
        <w:t xml:space="preserve"> </w:t>
      </w:r>
      <w:r w:rsidRPr="004F3109">
        <w:rPr>
          <w:rFonts w:cs="Arial"/>
          <w:i/>
          <w:iCs/>
          <w:noProof/>
          <w:lang w:val="en-US"/>
        </w:rPr>
        <w:t>13</w:t>
      </w:r>
      <w:r w:rsidRPr="004F3109">
        <w:rPr>
          <w:rFonts w:cs="Arial"/>
          <w:noProof/>
          <w:lang w:val="en-US"/>
        </w:rPr>
        <w:t>, 1–10.</w:t>
      </w:r>
    </w:p>
    <w:p w14:paraId="78DD063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(27) Karim, A. S., and Jewett, M. C. (2016) A cell-free framework for rapid biosynthetic pathway prototyping and enzyme discovery. </w:t>
      </w:r>
      <w:r w:rsidRPr="004F3109">
        <w:rPr>
          <w:rFonts w:cs="Arial"/>
          <w:i/>
          <w:iCs/>
          <w:noProof/>
          <w:lang w:val="en-US"/>
        </w:rPr>
        <w:t>Metab. Eng.</w:t>
      </w:r>
      <w:r w:rsidRPr="004F3109">
        <w:rPr>
          <w:rFonts w:cs="Arial"/>
          <w:noProof/>
          <w:lang w:val="en-US"/>
        </w:rPr>
        <w:t xml:space="preserve"> </w:t>
      </w:r>
      <w:r w:rsidRPr="004F3109">
        <w:rPr>
          <w:rFonts w:cs="Arial"/>
          <w:i/>
          <w:iCs/>
          <w:noProof/>
          <w:lang w:val="en-US"/>
        </w:rPr>
        <w:t>36</w:t>
      </w:r>
      <w:r w:rsidRPr="004F3109">
        <w:rPr>
          <w:rFonts w:cs="Arial"/>
          <w:noProof/>
          <w:lang w:val="en-US"/>
        </w:rPr>
        <w:t>, 116–126.</w:t>
      </w:r>
    </w:p>
    <w:p w14:paraId="5245540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(28) Bogart, J. W., Cabezas, M. D., Vögeli, B., Wong, D. A., Karim, A. S., and Jewett, M. C. (2021) Cell-Free Exploration of the Natural Product Chemical Space. </w:t>
      </w:r>
      <w:r w:rsidRPr="004F3109">
        <w:rPr>
          <w:rFonts w:cs="Arial"/>
          <w:i/>
          <w:iCs/>
          <w:noProof/>
          <w:lang w:val="en-US"/>
        </w:rPr>
        <w:t>ChemBioChem</w:t>
      </w:r>
      <w:r w:rsidRPr="004F3109">
        <w:rPr>
          <w:rFonts w:cs="Arial"/>
          <w:noProof/>
          <w:lang w:val="en-US"/>
        </w:rPr>
        <w:t xml:space="preserve"> </w:t>
      </w:r>
      <w:r w:rsidRPr="004F3109">
        <w:rPr>
          <w:rFonts w:cs="Arial"/>
          <w:i/>
          <w:iCs/>
          <w:noProof/>
          <w:lang w:val="en-US"/>
        </w:rPr>
        <w:t>22</w:t>
      </w:r>
      <w:r w:rsidRPr="004F3109">
        <w:rPr>
          <w:rFonts w:cs="Arial"/>
          <w:noProof/>
          <w:lang w:val="en-US"/>
        </w:rPr>
        <w:t>, 84–91.</w:t>
      </w:r>
    </w:p>
    <w:p w14:paraId="48B4C8B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(29) Lu, Y. (2017) Cell-free synthetic biology: Engineering in an open world. </w:t>
      </w:r>
      <w:r w:rsidRPr="004F3109">
        <w:rPr>
          <w:rFonts w:cs="Arial"/>
          <w:i/>
          <w:iCs/>
          <w:noProof/>
          <w:lang w:val="en-US"/>
        </w:rPr>
        <w:t>Synth. Syst. Biotechnol.</w:t>
      </w:r>
      <w:r w:rsidRPr="004F3109">
        <w:rPr>
          <w:rFonts w:cs="Arial"/>
          <w:noProof/>
          <w:lang w:val="en-US"/>
        </w:rPr>
        <w:t xml:space="preserve"> </w:t>
      </w:r>
      <w:r w:rsidRPr="004F3109">
        <w:rPr>
          <w:rFonts w:cs="Arial"/>
          <w:i/>
          <w:iCs/>
          <w:noProof/>
          <w:lang w:val="en-US"/>
        </w:rPr>
        <w:t>2</w:t>
      </w:r>
      <w:r w:rsidRPr="004F3109">
        <w:rPr>
          <w:rFonts w:cs="Arial"/>
          <w:noProof/>
          <w:lang w:val="en-US"/>
        </w:rPr>
        <w:t>, 23–27.</w:t>
      </w:r>
    </w:p>
    <w:p w14:paraId="5A83DA5B"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(30) Silverman, A. D., Karim, A. S., and Jewett, M. C. (2020, March 1) Cell-free gene expression: an expanded repertoire of applications. </w:t>
      </w:r>
      <w:r w:rsidRPr="004F3109">
        <w:rPr>
          <w:rFonts w:cs="Arial"/>
          <w:i/>
          <w:iCs/>
          <w:noProof/>
          <w:lang w:val="en-US"/>
        </w:rPr>
        <w:t>Nat. Rev. Genet.</w:t>
      </w:r>
      <w:r w:rsidRPr="004F3109">
        <w:rPr>
          <w:rFonts w:cs="Arial"/>
          <w:noProof/>
          <w:lang w:val="en-US"/>
        </w:rPr>
        <w:t xml:space="preserve"> Nature Research.</w:t>
      </w:r>
    </w:p>
    <w:p w14:paraId="0F5CCDC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(31) Chong, S. (2014) Overview of cell-free protein synthesis: Historic landmarks, commercial systems, and expanding applications. </w:t>
      </w:r>
      <w:r w:rsidRPr="004F3109">
        <w:rPr>
          <w:rFonts w:cs="Arial"/>
          <w:i/>
          <w:iCs/>
          <w:noProof/>
          <w:lang w:val="en-US"/>
        </w:rPr>
        <w:t>Curr. Protoc. Mol. Biol.</w:t>
      </w:r>
      <w:r w:rsidRPr="004F3109">
        <w:rPr>
          <w:rFonts w:cs="Arial"/>
          <w:noProof/>
          <w:lang w:val="en-US"/>
        </w:rPr>
        <w:t xml:space="preserve"> </w:t>
      </w:r>
      <w:r w:rsidRPr="004F3109">
        <w:rPr>
          <w:rFonts w:cs="Arial"/>
          <w:i/>
          <w:iCs/>
          <w:noProof/>
          <w:lang w:val="en-US"/>
        </w:rPr>
        <w:t>2014</w:t>
      </w:r>
      <w:r w:rsidRPr="004F3109">
        <w:rPr>
          <w:rFonts w:cs="Arial"/>
          <w:noProof/>
          <w:lang w:val="en-US"/>
        </w:rPr>
        <w:t>, 16.30.1-16.30.11.</w:t>
      </w:r>
    </w:p>
    <w:p w14:paraId="764EC9F1"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(32) Swartz, J. (2006) Developing cell-free biology for industrial applications. </w:t>
      </w:r>
      <w:r w:rsidRPr="004F3109">
        <w:rPr>
          <w:rFonts w:cs="Arial"/>
          <w:i/>
          <w:iCs/>
          <w:noProof/>
          <w:lang w:val="en-US"/>
        </w:rPr>
        <w:t>J Ind Microbiol Biotechnol</w:t>
      </w:r>
      <w:r w:rsidRPr="004F3109">
        <w:rPr>
          <w:rFonts w:cs="Arial"/>
          <w:noProof/>
          <w:lang w:val="en-US"/>
        </w:rPr>
        <w:t xml:space="preserve"> </w:t>
      </w:r>
      <w:r w:rsidRPr="004F3109">
        <w:rPr>
          <w:rFonts w:cs="Arial"/>
          <w:i/>
          <w:iCs/>
          <w:noProof/>
          <w:lang w:val="en-US"/>
        </w:rPr>
        <w:t>33</w:t>
      </w:r>
      <w:r w:rsidRPr="004F3109">
        <w:rPr>
          <w:rFonts w:cs="Arial"/>
          <w:noProof/>
          <w:lang w:val="en-US"/>
        </w:rPr>
        <w:t>, 476–485.</w:t>
      </w:r>
    </w:p>
    <w:p w14:paraId="47A6186A"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(33) Moore, S. J., MacDonald, J. T., and Freemont, P. S. (2017) Cell-free synthetic biology for in vitro prototype engineering. </w:t>
      </w:r>
      <w:r w:rsidRPr="004F3109">
        <w:rPr>
          <w:rFonts w:cs="Arial"/>
          <w:i/>
          <w:iCs/>
          <w:noProof/>
          <w:lang w:val="en-US"/>
        </w:rPr>
        <w:t>Biochem. Soc. Trans.</w:t>
      </w:r>
      <w:r w:rsidRPr="004F3109">
        <w:rPr>
          <w:rFonts w:cs="Arial"/>
          <w:noProof/>
          <w:lang w:val="en-US"/>
        </w:rPr>
        <w:t xml:space="preserve"> </w:t>
      </w:r>
      <w:r w:rsidRPr="004F3109">
        <w:rPr>
          <w:rFonts w:cs="Arial"/>
          <w:i/>
          <w:iCs/>
          <w:noProof/>
          <w:lang w:val="en-US"/>
        </w:rPr>
        <w:t>45</w:t>
      </w:r>
      <w:r w:rsidRPr="004F3109">
        <w:rPr>
          <w:rFonts w:cs="Arial"/>
          <w:noProof/>
          <w:lang w:val="en-US"/>
        </w:rPr>
        <w:t>, 785.</w:t>
      </w:r>
    </w:p>
    <w:p w14:paraId="4A0369B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(34) Rosano, G. L., and Ceccarelli, E. A. (2014) Recombinant protein expression in microbial </w:t>
      </w:r>
      <w:r w:rsidRPr="004F3109">
        <w:rPr>
          <w:rFonts w:cs="Arial"/>
          <w:noProof/>
          <w:lang w:val="en-US"/>
        </w:rPr>
        <w:lastRenderedPageBreak/>
        <w:t xml:space="preserve">systems. </w:t>
      </w:r>
      <w:r w:rsidRPr="004F3109">
        <w:rPr>
          <w:rFonts w:cs="Arial"/>
          <w:i/>
          <w:iCs/>
          <w:noProof/>
          <w:lang w:val="en-US"/>
        </w:rPr>
        <w:t>Front. Microbiol.</w:t>
      </w:r>
      <w:r w:rsidRPr="004F3109">
        <w:rPr>
          <w:rFonts w:cs="Arial"/>
          <w:noProof/>
          <w:lang w:val="en-US"/>
        </w:rPr>
        <w:t xml:space="preserve"> Frontiers Research Foundation.</w:t>
      </w:r>
    </w:p>
    <w:p w14:paraId="7FFB1E5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(35) Gregorio, N. E., Levine, M. Z., and Oza, J. P. (2019) A User’s Guide to Cell-Free Protein Synthesis. </w:t>
      </w:r>
      <w:r w:rsidRPr="004F3109">
        <w:rPr>
          <w:rFonts w:cs="Arial"/>
          <w:i/>
          <w:iCs/>
          <w:noProof/>
          <w:lang w:val="en-US"/>
        </w:rPr>
        <w:t>Methods Protoc.</w:t>
      </w:r>
      <w:r w:rsidRPr="004F3109">
        <w:rPr>
          <w:rFonts w:cs="Arial"/>
          <w:noProof/>
          <w:lang w:val="en-US"/>
        </w:rPr>
        <w:t xml:space="preserve"> </w:t>
      </w:r>
      <w:r w:rsidRPr="004F3109">
        <w:rPr>
          <w:rFonts w:cs="Arial"/>
          <w:i/>
          <w:iCs/>
          <w:noProof/>
          <w:lang w:val="en-US"/>
        </w:rPr>
        <w:t>2</w:t>
      </w:r>
      <w:r w:rsidRPr="004F3109">
        <w:rPr>
          <w:rFonts w:cs="Arial"/>
          <w:noProof/>
          <w:lang w:val="en-US"/>
        </w:rPr>
        <w:t>, 24.</w:t>
      </w:r>
    </w:p>
    <w:p w14:paraId="5FC8DF47"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(36) Silva, F., Queiroz, J. A., and Domingues, F. C. (2012) Evaluating metabolic stress and plasmid stability in plasmid DNA production by Escherichia coli. </w:t>
      </w:r>
      <w:r w:rsidRPr="004F3109">
        <w:rPr>
          <w:rFonts w:cs="Arial"/>
          <w:i/>
          <w:iCs/>
          <w:noProof/>
          <w:lang w:val="en-US"/>
        </w:rPr>
        <w:t>Biotechnol. Adv.</w:t>
      </w:r>
      <w:r w:rsidRPr="004F3109">
        <w:rPr>
          <w:rFonts w:cs="Arial"/>
          <w:noProof/>
          <w:lang w:val="en-US"/>
        </w:rPr>
        <w:t xml:space="preserve"> </w:t>
      </w:r>
      <w:r w:rsidRPr="004F3109">
        <w:rPr>
          <w:rFonts w:cs="Arial"/>
          <w:i/>
          <w:iCs/>
          <w:noProof/>
          <w:lang w:val="en-US"/>
        </w:rPr>
        <w:t>30</w:t>
      </w:r>
      <w:r w:rsidRPr="004F3109">
        <w:rPr>
          <w:rFonts w:cs="Arial"/>
          <w:noProof/>
          <w:lang w:val="en-US"/>
        </w:rPr>
        <w:t>, 691–708.</w:t>
      </w:r>
    </w:p>
    <w:p w14:paraId="382A8C9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(37) Tsoi, R., Wu, F., Zhang, C., Bewick, S., Karig, D., and You, L. (2018) Metabolic division of labor in microbial systems. </w:t>
      </w:r>
      <w:r w:rsidRPr="004F3109">
        <w:rPr>
          <w:rFonts w:cs="Arial"/>
          <w:i/>
          <w:iCs/>
          <w:noProof/>
          <w:lang w:val="en-US"/>
        </w:rPr>
        <w:t>Proc. Natl. Acad. Sci. U. S. A.</w:t>
      </w:r>
      <w:r w:rsidRPr="004F3109">
        <w:rPr>
          <w:rFonts w:cs="Arial"/>
          <w:noProof/>
          <w:lang w:val="en-US"/>
        </w:rPr>
        <w:t xml:space="preserve"> </w:t>
      </w:r>
      <w:r w:rsidRPr="004F3109">
        <w:rPr>
          <w:rFonts w:cs="Arial"/>
          <w:i/>
          <w:iCs/>
          <w:noProof/>
          <w:lang w:val="en-US"/>
        </w:rPr>
        <w:t>115</w:t>
      </w:r>
      <w:r w:rsidRPr="004F3109">
        <w:rPr>
          <w:rFonts w:cs="Arial"/>
          <w:noProof/>
          <w:lang w:val="en-US"/>
        </w:rPr>
        <w:t>, 2526–2531.</w:t>
      </w:r>
    </w:p>
    <w:p w14:paraId="536183D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(38) Rosano, G. L., and Ceccarelli, E. A. (2014, April 17) Recombinant protein expression in Escherichia coli: Advances and challenges. </w:t>
      </w:r>
      <w:r w:rsidRPr="004F3109">
        <w:rPr>
          <w:rFonts w:cs="Arial"/>
          <w:i/>
          <w:iCs/>
          <w:noProof/>
          <w:lang w:val="en-US"/>
        </w:rPr>
        <w:t>Front. Microbiol.</w:t>
      </w:r>
      <w:r w:rsidRPr="004F3109">
        <w:rPr>
          <w:rFonts w:cs="Arial"/>
          <w:noProof/>
          <w:lang w:val="en-US"/>
        </w:rPr>
        <w:t xml:space="preserve"> Frontiers Research Foundation.</w:t>
      </w:r>
    </w:p>
    <w:p w14:paraId="5F0B549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(39) Khambhati, K., Bhattacharjee, G., Gohil, N., Braddick, D., Kulkarni, V., and Singh, V. (2019) Exploring the Potential of Cell-Free Protein Synthesis for Extending the Abilities of Biological Systems. </w:t>
      </w:r>
      <w:r w:rsidRPr="004F3109">
        <w:rPr>
          <w:rFonts w:cs="Arial"/>
          <w:i/>
          <w:iCs/>
          <w:noProof/>
          <w:lang w:val="en-US"/>
        </w:rPr>
        <w:t>Front. Bioeng. Biotechnol.</w:t>
      </w:r>
      <w:r w:rsidRPr="004F3109">
        <w:rPr>
          <w:rFonts w:cs="Arial"/>
          <w:noProof/>
          <w:lang w:val="en-US"/>
        </w:rPr>
        <w:t xml:space="preserve"> </w:t>
      </w:r>
      <w:r w:rsidRPr="004F3109">
        <w:rPr>
          <w:rFonts w:cs="Arial"/>
          <w:i/>
          <w:iCs/>
          <w:noProof/>
          <w:lang w:val="en-US"/>
        </w:rPr>
        <w:t>7</w:t>
      </w:r>
      <w:r w:rsidRPr="004F3109">
        <w:rPr>
          <w:rFonts w:cs="Arial"/>
          <w:noProof/>
          <w:lang w:val="en-US"/>
        </w:rPr>
        <w:t>, 248.</w:t>
      </w:r>
    </w:p>
    <w:p w14:paraId="50B86F3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(40) Korman, T. P., Opgenorth, P. H., and Bowie, J. U. (2017) A synthetic biochemistry platform for cell free production of monoterpenes from glucose. </w:t>
      </w:r>
      <w:r w:rsidRPr="004F3109">
        <w:rPr>
          <w:rFonts w:cs="Arial"/>
          <w:i/>
          <w:iCs/>
          <w:noProof/>
          <w:lang w:val="en-US"/>
        </w:rPr>
        <w:t>Nat. Commun.</w:t>
      </w:r>
      <w:r w:rsidRPr="004F3109">
        <w:rPr>
          <w:rFonts w:cs="Arial"/>
          <w:noProof/>
          <w:lang w:val="en-US"/>
        </w:rPr>
        <w:t xml:space="preserve"> </w:t>
      </w:r>
      <w:r w:rsidRPr="004F3109">
        <w:rPr>
          <w:rFonts w:cs="Arial"/>
          <w:i/>
          <w:iCs/>
          <w:noProof/>
          <w:lang w:val="en-US"/>
        </w:rPr>
        <w:t>8</w:t>
      </w:r>
      <w:r w:rsidRPr="004F3109">
        <w:rPr>
          <w:rFonts w:cs="Arial"/>
          <w:noProof/>
          <w:lang w:val="en-US"/>
        </w:rPr>
        <w:t>, 1–8.</w:t>
      </w:r>
    </w:p>
    <w:p w14:paraId="4E8F1BF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(41) Pardee, K. (2018) Perspective: Solidifying the impact of cell-free synthetic biology through lyophilization. </w:t>
      </w:r>
      <w:r w:rsidRPr="004F3109">
        <w:rPr>
          <w:rFonts w:cs="Arial"/>
          <w:i/>
          <w:iCs/>
          <w:noProof/>
          <w:lang w:val="en-US"/>
        </w:rPr>
        <w:t>Biochem. Eng. J.</w:t>
      </w:r>
      <w:r w:rsidRPr="004F3109">
        <w:rPr>
          <w:rFonts w:cs="Arial"/>
          <w:noProof/>
          <w:lang w:val="en-US"/>
        </w:rPr>
        <w:t xml:space="preserve"> </w:t>
      </w:r>
      <w:r w:rsidRPr="004F3109">
        <w:rPr>
          <w:rFonts w:cs="Arial"/>
          <w:i/>
          <w:iCs/>
          <w:noProof/>
          <w:lang w:val="en-US"/>
        </w:rPr>
        <w:t>138</w:t>
      </w:r>
      <w:r w:rsidRPr="004F3109">
        <w:rPr>
          <w:rFonts w:cs="Arial"/>
          <w:noProof/>
          <w:lang w:val="en-US"/>
        </w:rPr>
        <w:t>, 91–97.</w:t>
      </w:r>
    </w:p>
    <w:p w14:paraId="6331D40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(42) Warfel, K. F., Williams, A., Wong, D. A., Sobol, S. E., Desai, P., Li, J., Chang, Y. F., DeLisa, M. P., Karim, A. S., and Jewett, M. C. (2023) A Low-Cost, Thermostable, Cell-Free Protein Synthesis Platform for On-Demand Production of Conjugate Vaccines.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12</w:t>
      </w:r>
      <w:r w:rsidRPr="004F3109">
        <w:rPr>
          <w:rFonts w:cs="Arial"/>
          <w:noProof/>
          <w:lang w:val="en-US"/>
        </w:rPr>
        <w:t>, 95–107.</w:t>
      </w:r>
    </w:p>
    <w:p w14:paraId="099F50C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(43) Wilding, K. M., Zhao, E. L., Earl, C. C., and Bundy, B. C. (2019) Thermostable lyoprotectant-enhanced cell-free protein synthesis for on-demand endotoxin-free therapeutic production. </w:t>
      </w:r>
      <w:r w:rsidRPr="004F3109">
        <w:rPr>
          <w:rFonts w:cs="Arial"/>
          <w:i/>
          <w:iCs/>
          <w:noProof/>
          <w:lang w:val="en-US"/>
        </w:rPr>
        <w:t>N. Biotechnol.</w:t>
      </w:r>
      <w:r w:rsidRPr="004F3109">
        <w:rPr>
          <w:rFonts w:cs="Arial"/>
          <w:noProof/>
          <w:lang w:val="en-US"/>
        </w:rPr>
        <w:t xml:space="preserve"> </w:t>
      </w:r>
      <w:r w:rsidRPr="004F3109">
        <w:rPr>
          <w:rFonts w:cs="Arial"/>
          <w:i/>
          <w:iCs/>
          <w:noProof/>
          <w:lang w:val="en-US"/>
        </w:rPr>
        <w:t>53</w:t>
      </w:r>
      <w:r w:rsidRPr="004F3109">
        <w:rPr>
          <w:rFonts w:cs="Arial"/>
          <w:noProof/>
          <w:lang w:val="en-US"/>
        </w:rPr>
        <w:t>, 73–80.</w:t>
      </w:r>
    </w:p>
    <w:p w14:paraId="3FEACC64"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(44) Bundy, B. C., Hunt, J. P., Jewett, M. C., Swartz, J. R., Wood, D. W., Frey, D. D., and Rao, G. (2018) Cell-free biomanufacturing. </w:t>
      </w:r>
      <w:r w:rsidRPr="004F3109">
        <w:rPr>
          <w:rFonts w:cs="Arial"/>
          <w:i/>
          <w:iCs/>
          <w:noProof/>
          <w:lang w:val="en-US"/>
        </w:rPr>
        <w:t>Curr. Opin. Chem. Eng.</w:t>
      </w:r>
      <w:r w:rsidRPr="004F3109">
        <w:rPr>
          <w:rFonts w:cs="Arial"/>
          <w:noProof/>
          <w:lang w:val="en-US"/>
        </w:rPr>
        <w:t xml:space="preserve"> </w:t>
      </w:r>
      <w:r w:rsidRPr="004F3109">
        <w:rPr>
          <w:rFonts w:cs="Arial"/>
          <w:i/>
          <w:iCs/>
          <w:noProof/>
          <w:lang w:val="en-US"/>
        </w:rPr>
        <w:t>22</w:t>
      </w:r>
      <w:r w:rsidRPr="004F3109">
        <w:rPr>
          <w:rFonts w:cs="Arial"/>
          <w:noProof/>
          <w:lang w:val="en-US"/>
        </w:rPr>
        <w:t>, 177–183.</w:t>
      </w:r>
    </w:p>
    <w:p w14:paraId="2DAFF9F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(45) Kay, J. E., and Jewett, M. C. (2020) A cell-free system for production of 2,3-butanediol is </w:t>
      </w:r>
      <w:r w:rsidRPr="004F3109">
        <w:rPr>
          <w:rFonts w:cs="Arial"/>
          <w:noProof/>
          <w:lang w:val="en-US"/>
        </w:rPr>
        <w:lastRenderedPageBreak/>
        <w:t xml:space="preserve">robust to growth-toxic compounds. </w:t>
      </w:r>
      <w:r w:rsidRPr="004F3109">
        <w:rPr>
          <w:rFonts w:cs="Arial"/>
          <w:i/>
          <w:iCs/>
          <w:noProof/>
          <w:lang w:val="en-US"/>
        </w:rPr>
        <w:t>Metab. Eng. Commun.</w:t>
      </w:r>
      <w:r w:rsidRPr="004F3109">
        <w:rPr>
          <w:rFonts w:cs="Arial"/>
          <w:noProof/>
          <w:lang w:val="en-US"/>
        </w:rPr>
        <w:t xml:space="preserve"> </w:t>
      </w:r>
      <w:r w:rsidRPr="004F3109">
        <w:rPr>
          <w:rFonts w:cs="Arial"/>
          <w:i/>
          <w:iCs/>
          <w:noProof/>
          <w:lang w:val="en-US"/>
        </w:rPr>
        <w:t>10</w:t>
      </w:r>
      <w:r w:rsidRPr="004F3109">
        <w:rPr>
          <w:rFonts w:cs="Arial"/>
          <w:noProof/>
          <w:lang w:val="en-US"/>
        </w:rPr>
        <w:t>, e00114.</w:t>
      </w:r>
    </w:p>
    <w:p w14:paraId="53151FD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(46) Kay, J. E., and Jewett, M. C. (2015) Lysate of engineered Escherichia coli supports high-level conversion of glucose to 2,3-butanediol. </w:t>
      </w:r>
      <w:r w:rsidRPr="004F3109">
        <w:rPr>
          <w:rFonts w:cs="Arial"/>
          <w:i/>
          <w:iCs/>
          <w:noProof/>
          <w:lang w:val="en-US"/>
        </w:rPr>
        <w:t>Metab. Eng.</w:t>
      </w:r>
      <w:r w:rsidRPr="004F3109">
        <w:rPr>
          <w:rFonts w:cs="Arial"/>
          <w:noProof/>
          <w:lang w:val="en-US"/>
        </w:rPr>
        <w:t xml:space="preserve"> </w:t>
      </w:r>
      <w:r w:rsidRPr="004F3109">
        <w:rPr>
          <w:rFonts w:cs="Arial"/>
          <w:i/>
          <w:iCs/>
          <w:noProof/>
          <w:lang w:val="en-US"/>
        </w:rPr>
        <w:t>32</w:t>
      </w:r>
      <w:r w:rsidRPr="004F3109">
        <w:rPr>
          <w:rFonts w:cs="Arial"/>
          <w:noProof/>
          <w:lang w:val="en-US"/>
        </w:rPr>
        <w:t>, 133–142.</w:t>
      </w:r>
    </w:p>
    <w:p w14:paraId="6C73744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(47) Bujara, M., Schümperli, M., Billerbeck, S., Heinemann, M., and Panke, S. (2010) Exploiting cell-free systems: Implementation and debugging of a system of biotransformations. </w:t>
      </w:r>
      <w:r w:rsidRPr="004F3109">
        <w:rPr>
          <w:rFonts w:cs="Arial"/>
          <w:i/>
          <w:iCs/>
          <w:noProof/>
          <w:lang w:val="en-US"/>
        </w:rPr>
        <w:t>Biotechnol. Bioeng.</w:t>
      </w:r>
      <w:r w:rsidRPr="004F3109">
        <w:rPr>
          <w:rFonts w:cs="Arial"/>
          <w:noProof/>
          <w:lang w:val="en-US"/>
        </w:rPr>
        <w:t xml:space="preserve"> </w:t>
      </w:r>
      <w:r w:rsidRPr="004F3109">
        <w:rPr>
          <w:rFonts w:cs="Arial"/>
          <w:i/>
          <w:iCs/>
          <w:noProof/>
          <w:lang w:val="en-US"/>
        </w:rPr>
        <w:t>106</w:t>
      </w:r>
      <w:r w:rsidRPr="004F3109">
        <w:rPr>
          <w:rFonts w:cs="Arial"/>
          <w:noProof/>
          <w:lang w:val="en-US"/>
        </w:rPr>
        <w:t>, 376–389.</w:t>
      </w:r>
    </w:p>
    <w:p w14:paraId="2440238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(48) Cui, J., Stevenson, D., Korosh, T., Amador-Noguez, D., Olson, D. G., and Lynd, L. R. (2020) Developing a Cell-Free Extract Reaction (CFER) System in Clostridium thermocellum to Identify Metabolic Limitations to Ethanol Production. </w:t>
      </w:r>
      <w:r w:rsidRPr="004F3109">
        <w:rPr>
          <w:rFonts w:cs="Arial"/>
          <w:i/>
          <w:iCs/>
          <w:noProof/>
          <w:lang w:val="en-US"/>
        </w:rPr>
        <w:t>Front. Energy Res.</w:t>
      </w:r>
      <w:r w:rsidRPr="004F3109">
        <w:rPr>
          <w:rFonts w:cs="Arial"/>
          <w:noProof/>
          <w:lang w:val="en-US"/>
        </w:rPr>
        <w:t xml:space="preserve"> </w:t>
      </w:r>
      <w:r w:rsidRPr="004F3109">
        <w:rPr>
          <w:rFonts w:cs="Arial"/>
          <w:i/>
          <w:iCs/>
          <w:noProof/>
          <w:lang w:val="en-US"/>
        </w:rPr>
        <w:t>8</w:t>
      </w:r>
      <w:r w:rsidRPr="004F3109">
        <w:rPr>
          <w:rFonts w:cs="Arial"/>
          <w:noProof/>
          <w:lang w:val="en-US"/>
        </w:rPr>
        <w:t>, 72.</w:t>
      </w:r>
    </w:p>
    <w:p w14:paraId="4B9FCF2E"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(49) O’Kane, P. T., Dudley, Q. M., McMillan, A. K., Jewett, M. C., and Mrksich, M. (2019) High-throughput mapping of CoA metabolites by SAMDI-MS to optimize the cell-free biosynthesis of HMG-CoA. </w:t>
      </w:r>
      <w:r w:rsidRPr="004F3109">
        <w:rPr>
          <w:rFonts w:cs="Arial"/>
          <w:i/>
          <w:iCs/>
          <w:noProof/>
          <w:lang w:val="en-US"/>
        </w:rPr>
        <w:t>Sci. Adv.</w:t>
      </w:r>
      <w:r w:rsidRPr="004F3109">
        <w:rPr>
          <w:rFonts w:cs="Arial"/>
          <w:noProof/>
          <w:lang w:val="en-US"/>
        </w:rPr>
        <w:t xml:space="preserve"> </w:t>
      </w:r>
      <w:r w:rsidRPr="004F3109">
        <w:rPr>
          <w:rFonts w:cs="Arial"/>
          <w:i/>
          <w:iCs/>
          <w:noProof/>
          <w:lang w:val="en-US"/>
        </w:rPr>
        <w:t>5</w:t>
      </w:r>
      <w:r w:rsidRPr="004F3109">
        <w:rPr>
          <w:rFonts w:cs="Arial"/>
          <w:noProof/>
          <w:lang w:val="en-US"/>
        </w:rPr>
        <w:t>, eaaw9180.</w:t>
      </w:r>
    </w:p>
    <w:p w14:paraId="4CDBE91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(50) Tang, S., Liao, D., Li, X., Lin, Y., Han, S., and Zheng, S. (2021) Cell-Free Biosynthesis System: Methodology and Perspective of in Vitro Efficient Platform for Pyruvate Biosynthesis and Transformation.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10</w:t>
      </w:r>
      <w:r w:rsidRPr="004F3109">
        <w:rPr>
          <w:rFonts w:cs="Arial"/>
          <w:noProof/>
          <w:lang w:val="en-US"/>
        </w:rPr>
        <w:t>, 2417–2433.</w:t>
      </w:r>
    </w:p>
    <w:p w14:paraId="2B89AE8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(51) Grubbe, W. S., Rasor, B. J., Krüger, A., Jewett, M. C., and Karim, A. S. (2020) Cell-free styrene biosynthesis at high titers. </w:t>
      </w:r>
      <w:r w:rsidRPr="004F3109">
        <w:rPr>
          <w:rFonts w:cs="Arial"/>
          <w:i/>
          <w:iCs/>
          <w:noProof/>
          <w:lang w:val="en-US"/>
        </w:rPr>
        <w:t>Metab. Eng.</w:t>
      </w:r>
      <w:r w:rsidRPr="004F3109">
        <w:rPr>
          <w:rFonts w:cs="Arial"/>
          <w:noProof/>
          <w:lang w:val="en-US"/>
        </w:rPr>
        <w:t xml:space="preserve"> </w:t>
      </w:r>
      <w:r w:rsidRPr="004F3109">
        <w:rPr>
          <w:rFonts w:cs="Arial"/>
          <w:i/>
          <w:iCs/>
          <w:noProof/>
          <w:lang w:val="en-US"/>
        </w:rPr>
        <w:t>61</w:t>
      </w:r>
      <w:r w:rsidRPr="004F3109">
        <w:rPr>
          <w:rFonts w:cs="Arial"/>
          <w:noProof/>
          <w:lang w:val="en-US"/>
        </w:rPr>
        <w:t>, 89–95.</w:t>
      </w:r>
    </w:p>
    <w:p w14:paraId="5BF88FE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(52) Bujara, M., Schümperli, M., Pellaux, R., Heinemann, M., and Panke, S. (2011) Optimization of a blueprint for in vitro glycolysis by metabolic real-time analysis. </w:t>
      </w:r>
      <w:r w:rsidRPr="004F3109">
        <w:rPr>
          <w:rFonts w:cs="Arial"/>
          <w:i/>
          <w:iCs/>
          <w:noProof/>
          <w:lang w:val="en-US"/>
        </w:rPr>
        <w:t>Nat. Chem. Biol.</w:t>
      </w:r>
      <w:r w:rsidRPr="004F3109">
        <w:rPr>
          <w:rFonts w:cs="Arial"/>
          <w:noProof/>
          <w:lang w:val="en-US"/>
        </w:rPr>
        <w:t xml:space="preserve"> </w:t>
      </w:r>
      <w:r w:rsidRPr="004F3109">
        <w:rPr>
          <w:rFonts w:cs="Arial"/>
          <w:i/>
          <w:iCs/>
          <w:noProof/>
          <w:lang w:val="en-US"/>
        </w:rPr>
        <w:t>7</w:t>
      </w:r>
      <w:r w:rsidRPr="004F3109">
        <w:rPr>
          <w:rFonts w:cs="Arial"/>
          <w:noProof/>
          <w:lang w:val="en-US"/>
        </w:rPr>
        <w:t>, 271–277.</w:t>
      </w:r>
    </w:p>
    <w:p w14:paraId="69B6B47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(53) Dudley, Q. M., Anderson, K. C., and Jewett, M. C. (2016) Cell-Free Mixing of Escherichia coli Crude Extracts to Prototype and Rationally Engineer High-Titer Mevalonate Synthesis.</w:t>
      </w:r>
    </w:p>
    <w:p w14:paraId="21352D1E"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(54) Zhuang, L., Huang, S., Liu, W. Q., Karim, A. S., Jewett, M. C., and Li, J. (2020) Total in vitro biosynthesis of the nonribosomal macrolactone peptide valinomycin. </w:t>
      </w:r>
      <w:r w:rsidRPr="004F3109">
        <w:rPr>
          <w:rFonts w:cs="Arial"/>
          <w:i/>
          <w:iCs/>
          <w:noProof/>
          <w:lang w:val="en-US"/>
        </w:rPr>
        <w:t>Metab. Eng.</w:t>
      </w:r>
      <w:r w:rsidRPr="004F3109">
        <w:rPr>
          <w:rFonts w:cs="Arial"/>
          <w:noProof/>
          <w:lang w:val="en-US"/>
        </w:rPr>
        <w:t xml:space="preserve"> </w:t>
      </w:r>
      <w:r w:rsidRPr="004F3109">
        <w:rPr>
          <w:rFonts w:cs="Arial"/>
          <w:i/>
          <w:iCs/>
          <w:noProof/>
          <w:lang w:val="en-US"/>
        </w:rPr>
        <w:t>60</w:t>
      </w:r>
      <w:r w:rsidRPr="004F3109">
        <w:rPr>
          <w:rFonts w:cs="Arial"/>
          <w:noProof/>
          <w:lang w:val="en-US"/>
        </w:rPr>
        <w:t>, 37–44.</w:t>
      </w:r>
    </w:p>
    <w:p w14:paraId="1010981E"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(55) Zawada, J. F., Yin, G., Steiner, A. R., Yang, J., Naresh, A., Roy, S. M., Gold, D. S., Heinsohn, H. G., and Murray, C. J. (2011) Microscale to manufacturing scale-up of cell-free cytokine production-a new approach for shortening protein production development timelines. </w:t>
      </w:r>
      <w:r w:rsidRPr="004F3109">
        <w:rPr>
          <w:rFonts w:cs="Arial"/>
          <w:i/>
          <w:iCs/>
          <w:noProof/>
          <w:lang w:val="en-US"/>
        </w:rPr>
        <w:t xml:space="preserve">Biotechnol. </w:t>
      </w:r>
      <w:r w:rsidRPr="004F3109">
        <w:rPr>
          <w:rFonts w:cs="Arial"/>
          <w:i/>
          <w:iCs/>
          <w:noProof/>
          <w:lang w:val="en-US"/>
        </w:rPr>
        <w:lastRenderedPageBreak/>
        <w:t>Bioeng.</w:t>
      </w:r>
      <w:r w:rsidRPr="004F3109">
        <w:rPr>
          <w:rFonts w:cs="Arial"/>
          <w:noProof/>
          <w:lang w:val="en-US"/>
        </w:rPr>
        <w:t xml:space="preserve"> </w:t>
      </w:r>
      <w:r w:rsidRPr="004F3109">
        <w:rPr>
          <w:rFonts w:cs="Arial"/>
          <w:i/>
          <w:iCs/>
          <w:noProof/>
          <w:lang w:val="en-US"/>
        </w:rPr>
        <w:t>108</w:t>
      </w:r>
      <w:r w:rsidRPr="004F3109">
        <w:rPr>
          <w:rFonts w:cs="Arial"/>
          <w:noProof/>
          <w:lang w:val="en-US"/>
        </w:rPr>
        <w:t>, 1570–1578.</w:t>
      </w:r>
    </w:p>
    <w:p w14:paraId="67A85D8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(56) Opgenorth, P. H., Korman, T. P., and Bowie, J. U. (2014) A synthetic biochemistry molecular purge valve module that maintains redox balance. </w:t>
      </w:r>
      <w:r w:rsidRPr="004F3109">
        <w:rPr>
          <w:rFonts w:cs="Arial"/>
          <w:i/>
          <w:iCs/>
          <w:noProof/>
          <w:lang w:val="en-US"/>
        </w:rPr>
        <w:t>Nat. Commun. 2014 51</w:t>
      </w:r>
      <w:r w:rsidRPr="004F3109">
        <w:rPr>
          <w:rFonts w:cs="Arial"/>
          <w:noProof/>
          <w:lang w:val="en-US"/>
        </w:rPr>
        <w:t xml:space="preserve"> </w:t>
      </w:r>
      <w:r w:rsidRPr="004F3109">
        <w:rPr>
          <w:rFonts w:cs="Arial"/>
          <w:i/>
          <w:iCs/>
          <w:noProof/>
          <w:lang w:val="en-US"/>
        </w:rPr>
        <w:t>5</w:t>
      </w:r>
      <w:r w:rsidRPr="004F3109">
        <w:rPr>
          <w:rFonts w:cs="Arial"/>
          <w:noProof/>
          <w:lang w:val="en-US"/>
        </w:rPr>
        <w:t>, 1–8.</w:t>
      </w:r>
    </w:p>
    <w:p w14:paraId="411A2CA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(57) Opgenorth, P. H., Korman, T. P., and Bowie, J. U. (2016) A synthetic biochemistry module for production of bio-based chemicals from glucose. </w:t>
      </w:r>
      <w:r w:rsidRPr="004F3109">
        <w:rPr>
          <w:rFonts w:cs="Arial"/>
          <w:i/>
          <w:iCs/>
          <w:noProof/>
          <w:lang w:val="en-US"/>
        </w:rPr>
        <w:t>Nat. Chem. Biol.</w:t>
      </w:r>
      <w:r w:rsidRPr="004F3109">
        <w:rPr>
          <w:rFonts w:cs="Arial"/>
          <w:noProof/>
          <w:lang w:val="en-US"/>
        </w:rPr>
        <w:t xml:space="preserve"> </w:t>
      </w:r>
      <w:r w:rsidRPr="004F3109">
        <w:rPr>
          <w:rFonts w:cs="Arial"/>
          <w:i/>
          <w:iCs/>
          <w:noProof/>
          <w:lang w:val="en-US"/>
        </w:rPr>
        <w:t>12</w:t>
      </w:r>
      <w:r w:rsidRPr="004F3109">
        <w:rPr>
          <w:rFonts w:cs="Arial"/>
          <w:noProof/>
          <w:lang w:val="en-US"/>
        </w:rPr>
        <w:t>, 1–4.</w:t>
      </w:r>
    </w:p>
    <w:p w14:paraId="243036F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(58) King, E., Maxel, S., and Li, H. (2020) Engineering natural and noncanonical nicotinamide cofactor-dependent enzymes: design principles and technology development. </w:t>
      </w:r>
      <w:r w:rsidRPr="004F3109">
        <w:rPr>
          <w:rFonts w:cs="Arial"/>
          <w:i/>
          <w:iCs/>
          <w:noProof/>
          <w:lang w:val="en-US"/>
        </w:rPr>
        <w:t>Curr. Opin. Biotechnol.</w:t>
      </w:r>
      <w:r w:rsidRPr="004F3109">
        <w:rPr>
          <w:rFonts w:cs="Arial"/>
          <w:noProof/>
          <w:lang w:val="en-US"/>
        </w:rPr>
        <w:t xml:space="preserve"> </w:t>
      </w:r>
      <w:r w:rsidRPr="004F3109">
        <w:rPr>
          <w:rFonts w:cs="Arial"/>
          <w:i/>
          <w:iCs/>
          <w:noProof/>
          <w:lang w:val="en-US"/>
        </w:rPr>
        <w:t>66</w:t>
      </w:r>
      <w:r w:rsidRPr="004F3109">
        <w:rPr>
          <w:rFonts w:cs="Arial"/>
          <w:noProof/>
          <w:lang w:val="en-US"/>
        </w:rPr>
        <w:t>, 217–226.</w:t>
      </w:r>
    </w:p>
    <w:p w14:paraId="68B8BCC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(59) Black, W. B., and Li, H. (2022) Cell-Free Noncanonical Redox Cofactor Systems. </w:t>
      </w:r>
      <w:r w:rsidRPr="004F3109">
        <w:rPr>
          <w:rFonts w:cs="Arial"/>
          <w:i/>
          <w:iCs/>
          <w:noProof/>
          <w:lang w:val="en-US"/>
        </w:rPr>
        <w:t>Methods Mol. Biol.</w:t>
      </w:r>
      <w:r w:rsidRPr="004F3109">
        <w:rPr>
          <w:rFonts w:cs="Arial"/>
          <w:noProof/>
          <w:lang w:val="en-US"/>
        </w:rPr>
        <w:t xml:space="preserve"> </w:t>
      </w:r>
      <w:r w:rsidRPr="004F3109">
        <w:rPr>
          <w:rFonts w:cs="Arial"/>
          <w:i/>
          <w:iCs/>
          <w:noProof/>
          <w:lang w:val="en-US"/>
        </w:rPr>
        <w:t>2433</w:t>
      </w:r>
      <w:r w:rsidRPr="004F3109">
        <w:rPr>
          <w:rFonts w:cs="Arial"/>
          <w:noProof/>
          <w:lang w:val="en-US"/>
        </w:rPr>
        <w:t>, 185–198.</w:t>
      </w:r>
    </w:p>
    <w:p w14:paraId="122FEAFA"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(60) Stephanopoulos, G., Aristidou, A., and Nielsen, J. (1998) Metabolic Engineering: Principles and Methodologies. Academic Press, San Diego.</w:t>
      </w:r>
    </w:p>
    <w:p w14:paraId="53563EE1"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(61) Khattak, W. A., Ul-Islam, M., Ullah, M. W., Yu, B., Khan, S., and Park, J. K. (2014) Yeast cell-free enzyme system for bio-ethanol production at elevated temperatures. </w:t>
      </w:r>
      <w:r w:rsidRPr="004F3109">
        <w:rPr>
          <w:rFonts w:cs="Arial"/>
          <w:i/>
          <w:iCs/>
          <w:noProof/>
          <w:lang w:val="en-US"/>
        </w:rPr>
        <w:t>Process Biochem.</w:t>
      </w:r>
      <w:r w:rsidRPr="004F3109">
        <w:rPr>
          <w:rFonts w:cs="Arial"/>
          <w:noProof/>
          <w:lang w:val="en-US"/>
        </w:rPr>
        <w:t xml:space="preserve"> </w:t>
      </w:r>
      <w:r w:rsidRPr="004F3109">
        <w:rPr>
          <w:rFonts w:cs="Arial"/>
          <w:i/>
          <w:iCs/>
          <w:noProof/>
          <w:lang w:val="en-US"/>
        </w:rPr>
        <w:t>49</w:t>
      </w:r>
      <w:r w:rsidRPr="004F3109">
        <w:rPr>
          <w:rFonts w:cs="Arial"/>
          <w:noProof/>
          <w:lang w:val="en-US"/>
        </w:rPr>
        <w:t>, 357–364.</w:t>
      </w:r>
    </w:p>
    <w:p w14:paraId="2EB7113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(62) Rasor, B. J., Yi, X., Brown, H., Alper, H. S., and Jewett, M. C. (2021) An integrated in vivo/in vitro framework to enhance cell-free biosynthesis with metabolically rewired yeast extracts. </w:t>
      </w:r>
      <w:r w:rsidRPr="004F3109">
        <w:rPr>
          <w:rFonts w:cs="Arial"/>
          <w:i/>
          <w:iCs/>
          <w:noProof/>
          <w:lang w:val="en-US"/>
        </w:rPr>
        <w:t>Nat. Commun.</w:t>
      </w:r>
      <w:r w:rsidRPr="004F3109">
        <w:rPr>
          <w:rFonts w:cs="Arial"/>
          <w:noProof/>
          <w:lang w:val="en-US"/>
        </w:rPr>
        <w:t xml:space="preserve"> </w:t>
      </w:r>
      <w:r w:rsidRPr="004F3109">
        <w:rPr>
          <w:rFonts w:cs="Arial"/>
          <w:i/>
          <w:iCs/>
          <w:noProof/>
          <w:lang w:val="en-US"/>
        </w:rPr>
        <w:t>12</w:t>
      </w:r>
      <w:r w:rsidRPr="004F3109">
        <w:rPr>
          <w:rFonts w:cs="Arial"/>
          <w:noProof/>
          <w:lang w:val="en-US"/>
        </w:rPr>
        <w:t>.</w:t>
      </w:r>
    </w:p>
    <w:p w14:paraId="401C056E"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(63) Jin, X., and Hong, S. H. (2018, October 15) Cell-free protein synthesis for producing ‘difficult-to-express’ proteins. </w:t>
      </w:r>
      <w:r w:rsidRPr="004F3109">
        <w:rPr>
          <w:rFonts w:cs="Arial"/>
          <w:i/>
          <w:iCs/>
          <w:noProof/>
          <w:lang w:val="en-US"/>
        </w:rPr>
        <w:t>Biochem. Eng. J.</w:t>
      </w:r>
      <w:r w:rsidRPr="004F3109">
        <w:rPr>
          <w:rFonts w:cs="Arial"/>
          <w:noProof/>
          <w:lang w:val="en-US"/>
        </w:rPr>
        <w:t xml:space="preserve"> Elsevier B.V.</w:t>
      </w:r>
    </w:p>
    <w:p w14:paraId="0E092B6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(64) Dopp, B. J. L., Tamiev, D. D., and Reuel, N. F. (2019) Cell-free supplement mixtures: Elucidating the history and biochemical utility of additives used to support in vitro protein synthesis in E. coli extract. </w:t>
      </w:r>
      <w:r w:rsidRPr="004F3109">
        <w:rPr>
          <w:rFonts w:cs="Arial"/>
          <w:i/>
          <w:iCs/>
          <w:noProof/>
          <w:lang w:val="en-US"/>
        </w:rPr>
        <w:t>Biotechnol. Adv.</w:t>
      </w:r>
      <w:r w:rsidRPr="004F3109">
        <w:rPr>
          <w:rFonts w:cs="Arial"/>
          <w:noProof/>
          <w:lang w:val="en-US"/>
        </w:rPr>
        <w:t xml:space="preserve"> </w:t>
      </w:r>
      <w:r w:rsidRPr="004F3109">
        <w:rPr>
          <w:rFonts w:cs="Arial"/>
          <w:i/>
          <w:iCs/>
          <w:noProof/>
          <w:lang w:val="en-US"/>
        </w:rPr>
        <w:t>37</w:t>
      </w:r>
      <w:r w:rsidRPr="004F3109">
        <w:rPr>
          <w:rFonts w:cs="Arial"/>
          <w:noProof/>
          <w:lang w:val="en-US"/>
        </w:rPr>
        <w:t>, 246–258.</w:t>
      </w:r>
    </w:p>
    <w:p w14:paraId="10D1B04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(65) Koch, M., Faulon, J. L., and Borkowski, O. (2018) Models for cell-free synthetic biology: Make prototyping easier, better, and faster. </w:t>
      </w:r>
      <w:r w:rsidRPr="004F3109">
        <w:rPr>
          <w:rFonts w:cs="Arial"/>
          <w:i/>
          <w:iCs/>
          <w:noProof/>
          <w:lang w:val="en-US"/>
        </w:rPr>
        <w:t>Front. Bioeng. Biotechnol.</w:t>
      </w:r>
      <w:r w:rsidRPr="004F3109">
        <w:rPr>
          <w:rFonts w:cs="Arial"/>
          <w:noProof/>
          <w:lang w:val="en-US"/>
        </w:rPr>
        <w:t xml:space="preserve"> </w:t>
      </w:r>
      <w:r w:rsidRPr="004F3109">
        <w:rPr>
          <w:rFonts w:cs="Arial"/>
          <w:i/>
          <w:iCs/>
          <w:noProof/>
          <w:lang w:val="en-US"/>
        </w:rPr>
        <w:t>6</w:t>
      </w:r>
      <w:r w:rsidRPr="004F3109">
        <w:rPr>
          <w:rFonts w:cs="Arial"/>
          <w:noProof/>
          <w:lang w:val="en-US"/>
        </w:rPr>
        <w:t>, 182.</w:t>
      </w:r>
    </w:p>
    <w:p w14:paraId="5763982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(66) Wick, S., Walsh, D. I., Bobrow, J., Hamad-Schifferli, K., Kong, D. S., Thorsen, T., Mroszczyk, </w:t>
      </w:r>
      <w:r w:rsidRPr="004F3109">
        <w:rPr>
          <w:rFonts w:cs="Arial"/>
          <w:noProof/>
          <w:lang w:val="en-US"/>
        </w:rPr>
        <w:lastRenderedPageBreak/>
        <w:t xml:space="preserve">K., and Carr, P. A. (2019) PERSIA for Direct Fluorescence Measurements of Transcription, Translation, and Enzyme Activity in Cell-Free Systems.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8</w:t>
      </w:r>
      <w:r w:rsidRPr="004F3109">
        <w:rPr>
          <w:rFonts w:cs="Arial"/>
          <w:noProof/>
          <w:lang w:val="en-US"/>
        </w:rPr>
        <w:t>, 1010–1025.</w:t>
      </w:r>
    </w:p>
    <w:p w14:paraId="22D141FA"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(67) Kries, H. (2016) Biosynthetic engineering of nonribosomal peptide synthetases. </w:t>
      </w:r>
      <w:r w:rsidRPr="004F3109">
        <w:rPr>
          <w:rFonts w:cs="Arial"/>
          <w:i/>
          <w:iCs/>
          <w:noProof/>
          <w:lang w:val="en-US"/>
        </w:rPr>
        <w:t>J. Pept. Sci.</w:t>
      </w:r>
      <w:r w:rsidRPr="004F3109">
        <w:rPr>
          <w:rFonts w:cs="Arial"/>
          <w:noProof/>
          <w:lang w:val="en-US"/>
        </w:rPr>
        <w:t xml:space="preserve"> </w:t>
      </w:r>
      <w:r w:rsidRPr="004F3109">
        <w:rPr>
          <w:rFonts w:cs="Arial"/>
          <w:i/>
          <w:iCs/>
          <w:noProof/>
          <w:lang w:val="en-US"/>
        </w:rPr>
        <w:t>22</w:t>
      </w:r>
      <w:r w:rsidRPr="004F3109">
        <w:rPr>
          <w:rFonts w:cs="Arial"/>
          <w:noProof/>
          <w:lang w:val="en-US"/>
        </w:rPr>
        <w:t>, 564–570.</w:t>
      </w:r>
    </w:p>
    <w:p w14:paraId="50DCC89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(68) Ji, X., Liu, W. Q., and Li, J. (2022) Recent advances in applying cell-free systems for high-value and complex natural product biosynthesis. </w:t>
      </w:r>
      <w:r w:rsidRPr="004F3109">
        <w:rPr>
          <w:rFonts w:cs="Arial"/>
          <w:i/>
          <w:iCs/>
          <w:noProof/>
          <w:lang w:val="en-US"/>
        </w:rPr>
        <w:t>Curr. Opin. Microbiol.</w:t>
      </w:r>
      <w:r w:rsidRPr="004F3109">
        <w:rPr>
          <w:rFonts w:cs="Arial"/>
          <w:noProof/>
          <w:lang w:val="en-US"/>
        </w:rPr>
        <w:t xml:space="preserve"> </w:t>
      </w:r>
      <w:r w:rsidRPr="004F3109">
        <w:rPr>
          <w:rFonts w:cs="Arial"/>
          <w:i/>
          <w:iCs/>
          <w:noProof/>
          <w:lang w:val="en-US"/>
        </w:rPr>
        <w:t>67</w:t>
      </w:r>
      <w:r w:rsidRPr="004F3109">
        <w:rPr>
          <w:rFonts w:cs="Arial"/>
          <w:noProof/>
          <w:lang w:val="en-US"/>
        </w:rPr>
        <w:t>, 102142.</w:t>
      </w:r>
    </w:p>
    <w:p w14:paraId="41075E1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(69) Brown, A. S., Robins, K. J., and Ackerley, D. F. (2017) A sensitive single-enzyme assay system using the non-ribosomal peptide synthetase BpsA for measurement of L-glutamine in biological samples. </w:t>
      </w:r>
      <w:r w:rsidRPr="004F3109">
        <w:rPr>
          <w:rFonts w:cs="Arial"/>
          <w:i/>
          <w:iCs/>
          <w:noProof/>
          <w:lang w:val="en-US"/>
        </w:rPr>
        <w:t>Sci. Rep.</w:t>
      </w:r>
      <w:r w:rsidRPr="004F3109">
        <w:rPr>
          <w:rFonts w:cs="Arial"/>
          <w:noProof/>
          <w:lang w:val="en-US"/>
        </w:rPr>
        <w:t xml:space="preserve"> </w:t>
      </w:r>
      <w:r w:rsidRPr="004F3109">
        <w:rPr>
          <w:rFonts w:cs="Arial"/>
          <w:i/>
          <w:iCs/>
          <w:noProof/>
          <w:lang w:val="en-US"/>
        </w:rPr>
        <w:t>7</w:t>
      </w:r>
      <w:r w:rsidRPr="004F3109">
        <w:rPr>
          <w:rFonts w:cs="Arial"/>
          <w:noProof/>
          <w:lang w:val="en-US"/>
        </w:rPr>
        <w:t>, 1–13.</w:t>
      </w:r>
    </w:p>
    <w:p w14:paraId="52B12BB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(70) Rollin, J. A., Del Campo, J. M., Myung, S., Sun, F., You, C., Bakovic, A., Castro, R., Chandrayan, S. K., Wu, C. H., Adams, M. W. W., Senger, R. S., and Zhang, Y. H. P. (2015) High-yield hydrogen production from biomass by in vitro metabolic engineering: Mixed sugars coutilization and kinetic modeling. </w:t>
      </w:r>
      <w:r w:rsidRPr="004F3109">
        <w:rPr>
          <w:rFonts w:cs="Arial"/>
          <w:i/>
          <w:iCs/>
          <w:noProof/>
          <w:lang w:val="en-US"/>
        </w:rPr>
        <w:t>Proc. Natl. Acad. Sci. U. S. A.</w:t>
      </w:r>
      <w:r w:rsidRPr="004F3109">
        <w:rPr>
          <w:rFonts w:cs="Arial"/>
          <w:noProof/>
          <w:lang w:val="en-US"/>
        </w:rPr>
        <w:t xml:space="preserve"> </w:t>
      </w:r>
      <w:r w:rsidRPr="004F3109">
        <w:rPr>
          <w:rFonts w:cs="Arial"/>
          <w:i/>
          <w:iCs/>
          <w:noProof/>
          <w:lang w:val="en-US"/>
        </w:rPr>
        <w:t>112</w:t>
      </w:r>
      <w:r w:rsidRPr="004F3109">
        <w:rPr>
          <w:rFonts w:cs="Arial"/>
          <w:noProof/>
          <w:lang w:val="en-US"/>
        </w:rPr>
        <w:t>, 4964–4969.</w:t>
      </w:r>
    </w:p>
    <w:p w14:paraId="71E5D387"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(71) Dudley, Q. M., Nash, C. J., and Jewett, M. C. (2019) Cell-free biosynthesis of limonene using enzyme-enriched Escherichia coli lysates. </w:t>
      </w:r>
      <w:r w:rsidRPr="004F3109">
        <w:rPr>
          <w:rFonts w:cs="Arial"/>
          <w:i/>
          <w:iCs/>
          <w:noProof/>
          <w:lang w:val="en-US"/>
        </w:rPr>
        <w:t>Synth. Biol.</w:t>
      </w:r>
      <w:r w:rsidRPr="004F3109">
        <w:rPr>
          <w:rFonts w:cs="Arial"/>
          <w:noProof/>
          <w:lang w:val="en-US"/>
        </w:rPr>
        <w:t xml:space="preserve"> </w:t>
      </w:r>
      <w:r w:rsidRPr="004F3109">
        <w:rPr>
          <w:rFonts w:cs="Arial"/>
          <w:i/>
          <w:iCs/>
          <w:noProof/>
          <w:lang w:val="en-US"/>
        </w:rPr>
        <w:t>4</w:t>
      </w:r>
      <w:r w:rsidRPr="004F3109">
        <w:rPr>
          <w:rFonts w:cs="Arial"/>
          <w:noProof/>
          <w:lang w:val="en-US"/>
        </w:rPr>
        <w:t>.</w:t>
      </w:r>
    </w:p>
    <w:p w14:paraId="18F0E50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(72) Garcia, D. C., Mohr, B. P., Dovgan, J. T., Hurst, G. B., Standaert, R. F., and Doktycz, M. J. (2018) Elucidating the potential of crude cell extracts for producing pyruvate from glucose. </w:t>
      </w:r>
      <w:r w:rsidRPr="004F3109">
        <w:rPr>
          <w:rFonts w:cs="Arial"/>
          <w:i/>
          <w:iCs/>
          <w:noProof/>
          <w:lang w:val="en-US"/>
        </w:rPr>
        <w:t>Synth. Biol.</w:t>
      </w:r>
      <w:r w:rsidRPr="004F3109">
        <w:rPr>
          <w:rFonts w:cs="Arial"/>
          <w:noProof/>
          <w:lang w:val="en-US"/>
        </w:rPr>
        <w:t xml:space="preserve"> </w:t>
      </w:r>
      <w:r w:rsidRPr="004F3109">
        <w:rPr>
          <w:rFonts w:cs="Arial"/>
          <w:i/>
          <w:iCs/>
          <w:noProof/>
          <w:lang w:val="en-US"/>
        </w:rPr>
        <w:t>3</w:t>
      </w:r>
      <w:r w:rsidRPr="004F3109">
        <w:rPr>
          <w:rFonts w:cs="Arial"/>
          <w:noProof/>
          <w:lang w:val="en-US"/>
        </w:rPr>
        <w:t>.</w:t>
      </w:r>
    </w:p>
    <w:p w14:paraId="6C8EB7C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(73) Mohr, B., Giannone, R. J., Hettich, R. L., and Doktycz, M. J. (2020) Targeted growth medium dropouts promote aromatic compound synthesis in crude E. Coli cell-free systems.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9</w:t>
      </w:r>
      <w:r w:rsidRPr="004F3109">
        <w:rPr>
          <w:rFonts w:cs="Arial"/>
          <w:noProof/>
          <w:lang w:val="en-US"/>
        </w:rPr>
        <w:t>, 2986–2997.</w:t>
      </w:r>
    </w:p>
    <w:p w14:paraId="3A2D014B"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(74) Garcia, D. C., Dinglasan, J. L. N., Shrestha, H., Abraham, P. E., Hettich, R. L., and Doktycz, M. J. (2021) A lysate proteome engineering strategy for enhancing cell-free metabolite production. </w:t>
      </w:r>
      <w:r w:rsidRPr="004F3109">
        <w:rPr>
          <w:rFonts w:cs="Arial"/>
          <w:i/>
          <w:iCs/>
          <w:noProof/>
          <w:lang w:val="en-US"/>
        </w:rPr>
        <w:t>Metab. Eng. Commun.</w:t>
      </w:r>
      <w:r w:rsidRPr="004F3109">
        <w:rPr>
          <w:rFonts w:cs="Arial"/>
          <w:noProof/>
          <w:lang w:val="en-US"/>
        </w:rPr>
        <w:t xml:space="preserve"> </w:t>
      </w:r>
      <w:r w:rsidRPr="004F3109">
        <w:rPr>
          <w:rFonts w:cs="Arial"/>
          <w:i/>
          <w:iCs/>
          <w:noProof/>
          <w:lang w:val="en-US"/>
        </w:rPr>
        <w:t>12</w:t>
      </w:r>
      <w:r w:rsidRPr="004F3109">
        <w:rPr>
          <w:rFonts w:cs="Arial"/>
          <w:noProof/>
          <w:lang w:val="en-US"/>
        </w:rPr>
        <w:t>, e00162.</w:t>
      </w:r>
    </w:p>
    <w:p w14:paraId="6B97767B"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(75) Coskun, O. (2016) Separation Tecniques: CHROMATOGRAPHY. </w:t>
      </w:r>
      <w:r w:rsidRPr="004F3109">
        <w:rPr>
          <w:rFonts w:cs="Arial"/>
          <w:i/>
          <w:iCs/>
          <w:noProof/>
          <w:lang w:val="en-US"/>
        </w:rPr>
        <w:t>North. Clin. Istanbul</w:t>
      </w:r>
      <w:r w:rsidRPr="004F3109">
        <w:rPr>
          <w:rFonts w:cs="Arial"/>
          <w:noProof/>
          <w:lang w:val="en-US"/>
        </w:rPr>
        <w:t xml:space="preserve"> </w:t>
      </w:r>
      <w:r w:rsidRPr="004F3109">
        <w:rPr>
          <w:rFonts w:cs="Arial"/>
          <w:i/>
          <w:iCs/>
          <w:noProof/>
          <w:lang w:val="en-US"/>
        </w:rPr>
        <w:t>3</w:t>
      </w:r>
      <w:r w:rsidRPr="004F3109">
        <w:rPr>
          <w:rFonts w:cs="Arial"/>
          <w:noProof/>
          <w:lang w:val="en-US"/>
        </w:rPr>
        <w:t>, 156.</w:t>
      </w:r>
    </w:p>
    <w:p w14:paraId="2CA93D87"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lastRenderedPageBreak/>
        <w:t xml:space="preserve">(76) Bernardes, A. N., Godoi, L. A. G., Camiloti, P. R., Gomes, A. da C., Sanchez, B. L. S., Torres, A. P. R., and Botta, L. S. (2021) Organic acids and alcohols quantification by HPLC/RID in sugarcane vinasse: analytical method validation and matrix effect assessment. </w:t>
      </w:r>
      <w:r w:rsidRPr="004F3109">
        <w:rPr>
          <w:rFonts w:cs="Arial"/>
          <w:i/>
          <w:iCs/>
          <w:noProof/>
          <w:lang w:val="en-US"/>
        </w:rPr>
        <w:t>Int. J. Environ. Anal. Chem.</w:t>
      </w:r>
      <w:r w:rsidRPr="004F3109">
        <w:rPr>
          <w:rFonts w:cs="Arial"/>
          <w:noProof/>
          <w:lang w:val="en-US"/>
        </w:rPr>
        <w:t xml:space="preserve"> </w:t>
      </w:r>
      <w:r w:rsidRPr="004F3109">
        <w:rPr>
          <w:rFonts w:cs="Arial"/>
          <w:i/>
          <w:iCs/>
          <w:noProof/>
          <w:lang w:val="en-US"/>
        </w:rPr>
        <w:t>101</w:t>
      </w:r>
      <w:r w:rsidRPr="004F3109">
        <w:rPr>
          <w:rFonts w:cs="Arial"/>
          <w:noProof/>
          <w:lang w:val="en-US"/>
        </w:rPr>
        <w:t>, 325–336.</w:t>
      </w:r>
    </w:p>
    <w:p w14:paraId="73AA2CCC"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(77) Garcia, D. C., Cheng, X., Land, M. L., Standaert, R. F., Morrell-Falvey, J. L., and Doktycz, M. J. (2019) Computationally Guided Discovery and Experimental Validation of Indole-3-acetic Acid Synthesis Pathways. </w:t>
      </w:r>
      <w:r w:rsidRPr="004F3109">
        <w:rPr>
          <w:rFonts w:cs="Arial"/>
          <w:i/>
          <w:iCs/>
          <w:noProof/>
          <w:lang w:val="en-US"/>
        </w:rPr>
        <w:t>ACS Chem. Biol.</w:t>
      </w:r>
      <w:r w:rsidRPr="004F3109">
        <w:rPr>
          <w:rFonts w:cs="Arial"/>
          <w:noProof/>
          <w:lang w:val="en-US"/>
        </w:rPr>
        <w:t xml:space="preserve"> </w:t>
      </w:r>
      <w:r w:rsidRPr="004F3109">
        <w:rPr>
          <w:rFonts w:cs="Arial"/>
          <w:i/>
          <w:iCs/>
          <w:noProof/>
          <w:lang w:val="en-US"/>
        </w:rPr>
        <w:t>14</w:t>
      </w:r>
      <w:r w:rsidRPr="004F3109">
        <w:rPr>
          <w:rFonts w:cs="Arial"/>
          <w:noProof/>
          <w:lang w:val="en-US"/>
        </w:rPr>
        <w:t>, 2867–2875.</w:t>
      </w:r>
    </w:p>
    <w:p w14:paraId="6285764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(78) Karim, A. S., Rasor, B. J., and Jewett, M. C. (2020) Enhancing control of cell-free metabolism through pH modulation. </w:t>
      </w:r>
      <w:r w:rsidRPr="004F3109">
        <w:rPr>
          <w:rFonts w:cs="Arial"/>
          <w:i/>
          <w:iCs/>
          <w:noProof/>
          <w:lang w:val="en-US"/>
        </w:rPr>
        <w:t>Synth. Biol.</w:t>
      </w:r>
      <w:r w:rsidRPr="004F3109">
        <w:rPr>
          <w:rFonts w:cs="Arial"/>
          <w:noProof/>
          <w:lang w:val="en-US"/>
        </w:rPr>
        <w:t xml:space="preserve"> </w:t>
      </w:r>
      <w:r w:rsidRPr="004F3109">
        <w:rPr>
          <w:rFonts w:cs="Arial"/>
          <w:i/>
          <w:iCs/>
          <w:noProof/>
          <w:lang w:val="en-US"/>
        </w:rPr>
        <w:t>5</w:t>
      </w:r>
      <w:r w:rsidRPr="004F3109">
        <w:rPr>
          <w:rFonts w:cs="Arial"/>
          <w:noProof/>
          <w:lang w:val="en-US"/>
        </w:rPr>
        <w:t>.</w:t>
      </w:r>
    </w:p>
    <w:p w14:paraId="3516AE6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(79) Xiao, J. F., Zhou, B., and Ressom, H. W. (2012, February) Metabolite identification and quantitation in LC-MS/MS-based metabolomics. </w:t>
      </w:r>
      <w:r w:rsidRPr="004F3109">
        <w:rPr>
          <w:rFonts w:cs="Arial"/>
          <w:i/>
          <w:iCs/>
          <w:noProof/>
          <w:lang w:val="en-US"/>
        </w:rPr>
        <w:t>TrAC - Trends Anal. Chem.</w:t>
      </w:r>
      <w:r w:rsidRPr="004F3109">
        <w:rPr>
          <w:rFonts w:cs="Arial"/>
          <w:noProof/>
          <w:lang w:val="en-US"/>
        </w:rPr>
        <w:t xml:space="preserve"> NIH Public Access.</w:t>
      </w:r>
    </w:p>
    <w:p w14:paraId="422D528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(80) Asensio-Ramos, M., Fanali, C., D’Orazio, G., and Fanali, S. (2017) Nano-liquid chromatography, in </w:t>
      </w:r>
      <w:r w:rsidRPr="004F3109">
        <w:rPr>
          <w:rFonts w:cs="Arial"/>
          <w:i/>
          <w:iCs/>
          <w:noProof/>
          <w:lang w:val="en-US"/>
        </w:rPr>
        <w:t>Liquid Chromatography: Fundamentals and Instrumentation: Second Edition</w:t>
      </w:r>
      <w:r w:rsidRPr="004F3109">
        <w:rPr>
          <w:rFonts w:cs="Arial"/>
          <w:noProof/>
          <w:lang w:val="en-US"/>
        </w:rPr>
        <w:t>, pp 637–695. Elsevier.</w:t>
      </w:r>
    </w:p>
    <w:p w14:paraId="5FC3C5DB"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(81) Nagana Gowda, G. A., and Djukovic, D. (2014) Overview of mass spectrometry-based metabolomics: Opportunities and challenges. </w:t>
      </w:r>
      <w:r w:rsidRPr="004F3109">
        <w:rPr>
          <w:rFonts w:cs="Arial"/>
          <w:i/>
          <w:iCs/>
          <w:noProof/>
          <w:lang w:val="en-US"/>
        </w:rPr>
        <w:t>Methods Mol. Biol.</w:t>
      </w:r>
      <w:r w:rsidRPr="004F3109">
        <w:rPr>
          <w:rFonts w:cs="Arial"/>
          <w:noProof/>
          <w:lang w:val="en-US"/>
        </w:rPr>
        <w:t xml:space="preserve"> </w:t>
      </w:r>
      <w:r w:rsidRPr="004F3109">
        <w:rPr>
          <w:rFonts w:cs="Arial"/>
          <w:i/>
          <w:iCs/>
          <w:noProof/>
          <w:lang w:val="en-US"/>
        </w:rPr>
        <w:t>1198</w:t>
      </w:r>
      <w:r w:rsidRPr="004F3109">
        <w:rPr>
          <w:rFonts w:cs="Arial"/>
          <w:noProof/>
          <w:lang w:val="en-US"/>
        </w:rPr>
        <w:t>, 3–12.</w:t>
      </w:r>
    </w:p>
    <w:p w14:paraId="748A40F7"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(82) Jaishankar, J., and Srivastava, P. (2017, October 16) Molecular basis of stationary phase survival and applications. </w:t>
      </w:r>
      <w:r w:rsidRPr="004F3109">
        <w:rPr>
          <w:rFonts w:cs="Arial"/>
          <w:i/>
          <w:iCs/>
          <w:noProof/>
          <w:lang w:val="en-US"/>
        </w:rPr>
        <w:t>Front. Microbiol.</w:t>
      </w:r>
      <w:r w:rsidRPr="004F3109">
        <w:rPr>
          <w:rFonts w:cs="Arial"/>
          <w:noProof/>
          <w:lang w:val="en-US"/>
        </w:rPr>
        <w:t xml:space="preserve"> Frontiers Media S.A.</w:t>
      </w:r>
    </w:p>
    <w:p w14:paraId="76EB3ED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(83) Bartolomeo, M. P., and Maisano, F. (2006) Validation of a reversed-phase HPLC method for quantitative amino acid analysis. </w:t>
      </w:r>
      <w:r w:rsidRPr="004F3109">
        <w:rPr>
          <w:rFonts w:cs="Arial"/>
          <w:i/>
          <w:iCs/>
          <w:noProof/>
          <w:lang w:val="en-US"/>
        </w:rPr>
        <w:t>J. Biomol. Tech.</w:t>
      </w:r>
      <w:r w:rsidRPr="004F3109">
        <w:rPr>
          <w:rFonts w:cs="Arial"/>
          <w:noProof/>
          <w:lang w:val="en-US"/>
        </w:rPr>
        <w:t xml:space="preserve"> </w:t>
      </w:r>
      <w:r w:rsidRPr="004F3109">
        <w:rPr>
          <w:rFonts w:cs="Arial"/>
          <w:i/>
          <w:iCs/>
          <w:noProof/>
          <w:lang w:val="en-US"/>
        </w:rPr>
        <w:t>17</w:t>
      </w:r>
      <w:r w:rsidRPr="004F3109">
        <w:rPr>
          <w:rFonts w:cs="Arial"/>
          <w:noProof/>
          <w:lang w:val="en-US"/>
        </w:rPr>
        <w:t>, 131–137.</w:t>
      </w:r>
    </w:p>
    <w:p w14:paraId="39D6825E"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(84) Hauck, T., Landmann, C., Brühlmann, F., and Schwab, W. (2003) Formation of 5-methyl-4-hydroxy-3[2H]-furanone in cytosolic extracts obtained from Zygosaccharomyces rouxii. </w:t>
      </w:r>
      <w:r w:rsidRPr="004F3109">
        <w:rPr>
          <w:rFonts w:cs="Arial"/>
          <w:i/>
          <w:iCs/>
          <w:noProof/>
          <w:lang w:val="en-US"/>
        </w:rPr>
        <w:t>J. Agric. Food Chem.</w:t>
      </w:r>
      <w:r w:rsidRPr="004F3109">
        <w:rPr>
          <w:rFonts w:cs="Arial"/>
          <w:noProof/>
          <w:lang w:val="en-US"/>
        </w:rPr>
        <w:t xml:space="preserve"> </w:t>
      </w:r>
      <w:r w:rsidRPr="004F3109">
        <w:rPr>
          <w:rFonts w:cs="Arial"/>
          <w:i/>
          <w:iCs/>
          <w:noProof/>
          <w:lang w:val="en-US"/>
        </w:rPr>
        <w:t>51</w:t>
      </w:r>
      <w:r w:rsidRPr="004F3109">
        <w:rPr>
          <w:rFonts w:cs="Arial"/>
          <w:noProof/>
          <w:lang w:val="en-US"/>
        </w:rPr>
        <w:t>, 1410–1414.</w:t>
      </w:r>
    </w:p>
    <w:p w14:paraId="755415E7"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(85) Huang, H., Yuan, M., Seitzer, P., Ludwigsen, S., and Asara, J. M. (2020) IsoSearch: An Untargeted and Unbiased Metabolite and Lipid Isotopomer Tracing Strategy from HR-LC-MS/MS Datasets. </w:t>
      </w:r>
      <w:r w:rsidRPr="004F3109">
        <w:rPr>
          <w:rFonts w:cs="Arial"/>
          <w:i/>
          <w:iCs/>
          <w:noProof/>
          <w:lang w:val="en-US"/>
        </w:rPr>
        <w:t>Methods Protoc.</w:t>
      </w:r>
      <w:r w:rsidRPr="004F3109">
        <w:rPr>
          <w:rFonts w:cs="Arial"/>
          <w:noProof/>
          <w:lang w:val="en-US"/>
        </w:rPr>
        <w:t xml:space="preserve"> </w:t>
      </w:r>
      <w:r w:rsidRPr="004F3109">
        <w:rPr>
          <w:rFonts w:cs="Arial"/>
          <w:i/>
          <w:iCs/>
          <w:noProof/>
          <w:lang w:val="en-US"/>
        </w:rPr>
        <w:t>3</w:t>
      </w:r>
      <w:r w:rsidRPr="004F3109">
        <w:rPr>
          <w:rFonts w:cs="Arial"/>
          <w:noProof/>
          <w:lang w:val="en-US"/>
        </w:rPr>
        <w:t>, 1–16.</w:t>
      </w:r>
    </w:p>
    <w:p w14:paraId="35D9433E"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lastRenderedPageBreak/>
        <w:t xml:space="preserve">(86) Guterl, J. K., Garbe, D., Carsten, J., Steffler, F., Sommer, B., Reiße, S., Philipp, A., Haack, M., Rühmann, B., Koltermann, A., Kettling, U., Brück, T., and Sieber, V. (2012) Cell-free metabolic engineering: Production of chemicals by minimized reaction cascades. </w:t>
      </w:r>
      <w:r w:rsidRPr="004F3109">
        <w:rPr>
          <w:rFonts w:cs="Arial"/>
          <w:i/>
          <w:iCs/>
          <w:noProof/>
          <w:lang w:val="en-US"/>
        </w:rPr>
        <w:t>ChemSusChem</w:t>
      </w:r>
      <w:r w:rsidRPr="004F3109">
        <w:rPr>
          <w:rFonts w:cs="Arial"/>
          <w:noProof/>
          <w:lang w:val="en-US"/>
        </w:rPr>
        <w:t xml:space="preserve"> </w:t>
      </w:r>
      <w:r w:rsidRPr="004F3109">
        <w:rPr>
          <w:rFonts w:cs="Arial"/>
          <w:i/>
          <w:iCs/>
          <w:noProof/>
          <w:lang w:val="en-US"/>
        </w:rPr>
        <w:t>5</w:t>
      </w:r>
      <w:r w:rsidRPr="004F3109">
        <w:rPr>
          <w:rFonts w:cs="Arial"/>
          <w:noProof/>
          <w:lang w:val="en-US"/>
        </w:rPr>
        <w:t>, 2165–2172.</w:t>
      </w:r>
    </w:p>
    <w:p w14:paraId="6AF572F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(87) Shin, J., and Noireaux, V. (2012) An E. coli cell-free expression toolbox: Application to synthetic gene circuits and artificial cells.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1</w:t>
      </w:r>
      <w:r w:rsidRPr="004F3109">
        <w:rPr>
          <w:rFonts w:cs="Arial"/>
          <w:noProof/>
          <w:lang w:val="en-US"/>
        </w:rPr>
        <w:t>, 29–41.</w:t>
      </w:r>
    </w:p>
    <w:p w14:paraId="65487EF1"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(88) Wang, H. H., Huang, P.-Y., Xu, G., Haas, W., Marblestone, A., Li, J., Gygi, S. P., Forster, A. C., Jewett, M. C., and Church, G. M. (2012) Multiplexed in vivo His-tagging of enzyme pathways for in vitro single-pot multienzyme catalysis.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1</w:t>
      </w:r>
      <w:r w:rsidRPr="004F3109">
        <w:rPr>
          <w:rFonts w:cs="Arial"/>
          <w:noProof/>
          <w:lang w:val="en-US"/>
        </w:rPr>
        <w:t>, 43–52.</w:t>
      </w:r>
    </w:p>
    <w:p w14:paraId="293ABE4A"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(89) Sun, Z. Z., Hayes, C. a, Shin, J., Caschera, F., Murray, R. M., and Noireaux, V. (2013) Protocols for implementing an Escherichia coli based TX-TL cell-free expression system for synthetic biology. </w:t>
      </w:r>
      <w:r w:rsidRPr="004F3109">
        <w:rPr>
          <w:rFonts w:cs="Arial"/>
          <w:i/>
          <w:iCs/>
          <w:noProof/>
          <w:lang w:val="en-US"/>
        </w:rPr>
        <w:t>J. Vis. Exp.</w:t>
      </w:r>
      <w:r w:rsidRPr="004F3109">
        <w:rPr>
          <w:rFonts w:cs="Arial"/>
          <w:noProof/>
          <w:lang w:val="en-US"/>
        </w:rPr>
        <w:t xml:space="preserve"> e50762.</w:t>
      </w:r>
    </w:p>
    <w:p w14:paraId="4DA2F57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(90) Hurst, G. B., Asano, K. G., Doktycz, C. J., Consoli, E. J., Doktycz, W. L., Foster, C. M., Morrell-Falvey, J. L., Standaert, R. F., and Doktycz, M. J. (2017) Proteomics-Based Tools for Evaluation of Cell-Free Protein Synthesis. </w:t>
      </w:r>
      <w:r w:rsidRPr="004F3109">
        <w:rPr>
          <w:rFonts w:cs="Arial"/>
          <w:i/>
          <w:iCs/>
          <w:noProof/>
          <w:lang w:val="en-US"/>
        </w:rPr>
        <w:t>Anal. Chem.</w:t>
      </w:r>
      <w:r w:rsidRPr="004F3109">
        <w:rPr>
          <w:rFonts w:cs="Arial"/>
          <w:noProof/>
          <w:lang w:val="en-US"/>
        </w:rPr>
        <w:t xml:space="preserve"> acs.analchem.7b02555.</w:t>
      </w:r>
    </w:p>
    <w:p w14:paraId="7FAF0B1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(91) Rollin, J. A., Del Campo, J. M., Myung, S., Sun, F., You, C., Bakovic, A., Castro, R., Chandrayan, S. K., Wu, C. H., Adams, M. W. W., Senger, R. S., and Zhang, Y. H. P. (2015) High-yield hydrogen production from biomass by in vitro metabolic engineering: Mixed sugars coutilization and kinetic modeling. </w:t>
      </w:r>
      <w:r w:rsidRPr="004F3109">
        <w:rPr>
          <w:rFonts w:cs="Arial"/>
          <w:i/>
          <w:iCs/>
          <w:noProof/>
          <w:lang w:val="en-US"/>
        </w:rPr>
        <w:t>Proc. Natl. Acad. Sci. U. S. A.</w:t>
      </w:r>
      <w:r w:rsidRPr="004F3109">
        <w:rPr>
          <w:rFonts w:cs="Arial"/>
          <w:noProof/>
          <w:lang w:val="en-US"/>
        </w:rPr>
        <w:t xml:space="preserve"> </w:t>
      </w:r>
      <w:r w:rsidRPr="004F3109">
        <w:rPr>
          <w:rFonts w:cs="Arial"/>
          <w:i/>
          <w:iCs/>
          <w:noProof/>
          <w:lang w:val="en-US"/>
        </w:rPr>
        <w:t>112</w:t>
      </w:r>
      <w:r w:rsidRPr="004F3109">
        <w:rPr>
          <w:rFonts w:cs="Arial"/>
          <w:noProof/>
          <w:lang w:val="en-US"/>
        </w:rPr>
        <w:t>, 4964–4969.</w:t>
      </w:r>
    </w:p>
    <w:p w14:paraId="7948D0FC"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(92) Wiegand, D. J., Lee, H. H., Ostrov, N., and Church, G. M. (2019) Cell-free Protein Expression Using the Rapidly Growing Bacterium &lt;em&gt;Vibrio natriegens&lt;/em&gt;. </w:t>
      </w:r>
      <w:r w:rsidRPr="004F3109">
        <w:rPr>
          <w:rFonts w:cs="Arial"/>
          <w:i/>
          <w:iCs/>
          <w:noProof/>
          <w:lang w:val="en-US"/>
        </w:rPr>
        <w:t>J. Vis. Exp.</w:t>
      </w:r>
      <w:r w:rsidRPr="004F3109">
        <w:rPr>
          <w:rFonts w:cs="Arial"/>
          <w:noProof/>
          <w:lang w:val="en-US"/>
        </w:rPr>
        <w:t xml:space="preserve"> </w:t>
      </w:r>
      <w:r w:rsidRPr="004F3109">
        <w:rPr>
          <w:rFonts w:cs="Arial"/>
          <w:i/>
          <w:iCs/>
          <w:noProof/>
          <w:lang w:val="en-US"/>
        </w:rPr>
        <w:t>176</w:t>
      </w:r>
      <w:r w:rsidRPr="004F3109">
        <w:rPr>
          <w:rFonts w:cs="Arial"/>
          <w:noProof/>
          <w:lang w:val="en-US"/>
        </w:rPr>
        <w:t>, 139–148.</w:t>
      </w:r>
    </w:p>
    <w:p w14:paraId="798641C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(93) Krüger, A., Mueller, A. P., Rybnicky, G. A., Engle, N. L., Yang, Z. K., Tschaplinski, T. J., Simpson, S. D., Köpke, M., and Jewett, M. C. (2020) Development of a clostridia-based cell-free system for prototyping genetic parts and metabolic pathways. </w:t>
      </w:r>
      <w:r w:rsidRPr="004F3109">
        <w:rPr>
          <w:rFonts w:cs="Arial"/>
          <w:i/>
          <w:iCs/>
          <w:noProof/>
          <w:lang w:val="en-US"/>
        </w:rPr>
        <w:t>Metab. Eng.</w:t>
      </w:r>
      <w:r w:rsidRPr="004F3109">
        <w:rPr>
          <w:rFonts w:cs="Arial"/>
          <w:noProof/>
          <w:lang w:val="en-US"/>
        </w:rPr>
        <w:t xml:space="preserve"> </w:t>
      </w:r>
      <w:r w:rsidRPr="004F3109">
        <w:rPr>
          <w:rFonts w:cs="Arial"/>
          <w:i/>
          <w:iCs/>
          <w:noProof/>
          <w:lang w:val="en-US"/>
        </w:rPr>
        <w:t>62</w:t>
      </w:r>
      <w:r w:rsidRPr="004F3109">
        <w:rPr>
          <w:rFonts w:cs="Arial"/>
          <w:noProof/>
          <w:lang w:val="en-US"/>
        </w:rPr>
        <w:t>, 95–105.</w:t>
      </w:r>
    </w:p>
    <w:p w14:paraId="2E95DD8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(94) Timm, A. C., Shankles, P. G., Foster, C. M., Doktycz, M. J., and Retterer, S. T. (2016) Toward Microfluidic Reactors for Cell-Free Protein Synthesis at the Point-of-Care. </w:t>
      </w:r>
      <w:r w:rsidRPr="004F3109">
        <w:rPr>
          <w:rFonts w:cs="Arial"/>
          <w:i/>
          <w:iCs/>
          <w:noProof/>
          <w:lang w:val="en-US"/>
        </w:rPr>
        <w:t>Small</w:t>
      </w:r>
      <w:r w:rsidRPr="004F3109">
        <w:rPr>
          <w:rFonts w:cs="Arial"/>
          <w:noProof/>
          <w:lang w:val="en-US"/>
        </w:rPr>
        <w:t xml:space="preserve"> </w:t>
      </w:r>
      <w:r w:rsidRPr="004F3109">
        <w:rPr>
          <w:rFonts w:cs="Arial"/>
          <w:i/>
          <w:iCs/>
          <w:noProof/>
          <w:lang w:val="en-US"/>
        </w:rPr>
        <w:t>12</w:t>
      </w:r>
      <w:r w:rsidRPr="004F3109">
        <w:rPr>
          <w:rFonts w:cs="Arial"/>
          <w:noProof/>
          <w:lang w:val="en-US"/>
        </w:rPr>
        <w:t>, 810–817.</w:t>
      </w:r>
    </w:p>
    <w:p w14:paraId="4660A8C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lastRenderedPageBreak/>
        <w:t xml:space="preserve">(95) Tinafar, A., Jaenes, K., and Pardee, K. (2019) Synthetic Biology Goes Cell-Free. </w:t>
      </w:r>
      <w:r w:rsidRPr="004F3109">
        <w:rPr>
          <w:rFonts w:cs="Arial"/>
          <w:i/>
          <w:iCs/>
          <w:noProof/>
          <w:lang w:val="en-US"/>
        </w:rPr>
        <w:t>BMC Biol.</w:t>
      </w:r>
      <w:r w:rsidRPr="004F3109">
        <w:rPr>
          <w:rFonts w:cs="Arial"/>
          <w:noProof/>
          <w:lang w:val="en-US"/>
        </w:rPr>
        <w:t xml:space="preserve"> </w:t>
      </w:r>
      <w:r w:rsidRPr="004F3109">
        <w:rPr>
          <w:rFonts w:cs="Arial"/>
          <w:i/>
          <w:iCs/>
          <w:noProof/>
          <w:lang w:val="en-US"/>
        </w:rPr>
        <w:t>17</w:t>
      </w:r>
      <w:r w:rsidRPr="004F3109">
        <w:rPr>
          <w:rFonts w:cs="Arial"/>
          <w:noProof/>
          <w:lang w:val="en-US"/>
        </w:rPr>
        <w:t>, 1–14.</w:t>
      </w:r>
    </w:p>
    <w:p w14:paraId="0538F774"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(96) Schmidt, A., Kochanowski, K., Vedelaar, S., Ahrné, E., Volkmer, B., Callipo, L., Knoops, K., Bauer, M., Aebersold, R., and Heinemann, M. (2016) The quantitative and condition-dependent Escherichia coli proteome. </w:t>
      </w:r>
      <w:r w:rsidRPr="004F3109">
        <w:rPr>
          <w:rFonts w:cs="Arial"/>
          <w:i/>
          <w:iCs/>
          <w:noProof/>
          <w:lang w:val="en-US"/>
        </w:rPr>
        <w:t>Nat. Biotechnol.</w:t>
      </w:r>
      <w:r w:rsidRPr="004F3109">
        <w:rPr>
          <w:rFonts w:cs="Arial"/>
          <w:noProof/>
          <w:lang w:val="en-US"/>
        </w:rPr>
        <w:t xml:space="preserve"> </w:t>
      </w:r>
      <w:r w:rsidRPr="004F3109">
        <w:rPr>
          <w:rFonts w:cs="Arial"/>
          <w:i/>
          <w:iCs/>
          <w:noProof/>
          <w:lang w:val="en-US"/>
        </w:rPr>
        <w:t>34</w:t>
      </w:r>
      <w:r w:rsidRPr="004F3109">
        <w:rPr>
          <w:rFonts w:cs="Arial"/>
          <w:noProof/>
          <w:lang w:val="en-US"/>
        </w:rPr>
        <w:t>, 104–110.</w:t>
      </w:r>
    </w:p>
    <w:p w14:paraId="7579BFFB"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(97) Yin, G., Garces, E. D., Yang, J., Zhang, J., Tran, C., Steiner, A. R., Roos, C., Bajad, S., Hudak, S., Penta, K., Zawada, J., Pollitt, S., and Murray, C. J. (2012) Aglycosylated antibodies and antibody fragments produced in a scalable in vitro transcription-translation system. </w:t>
      </w:r>
      <w:r w:rsidRPr="004F3109">
        <w:rPr>
          <w:rFonts w:cs="Arial"/>
          <w:i/>
          <w:iCs/>
          <w:noProof/>
          <w:lang w:val="en-US"/>
        </w:rPr>
        <w:t>MAbs</w:t>
      </w:r>
      <w:r w:rsidRPr="004F3109">
        <w:rPr>
          <w:rFonts w:cs="Arial"/>
          <w:noProof/>
          <w:lang w:val="en-US"/>
        </w:rPr>
        <w:t xml:space="preserve"> </w:t>
      </w:r>
      <w:r w:rsidRPr="004F3109">
        <w:rPr>
          <w:rFonts w:cs="Arial"/>
          <w:i/>
          <w:iCs/>
          <w:noProof/>
          <w:lang w:val="en-US"/>
        </w:rPr>
        <w:t>4</w:t>
      </w:r>
      <w:r w:rsidRPr="004F3109">
        <w:rPr>
          <w:rFonts w:cs="Arial"/>
          <w:noProof/>
          <w:lang w:val="en-US"/>
        </w:rPr>
        <w:t>, 217–225.</w:t>
      </w:r>
    </w:p>
    <w:p w14:paraId="5AC6EBC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(98) Oesterle, S., Roberts, T. M., Widmer, L. A., Mustafa, H., Panke, S., and Billerbeck, S. (2017) Sequence-based prediction of permissive stretches for internal protein tagging and knockdown. </w:t>
      </w:r>
      <w:r w:rsidRPr="004F3109">
        <w:rPr>
          <w:rFonts w:cs="Arial"/>
          <w:i/>
          <w:iCs/>
          <w:noProof/>
          <w:lang w:val="en-US"/>
        </w:rPr>
        <w:t>BMC Biol.</w:t>
      </w:r>
      <w:r w:rsidRPr="004F3109">
        <w:rPr>
          <w:rFonts w:cs="Arial"/>
          <w:noProof/>
          <w:lang w:val="en-US"/>
        </w:rPr>
        <w:t xml:space="preserve"> </w:t>
      </w:r>
      <w:r w:rsidRPr="004F3109">
        <w:rPr>
          <w:rFonts w:cs="Arial"/>
          <w:i/>
          <w:iCs/>
          <w:noProof/>
          <w:lang w:val="en-US"/>
        </w:rPr>
        <w:t>15</w:t>
      </w:r>
      <w:r w:rsidRPr="004F3109">
        <w:rPr>
          <w:rFonts w:cs="Arial"/>
          <w:noProof/>
          <w:lang w:val="en-US"/>
        </w:rPr>
        <w:t>, 1–17.</w:t>
      </w:r>
    </w:p>
    <w:p w14:paraId="1C502B34"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(99) Zhang, X., Tervo, C. J., and Reed, J. L. (2016) Metabolic assessment of E. coli as a Biofactory for commercial products. </w:t>
      </w:r>
      <w:r w:rsidRPr="004F3109">
        <w:rPr>
          <w:rFonts w:cs="Arial"/>
          <w:i/>
          <w:iCs/>
          <w:noProof/>
          <w:lang w:val="en-US"/>
        </w:rPr>
        <w:t>Metab. Eng.</w:t>
      </w:r>
      <w:r w:rsidRPr="004F3109">
        <w:rPr>
          <w:rFonts w:cs="Arial"/>
          <w:noProof/>
          <w:lang w:val="en-US"/>
        </w:rPr>
        <w:t xml:space="preserve"> </w:t>
      </w:r>
      <w:r w:rsidRPr="004F3109">
        <w:rPr>
          <w:rFonts w:cs="Arial"/>
          <w:i/>
          <w:iCs/>
          <w:noProof/>
          <w:lang w:val="en-US"/>
        </w:rPr>
        <w:t>35</w:t>
      </w:r>
      <w:r w:rsidRPr="004F3109">
        <w:rPr>
          <w:rFonts w:cs="Arial"/>
          <w:noProof/>
          <w:lang w:val="en-US"/>
        </w:rPr>
        <w:t>, 64–74.</w:t>
      </w:r>
    </w:p>
    <w:p w14:paraId="4A9631AC"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(100) Maleki, N., and Eiteman, M. (2017) Recent Progress in the Microbial Production of Pyruvic Acid. </w:t>
      </w:r>
      <w:r w:rsidRPr="004F3109">
        <w:rPr>
          <w:rFonts w:cs="Arial"/>
          <w:i/>
          <w:iCs/>
          <w:noProof/>
          <w:lang w:val="en-US"/>
        </w:rPr>
        <w:t>Fermentation</w:t>
      </w:r>
      <w:r w:rsidRPr="004F3109">
        <w:rPr>
          <w:rFonts w:cs="Arial"/>
          <w:noProof/>
          <w:lang w:val="en-US"/>
        </w:rPr>
        <w:t xml:space="preserve"> </w:t>
      </w:r>
      <w:r w:rsidRPr="004F3109">
        <w:rPr>
          <w:rFonts w:cs="Arial"/>
          <w:i/>
          <w:iCs/>
          <w:noProof/>
          <w:lang w:val="en-US"/>
        </w:rPr>
        <w:t>3</w:t>
      </w:r>
      <w:r w:rsidRPr="004F3109">
        <w:rPr>
          <w:rFonts w:cs="Arial"/>
          <w:noProof/>
          <w:lang w:val="en-US"/>
        </w:rPr>
        <w:t>, 8.</w:t>
      </w:r>
    </w:p>
    <w:p w14:paraId="7EFC6DC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(101) Dai, Z., and Nielsen, J. (2015) Advancing metabolic engineering through systems biology of industrial microorganisms. </w:t>
      </w:r>
      <w:r w:rsidRPr="004F3109">
        <w:rPr>
          <w:rFonts w:cs="Arial"/>
          <w:i/>
          <w:iCs/>
          <w:noProof/>
          <w:lang w:val="en-US"/>
        </w:rPr>
        <w:t>Curr. Opin. Biotechnol.</w:t>
      </w:r>
      <w:r w:rsidRPr="004F3109">
        <w:rPr>
          <w:rFonts w:cs="Arial"/>
          <w:noProof/>
          <w:lang w:val="en-US"/>
        </w:rPr>
        <w:t xml:space="preserve"> </w:t>
      </w:r>
      <w:r w:rsidRPr="004F3109">
        <w:rPr>
          <w:rFonts w:cs="Arial"/>
          <w:i/>
          <w:iCs/>
          <w:noProof/>
          <w:lang w:val="en-US"/>
        </w:rPr>
        <w:t>36</w:t>
      </w:r>
      <w:r w:rsidRPr="004F3109">
        <w:rPr>
          <w:rFonts w:cs="Arial"/>
          <w:noProof/>
          <w:lang w:val="en-US"/>
        </w:rPr>
        <w:t>, 8–15.</w:t>
      </w:r>
    </w:p>
    <w:p w14:paraId="350C1A0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(102) T. Rydzak*, D. Garcia, M. Sladek, D.M. Klingeman, S. D. B. and A. G. (2016) Understanding nitrogen assimilation in Clostridium thermocellum for bioengineering. </w:t>
      </w:r>
      <w:r w:rsidRPr="004F3109">
        <w:rPr>
          <w:rFonts w:cs="Arial"/>
          <w:i/>
          <w:iCs/>
          <w:noProof/>
          <w:lang w:val="en-US"/>
        </w:rPr>
        <w:t>2016 SIMB Annu. Meet. Exhib.</w:t>
      </w:r>
    </w:p>
    <w:p w14:paraId="2C50256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(103) Lougheed, K. E. A., Bennett, M. H., and Williams, H. D. (2014) An in vivo crosslinking system for identifying mycobacterial protein-protein interactions. </w:t>
      </w:r>
      <w:r w:rsidRPr="004F3109">
        <w:rPr>
          <w:rFonts w:cs="Arial"/>
          <w:i/>
          <w:iCs/>
          <w:noProof/>
          <w:lang w:val="en-US"/>
        </w:rPr>
        <w:t>J. Microbiol. Methods</w:t>
      </w:r>
      <w:r w:rsidRPr="004F3109">
        <w:rPr>
          <w:rFonts w:cs="Arial"/>
          <w:noProof/>
          <w:lang w:val="en-US"/>
        </w:rPr>
        <w:t xml:space="preserve"> </w:t>
      </w:r>
      <w:r w:rsidRPr="004F3109">
        <w:rPr>
          <w:rFonts w:cs="Arial"/>
          <w:i/>
          <w:iCs/>
          <w:noProof/>
          <w:lang w:val="en-US"/>
        </w:rPr>
        <w:t>105</w:t>
      </w:r>
      <w:r w:rsidRPr="004F3109">
        <w:rPr>
          <w:rFonts w:cs="Arial"/>
          <w:noProof/>
          <w:lang w:val="en-US"/>
        </w:rPr>
        <w:t>, 67–71.</w:t>
      </w:r>
    </w:p>
    <w:p w14:paraId="19B71771"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(104) Halliwell, C. M., Morgan, G., Ou, C. P., and Cass, A. E. G. (2001) Introduction of a (poly)histidine tag in L-lactate dehydrogenase produces a mixture of active and inactive </w:t>
      </w:r>
      <w:r w:rsidRPr="004F3109">
        <w:rPr>
          <w:rFonts w:cs="Arial"/>
          <w:noProof/>
          <w:lang w:val="en-US"/>
        </w:rPr>
        <w:lastRenderedPageBreak/>
        <w:t xml:space="preserve">molecules. </w:t>
      </w:r>
      <w:r w:rsidRPr="004F3109">
        <w:rPr>
          <w:rFonts w:cs="Arial"/>
          <w:i/>
          <w:iCs/>
          <w:noProof/>
          <w:lang w:val="en-US"/>
        </w:rPr>
        <w:t>Anal. Biochem.</w:t>
      </w:r>
      <w:r w:rsidRPr="004F3109">
        <w:rPr>
          <w:rFonts w:cs="Arial"/>
          <w:noProof/>
          <w:lang w:val="en-US"/>
        </w:rPr>
        <w:t xml:space="preserve"> </w:t>
      </w:r>
      <w:r w:rsidRPr="004F3109">
        <w:rPr>
          <w:rFonts w:cs="Arial"/>
          <w:i/>
          <w:iCs/>
          <w:noProof/>
          <w:lang w:val="en-US"/>
        </w:rPr>
        <w:t>295</w:t>
      </w:r>
      <w:r w:rsidRPr="004F3109">
        <w:rPr>
          <w:rFonts w:cs="Arial"/>
          <w:noProof/>
          <w:lang w:val="en-US"/>
        </w:rPr>
        <w:t>, 257–261.</w:t>
      </w:r>
    </w:p>
    <w:p w14:paraId="200B00A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(105) Nyerges, Á., Csörgő, B., Nagy, I., Bálint, B., Bihari, P., Lázár, V., Apjok, G., Umenhoffer, K., Bogos, B., Pósfai, G., and Pál, C. (2016) A highly precise and portable genome engineering method allows comparison of mutational effects across bacterial species. </w:t>
      </w:r>
      <w:r w:rsidRPr="004F3109">
        <w:rPr>
          <w:rFonts w:cs="Arial"/>
          <w:i/>
          <w:iCs/>
          <w:noProof/>
          <w:lang w:val="en-US"/>
        </w:rPr>
        <w:t>Proc. Natl. Acad. Sci. U. S. A.</w:t>
      </w:r>
      <w:r w:rsidRPr="004F3109">
        <w:rPr>
          <w:rFonts w:cs="Arial"/>
          <w:noProof/>
          <w:lang w:val="en-US"/>
        </w:rPr>
        <w:t xml:space="preserve"> </w:t>
      </w:r>
      <w:r w:rsidRPr="004F3109">
        <w:rPr>
          <w:rFonts w:cs="Arial"/>
          <w:i/>
          <w:iCs/>
          <w:noProof/>
          <w:lang w:val="en-US"/>
        </w:rPr>
        <w:t>113</w:t>
      </w:r>
      <w:r w:rsidRPr="004F3109">
        <w:rPr>
          <w:rFonts w:cs="Arial"/>
          <w:noProof/>
          <w:lang w:val="en-US"/>
        </w:rPr>
        <w:t>, 2502–7.</w:t>
      </w:r>
    </w:p>
    <w:p w14:paraId="6125B04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(106) Bujara, M., Mperli, M., Pellaux, R., Heinemann, M., Panke, S., Schümperli, M., Pellaux, R., Heinemann, M., and Panke, S. (2011) Optimization of a blueprint for in vitro glycolysis by metabolic real-time analysis. </w:t>
      </w:r>
      <w:r w:rsidRPr="004F3109">
        <w:rPr>
          <w:rFonts w:cs="Arial"/>
          <w:i/>
          <w:iCs/>
          <w:noProof/>
          <w:lang w:val="en-US"/>
        </w:rPr>
        <w:t>Nat. Chem. Biol.</w:t>
      </w:r>
      <w:r w:rsidRPr="004F3109">
        <w:rPr>
          <w:rFonts w:cs="Arial"/>
          <w:noProof/>
          <w:lang w:val="en-US"/>
        </w:rPr>
        <w:t xml:space="preserve"> </w:t>
      </w:r>
      <w:r w:rsidRPr="004F3109">
        <w:rPr>
          <w:rFonts w:cs="Arial"/>
          <w:i/>
          <w:iCs/>
          <w:noProof/>
          <w:lang w:val="en-US"/>
        </w:rPr>
        <w:t>7</w:t>
      </w:r>
      <w:r w:rsidRPr="004F3109">
        <w:rPr>
          <w:rFonts w:cs="Arial"/>
          <w:noProof/>
          <w:lang w:val="en-US"/>
        </w:rPr>
        <w:t>, 271–277.</w:t>
      </w:r>
    </w:p>
    <w:p w14:paraId="7DE8A64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(107) Soini, J., Ukkonen, K., and Neubauer, P. (2008) High cell density media for Escherichia coli are generally designed for aerobic cultivations - Consequences for large-scale bioprocesses and shake flask cultures. </w:t>
      </w:r>
      <w:r w:rsidRPr="004F3109">
        <w:rPr>
          <w:rFonts w:cs="Arial"/>
          <w:i/>
          <w:iCs/>
          <w:noProof/>
          <w:lang w:val="en-US"/>
        </w:rPr>
        <w:t>Microb. Cell Fact.</w:t>
      </w:r>
      <w:r w:rsidRPr="004F3109">
        <w:rPr>
          <w:rFonts w:cs="Arial"/>
          <w:noProof/>
          <w:lang w:val="en-US"/>
        </w:rPr>
        <w:t xml:space="preserve"> </w:t>
      </w:r>
      <w:r w:rsidRPr="004F3109">
        <w:rPr>
          <w:rFonts w:cs="Arial"/>
          <w:i/>
          <w:iCs/>
          <w:noProof/>
          <w:lang w:val="en-US"/>
        </w:rPr>
        <w:t>7</w:t>
      </w:r>
      <w:r w:rsidRPr="004F3109">
        <w:rPr>
          <w:rFonts w:cs="Arial"/>
          <w:noProof/>
          <w:lang w:val="en-US"/>
        </w:rPr>
        <w:t>, 26.</w:t>
      </w:r>
    </w:p>
    <w:p w14:paraId="613FCFC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(108) Enfors, S. O., Jahic, M., Rozkov, A., Xu, B., Hecker, M., Jürgen, B., Krüger, E., Schweder, T., Hamer, G., O’Beirne, D., Noisommit-Rizzi, N., Reuss, M., Boone, L., Hewitt, C., McFarlane, C., Nienow, A., Kovacs, T., Trägårdh, C., Fuchs, L., Revstedt, J., Friberg, P. C., Hjertager, B., Blomsten, G., Skogman, H., Hjort, S., Hoeks, F., Lin, H. Y., Neubauer, P., Van der Lans, R., Luyben, K., Vrabel, P., and Manelius, Å. (2001) Physiological responses to mixing in large scale bioreactors. </w:t>
      </w:r>
      <w:r w:rsidRPr="004F3109">
        <w:rPr>
          <w:rFonts w:cs="Arial"/>
          <w:i/>
          <w:iCs/>
          <w:noProof/>
          <w:lang w:val="en-US"/>
        </w:rPr>
        <w:t>J. Biotechnol.</w:t>
      </w:r>
      <w:r w:rsidRPr="004F3109">
        <w:rPr>
          <w:rFonts w:cs="Arial"/>
          <w:noProof/>
          <w:lang w:val="en-US"/>
        </w:rPr>
        <w:t xml:space="preserve"> </w:t>
      </w:r>
      <w:r w:rsidRPr="004F3109">
        <w:rPr>
          <w:rFonts w:cs="Arial"/>
          <w:i/>
          <w:iCs/>
          <w:noProof/>
          <w:lang w:val="en-US"/>
        </w:rPr>
        <w:t>85</w:t>
      </w:r>
      <w:r w:rsidRPr="004F3109">
        <w:rPr>
          <w:rFonts w:cs="Arial"/>
          <w:noProof/>
          <w:lang w:val="en-US"/>
        </w:rPr>
        <w:t>, 175–185.</w:t>
      </w:r>
    </w:p>
    <w:p w14:paraId="6811F08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(109) Wang, Q., Ou, M. S., Kim, Y., Ingram, L. O., and Shanmugam, K. T. (2010) Metabolie flux control at the pyruvate node in an anaerobic escherichia coli strain with an active pyruvate dehydrogenase. </w:t>
      </w:r>
      <w:r w:rsidRPr="004F3109">
        <w:rPr>
          <w:rFonts w:cs="Arial"/>
          <w:i/>
          <w:iCs/>
          <w:noProof/>
          <w:lang w:val="en-US"/>
        </w:rPr>
        <w:t>Appl. Environ. Microbiol.</w:t>
      </w:r>
      <w:r w:rsidRPr="004F3109">
        <w:rPr>
          <w:rFonts w:cs="Arial"/>
          <w:noProof/>
          <w:lang w:val="en-US"/>
        </w:rPr>
        <w:t xml:space="preserve"> </w:t>
      </w:r>
      <w:r w:rsidRPr="004F3109">
        <w:rPr>
          <w:rFonts w:cs="Arial"/>
          <w:i/>
          <w:iCs/>
          <w:noProof/>
          <w:lang w:val="en-US"/>
        </w:rPr>
        <w:t>76</w:t>
      </w:r>
      <w:r w:rsidRPr="004F3109">
        <w:rPr>
          <w:rFonts w:cs="Arial"/>
          <w:noProof/>
          <w:lang w:val="en-US"/>
        </w:rPr>
        <w:t>, 2107–2114.</w:t>
      </w:r>
    </w:p>
    <w:p w14:paraId="134688C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(110) Xu, B., Jahic, M., Blomsten, G., and Enfors, S. O. (1999) Glucose overflow metabolism and mixed-acid fermentation in aerobic large-scale fed-batch processes with Escherichia coli. </w:t>
      </w:r>
      <w:r w:rsidRPr="004F3109">
        <w:rPr>
          <w:rFonts w:cs="Arial"/>
          <w:i/>
          <w:iCs/>
          <w:noProof/>
          <w:lang w:val="en-US"/>
        </w:rPr>
        <w:t>Appl. Microbiol. Biotechnol.</w:t>
      </w:r>
      <w:r w:rsidRPr="004F3109">
        <w:rPr>
          <w:rFonts w:cs="Arial"/>
          <w:noProof/>
          <w:lang w:val="en-US"/>
        </w:rPr>
        <w:t xml:space="preserve"> </w:t>
      </w:r>
      <w:r w:rsidRPr="004F3109">
        <w:rPr>
          <w:rFonts w:cs="Arial"/>
          <w:i/>
          <w:iCs/>
          <w:noProof/>
          <w:lang w:val="en-US"/>
        </w:rPr>
        <w:t>51</w:t>
      </w:r>
      <w:r w:rsidRPr="004F3109">
        <w:rPr>
          <w:rFonts w:cs="Arial"/>
          <w:noProof/>
          <w:lang w:val="en-US"/>
        </w:rPr>
        <w:t>, 564–571.</w:t>
      </w:r>
    </w:p>
    <w:p w14:paraId="13FAD4B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(111) Foshag, D., Henrich, E., Hiller, E., Schäfer, M., Kerger, C., Burger-Kentischer, A., Diaz-Moreno, I., García-Mauriño, S. M., Dötsch, V., Rupp, S., and Bernhard, F. (2018) The E. coli S30 lysate proteome: A prototype for cell-free protein production. </w:t>
      </w:r>
      <w:r w:rsidRPr="004F3109">
        <w:rPr>
          <w:rFonts w:cs="Arial"/>
          <w:i/>
          <w:iCs/>
          <w:noProof/>
          <w:lang w:val="en-US"/>
        </w:rPr>
        <w:t>N. Biotechnol.</w:t>
      </w:r>
      <w:r w:rsidRPr="004F3109">
        <w:rPr>
          <w:rFonts w:cs="Arial"/>
          <w:noProof/>
          <w:lang w:val="en-US"/>
        </w:rPr>
        <w:t xml:space="preserve"> </w:t>
      </w:r>
      <w:r w:rsidRPr="004F3109">
        <w:rPr>
          <w:rFonts w:cs="Arial"/>
          <w:i/>
          <w:iCs/>
          <w:noProof/>
          <w:lang w:val="en-US"/>
        </w:rPr>
        <w:t>40</w:t>
      </w:r>
      <w:r w:rsidRPr="004F3109">
        <w:rPr>
          <w:rFonts w:cs="Arial"/>
          <w:noProof/>
          <w:lang w:val="en-US"/>
        </w:rPr>
        <w:t>, 245–260.</w:t>
      </w:r>
    </w:p>
    <w:p w14:paraId="18BEA1A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lastRenderedPageBreak/>
        <w:t xml:space="preserve">(112) Snoep, J. L., de Graef, M. R., Westphal, A. H., de Kok, A., Joost Teixeira de Mattos, M., and Neijssel, O. M. (1993) Differences in sensitivity to NADH of purified pyruvate dehydrogenase complexes of Enterococcus faecalis, Lactococcus lactis, Azotobacter vinelandii and Escherichia coli: Implications for their activity in vivo. </w:t>
      </w:r>
      <w:r w:rsidRPr="004F3109">
        <w:rPr>
          <w:rFonts w:cs="Arial"/>
          <w:i/>
          <w:iCs/>
          <w:noProof/>
          <w:lang w:val="en-US"/>
        </w:rPr>
        <w:t>FEMS Microbiol. Lett.</w:t>
      </w:r>
      <w:r w:rsidRPr="004F3109">
        <w:rPr>
          <w:rFonts w:cs="Arial"/>
          <w:noProof/>
          <w:lang w:val="en-US"/>
        </w:rPr>
        <w:t xml:space="preserve"> </w:t>
      </w:r>
      <w:r w:rsidRPr="004F3109">
        <w:rPr>
          <w:rFonts w:cs="Arial"/>
          <w:i/>
          <w:iCs/>
          <w:noProof/>
          <w:lang w:val="en-US"/>
        </w:rPr>
        <w:t>114</w:t>
      </w:r>
      <w:r w:rsidRPr="004F3109">
        <w:rPr>
          <w:rFonts w:cs="Arial"/>
          <w:noProof/>
          <w:lang w:val="en-US"/>
        </w:rPr>
        <w:t>, 279–283.</w:t>
      </w:r>
    </w:p>
    <w:p w14:paraId="644C809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(113) Murarka, A., Clomburg, J. M., Moran, S., Shanks, J. V., and Gonzalez, R. (2010) Metabolic analysis of wild-type Escherichia coli and a Pyruvate Dehydrogenase Complex (PDHC)-deficient derivative reveals the role of PDHC in the fermentative metabolism of glucose. </w:t>
      </w:r>
      <w:r w:rsidRPr="004F3109">
        <w:rPr>
          <w:rFonts w:cs="Arial"/>
          <w:i/>
          <w:iCs/>
          <w:noProof/>
          <w:lang w:val="en-US"/>
        </w:rPr>
        <w:t>J. Biol. Chem.</w:t>
      </w:r>
      <w:r w:rsidRPr="004F3109">
        <w:rPr>
          <w:rFonts w:cs="Arial"/>
          <w:noProof/>
          <w:lang w:val="en-US"/>
        </w:rPr>
        <w:t xml:space="preserve"> </w:t>
      </w:r>
      <w:r w:rsidRPr="004F3109">
        <w:rPr>
          <w:rFonts w:cs="Arial"/>
          <w:i/>
          <w:iCs/>
          <w:noProof/>
          <w:lang w:val="en-US"/>
        </w:rPr>
        <w:t>285</w:t>
      </w:r>
      <w:r w:rsidRPr="004F3109">
        <w:rPr>
          <w:rFonts w:cs="Arial"/>
          <w:noProof/>
          <w:lang w:val="en-US"/>
        </w:rPr>
        <w:t>, 31548–31558.</w:t>
      </w:r>
    </w:p>
    <w:p w14:paraId="65ED595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(114) Wagner, A. F. V., Frey, M., Neugebauer, F. A., Schafer, W., and Knappe, J. (1992) The free radical in pyruvate formate-lyase is located on glycine-734. </w:t>
      </w:r>
      <w:r w:rsidRPr="004F3109">
        <w:rPr>
          <w:rFonts w:cs="Arial"/>
          <w:i/>
          <w:iCs/>
          <w:noProof/>
          <w:lang w:val="en-US"/>
        </w:rPr>
        <w:t>Proc. Natl. Acad. Sci. U. S. A.</w:t>
      </w:r>
      <w:r w:rsidRPr="004F3109">
        <w:rPr>
          <w:rFonts w:cs="Arial"/>
          <w:noProof/>
          <w:lang w:val="en-US"/>
        </w:rPr>
        <w:t xml:space="preserve"> </w:t>
      </w:r>
      <w:r w:rsidRPr="004F3109">
        <w:rPr>
          <w:rFonts w:cs="Arial"/>
          <w:i/>
          <w:iCs/>
          <w:noProof/>
          <w:lang w:val="en-US"/>
        </w:rPr>
        <w:t>89</w:t>
      </w:r>
      <w:r w:rsidRPr="004F3109">
        <w:rPr>
          <w:rFonts w:cs="Arial"/>
          <w:noProof/>
          <w:lang w:val="en-US"/>
        </w:rPr>
        <w:t>, 996–1000.</w:t>
      </w:r>
    </w:p>
    <w:p w14:paraId="5D8A86C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(115) Wang, H. H., Isaacs, F. J., Carr, P. A., Sun, Z. Z., Xu, G., Forest, C. R., and Church, G. M. (2009) Programming cells by multiplex genome engineering and accelerated evolution. </w:t>
      </w:r>
      <w:r w:rsidRPr="004F3109">
        <w:rPr>
          <w:rFonts w:cs="Arial"/>
          <w:i/>
          <w:iCs/>
          <w:noProof/>
          <w:lang w:val="en-US"/>
        </w:rPr>
        <w:t>Nature</w:t>
      </w:r>
      <w:r w:rsidRPr="004F3109">
        <w:rPr>
          <w:rFonts w:cs="Arial"/>
          <w:noProof/>
          <w:lang w:val="en-US"/>
        </w:rPr>
        <w:t xml:space="preserve"> </w:t>
      </w:r>
      <w:r w:rsidRPr="004F3109">
        <w:rPr>
          <w:rFonts w:cs="Arial"/>
          <w:i/>
          <w:iCs/>
          <w:noProof/>
          <w:lang w:val="en-US"/>
        </w:rPr>
        <w:t>460</w:t>
      </w:r>
      <w:r w:rsidRPr="004F3109">
        <w:rPr>
          <w:rFonts w:cs="Arial"/>
          <w:noProof/>
          <w:lang w:val="en-US"/>
        </w:rPr>
        <w:t>, 894–8.</w:t>
      </w:r>
    </w:p>
    <w:p w14:paraId="26613E0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(116) Ronda, C., Pedersen, L. E., Sommer, M. O. A., and Nielsen, A. T. (2016) CRMAGE: CRISPR Optimized MAGE Recombineering. </w:t>
      </w:r>
      <w:r w:rsidRPr="004F3109">
        <w:rPr>
          <w:rFonts w:cs="Arial"/>
          <w:i/>
          <w:iCs/>
          <w:noProof/>
          <w:lang w:val="en-US"/>
        </w:rPr>
        <w:t>Sci. Rep.</w:t>
      </w:r>
      <w:r w:rsidRPr="004F3109">
        <w:rPr>
          <w:rFonts w:cs="Arial"/>
          <w:noProof/>
          <w:lang w:val="en-US"/>
        </w:rPr>
        <w:t xml:space="preserve"> </w:t>
      </w:r>
      <w:r w:rsidRPr="004F3109">
        <w:rPr>
          <w:rFonts w:cs="Arial"/>
          <w:i/>
          <w:iCs/>
          <w:noProof/>
          <w:lang w:val="en-US"/>
        </w:rPr>
        <w:t>6</w:t>
      </w:r>
      <w:r w:rsidRPr="004F3109">
        <w:rPr>
          <w:rFonts w:cs="Arial"/>
          <w:noProof/>
          <w:lang w:val="en-US"/>
        </w:rPr>
        <w:t>, 19452.</w:t>
      </w:r>
    </w:p>
    <w:p w14:paraId="7B95AC84"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(117) Wang, H. H., and Church, G. M. (2011) Multiplexed genome engineering and genotyping methods: Applications for synthetic biology and metabolic engineering. </w:t>
      </w:r>
      <w:r w:rsidRPr="004F3109">
        <w:rPr>
          <w:rFonts w:cs="Arial"/>
          <w:i/>
          <w:iCs/>
          <w:noProof/>
          <w:lang w:val="en-US"/>
        </w:rPr>
        <w:t>Methods Enzymol.</w:t>
      </w:r>
      <w:r w:rsidRPr="004F3109">
        <w:rPr>
          <w:rFonts w:cs="Arial"/>
          <w:noProof/>
          <w:lang w:val="en-US"/>
        </w:rPr>
        <w:t xml:space="preserve"> 1st ed. Elsevier Inc.</w:t>
      </w:r>
    </w:p>
    <w:p w14:paraId="38084E9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(118) Booth, W. T., Schlachter, C. R., Pote, S., Ussin, N., Mank, N. J., Klapper, V., Offermann, L. R., Tang, C., Hurlburt, B. K., and Chruszcz, M. (2018) Impact of an N</w:t>
      </w:r>
      <w:r w:rsidRPr="004F3109">
        <w:rPr>
          <w:rFonts w:ascii="Cambria Math" w:hAnsi="Cambria Math" w:cs="Cambria Math"/>
          <w:noProof/>
          <w:lang w:val="en-US"/>
        </w:rPr>
        <w:t>‑</w:t>
      </w:r>
      <w:r w:rsidRPr="004F3109">
        <w:rPr>
          <w:rFonts w:cs="Arial"/>
          <w:noProof/>
          <w:lang w:val="en-US"/>
        </w:rPr>
        <w:t xml:space="preserve">terminal polyhistidine tag on protein thermal stability. </w:t>
      </w:r>
      <w:r w:rsidRPr="004F3109">
        <w:rPr>
          <w:rFonts w:cs="Arial"/>
          <w:i/>
          <w:iCs/>
          <w:noProof/>
          <w:lang w:val="en-US"/>
        </w:rPr>
        <w:t>ACS Omega</w:t>
      </w:r>
      <w:r w:rsidRPr="004F3109">
        <w:rPr>
          <w:rFonts w:cs="Arial"/>
          <w:noProof/>
          <w:lang w:val="en-US"/>
        </w:rPr>
        <w:t xml:space="preserve"> </w:t>
      </w:r>
      <w:r w:rsidRPr="004F3109">
        <w:rPr>
          <w:rFonts w:cs="Arial"/>
          <w:i/>
          <w:iCs/>
          <w:noProof/>
          <w:lang w:val="en-US"/>
        </w:rPr>
        <w:t>3</w:t>
      </w:r>
      <w:r w:rsidRPr="004F3109">
        <w:rPr>
          <w:rFonts w:cs="Arial"/>
          <w:noProof/>
          <w:lang w:val="en-US"/>
        </w:rPr>
        <w:t>, 760–768.</w:t>
      </w:r>
    </w:p>
    <w:p w14:paraId="31BB1261"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(119) Wingfield, P. T. (2015) Overview of the Purification of Recombinant Proteins. </w:t>
      </w:r>
      <w:r w:rsidRPr="004F3109">
        <w:rPr>
          <w:rFonts w:cs="Arial"/>
          <w:i/>
          <w:iCs/>
          <w:noProof/>
          <w:lang w:val="en-US"/>
        </w:rPr>
        <w:t>Curr. Protoc. Protein Sci.</w:t>
      </w:r>
      <w:r w:rsidRPr="004F3109">
        <w:rPr>
          <w:rFonts w:cs="Arial"/>
          <w:noProof/>
          <w:lang w:val="en-US"/>
        </w:rPr>
        <w:t xml:space="preserve"> </w:t>
      </w:r>
      <w:r w:rsidRPr="004F3109">
        <w:rPr>
          <w:rFonts w:cs="Arial"/>
          <w:i/>
          <w:iCs/>
          <w:noProof/>
          <w:lang w:val="en-US"/>
        </w:rPr>
        <w:t>80</w:t>
      </w:r>
      <w:r w:rsidRPr="004F3109">
        <w:rPr>
          <w:rFonts w:cs="Arial"/>
          <w:noProof/>
          <w:lang w:val="en-US"/>
        </w:rPr>
        <w:t>, 289–313.</w:t>
      </w:r>
    </w:p>
    <w:p w14:paraId="70BCD6D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(120) Kumari, S., Beatty, C. M., Browning, D. F., Busby, S. J. W., Simel, E. J., and Hovel-Miner, G. (2000) Regulation of acetyl coenzyme A synthetase in escherichia coli. </w:t>
      </w:r>
      <w:r w:rsidRPr="004F3109">
        <w:rPr>
          <w:rFonts w:cs="Arial"/>
          <w:i/>
          <w:iCs/>
          <w:noProof/>
          <w:lang w:val="en-US"/>
        </w:rPr>
        <w:t>J. Bacteriol.</w:t>
      </w:r>
      <w:r w:rsidRPr="004F3109">
        <w:rPr>
          <w:rFonts w:cs="Arial"/>
          <w:noProof/>
          <w:lang w:val="en-US"/>
        </w:rPr>
        <w:t xml:space="preserve"> </w:t>
      </w:r>
      <w:r w:rsidRPr="004F3109">
        <w:rPr>
          <w:rFonts w:cs="Arial"/>
          <w:i/>
          <w:iCs/>
          <w:noProof/>
          <w:lang w:val="en-US"/>
        </w:rPr>
        <w:t>182</w:t>
      </w:r>
      <w:r w:rsidRPr="004F3109">
        <w:rPr>
          <w:rFonts w:cs="Arial"/>
          <w:noProof/>
          <w:lang w:val="en-US"/>
        </w:rPr>
        <w:t>, 4173–</w:t>
      </w:r>
      <w:r w:rsidRPr="004F3109">
        <w:rPr>
          <w:rFonts w:cs="Arial"/>
          <w:noProof/>
          <w:lang w:val="en-US"/>
        </w:rPr>
        <w:lastRenderedPageBreak/>
        <w:t>4179.</w:t>
      </w:r>
    </w:p>
    <w:p w14:paraId="178A305A"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(121) Raaijmakers, H. C. A., and Romão, M. J. (2006) Formate-reduced E. coli formate dehydrogenase H: The reinterpretation of the crystal structure suggests a new reaction mechanism. </w:t>
      </w:r>
      <w:r w:rsidRPr="004F3109">
        <w:rPr>
          <w:rFonts w:cs="Arial"/>
          <w:i/>
          <w:iCs/>
          <w:noProof/>
          <w:lang w:val="en-US"/>
        </w:rPr>
        <w:t>J. Biol. Inorg. Chem.</w:t>
      </w:r>
      <w:r w:rsidRPr="004F3109">
        <w:rPr>
          <w:rFonts w:cs="Arial"/>
          <w:noProof/>
          <w:lang w:val="en-US"/>
        </w:rPr>
        <w:t xml:space="preserve"> </w:t>
      </w:r>
      <w:r w:rsidRPr="004F3109">
        <w:rPr>
          <w:rFonts w:cs="Arial"/>
          <w:i/>
          <w:iCs/>
          <w:noProof/>
          <w:lang w:val="en-US"/>
        </w:rPr>
        <w:t>11</w:t>
      </w:r>
      <w:r w:rsidRPr="004F3109">
        <w:rPr>
          <w:rFonts w:cs="Arial"/>
          <w:noProof/>
          <w:lang w:val="en-US"/>
        </w:rPr>
        <w:t>, 849–854.</w:t>
      </w:r>
    </w:p>
    <w:p w14:paraId="2B6D9C2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(122) Waygood, E. B., Mort, J. S., and Sanwal, B. D. (1976) The Control of Pyruvate Kinase of Escherichia coli. Binding of Substrate and Allosteric Effectors to the Enzyme Activated by Fructose 1,6-Bisphosphate. </w:t>
      </w:r>
      <w:r w:rsidRPr="004F3109">
        <w:rPr>
          <w:rFonts w:cs="Arial"/>
          <w:i/>
          <w:iCs/>
          <w:noProof/>
          <w:lang w:val="en-US"/>
        </w:rPr>
        <w:t>Biochemistry</w:t>
      </w:r>
      <w:r w:rsidRPr="004F3109">
        <w:rPr>
          <w:rFonts w:cs="Arial"/>
          <w:noProof/>
          <w:lang w:val="en-US"/>
        </w:rPr>
        <w:t xml:space="preserve"> </w:t>
      </w:r>
      <w:r w:rsidRPr="004F3109">
        <w:rPr>
          <w:rFonts w:cs="Arial"/>
          <w:i/>
          <w:iCs/>
          <w:noProof/>
          <w:lang w:val="en-US"/>
        </w:rPr>
        <w:t>15</w:t>
      </w:r>
      <w:r w:rsidRPr="004F3109">
        <w:rPr>
          <w:rFonts w:cs="Arial"/>
          <w:noProof/>
          <w:lang w:val="en-US"/>
        </w:rPr>
        <w:t>, 277–282.</w:t>
      </w:r>
    </w:p>
    <w:p w14:paraId="270B50A4"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(123) Baez, M., Cabrera, R., Pereira, H. M., Blanco, A., Villalobos, P., Ramírez-Sarmiento, C. A., Caniuguir, A., Guixé, V., Garratt, R. C., and Babul, J. (2013) A Ribokinase family conserved monovalent cation binding site enhances the MgATP-induced inhibition in E. coli phosphofructokinase-2. </w:t>
      </w:r>
      <w:r w:rsidRPr="004F3109">
        <w:rPr>
          <w:rFonts w:cs="Arial"/>
          <w:i/>
          <w:iCs/>
          <w:noProof/>
          <w:lang w:val="en-US"/>
        </w:rPr>
        <w:t>Biophys. J.</w:t>
      </w:r>
      <w:r w:rsidRPr="004F3109">
        <w:rPr>
          <w:rFonts w:cs="Arial"/>
          <w:noProof/>
          <w:lang w:val="en-US"/>
        </w:rPr>
        <w:t xml:space="preserve"> </w:t>
      </w:r>
      <w:r w:rsidRPr="004F3109">
        <w:rPr>
          <w:rFonts w:cs="Arial"/>
          <w:i/>
          <w:iCs/>
          <w:noProof/>
          <w:lang w:val="en-US"/>
        </w:rPr>
        <w:t>105</w:t>
      </w:r>
      <w:r w:rsidRPr="004F3109">
        <w:rPr>
          <w:rFonts w:cs="Arial"/>
          <w:noProof/>
          <w:lang w:val="en-US"/>
        </w:rPr>
        <w:t>, 185–193.</w:t>
      </w:r>
    </w:p>
    <w:p w14:paraId="7821755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(124) Shen, L. C., and Atkinson, D. E. (1970) Regulation of Pyruvate Dehydrogenase from Escherichia coli INTERACTIONS OF ADENYLATE ENERGY CHARGE AND OTHER REGULATORY PARAMETERS*. </w:t>
      </w:r>
      <w:r w:rsidRPr="004F3109">
        <w:rPr>
          <w:rFonts w:cs="Arial"/>
          <w:i/>
          <w:iCs/>
          <w:noProof/>
          <w:lang w:val="en-US"/>
        </w:rPr>
        <w:t>Biol. Chem.</w:t>
      </w:r>
      <w:r w:rsidRPr="004F3109">
        <w:rPr>
          <w:rFonts w:cs="Arial"/>
          <w:noProof/>
          <w:lang w:val="en-US"/>
        </w:rPr>
        <w:t xml:space="preserve"> </w:t>
      </w:r>
      <w:r w:rsidRPr="004F3109">
        <w:rPr>
          <w:rFonts w:cs="Arial"/>
          <w:i/>
          <w:iCs/>
          <w:noProof/>
          <w:lang w:val="en-US"/>
        </w:rPr>
        <w:t>246</w:t>
      </w:r>
      <w:r w:rsidRPr="004F3109">
        <w:rPr>
          <w:rFonts w:cs="Arial"/>
          <w:noProof/>
          <w:lang w:val="en-US"/>
        </w:rPr>
        <w:t>, 6974–6978.</w:t>
      </w:r>
    </w:p>
    <w:p w14:paraId="369ED18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(125) Zhu, Y., Eiteman, M. A., Altman, R., and Altman, E. (2008) High glycolytic flux improves pyruvate production by a metabolically engineered Escherichia coli strain. </w:t>
      </w:r>
      <w:r w:rsidRPr="004F3109">
        <w:rPr>
          <w:rFonts w:cs="Arial"/>
          <w:i/>
          <w:iCs/>
          <w:noProof/>
          <w:lang w:val="en-US"/>
        </w:rPr>
        <w:t>Appl. Environ. Microbiol.</w:t>
      </w:r>
      <w:r w:rsidRPr="004F3109">
        <w:rPr>
          <w:rFonts w:cs="Arial"/>
          <w:noProof/>
          <w:lang w:val="en-US"/>
        </w:rPr>
        <w:t xml:space="preserve"> </w:t>
      </w:r>
      <w:r w:rsidRPr="004F3109">
        <w:rPr>
          <w:rFonts w:cs="Arial"/>
          <w:i/>
          <w:iCs/>
          <w:noProof/>
          <w:lang w:val="en-US"/>
        </w:rPr>
        <w:t>74</w:t>
      </w:r>
      <w:r w:rsidRPr="004F3109">
        <w:rPr>
          <w:rFonts w:cs="Arial"/>
          <w:noProof/>
          <w:lang w:val="en-US"/>
        </w:rPr>
        <w:t>, 6649–6655.</w:t>
      </w:r>
    </w:p>
    <w:p w14:paraId="05D858D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(126) Aebersold, R., Burlingame, A. L., and Bradshaw, R. A. (2013, September) Western blots versus selected reaction monitoring assays: Time to turn the tables? </w:t>
      </w:r>
      <w:r w:rsidRPr="004F3109">
        <w:rPr>
          <w:rFonts w:cs="Arial"/>
          <w:i/>
          <w:iCs/>
          <w:noProof/>
          <w:lang w:val="en-US"/>
        </w:rPr>
        <w:t>Mol. Cell. Proteomics</w:t>
      </w:r>
      <w:r w:rsidRPr="004F3109">
        <w:rPr>
          <w:rFonts w:cs="Arial"/>
          <w:noProof/>
          <w:lang w:val="en-US"/>
        </w:rPr>
        <w:t>. Mol Cell Proteomics.</w:t>
      </w:r>
    </w:p>
    <w:p w14:paraId="57D5308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(127) Jayasena, T., Poljak, A., Braidy, N., Zhong, L., Rowlands, B., Muenchhoff, J., Grant, R., Smythe, G., Teo, C., Raftery, M., and Sachdev, P. (2016) Application of Targeted Mass Spectrometry for the Quantification of Sirtuins in the Central Nervous System. </w:t>
      </w:r>
      <w:r w:rsidRPr="004F3109">
        <w:rPr>
          <w:rFonts w:cs="Arial"/>
          <w:i/>
          <w:iCs/>
          <w:noProof/>
          <w:lang w:val="en-US"/>
        </w:rPr>
        <w:t>Sci. Rep.</w:t>
      </w:r>
      <w:r w:rsidRPr="004F3109">
        <w:rPr>
          <w:rFonts w:cs="Arial"/>
          <w:noProof/>
          <w:lang w:val="en-US"/>
        </w:rPr>
        <w:t xml:space="preserve"> </w:t>
      </w:r>
      <w:r w:rsidRPr="004F3109">
        <w:rPr>
          <w:rFonts w:cs="Arial"/>
          <w:i/>
          <w:iCs/>
          <w:noProof/>
          <w:lang w:val="en-US"/>
        </w:rPr>
        <w:t>6</w:t>
      </w:r>
      <w:r w:rsidRPr="004F3109">
        <w:rPr>
          <w:rFonts w:cs="Arial"/>
          <w:noProof/>
          <w:lang w:val="en-US"/>
        </w:rPr>
        <w:t>.</w:t>
      </w:r>
    </w:p>
    <w:p w14:paraId="28B3B7FC"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(128) Kim, S. R., Nguyen, T. V., Seo, N. R., Jung, S., An, H. J., Mills, D. A., and Kim, J. H. (2015) Comparative proteomics: assessment of biological variability and dataset comparability. </w:t>
      </w:r>
      <w:r w:rsidRPr="004F3109">
        <w:rPr>
          <w:rFonts w:cs="Arial"/>
          <w:i/>
          <w:iCs/>
          <w:noProof/>
          <w:lang w:val="en-US"/>
        </w:rPr>
        <w:t>BMC Bioinformatics</w:t>
      </w:r>
      <w:r w:rsidRPr="004F3109">
        <w:rPr>
          <w:rFonts w:cs="Arial"/>
          <w:noProof/>
          <w:lang w:val="en-US"/>
        </w:rPr>
        <w:t xml:space="preserve"> </w:t>
      </w:r>
      <w:r w:rsidRPr="004F3109">
        <w:rPr>
          <w:rFonts w:cs="Arial"/>
          <w:i/>
          <w:iCs/>
          <w:noProof/>
          <w:lang w:val="en-US"/>
        </w:rPr>
        <w:t>16</w:t>
      </w:r>
      <w:r w:rsidRPr="004F3109">
        <w:rPr>
          <w:rFonts w:cs="Arial"/>
          <w:noProof/>
          <w:lang w:val="en-US"/>
        </w:rPr>
        <w:t>, 121.</w:t>
      </w:r>
    </w:p>
    <w:p w14:paraId="11A60B94"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lastRenderedPageBreak/>
        <w:t xml:space="preserve">(129) Kabir, M. M., Pei, Y. H., and Shimizu, K. (2005) Effect of ldhA gene deletion on the metabolism of Escherichia coli based on gene expression, enzyme activities, intracellular metabolite concentrations, and metabolic flux distribution. </w:t>
      </w:r>
      <w:r w:rsidRPr="004F3109">
        <w:rPr>
          <w:rFonts w:cs="Arial"/>
          <w:i/>
          <w:iCs/>
          <w:noProof/>
          <w:lang w:val="en-US"/>
        </w:rPr>
        <w:t>Biochem. Eng. J.</w:t>
      </w:r>
      <w:r w:rsidRPr="004F3109">
        <w:rPr>
          <w:rFonts w:cs="Arial"/>
          <w:noProof/>
          <w:lang w:val="en-US"/>
        </w:rPr>
        <w:t xml:space="preserve"> </w:t>
      </w:r>
      <w:r w:rsidRPr="004F3109">
        <w:rPr>
          <w:rFonts w:cs="Arial"/>
          <w:i/>
          <w:iCs/>
          <w:noProof/>
          <w:lang w:val="en-US"/>
        </w:rPr>
        <w:t>26</w:t>
      </w:r>
      <w:r w:rsidRPr="004F3109">
        <w:rPr>
          <w:rFonts w:cs="Arial"/>
          <w:noProof/>
          <w:lang w:val="en-US"/>
        </w:rPr>
        <w:t>, 1–11.</w:t>
      </w:r>
    </w:p>
    <w:p w14:paraId="2A16D5C1"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(130) Dalia, T. N., Hayes, C. A., Stolyar, S., Marx, C. J., McKinlay, J. B., and Dalia, A. B. (2017) Multiplex Genome Editing by Natural Transformation (MuGENT) for Synthetic Biology in Vibrio natriegens.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6</w:t>
      </w:r>
      <w:r w:rsidRPr="004F3109">
        <w:rPr>
          <w:rFonts w:cs="Arial"/>
          <w:noProof/>
          <w:lang w:val="en-US"/>
        </w:rPr>
        <w:t>, 1650–1655.</w:t>
      </w:r>
    </w:p>
    <w:p w14:paraId="49130E4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(131) Mosberg, J. A., Lajoie, M. J., and Church, G. M. Lambda Red Recombineering in Escherichia coli Occurs Through a Fully Single-Stranded Intermediate.</w:t>
      </w:r>
    </w:p>
    <w:p w14:paraId="7B187ADB"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(132) Gur, E., and Sauer, R. T. (2008) Evolution of the ssrA degradation tag in Mycoplasma: Specificity switch to a different protease. </w:t>
      </w:r>
      <w:r w:rsidRPr="004F3109">
        <w:rPr>
          <w:rFonts w:cs="Arial"/>
          <w:i/>
          <w:iCs/>
          <w:noProof/>
          <w:lang w:val="en-US"/>
        </w:rPr>
        <w:t>Proc. Natl. Acad. Sci.</w:t>
      </w:r>
      <w:r w:rsidRPr="004F3109">
        <w:rPr>
          <w:rFonts w:cs="Arial"/>
          <w:noProof/>
          <w:lang w:val="en-US"/>
        </w:rPr>
        <w:t xml:space="preserve"> </w:t>
      </w:r>
      <w:r w:rsidRPr="004F3109">
        <w:rPr>
          <w:rFonts w:cs="Arial"/>
          <w:i/>
          <w:iCs/>
          <w:noProof/>
          <w:lang w:val="en-US"/>
        </w:rPr>
        <w:t>105</w:t>
      </w:r>
      <w:r w:rsidRPr="004F3109">
        <w:rPr>
          <w:rFonts w:cs="Arial"/>
          <w:noProof/>
          <w:lang w:val="en-US"/>
        </w:rPr>
        <w:t>, 16113–16118.</w:t>
      </w:r>
    </w:p>
    <w:p w14:paraId="752E306C"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(133) Cameron, D. E., and Collins, J. J. (2014) Tunable protein degradation in bacteria. </w:t>
      </w:r>
      <w:r w:rsidRPr="004F3109">
        <w:rPr>
          <w:rFonts w:cs="Arial"/>
          <w:i/>
          <w:iCs/>
          <w:noProof/>
          <w:lang w:val="en-US"/>
        </w:rPr>
        <w:t>Nat. Biotechnol.</w:t>
      </w:r>
      <w:r w:rsidRPr="004F3109">
        <w:rPr>
          <w:rFonts w:cs="Arial"/>
          <w:noProof/>
          <w:lang w:val="en-US"/>
        </w:rPr>
        <w:t xml:space="preserve"> </w:t>
      </w:r>
      <w:r w:rsidRPr="004F3109">
        <w:rPr>
          <w:rFonts w:cs="Arial"/>
          <w:i/>
          <w:iCs/>
          <w:noProof/>
          <w:lang w:val="en-US"/>
        </w:rPr>
        <w:t>32</w:t>
      </w:r>
      <w:r w:rsidRPr="004F3109">
        <w:rPr>
          <w:rFonts w:cs="Arial"/>
          <w:noProof/>
          <w:lang w:val="en-US"/>
        </w:rPr>
        <w:t>, 1276–1281.</w:t>
      </w:r>
    </w:p>
    <w:p w14:paraId="08048BA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(134) Weinstock, M. T., Hesek, E. D., Wilson, C. M., and Gibson, D. G. (2016) Vibrio natriegens as a fast-growing host for molecular biology </w:t>
      </w:r>
      <w:r w:rsidRPr="004F3109">
        <w:rPr>
          <w:rFonts w:cs="Arial"/>
          <w:i/>
          <w:iCs/>
          <w:noProof/>
          <w:lang w:val="en-US"/>
        </w:rPr>
        <w:t>13</w:t>
      </w:r>
      <w:r w:rsidRPr="004F3109">
        <w:rPr>
          <w:rFonts w:cs="Arial"/>
          <w:noProof/>
          <w:lang w:val="en-US"/>
        </w:rPr>
        <w:t>.</w:t>
      </w:r>
    </w:p>
    <w:p w14:paraId="316E7F94"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(135) Hoffart, E., Grenz, S., Lange, J., Nitschel, R., Müller, F., Schwentner, A., Feith, A., Lenfers-lücker, M., and Takors, R. (2017) High Substrate Uptake Rates Empower Vibrio natriegens as Production Host for Industrial Biotechnology. </w:t>
      </w:r>
      <w:r w:rsidRPr="004F3109">
        <w:rPr>
          <w:rFonts w:cs="Arial"/>
          <w:i/>
          <w:iCs/>
          <w:noProof/>
          <w:lang w:val="en-US"/>
        </w:rPr>
        <w:t>Appl. Environ. Microbiol.</w:t>
      </w:r>
      <w:r w:rsidRPr="004F3109">
        <w:rPr>
          <w:rFonts w:cs="Arial"/>
          <w:noProof/>
          <w:lang w:val="en-US"/>
        </w:rPr>
        <w:t xml:space="preserve"> </w:t>
      </w:r>
      <w:r w:rsidRPr="004F3109">
        <w:rPr>
          <w:rFonts w:cs="Arial"/>
          <w:i/>
          <w:iCs/>
          <w:noProof/>
          <w:lang w:val="en-US"/>
        </w:rPr>
        <w:t>83</w:t>
      </w:r>
      <w:r w:rsidRPr="004F3109">
        <w:rPr>
          <w:rFonts w:cs="Arial"/>
          <w:noProof/>
          <w:lang w:val="en-US"/>
        </w:rPr>
        <w:t>, 1–10.</w:t>
      </w:r>
    </w:p>
    <w:p w14:paraId="7721188B"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(136) Long, C. P., Gonzalez, J. E., Cipolla, R. M., and Antoniewicz, M. R. (2017) Metabolism of the fast-growing bacterium Vibrio natriegens elucidated by 13C metabolic flux analysis. </w:t>
      </w:r>
      <w:r w:rsidRPr="004F3109">
        <w:rPr>
          <w:rFonts w:cs="Arial"/>
          <w:i/>
          <w:iCs/>
          <w:noProof/>
          <w:lang w:val="en-US"/>
        </w:rPr>
        <w:t>Metab. Eng.</w:t>
      </w:r>
      <w:r w:rsidRPr="004F3109">
        <w:rPr>
          <w:rFonts w:cs="Arial"/>
          <w:noProof/>
          <w:lang w:val="en-US"/>
        </w:rPr>
        <w:t xml:space="preserve"> </w:t>
      </w:r>
      <w:r w:rsidRPr="004F3109">
        <w:rPr>
          <w:rFonts w:cs="Arial"/>
          <w:i/>
          <w:iCs/>
          <w:noProof/>
          <w:lang w:val="en-US"/>
        </w:rPr>
        <w:t>44</w:t>
      </w:r>
      <w:r w:rsidRPr="004F3109">
        <w:rPr>
          <w:rFonts w:cs="Arial"/>
          <w:noProof/>
          <w:lang w:val="en-US"/>
        </w:rPr>
        <w:t>, 191–197.</w:t>
      </w:r>
    </w:p>
    <w:p w14:paraId="4BB78D2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(137) Rai, J., Pemmasani, J. K., Voronovsky, A., Jensen, I. S., Manavalan, A., Nyengaard, J. R., Golas, M. M., and Sander, B. (2014) Strep-tag II and Twin-Strep Based Cassettes for Protein Tagging by Homologous Recombination and Characterization of Endogenous Macromolecular Assemblies in Saccharomyces cerevisiae. </w:t>
      </w:r>
      <w:r w:rsidRPr="004F3109">
        <w:rPr>
          <w:rFonts w:cs="Arial"/>
          <w:i/>
          <w:iCs/>
          <w:noProof/>
          <w:lang w:val="en-US"/>
        </w:rPr>
        <w:t>Mol. Biotechnol.</w:t>
      </w:r>
      <w:r w:rsidRPr="004F3109">
        <w:rPr>
          <w:rFonts w:cs="Arial"/>
          <w:noProof/>
          <w:lang w:val="en-US"/>
        </w:rPr>
        <w:t xml:space="preserve"> </w:t>
      </w:r>
      <w:r w:rsidRPr="004F3109">
        <w:rPr>
          <w:rFonts w:cs="Arial"/>
          <w:i/>
          <w:iCs/>
          <w:noProof/>
          <w:lang w:val="en-US"/>
        </w:rPr>
        <w:t>56</w:t>
      </w:r>
      <w:r w:rsidRPr="004F3109">
        <w:rPr>
          <w:rFonts w:cs="Arial"/>
          <w:noProof/>
          <w:lang w:val="en-US"/>
        </w:rPr>
        <w:t>, 992–1003.</w:t>
      </w:r>
    </w:p>
    <w:p w14:paraId="5BAEBFF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(138) Junttila, M. R., Saarinen, S., Schmidt, T., Kast, J., and Westermarck, J. (2005) Single-step Strep-tag® purification for the isolation and identification of protein complexes from mammalian </w:t>
      </w:r>
      <w:r w:rsidRPr="004F3109">
        <w:rPr>
          <w:rFonts w:cs="Arial"/>
          <w:noProof/>
          <w:lang w:val="en-US"/>
        </w:rPr>
        <w:lastRenderedPageBreak/>
        <w:t xml:space="preserve">cells. </w:t>
      </w:r>
      <w:r w:rsidRPr="004F3109">
        <w:rPr>
          <w:rFonts w:cs="Arial"/>
          <w:i/>
          <w:iCs/>
          <w:noProof/>
          <w:lang w:val="en-US"/>
        </w:rPr>
        <w:t>Proteomics</w:t>
      </w:r>
      <w:r w:rsidRPr="004F3109">
        <w:rPr>
          <w:rFonts w:cs="Arial"/>
          <w:noProof/>
          <w:lang w:val="en-US"/>
        </w:rPr>
        <w:t xml:space="preserve"> </w:t>
      </w:r>
      <w:r w:rsidRPr="004F3109">
        <w:rPr>
          <w:rFonts w:cs="Arial"/>
          <w:i/>
          <w:iCs/>
          <w:noProof/>
          <w:lang w:val="en-US"/>
        </w:rPr>
        <w:t>5</w:t>
      </w:r>
      <w:r w:rsidRPr="004F3109">
        <w:rPr>
          <w:rFonts w:cs="Arial"/>
          <w:noProof/>
          <w:lang w:val="en-US"/>
        </w:rPr>
        <w:t>, 1199–1203.</w:t>
      </w:r>
    </w:p>
    <w:p w14:paraId="5A0887A1"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(139) Lichty, J. J., Malecki, J. L., Agnew, H. D., Michelson-Horowitz, D. J., and Tan, S. (2005) Comparison of affinity tags for protein purification. </w:t>
      </w:r>
      <w:r w:rsidRPr="004F3109">
        <w:rPr>
          <w:rFonts w:cs="Arial"/>
          <w:i/>
          <w:iCs/>
          <w:noProof/>
          <w:lang w:val="en-US"/>
        </w:rPr>
        <w:t>Protein Expr. Purif.</w:t>
      </w:r>
      <w:r w:rsidRPr="004F3109">
        <w:rPr>
          <w:rFonts w:cs="Arial"/>
          <w:noProof/>
          <w:lang w:val="en-US"/>
        </w:rPr>
        <w:t xml:space="preserve"> </w:t>
      </w:r>
      <w:r w:rsidRPr="004F3109">
        <w:rPr>
          <w:rFonts w:cs="Arial"/>
          <w:i/>
          <w:iCs/>
          <w:noProof/>
          <w:lang w:val="en-US"/>
        </w:rPr>
        <w:t>41</w:t>
      </w:r>
      <w:r w:rsidRPr="004F3109">
        <w:rPr>
          <w:rFonts w:cs="Arial"/>
          <w:noProof/>
          <w:lang w:val="en-US"/>
        </w:rPr>
        <w:t>, 98–105.</w:t>
      </w:r>
    </w:p>
    <w:p w14:paraId="14481E3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(140) Zhou, L., Zuo, Z. R., Chen, X. Z., Niu, D. D., Tian, K. M., Prior, B. A., Shen, W., Shi, G. Y., Singh, S., and Wang, Z. X. (2011) Evaluation of genetic manipulation strategies on d-lactate production by Escherichia coli. </w:t>
      </w:r>
      <w:r w:rsidRPr="004F3109">
        <w:rPr>
          <w:rFonts w:cs="Arial"/>
          <w:i/>
          <w:iCs/>
          <w:noProof/>
          <w:lang w:val="en-US"/>
        </w:rPr>
        <w:t>Curr. Microbiol.</w:t>
      </w:r>
      <w:r w:rsidRPr="004F3109">
        <w:rPr>
          <w:rFonts w:cs="Arial"/>
          <w:noProof/>
          <w:lang w:val="en-US"/>
        </w:rPr>
        <w:t xml:space="preserve"> </w:t>
      </w:r>
      <w:r w:rsidRPr="004F3109">
        <w:rPr>
          <w:rFonts w:cs="Arial"/>
          <w:i/>
          <w:iCs/>
          <w:noProof/>
          <w:lang w:val="en-US"/>
        </w:rPr>
        <w:t>62</w:t>
      </w:r>
      <w:r w:rsidRPr="004F3109">
        <w:rPr>
          <w:rFonts w:cs="Arial"/>
          <w:noProof/>
          <w:lang w:val="en-US"/>
        </w:rPr>
        <w:t>, 981–989.</w:t>
      </w:r>
    </w:p>
    <w:p w14:paraId="2DBB8E41"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(141) Richards, G. R., Patel, M. V., Lloyd, C. R., and Vanderpool, C. K. (2013) Depletion of glycolytic intermediates plays a key role in glucose-phosphate stress in escherichia coli. </w:t>
      </w:r>
      <w:r w:rsidRPr="004F3109">
        <w:rPr>
          <w:rFonts w:cs="Arial"/>
          <w:i/>
          <w:iCs/>
          <w:noProof/>
          <w:lang w:val="en-US"/>
        </w:rPr>
        <w:t>J. Bacteriol.</w:t>
      </w:r>
      <w:r w:rsidRPr="004F3109">
        <w:rPr>
          <w:rFonts w:cs="Arial"/>
          <w:noProof/>
          <w:lang w:val="en-US"/>
        </w:rPr>
        <w:t xml:space="preserve"> </w:t>
      </w:r>
      <w:r w:rsidRPr="004F3109">
        <w:rPr>
          <w:rFonts w:cs="Arial"/>
          <w:i/>
          <w:iCs/>
          <w:noProof/>
          <w:lang w:val="en-US"/>
        </w:rPr>
        <w:t>195</w:t>
      </w:r>
      <w:r w:rsidRPr="004F3109">
        <w:rPr>
          <w:rFonts w:cs="Arial"/>
          <w:noProof/>
          <w:lang w:val="en-US"/>
        </w:rPr>
        <w:t>, 4816–4825.</w:t>
      </w:r>
    </w:p>
    <w:p w14:paraId="0F4D138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(142) Schutte, K. M., Fisher, D. J., Burdick, M. D., Mehrad, B., Mathers, A. J., Mann, B. J., Nakamoto, R. K., and Hughes, M. A. (2015) Escherichia coli pyruvate dehydrogenase complex is an important component of CXCL10-mediated antimicrobial activity. </w:t>
      </w:r>
      <w:r w:rsidRPr="004F3109">
        <w:rPr>
          <w:rFonts w:cs="Arial"/>
          <w:i/>
          <w:iCs/>
          <w:noProof/>
          <w:lang w:val="en-US"/>
        </w:rPr>
        <w:t>Infect. Immun.</w:t>
      </w:r>
      <w:r w:rsidRPr="004F3109">
        <w:rPr>
          <w:rFonts w:cs="Arial"/>
          <w:noProof/>
          <w:lang w:val="en-US"/>
        </w:rPr>
        <w:t xml:space="preserve"> </w:t>
      </w:r>
      <w:r w:rsidRPr="004F3109">
        <w:rPr>
          <w:rFonts w:cs="Arial"/>
          <w:i/>
          <w:iCs/>
          <w:noProof/>
          <w:lang w:val="en-US"/>
        </w:rPr>
        <w:t>84</w:t>
      </w:r>
      <w:r w:rsidRPr="004F3109">
        <w:rPr>
          <w:rFonts w:cs="Arial"/>
          <w:noProof/>
          <w:lang w:val="en-US"/>
        </w:rPr>
        <w:t>, 320–328.</w:t>
      </w:r>
    </w:p>
    <w:p w14:paraId="1AF2F99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(143) Clomburg, J. M., and Gonzalez, R. (2010) Biofuel production in Escherichia coli: the role of metabolic engineering and synthetic biology. </w:t>
      </w:r>
      <w:r w:rsidRPr="004F3109">
        <w:rPr>
          <w:rFonts w:cs="Arial"/>
          <w:i/>
          <w:iCs/>
          <w:noProof/>
          <w:lang w:val="en-US"/>
        </w:rPr>
        <w:t>Appl. Microbiol. Biotechnol. 2010 862</w:t>
      </w:r>
      <w:r w:rsidRPr="004F3109">
        <w:rPr>
          <w:rFonts w:cs="Arial"/>
          <w:noProof/>
          <w:lang w:val="en-US"/>
        </w:rPr>
        <w:t xml:space="preserve"> </w:t>
      </w:r>
      <w:r w:rsidRPr="004F3109">
        <w:rPr>
          <w:rFonts w:cs="Arial"/>
          <w:i/>
          <w:iCs/>
          <w:noProof/>
          <w:lang w:val="en-US"/>
        </w:rPr>
        <w:t>86</w:t>
      </w:r>
      <w:r w:rsidRPr="004F3109">
        <w:rPr>
          <w:rFonts w:cs="Arial"/>
          <w:noProof/>
          <w:lang w:val="en-US"/>
        </w:rPr>
        <w:t>, 419–434.</w:t>
      </w:r>
    </w:p>
    <w:p w14:paraId="765CC2C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(144) Gustavsson, M., and Lee, S. Y. (2016) Prospects of microbial cell factories developed through systems metabolic engineering. </w:t>
      </w:r>
      <w:r w:rsidRPr="004F3109">
        <w:rPr>
          <w:rFonts w:cs="Arial"/>
          <w:i/>
          <w:iCs/>
          <w:noProof/>
          <w:lang w:val="en-US"/>
        </w:rPr>
        <w:t>Microb. Biotechnol.</w:t>
      </w:r>
      <w:r w:rsidRPr="004F3109">
        <w:rPr>
          <w:rFonts w:cs="Arial"/>
          <w:noProof/>
          <w:lang w:val="en-US"/>
        </w:rPr>
        <w:t xml:space="preserve"> </w:t>
      </w:r>
      <w:r w:rsidRPr="004F3109">
        <w:rPr>
          <w:rFonts w:cs="Arial"/>
          <w:i/>
          <w:iCs/>
          <w:noProof/>
          <w:lang w:val="en-US"/>
        </w:rPr>
        <w:t>9</w:t>
      </w:r>
      <w:r w:rsidRPr="004F3109">
        <w:rPr>
          <w:rFonts w:cs="Arial"/>
          <w:noProof/>
          <w:lang w:val="en-US"/>
        </w:rPr>
        <w:t>, 610–617.</w:t>
      </w:r>
    </w:p>
    <w:p w14:paraId="5FA958B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(145) Dudley, Q. M., Karim, A. S., and Jewett, M. C. (2015) Cell-free metabolic engineering: Biomanufacturing beyond the cell. </w:t>
      </w:r>
      <w:r w:rsidRPr="004F3109">
        <w:rPr>
          <w:rFonts w:cs="Arial"/>
          <w:i/>
          <w:iCs/>
          <w:noProof/>
          <w:lang w:val="en-US"/>
        </w:rPr>
        <w:t>Biotechnol. J.</w:t>
      </w:r>
      <w:r w:rsidRPr="004F3109">
        <w:rPr>
          <w:rFonts w:cs="Arial"/>
          <w:noProof/>
          <w:lang w:val="en-US"/>
        </w:rPr>
        <w:t xml:space="preserve"> </w:t>
      </w:r>
      <w:r w:rsidRPr="004F3109">
        <w:rPr>
          <w:rFonts w:cs="Arial"/>
          <w:i/>
          <w:iCs/>
          <w:noProof/>
          <w:lang w:val="en-US"/>
        </w:rPr>
        <w:t>10</w:t>
      </w:r>
      <w:r w:rsidRPr="004F3109">
        <w:rPr>
          <w:rFonts w:cs="Arial"/>
          <w:noProof/>
          <w:lang w:val="en-US"/>
        </w:rPr>
        <w:t>, 69–82.</w:t>
      </w:r>
    </w:p>
    <w:p w14:paraId="7EBD00E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(146) Hoekman, S. K., and Broch, A. (2018) Environmental implications of higher ethanol production and use in the U.S.: A literature review. Part II – Biodiversity, land use change, GHG emissions, and sustainability. </w:t>
      </w:r>
      <w:r w:rsidRPr="004F3109">
        <w:rPr>
          <w:rFonts w:cs="Arial"/>
          <w:i/>
          <w:iCs/>
          <w:noProof/>
          <w:lang w:val="en-US"/>
        </w:rPr>
        <w:t>Renew. Sustain. Energy Rev.</w:t>
      </w:r>
    </w:p>
    <w:p w14:paraId="33D78B8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(147) Garcia, D., Dinglasan, J. L., Shrestha, H., Abraham, P., Hettich, R., and Doktycz, M. (2020) A Lysate Proteome Engineering Strategy for Enhancing Cell-Free Metabolite Production. </w:t>
      </w:r>
      <w:r w:rsidRPr="004F3109">
        <w:rPr>
          <w:rFonts w:cs="Arial"/>
          <w:i/>
          <w:iCs/>
          <w:noProof/>
          <w:lang w:val="en-US"/>
        </w:rPr>
        <w:t>bioRxiv</w:t>
      </w:r>
      <w:r w:rsidRPr="004F3109">
        <w:rPr>
          <w:rFonts w:cs="Arial"/>
          <w:noProof/>
          <w:lang w:val="en-US"/>
        </w:rPr>
        <w:t xml:space="preserve"> 2020.04.05.026393.</w:t>
      </w:r>
    </w:p>
    <w:p w14:paraId="6F0FD70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(148) Chen, Y., Daviet, L., Schalk, M., Siewers, V., and Nielsen, J. (2013) Establishing a platform cell factory through engineering of yeast acetyl-CoA metabolism. </w:t>
      </w:r>
      <w:r w:rsidRPr="004F3109">
        <w:rPr>
          <w:rFonts w:cs="Arial"/>
          <w:i/>
          <w:iCs/>
          <w:noProof/>
          <w:lang w:val="en-US"/>
        </w:rPr>
        <w:t>Metab. Eng.</w:t>
      </w:r>
      <w:r w:rsidRPr="004F3109">
        <w:rPr>
          <w:rFonts w:cs="Arial"/>
          <w:noProof/>
          <w:lang w:val="en-US"/>
        </w:rPr>
        <w:t xml:space="preserve"> </w:t>
      </w:r>
      <w:r w:rsidRPr="004F3109">
        <w:rPr>
          <w:rFonts w:cs="Arial"/>
          <w:i/>
          <w:iCs/>
          <w:noProof/>
          <w:lang w:val="en-US"/>
        </w:rPr>
        <w:t>15</w:t>
      </w:r>
      <w:r w:rsidRPr="004F3109">
        <w:rPr>
          <w:rFonts w:cs="Arial"/>
          <w:noProof/>
          <w:lang w:val="en-US"/>
        </w:rPr>
        <w:t>.</w:t>
      </w:r>
    </w:p>
    <w:p w14:paraId="4DBA5CA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lastRenderedPageBreak/>
        <w:t xml:space="preserve">(149) Hollinshead, W., He, L., and Tang, Y. J. (2014) Biofuel production: An odyssey from metabolic engineering to fermentation scale-up. </w:t>
      </w:r>
      <w:r w:rsidRPr="004F3109">
        <w:rPr>
          <w:rFonts w:cs="Arial"/>
          <w:i/>
          <w:iCs/>
          <w:noProof/>
          <w:lang w:val="en-US"/>
        </w:rPr>
        <w:t>Front. Microbiol.</w:t>
      </w:r>
      <w:r w:rsidRPr="004F3109">
        <w:rPr>
          <w:rFonts w:cs="Arial"/>
          <w:noProof/>
          <w:lang w:val="en-US"/>
        </w:rPr>
        <w:t xml:space="preserve"> </w:t>
      </w:r>
      <w:r w:rsidRPr="004F3109">
        <w:rPr>
          <w:rFonts w:cs="Arial"/>
          <w:i/>
          <w:iCs/>
          <w:noProof/>
          <w:lang w:val="en-US"/>
        </w:rPr>
        <w:t>5</w:t>
      </w:r>
      <w:r w:rsidRPr="004F3109">
        <w:rPr>
          <w:rFonts w:cs="Arial"/>
          <w:noProof/>
          <w:lang w:val="en-US"/>
        </w:rPr>
        <w:t>, 344.</w:t>
      </w:r>
    </w:p>
    <w:p w14:paraId="01822701"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(150) Seok, J., Ko, Y. J., Lee, M. E., Hyeon, J. E., and Han, S. O. (2019) Systems metabolic engineering of Corynebacterium glutamicum for the bioproduction of biliverdin via protoporphyrin independent pathway. </w:t>
      </w:r>
      <w:r w:rsidRPr="004F3109">
        <w:rPr>
          <w:rFonts w:cs="Arial"/>
          <w:i/>
          <w:iCs/>
          <w:noProof/>
          <w:lang w:val="en-US"/>
        </w:rPr>
        <w:t>J. Biol. Eng.</w:t>
      </w:r>
      <w:r w:rsidRPr="004F3109">
        <w:rPr>
          <w:rFonts w:cs="Arial"/>
          <w:noProof/>
          <w:lang w:val="en-US"/>
        </w:rPr>
        <w:t xml:space="preserve"> </w:t>
      </w:r>
      <w:r w:rsidRPr="004F3109">
        <w:rPr>
          <w:rFonts w:cs="Arial"/>
          <w:i/>
          <w:iCs/>
          <w:noProof/>
          <w:lang w:val="en-US"/>
        </w:rPr>
        <w:t>13</w:t>
      </w:r>
      <w:r w:rsidRPr="004F3109">
        <w:rPr>
          <w:rFonts w:cs="Arial"/>
          <w:noProof/>
          <w:lang w:val="en-US"/>
        </w:rPr>
        <w:t>, 1–13.</w:t>
      </w:r>
    </w:p>
    <w:p w14:paraId="791EEFC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(151) He, L., Xiao, Y., Gebreselassie, N., Zhang, F., Antoniewicz, M. R., Tang, Y. J., and Peng, L. (2014) Central Metabolic Responses to the Overproduction of Fatty Acids in Escherichia coli Based on 13C-Metabolic Flux Analysis. </w:t>
      </w:r>
      <w:r w:rsidRPr="004F3109">
        <w:rPr>
          <w:rFonts w:cs="Arial"/>
          <w:i/>
          <w:iCs/>
          <w:noProof/>
          <w:lang w:val="en-US"/>
        </w:rPr>
        <w:t>Biotechnol. Bioeng.</w:t>
      </w:r>
      <w:r w:rsidRPr="004F3109">
        <w:rPr>
          <w:rFonts w:cs="Arial"/>
          <w:noProof/>
          <w:lang w:val="en-US"/>
        </w:rPr>
        <w:t xml:space="preserve"> </w:t>
      </w:r>
      <w:r w:rsidRPr="004F3109">
        <w:rPr>
          <w:rFonts w:cs="Arial"/>
          <w:i/>
          <w:iCs/>
          <w:noProof/>
          <w:lang w:val="en-US"/>
        </w:rPr>
        <w:t>111</w:t>
      </w:r>
      <w:r w:rsidRPr="004F3109">
        <w:rPr>
          <w:rFonts w:cs="Arial"/>
          <w:noProof/>
          <w:lang w:val="en-US"/>
        </w:rPr>
        <w:t>, 575.</w:t>
      </w:r>
    </w:p>
    <w:p w14:paraId="32E1C21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(152) Alter, T. B., Blank, L. M., and Ebert, B. E. (2021) Proteome Regulation Patterns Determine Escherichia coli Wild-Type and Mutant Phenotypes. </w:t>
      </w:r>
      <w:r w:rsidRPr="004F3109">
        <w:rPr>
          <w:rFonts w:cs="Arial"/>
          <w:i/>
          <w:iCs/>
          <w:noProof/>
          <w:lang w:val="en-US"/>
        </w:rPr>
        <w:t>mSystems</w:t>
      </w:r>
      <w:r w:rsidRPr="004F3109">
        <w:rPr>
          <w:rFonts w:cs="Arial"/>
          <w:noProof/>
          <w:lang w:val="en-US"/>
        </w:rPr>
        <w:t xml:space="preserve"> </w:t>
      </w:r>
      <w:r w:rsidRPr="004F3109">
        <w:rPr>
          <w:rFonts w:cs="Arial"/>
          <w:i/>
          <w:iCs/>
          <w:noProof/>
          <w:lang w:val="en-US"/>
        </w:rPr>
        <w:t>6</w:t>
      </w:r>
      <w:r w:rsidRPr="004F3109">
        <w:rPr>
          <w:rFonts w:cs="Arial"/>
          <w:noProof/>
          <w:lang w:val="en-US"/>
        </w:rPr>
        <w:t>.</w:t>
      </w:r>
    </w:p>
    <w:p w14:paraId="19E0E50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(153) Hunt, J. P., Barnett, R. J., Robinson, H., Soltani, M., Nelson, J. A. D., and Bundy, B. C. (2021) Rapid sensing of clinically relevant glutamine concentrations in human serum with metabolically engineered E. coli-based cell-free protein synthesis. </w:t>
      </w:r>
      <w:r w:rsidRPr="004F3109">
        <w:rPr>
          <w:rFonts w:cs="Arial"/>
          <w:i/>
          <w:iCs/>
          <w:noProof/>
          <w:lang w:val="en-US"/>
        </w:rPr>
        <w:t>J. Biotechnol.</w:t>
      </w:r>
      <w:r w:rsidRPr="004F3109">
        <w:rPr>
          <w:rFonts w:cs="Arial"/>
          <w:noProof/>
          <w:lang w:val="en-US"/>
        </w:rPr>
        <w:t xml:space="preserve"> </w:t>
      </w:r>
      <w:r w:rsidRPr="004F3109">
        <w:rPr>
          <w:rFonts w:cs="Arial"/>
          <w:i/>
          <w:iCs/>
          <w:noProof/>
          <w:lang w:val="en-US"/>
        </w:rPr>
        <w:t>325</w:t>
      </w:r>
      <w:r w:rsidRPr="004F3109">
        <w:rPr>
          <w:rFonts w:cs="Arial"/>
          <w:noProof/>
          <w:lang w:val="en-US"/>
        </w:rPr>
        <w:t>, 389–394.</w:t>
      </w:r>
    </w:p>
    <w:p w14:paraId="63BECEC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(154) Dinglasan, J. L. N., Reeves, D. T., Hettich, R. L., and Doktycz, M. J. (2021) Liquid chromatography coupled to refractive index or mass spectrometric detection for metabolite profiling in lysate-based cell-free systems. </w:t>
      </w:r>
      <w:r w:rsidRPr="004F3109">
        <w:rPr>
          <w:rFonts w:cs="Arial"/>
          <w:i/>
          <w:iCs/>
          <w:noProof/>
          <w:lang w:val="en-US"/>
        </w:rPr>
        <w:t>J. Vis. Exp.</w:t>
      </w:r>
      <w:r w:rsidRPr="004F3109">
        <w:rPr>
          <w:rFonts w:cs="Arial"/>
          <w:noProof/>
          <w:lang w:val="en-US"/>
        </w:rPr>
        <w:t xml:space="preserve"> </w:t>
      </w:r>
      <w:r w:rsidRPr="004F3109">
        <w:rPr>
          <w:rFonts w:cs="Arial"/>
          <w:i/>
          <w:iCs/>
          <w:noProof/>
          <w:lang w:val="en-US"/>
        </w:rPr>
        <w:t>2021</w:t>
      </w:r>
      <w:r w:rsidRPr="004F3109">
        <w:rPr>
          <w:rFonts w:cs="Arial"/>
          <w:noProof/>
          <w:lang w:val="en-US"/>
        </w:rPr>
        <w:t>.</w:t>
      </w:r>
    </w:p>
    <w:p w14:paraId="2A0F799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(155) Kim, Y., Ingram, L. O., and Shanmugam, K. T. (2007) Construction of an Escherichia coli K-12 Mutant for Homoethanologenic Fermentation of Glucose or Xylose without Foreign Genes. </w:t>
      </w:r>
      <w:r w:rsidRPr="004F3109">
        <w:rPr>
          <w:rFonts w:cs="Arial"/>
          <w:i/>
          <w:iCs/>
          <w:noProof/>
          <w:lang w:val="en-US"/>
        </w:rPr>
        <w:t>Appl. Environ. Microbiol.</w:t>
      </w:r>
      <w:r w:rsidRPr="004F3109">
        <w:rPr>
          <w:rFonts w:cs="Arial"/>
          <w:noProof/>
          <w:lang w:val="en-US"/>
        </w:rPr>
        <w:t xml:space="preserve"> </w:t>
      </w:r>
      <w:r w:rsidRPr="004F3109">
        <w:rPr>
          <w:rFonts w:cs="Arial"/>
          <w:i/>
          <w:iCs/>
          <w:noProof/>
          <w:lang w:val="en-US"/>
        </w:rPr>
        <w:t>73</w:t>
      </w:r>
      <w:r w:rsidRPr="004F3109">
        <w:rPr>
          <w:rFonts w:cs="Arial"/>
          <w:noProof/>
          <w:lang w:val="en-US"/>
        </w:rPr>
        <w:t>, 1766.</w:t>
      </w:r>
    </w:p>
    <w:p w14:paraId="2EB872C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(156) Andorfer, M. C., Backman, L. R. F., Li, P. L., Ulrich, E. C., and Drennan, C. L. (2021) Rescuing activity of oxygen-damaged pyruvate formate-lyase by a spare part protein. </w:t>
      </w:r>
      <w:r w:rsidRPr="004F3109">
        <w:rPr>
          <w:rFonts w:cs="Arial"/>
          <w:i/>
          <w:iCs/>
          <w:noProof/>
          <w:lang w:val="en-US"/>
        </w:rPr>
        <w:t>J. Biol. Chem.</w:t>
      </w:r>
      <w:r w:rsidRPr="004F3109">
        <w:rPr>
          <w:rFonts w:cs="Arial"/>
          <w:noProof/>
          <w:lang w:val="en-US"/>
        </w:rPr>
        <w:t xml:space="preserve"> </w:t>
      </w:r>
      <w:r w:rsidRPr="004F3109">
        <w:rPr>
          <w:rFonts w:cs="Arial"/>
          <w:i/>
          <w:iCs/>
          <w:noProof/>
          <w:lang w:val="en-US"/>
        </w:rPr>
        <w:t>297</w:t>
      </w:r>
      <w:r w:rsidRPr="004F3109">
        <w:rPr>
          <w:rFonts w:cs="Arial"/>
          <w:noProof/>
          <w:lang w:val="en-US"/>
        </w:rPr>
        <w:t>, 101423.</w:t>
      </w:r>
    </w:p>
    <w:p w14:paraId="7517AC0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(157) Zhang, Y., Dai, Z., Krivoruchko, A., Chen, Y., Siewers, V., and Nielsen, J. (2015) Functional pyruvate formate lyase pathway expressed with two different electron donors in Saccharomyces cerevisiae at aerobic growth. </w:t>
      </w:r>
      <w:r w:rsidRPr="004F3109">
        <w:rPr>
          <w:rFonts w:cs="Arial"/>
          <w:i/>
          <w:iCs/>
          <w:noProof/>
          <w:lang w:val="en-US"/>
        </w:rPr>
        <w:t>FEMS Yeast Res.</w:t>
      </w:r>
      <w:r w:rsidRPr="004F3109">
        <w:rPr>
          <w:rFonts w:cs="Arial"/>
          <w:noProof/>
          <w:lang w:val="en-US"/>
        </w:rPr>
        <w:t xml:space="preserve"> </w:t>
      </w:r>
      <w:r w:rsidRPr="004F3109">
        <w:rPr>
          <w:rFonts w:cs="Arial"/>
          <w:i/>
          <w:iCs/>
          <w:noProof/>
          <w:lang w:val="en-US"/>
        </w:rPr>
        <w:t>15</w:t>
      </w:r>
      <w:r w:rsidRPr="004F3109">
        <w:rPr>
          <w:rFonts w:cs="Arial"/>
          <w:noProof/>
          <w:lang w:val="en-US"/>
        </w:rPr>
        <w:t>.</w:t>
      </w:r>
    </w:p>
    <w:p w14:paraId="282F9F27"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(158) Dopp, J. L., Jo, Y. R., and Reuel, N. F. (2019) Methods to reduce variability in E. Coli-based </w:t>
      </w:r>
      <w:r w:rsidRPr="004F3109">
        <w:rPr>
          <w:rFonts w:cs="Arial"/>
          <w:noProof/>
          <w:lang w:val="en-US"/>
        </w:rPr>
        <w:lastRenderedPageBreak/>
        <w:t xml:space="preserve">cell-free protein expression experiments. </w:t>
      </w:r>
      <w:r w:rsidRPr="004F3109">
        <w:rPr>
          <w:rFonts w:cs="Arial"/>
          <w:i/>
          <w:iCs/>
          <w:noProof/>
          <w:lang w:val="en-US"/>
        </w:rPr>
        <w:t>Synth. Syst. Biotechnol.</w:t>
      </w:r>
      <w:r w:rsidRPr="004F3109">
        <w:rPr>
          <w:rFonts w:cs="Arial"/>
          <w:noProof/>
          <w:lang w:val="en-US"/>
        </w:rPr>
        <w:t xml:space="preserve"> </w:t>
      </w:r>
      <w:r w:rsidRPr="004F3109">
        <w:rPr>
          <w:rFonts w:cs="Arial"/>
          <w:i/>
          <w:iCs/>
          <w:noProof/>
          <w:lang w:val="en-US"/>
        </w:rPr>
        <w:t>4</w:t>
      </w:r>
      <w:r w:rsidRPr="004F3109">
        <w:rPr>
          <w:rFonts w:cs="Arial"/>
          <w:noProof/>
          <w:lang w:val="en-US"/>
        </w:rPr>
        <w:t>, 204–211.</w:t>
      </w:r>
    </w:p>
    <w:p w14:paraId="45F9528A"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(159) Zhu, J., and Shimizu, K. (2005) Effect of a single-gene knockout on the metabolic regulation in Escherichia coli for D-lactate production under microaerobic condition. </w:t>
      </w:r>
      <w:r w:rsidRPr="004F3109">
        <w:rPr>
          <w:rFonts w:cs="Arial"/>
          <w:i/>
          <w:iCs/>
          <w:noProof/>
          <w:lang w:val="en-US"/>
        </w:rPr>
        <w:t>Metab. Eng.</w:t>
      </w:r>
      <w:r w:rsidRPr="004F3109">
        <w:rPr>
          <w:rFonts w:cs="Arial"/>
          <w:noProof/>
          <w:lang w:val="en-US"/>
        </w:rPr>
        <w:t xml:space="preserve"> </w:t>
      </w:r>
      <w:r w:rsidRPr="004F3109">
        <w:rPr>
          <w:rFonts w:cs="Arial"/>
          <w:i/>
          <w:iCs/>
          <w:noProof/>
          <w:lang w:val="en-US"/>
        </w:rPr>
        <w:t>7</w:t>
      </w:r>
      <w:r w:rsidRPr="004F3109">
        <w:rPr>
          <w:rFonts w:cs="Arial"/>
          <w:noProof/>
          <w:lang w:val="en-US"/>
        </w:rPr>
        <w:t>, 104–115.</w:t>
      </w:r>
    </w:p>
    <w:p w14:paraId="08E05AE4"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(160) Kabir, M. M., Pei, Y. H., and Shimizu, K. (2005) Effect of ldhA gene deletion on the metabolism of Escherichia coli based on gene expression, enzyme activities, intracellular metabolite concentrations, and metabolic flux distribution. </w:t>
      </w:r>
      <w:r w:rsidRPr="004F3109">
        <w:rPr>
          <w:rFonts w:cs="Arial"/>
          <w:i/>
          <w:iCs/>
          <w:noProof/>
          <w:lang w:val="en-US"/>
        </w:rPr>
        <w:t>Biochem. Eng. J.</w:t>
      </w:r>
      <w:r w:rsidRPr="004F3109">
        <w:rPr>
          <w:rFonts w:cs="Arial"/>
          <w:noProof/>
          <w:lang w:val="en-US"/>
        </w:rPr>
        <w:t xml:space="preserve"> </w:t>
      </w:r>
      <w:r w:rsidRPr="004F3109">
        <w:rPr>
          <w:rFonts w:cs="Arial"/>
          <w:i/>
          <w:iCs/>
          <w:noProof/>
          <w:lang w:val="en-US"/>
        </w:rPr>
        <w:t>26</w:t>
      </w:r>
      <w:r w:rsidRPr="004F3109">
        <w:rPr>
          <w:rFonts w:cs="Arial"/>
          <w:noProof/>
          <w:lang w:val="en-US"/>
        </w:rPr>
        <w:t>, 1–11.</w:t>
      </w:r>
    </w:p>
    <w:p w14:paraId="220B9FBE"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(161) Waygood, E. B., and Sanwal, B. D. (1974) The Control of Pyruvate Kinases of Escherichia coli. </w:t>
      </w:r>
      <w:r w:rsidRPr="004F3109">
        <w:rPr>
          <w:rFonts w:cs="Arial"/>
          <w:i/>
          <w:iCs/>
          <w:noProof/>
          <w:lang w:val="en-US"/>
        </w:rPr>
        <w:t>J. Biol. Chem.</w:t>
      </w:r>
      <w:r w:rsidRPr="004F3109">
        <w:rPr>
          <w:rFonts w:cs="Arial"/>
          <w:noProof/>
          <w:lang w:val="en-US"/>
        </w:rPr>
        <w:t xml:space="preserve"> </w:t>
      </w:r>
      <w:r w:rsidRPr="004F3109">
        <w:rPr>
          <w:rFonts w:cs="Arial"/>
          <w:i/>
          <w:iCs/>
          <w:noProof/>
          <w:lang w:val="en-US"/>
        </w:rPr>
        <w:t>249</w:t>
      </w:r>
      <w:r w:rsidRPr="004F3109">
        <w:rPr>
          <w:rFonts w:cs="Arial"/>
          <w:noProof/>
          <w:lang w:val="en-US"/>
        </w:rPr>
        <w:t>.</w:t>
      </w:r>
    </w:p>
    <w:p w14:paraId="32FBF75E"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(162) Cassey, B., Guest, J. R., and Attwood, M. M. (1998) Environmental control of pyruvate dehydrogenase complex expression in Escherichia coli. </w:t>
      </w:r>
      <w:r w:rsidRPr="004F3109">
        <w:rPr>
          <w:rFonts w:cs="Arial"/>
          <w:i/>
          <w:iCs/>
          <w:noProof/>
          <w:lang w:val="en-US"/>
        </w:rPr>
        <w:t>FEMS Microbiol. Lett.</w:t>
      </w:r>
      <w:r w:rsidRPr="004F3109">
        <w:rPr>
          <w:rFonts w:cs="Arial"/>
          <w:noProof/>
          <w:lang w:val="en-US"/>
        </w:rPr>
        <w:t xml:space="preserve"> </w:t>
      </w:r>
      <w:r w:rsidRPr="004F3109">
        <w:rPr>
          <w:rFonts w:cs="Arial"/>
          <w:i/>
          <w:iCs/>
          <w:noProof/>
          <w:lang w:val="en-US"/>
        </w:rPr>
        <w:t>159</w:t>
      </w:r>
      <w:r w:rsidRPr="004F3109">
        <w:rPr>
          <w:rFonts w:cs="Arial"/>
          <w:noProof/>
          <w:lang w:val="en-US"/>
        </w:rPr>
        <w:t>.</w:t>
      </w:r>
    </w:p>
    <w:p w14:paraId="074DA59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(163) Kessler, D., Leibrecht, I., and Knappe, J. (1991) Pyruvate-formate-lyase-deactivase and acetyl-CoA reductase activities of Escherichia coli reside on a polymeric protein particle encoded by adhE. </w:t>
      </w:r>
      <w:r w:rsidRPr="004F3109">
        <w:rPr>
          <w:rFonts w:cs="Arial"/>
          <w:i/>
          <w:iCs/>
          <w:noProof/>
          <w:lang w:val="en-US"/>
        </w:rPr>
        <w:t>FEBS Lett.</w:t>
      </w:r>
      <w:r w:rsidRPr="004F3109">
        <w:rPr>
          <w:rFonts w:cs="Arial"/>
          <w:noProof/>
          <w:lang w:val="en-US"/>
        </w:rPr>
        <w:t xml:space="preserve"> </w:t>
      </w:r>
      <w:r w:rsidRPr="004F3109">
        <w:rPr>
          <w:rFonts w:cs="Arial"/>
          <w:i/>
          <w:iCs/>
          <w:noProof/>
          <w:lang w:val="en-US"/>
        </w:rPr>
        <w:t>281</w:t>
      </w:r>
      <w:r w:rsidRPr="004F3109">
        <w:rPr>
          <w:rFonts w:cs="Arial"/>
          <w:noProof/>
          <w:lang w:val="en-US"/>
        </w:rPr>
        <w:t>, 59–63.</w:t>
      </w:r>
    </w:p>
    <w:p w14:paraId="48D686E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(164) Jewett, M. C., Calhoun, K. A., Voloshin, A., Wuu, J. J., and Swartz, J. R. (2008) An integrated cell-free metabolic platform for protein production and synthetic biology. </w:t>
      </w:r>
      <w:r w:rsidRPr="004F3109">
        <w:rPr>
          <w:rFonts w:cs="Arial"/>
          <w:i/>
          <w:iCs/>
          <w:noProof/>
          <w:lang w:val="en-US"/>
        </w:rPr>
        <w:t>Mol. Syst. Biol.</w:t>
      </w:r>
      <w:r w:rsidRPr="004F3109">
        <w:rPr>
          <w:rFonts w:cs="Arial"/>
          <w:noProof/>
          <w:lang w:val="en-US"/>
        </w:rPr>
        <w:t xml:space="preserve"> </w:t>
      </w:r>
      <w:r w:rsidRPr="004F3109">
        <w:rPr>
          <w:rFonts w:cs="Arial"/>
          <w:i/>
          <w:iCs/>
          <w:noProof/>
          <w:lang w:val="en-US"/>
        </w:rPr>
        <w:t>4</w:t>
      </w:r>
      <w:r w:rsidRPr="004F3109">
        <w:rPr>
          <w:rFonts w:cs="Arial"/>
          <w:noProof/>
          <w:lang w:val="en-US"/>
        </w:rPr>
        <w:t>, 220.</w:t>
      </w:r>
    </w:p>
    <w:p w14:paraId="6901CE6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(165) Garenne, D., Haines, M. C., Romantseva, E. F., Freemont, P., Strychalski, E. A., and Noireaux, V. (2021) Cell-free gene expression. </w:t>
      </w:r>
      <w:r w:rsidRPr="004F3109">
        <w:rPr>
          <w:rFonts w:cs="Arial"/>
          <w:i/>
          <w:iCs/>
          <w:noProof/>
          <w:lang w:val="en-US"/>
        </w:rPr>
        <w:t>Nat. Rev. Methods Prim. 2021 11</w:t>
      </w:r>
      <w:r w:rsidRPr="004F3109">
        <w:rPr>
          <w:rFonts w:cs="Arial"/>
          <w:noProof/>
          <w:lang w:val="en-US"/>
        </w:rPr>
        <w:t xml:space="preserve"> </w:t>
      </w:r>
      <w:r w:rsidRPr="004F3109">
        <w:rPr>
          <w:rFonts w:cs="Arial"/>
          <w:i/>
          <w:iCs/>
          <w:noProof/>
          <w:lang w:val="en-US"/>
        </w:rPr>
        <w:t>1</w:t>
      </w:r>
      <w:r w:rsidRPr="004F3109">
        <w:rPr>
          <w:rFonts w:cs="Arial"/>
          <w:noProof/>
          <w:lang w:val="en-US"/>
        </w:rPr>
        <w:t>, 1–18.</w:t>
      </w:r>
    </w:p>
    <w:p w14:paraId="0557ABF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(166) Förster, A. H., and Gescher, J. (2014) Metabolic Engineering of Escherichia coli for Production of Mixed-Acid Fermentation End Products. </w:t>
      </w:r>
      <w:r w:rsidRPr="004F3109">
        <w:rPr>
          <w:rFonts w:cs="Arial"/>
          <w:i/>
          <w:iCs/>
          <w:noProof/>
          <w:lang w:val="en-US"/>
        </w:rPr>
        <w:t>Front. Bioeng. Biotechnol.</w:t>
      </w:r>
      <w:r w:rsidRPr="004F3109">
        <w:rPr>
          <w:rFonts w:cs="Arial"/>
          <w:noProof/>
          <w:lang w:val="en-US"/>
        </w:rPr>
        <w:t xml:space="preserve"> </w:t>
      </w:r>
      <w:r w:rsidRPr="004F3109">
        <w:rPr>
          <w:rFonts w:cs="Arial"/>
          <w:i/>
          <w:iCs/>
          <w:noProof/>
          <w:lang w:val="en-US"/>
        </w:rPr>
        <w:t>2</w:t>
      </w:r>
      <w:r w:rsidRPr="004F3109">
        <w:rPr>
          <w:rFonts w:cs="Arial"/>
          <w:noProof/>
          <w:lang w:val="en-US"/>
        </w:rPr>
        <w:t>.</w:t>
      </w:r>
    </w:p>
    <w:p w14:paraId="0F6C1FA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(167) Clark, D. P. (1989) The fermentation pathways of Escherichia coli. </w:t>
      </w:r>
      <w:r w:rsidRPr="004F3109">
        <w:rPr>
          <w:rFonts w:cs="Arial"/>
          <w:i/>
          <w:iCs/>
          <w:noProof/>
          <w:lang w:val="en-US"/>
        </w:rPr>
        <w:t>FEMS Microbiol. Lett.</w:t>
      </w:r>
      <w:r w:rsidRPr="004F3109">
        <w:rPr>
          <w:rFonts w:cs="Arial"/>
          <w:noProof/>
          <w:lang w:val="en-US"/>
        </w:rPr>
        <w:t xml:space="preserve"> </w:t>
      </w:r>
      <w:r w:rsidRPr="004F3109">
        <w:rPr>
          <w:rFonts w:cs="Arial"/>
          <w:i/>
          <w:iCs/>
          <w:noProof/>
          <w:lang w:val="en-US"/>
        </w:rPr>
        <w:t>63</w:t>
      </w:r>
      <w:r w:rsidRPr="004F3109">
        <w:rPr>
          <w:rFonts w:cs="Arial"/>
          <w:noProof/>
          <w:lang w:val="en-US"/>
        </w:rPr>
        <w:t>.</w:t>
      </w:r>
    </w:p>
    <w:p w14:paraId="42083BF7"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(168) Leonardo, M. R., Dailly, Y., and Clark, D. P. (1996) Role of NAD in regulating the adhE gene of Escherichia coli. </w:t>
      </w:r>
      <w:r w:rsidRPr="004F3109">
        <w:rPr>
          <w:rFonts w:cs="Arial"/>
          <w:i/>
          <w:iCs/>
          <w:noProof/>
          <w:lang w:val="en-US"/>
        </w:rPr>
        <w:t>J. Bacteriol.</w:t>
      </w:r>
      <w:r w:rsidRPr="004F3109">
        <w:rPr>
          <w:rFonts w:cs="Arial"/>
          <w:noProof/>
          <w:lang w:val="en-US"/>
        </w:rPr>
        <w:t xml:space="preserve"> </w:t>
      </w:r>
      <w:r w:rsidRPr="004F3109">
        <w:rPr>
          <w:rFonts w:cs="Arial"/>
          <w:i/>
          <w:iCs/>
          <w:noProof/>
          <w:lang w:val="en-US"/>
        </w:rPr>
        <w:t>178</w:t>
      </w:r>
      <w:r w:rsidRPr="004F3109">
        <w:rPr>
          <w:rFonts w:cs="Arial"/>
          <w:noProof/>
          <w:lang w:val="en-US"/>
        </w:rPr>
        <w:t>, 6013–6018.</w:t>
      </w:r>
    </w:p>
    <w:p w14:paraId="50F13FD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(169) Tamiev, B. D., Dopp, J. L., and Reuel, N. F. (2021) Anaerobic conditioning of E. Coli Cell </w:t>
      </w:r>
      <w:r w:rsidRPr="004F3109">
        <w:rPr>
          <w:rFonts w:cs="Arial"/>
          <w:noProof/>
          <w:lang w:val="en-US"/>
        </w:rPr>
        <w:lastRenderedPageBreak/>
        <w:t xml:space="preserve">Lysate for Enhanced In vitro Protein Synthesis.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10</w:t>
      </w:r>
      <w:r w:rsidRPr="004F3109">
        <w:rPr>
          <w:rFonts w:cs="Arial"/>
          <w:noProof/>
          <w:lang w:val="en-US"/>
        </w:rPr>
        <w:t>, 716.</w:t>
      </w:r>
    </w:p>
    <w:p w14:paraId="522AA4B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(170) Calhoun, K. A., and Swartz, J. R. (2005) Energizing cell-free protein synthesis with glucose metabolism. </w:t>
      </w:r>
      <w:r w:rsidRPr="004F3109">
        <w:rPr>
          <w:rFonts w:cs="Arial"/>
          <w:i/>
          <w:iCs/>
          <w:noProof/>
          <w:lang w:val="en-US"/>
        </w:rPr>
        <w:t>Biotechnol. Bioeng.</w:t>
      </w:r>
      <w:r w:rsidRPr="004F3109">
        <w:rPr>
          <w:rFonts w:cs="Arial"/>
          <w:noProof/>
          <w:lang w:val="en-US"/>
        </w:rPr>
        <w:t xml:space="preserve"> </w:t>
      </w:r>
      <w:r w:rsidRPr="004F3109">
        <w:rPr>
          <w:rFonts w:cs="Arial"/>
          <w:i/>
          <w:iCs/>
          <w:noProof/>
          <w:lang w:val="en-US"/>
        </w:rPr>
        <w:t>90</w:t>
      </w:r>
      <w:r w:rsidRPr="004F3109">
        <w:rPr>
          <w:rFonts w:cs="Arial"/>
          <w:noProof/>
          <w:lang w:val="en-US"/>
        </w:rPr>
        <w:t>, 606–613.</w:t>
      </w:r>
    </w:p>
    <w:p w14:paraId="48FD241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(171) Wilks, J. C., and Slonczewski, J. L. (2007) pH of the cytoplasm and periplasm of Escherichia coli: Rapid measurement by green fluorescent protein fluorimetry. </w:t>
      </w:r>
      <w:r w:rsidRPr="004F3109">
        <w:rPr>
          <w:rFonts w:cs="Arial"/>
          <w:i/>
          <w:iCs/>
          <w:noProof/>
          <w:lang w:val="en-US"/>
        </w:rPr>
        <w:t>J. Bacteriol.</w:t>
      </w:r>
      <w:r w:rsidRPr="004F3109">
        <w:rPr>
          <w:rFonts w:cs="Arial"/>
          <w:noProof/>
          <w:lang w:val="en-US"/>
        </w:rPr>
        <w:t xml:space="preserve"> </w:t>
      </w:r>
      <w:r w:rsidRPr="004F3109">
        <w:rPr>
          <w:rFonts w:cs="Arial"/>
          <w:i/>
          <w:iCs/>
          <w:noProof/>
          <w:lang w:val="en-US"/>
        </w:rPr>
        <w:t>189</w:t>
      </w:r>
      <w:r w:rsidRPr="004F3109">
        <w:rPr>
          <w:rFonts w:cs="Arial"/>
          <w:noProof/>
          <w:lang w:val="en-US"/>
        </w:rPr>
        <w:t>, 5601–5607.</w:t>
      </w:r>
    </w:p>
    <w:p w14:paraId="325E87FC"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(172) Ugurbil, K., Rottenberg, H., Glynn, P., and Shulman, R. G. (1978) Biochemistry 1p nuclear magnetic resonance studies of bioenergetics and glycolysis in anaerobic Escherichia coli cells (ApH/adenosine triphosphatase/dicyclohexylcarbodiimide) </w:t>
      </w:r>
      <w:r w:rsidRPr="004F3109">
        <w:rPr>
          <w:rFonts w:cs="Arial"/>
          <w:i/>
          <w:iCs/>
          <w:noProof/>
          <w:lang w:val="en-US"/>
        </w:rPr>
        <w:t>75</w:t>
      </w:r>
      <w:r w:rsidRPr="004F3109">
        <w:rPr>
          <w:rFonts w:cs="Arial"/>
          <w:noProof/>
          <w:lang w:val="en-US"/>
        </w:rPr>
        <w:t>, 2244–2248.</w:t>
      </w:r>
    </w:p>
    <w:p w14:paraId="6F938B2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(173) Lund, P., Tramonti, A., De Biase, D., Pasteur-Fondazione, I., and Bolognetti, C. (2014) Coping with low pH: molecular strategies in neutralophilic bacteria. </w:t>
      </w:r>
      <w:r w:rsidRPr="004F3109">
        <w:rPr>
          <w:rFonts w:cs="Arial"/>
          <w:i/>
          <w:iCs/>
          <w:noProof/>
          <w:lang w:val="en-US"/>
        </w:rPr>
        <w:t>FEMS Microbiol. Rev.</w:t>
      </w:r>
      <w:r w:rsidRPr="004F3109">
        <w:rPr>
          <w:rFonts w:cs="Arial"/>
          <w:noProof/>
          <w:lang w:val="en-US"/>
        </w:rPr>
        <w:t xml:space="preserve"> </w:t>
      </w:r>
      <w:r w:rsidRPr="004F3109">
        <w:rPr>
          <w:rFonts w:cs="Arial"/>
          <w:i/>
          <w:iCs/>
          <w:noProof/>
          <w:lang w:val="en-US"/>
        </w:rPr>
        <w:t>38</w:t>
      </w:r>
      <w:r w:rsidRPr="004F3109">
        <w:rPr>
          <w:rFonts w:cs="Arial"/>
          <w:noProof/>
          <w:lang w:val="en-US"/>
        </w:rPr>
        <w:t>, 1091–1125.</w:t>
      </w:r>
    </w:p>
    <w:p w14:paraId="0A4EA214"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(174) Carteni, F., Occhicone, A., Giannino, F., Vincenot, C. E., de Alteriis, E., Palomba, E., and Mazzoleni, S. (2020) A General Process-Based Model for Describing the Metabolic Shift in Microbial Cell Cultures. </w:t>
      </w:r>
      <w:r w:rsidRPr="004F3109">
        <w:rPr>
          <w:rFonts w:cs="Arial"/>
          <w:i/>
          <w:iCs/>
          <w:noProof/>
          <w:lang w:val="en-US"/>
        </w:rPr>
        <w:t>Front. Microbiol.</w:t>
      </w:r>
      <w:r w:rsidRPr="004F3109">
        <w:rPr>
          <w:rFonts w:cs="Arial"/>
          <w:noProof/>
          <w:lang w:val="en-US"/>
        </w:rPr>
        <w:t xml:space="preserve"> </w:t>
      </w:r>
      <w:r w:rsidRPr="004F3109">
        <w:rPr>
          <w:rFonts w:cs="Arial"/>
          <w:i/>
          <w:iCs/>
          <w:noProof/>
          <w:lang w:val="en-US"/>
        </w:rPr>
        <w:t>11</w:t>
      </w:r>
      <w:r w:rsidRPr="004F3109">
        <w:rPr>
          <w:rFonts w:cs="Arial"/>
          <w:noProof/>
          <w:lang w:val="en-US"/>
        </w:rPr>
        <w:t>, 2332.</w:t>
      </w:r>
    </w:p>
    <w:p w14:paraId="05AC884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(175) Basan, M., Hui, S., and Williamson, J. R. (2017) ArcA overexpression induces fermentation and results in enhanced growth rates of E. coli. </w:t>
      </w:r>
      <w:r w:rsidRPr="004F3109">
        <w:rPr>
          <w:rFonts w:cs="Arial"/>
          <w:i/>
          <w:iCs/>
          <w:noProof/>
          <w:lang w:val="en-US"/>
        </w:rPr>
        <w:t>Sci. Reports 2017 71</w:t>
      </w:r>
      <w:r w:rsidRPr="004F3109">
        <w:rPr>
          <w:rFonts w:cs="Arial"/>
          <w:noProof/>
          <w:lang w:val="en-US"/>
        </w:rPr>
        <w:t xml:space="preserve"> </w:t>
      </w:r>
      <w:r w:rsidRPr="004F3109">
        <w:rPr>
          <w:rFonts w:cs="Arial"/>
          <w:i/>
          <w:iCs/>
          <w:noProof/>
          <w:lang w:val="en-US"/>
        </w:rPr>
        <w:t>7</w:t>
      </w:r>
      <w:r w:rsidRPr="004F3109">
        <w:rPr>
          <w:rFonts w:cs="Arial"/>
          <w:noProof/>
          <w:lang w:val="en-US"/>
        </w:rPr>
        <w:t>, 1–7.</w:t>
      </w:r>
    </w:p>
    <w:p w14:paraId="46F3AE74"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(176) Membrillo-Hernández, J., and Lin, E. C. C. (1999) Regulation of Expression of the adhE Gene, Encoding  Ethanol Oxidoreductase in Escherichia coli: Transcription from a Downstream Promoter and Regulation by Fnr and RpoS. </w:t>
      </w:r>
      <w:r w:rsidRPr="004F3109">
        <w:rPr>
          <w:rFonts w:cs="Arial"/>
          <w:i/>
          <w:iCs/>
          <w:noProof/>
          <w:lang w:val="en-US"/>
        </w:rPr>
        <w:t>J. Bacteriol.</w:t>
      </w:r>
      <w:r w:rsidRPr="004F3109">
        <w:rPr>
          <w:rFonts w:cs="Arial"/>
          <w:noProof/>
          <w:lang w:val="en-US"/>
        </w:rPr>
        <w:t xml:space="preserve"> </w:t>
      </w:r>
      <w:r w:rsidRPr="004F3109">
        <w:rPr>
          <w:rFonts w:cs="Arial"/>
          <w:i/>
          <w:iCs/>
          <w:noProof/>
          <w:lang w:val="en-US"/>
        </w:rPr>
        <w:t>181</w:t>
      </w:r>
      <w:r w:rsidRPr="004F3109">
        <w:rPr>
          <w:rFonts w:cs="Arial"/>
          <w:noProof/>
          <w:lang w:val="en-US"/>
        </w:rPr>
        <w:t>, 7571.</w:t>
      </w:r>
    </w:p>
    <w:p w14:paraId="0D78829E"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(177) Yasid, N. A., Rolfe, M. D., Green, J., and Williamson, M. P. (2016) Homeostasis of metabolites in Escherichia coli on transition from anaerobic to aerobic conditions and the transient secretion of pyruvate. </w:t>
      </w:r>
      <w:r w:rsidRPr="004F3109">
        <w:rPr>
          <w:rFonts w:cs="Arial"/>
          <w:i/>
          <w:iCs/>
          <w:noProof/>
          <w:lang w:val="en-US"/>
        </w:rPr>
        <w:t>R. Soc. Open Sci.</w:t>
      </w:r>
      <w:r w:rsidRPr="004F3109">
        <w:rPr>
          <w:rFonts w:cs="Arial"/>
          <w:noProof/>
          <w:lang w:val="en-US"/>
        </w:rPr>
        <w:t xml:space="preserve"> </w:t>
      </w:r>
      <w:r w:rsidRPr="004F3109">
        <w:rPr>
          <w:rFonts w:cs="Arial"/>
          <w:i/>
          <w:iCs/>
          <w:noProof/>
          <w:lang w:val="en-US"/>
        </w:rPr>
        <w:t>3</w:t>
      </w:r>
      <w:r w:rsidRPr="004F3109">
        <w:rPr>
          <w:rFonts w:cs="Arial"/>
          <w:noProof/>
          <w:lang w:val="en-US"/>
        </w:rPr>
        <w:t>.</w:t>
      </w:r>
    </w:p>
    <w:p w14:paraId="63379F2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(178) Fujiwara, K., and Nomura, S.-I. M. (2013) Condensation of an Additive-Free Cell Extract to Mimic the Conditions of Live Cells.</w:t>
      </w:r>
    </w:p>
    <w:p w14:paraId="67E12DAC"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(179) Takahashi, K., Sato, G., Doi, N., and Fujiwara, K. (2021) A Relationship between NTP and Cell Extract Concentration for Cell-Free Protein Expression. </w:t>
      </w:r>
      <w:r w:rsidRPr="004F3109">
        <w:rPr>
          <w:rFonts w:cs="Arial"/>
          <w:i/>
          <w:iCs/>
          <w:noProof/>
          <w:lang w:val="en-US"/>
        </w:rPr>
        <w:t>Life</w:t>
      </w:r>
      <w:r w:rsidRPr="004F3109">
        <w:rPr>
          <w:rFonts w:cs="Arial"/>
          <w:noProof/>
          <w:lang w:val="en-US"/>
        </w:rPr>
        <w:t xml:space="preserve"> </w:t>
      </w:r>
      <w:r w:rsidRPr="004F3109">
        <w:rPr>
          <w:rFonts w:cs="Arial"/>
          <w:i/>
          <w:iCs/>
          <w:noProof/>
          <w:lang w:val="en-US"/>
        </w:rPr>
        <w:t>11</w:t>
      </w:r>
      <w:r w:rsidRPr="004F3109">
        <w:rPr>
          <w:rFonts w:cs="Arial"/>
          <w:noProof/>
          <w:lang w:val="en-US"/>
        </w:rPr>
        <w:t>.</w:t>
      </w:r>
    </w:p>
    <w:p w14:paraId="44A21A84"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lastRenderedPageBreak/>
        <w:t xml:space="preserve">(180) Scopes, R. K., and Griffiths-Smith, K. (1986) FERMENTATION CAPABILITIES OF Zymomonas mobilis GLYCOLYTIC ENZYMES. </w:t>
      </w:r>
      <w:r w:rsidRPr="004F3109">
        <w:rPr>
          <w:rFonts w:cs="Arial"/>
          <w:i/>
          <w:iCs/>
          <w:noProof/>
          <w:lang w:val="en-US"/>
        </w:rPr>
        <w:t>Biotechnol. Lett.</w:t>
      </w:r>
      <w:r w:rsidRPr="004F3109">
        <w:rPr>
          <w:rFonts w:cs="Arial"/>
          <w:noProof/>
          <w:lang w:val="en-US"/>
        </w:rPr>
        <w:t xml:space="preserve"> </w:t>
      </w:r>
      <w:r w:rsidRPr="004F3109">
        <w:rPr>
          <w:rFonts w:cs="Arial"/>
          <w:i/>
          <w:iCs/>
          <w:noProof/>
          <w:lang w:val="en-US"/>
        </w:rPr>
        <w:t>8</w:t>
      </w:r>
      <w:r w:rsidRPr="004F3109">
        <w:rPr>
          <w:rFonts w:cs="Arial"/>
          <w:noProof/>
          <w:lang w:val="en-US"/>
        </w:rPr>
        <w:t>, 53–656.</w:t>
      </w:r>
    </w:p>
    <w:p w14:paraId="19E01D8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(181) Kimple, M. E., Brill, A. L., and Pasker, R. L. (2013) Overview of Affinity Tags for Protein Purification. </w:t>
      </w:r>
      <w:r w:rsidRPr="004F3109">
        <w:rPr>
          <w:rFonts w:cs="Arial"/>
          <w:i/>
          <w:iCs/>
          <w:noProof/>
          <w:lang w:val="en-US"/>
        </w:rPr>
        <w:t>Curr. Protoc. Protein Sci.</w:t>
      </w:r>
      <w:r w:rsidRPr="004F3109">
        <w:rPr>
          <w:rFonts w:cs="Arial"/>
          <w:noProof/>
          <w:lang w:val="en-US"/>
        </w:rPr>
        <w:t xml:space="preserve"> </w:t>
      </w:r>
      <w:r w:rsidRPr="004F3109">
        <w:rPr>
          <w:rFonts w:cs="Arial"/>
          <w:i/>
          <w:iCs/>
          <w:noProof/>
          <w:lang w:val="en-US"/>
        </w:rPr>
        <w:t>73</w:t>
      </w:r>
      <w:r w:rsidRPr="004F3109">
        <w:rPr>
          <w:rFonts w:cs="Arial"/>
          <w:noProof/>
          <w:lang w:val="en-US"/>
        </w:rPr>
        <w:t>, Unit.</w:t>
      </w:r>
    </w:p>
    <w:p w14:paraId="45D9D39B"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(182) Islam, M. R., Kwak, J. W., Lee, J. soo, Hong, S. W., Khan, M. R. I., Lee, Y., Lee, Y., Lee, S. W., and Hwang, I. (2019) Cost</w:t>
      </w:r>
      <w:r w:rsidRPr="004F3109">
        <w:rPr>
          <w:rFonts w:ascii="Cambria Math" w:hAnsi="Cambria Math" w:cs="Cambria Math"/>
          <w:noProof/>
          <w:lang w:val="en-US"/>
        </w:rPr>
        <w:t>‐</w:t>
      </w:r>
      <w:r w:rsidRPr="004F3109">
        <w:rPr>
          <w:rFonts w:cs="Arial"/>
          <w:noProof/>
          <w:lang w:val="en-US"/>
        </w:rPr>
        <w:t>effective production of tag</w:t>
      </w:r>
      <w:r w:rsidRPr="004F3109">
        <w:rPr>
          <w:rFonts w:ascii="Cambria Math" w:hAnsi="Cambria Math" w:cs="Cambria Math"/>
          <w:noProof/>
          <w:lang w:val="en-US"/>
        </w:rPr>
        <w:t>‐</w:t>
      </w:r>
      <w:r w:rsidRPr="004F3109">
        <w:rPr>
          <w:rFonts w:cs="Arial"/>
          <w:noProof/>
          <w:lang w:val="en-US"/>
        </w:rPr>
        <w:t xml:space="preserve">less recombinant protein in Nicotiana benthamiana. </w:t>
      </w:r>
      <w:r w:rsidRPr="004F3109">
        <w:rPr>
          <w:rFonts w:cs="Arial"/>
          <w:i/>
          <w:iCs/>
          <w:noProof/>
          <w:lang w:val="en-US"/>
        </w:rPr>
        <w:t>Plant Biotechnol. J.</w:t>
      </w:r>
      <w:r w:rsidRPr="004F3109">
        <w:rPr>
          <w:rFonts w:cs="Arial"/>
          <w:noProof/>
          <w:lang w:val="en-US"/>
        </w:rPr>
        <w:t xml:space="preserve"> </w:t>
      </w:r>
      <w:r w:rsidRPr="004F3109">
        <w:rPr>
          <w:rFonts w:cs="Arial"/>
          <w:i/>
          <w:iCs/>
          <w:noProof/>
          <w:lang w:val="en-US"/>
        </w:rPr>
        <w:t>17</w:t>
      </w:r>
      <w:r w:rsidRPr="004F3109">
        <w:rPr>
          <w:rFonts w:cs="Arial"/>
          <w:noProof/>
          <w:lang w:val="en-US"/>
        </w:rPr>
        <w:t>, 1094.</w:t>
      </w:r>
    </w:p>
    <w:p w14:paraId="5097BC0C"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(183) Wang, D., and Hong, J. (2014) Purifi cation of a recombinant protein with cellulose- binding module 3 as the affinity tag. </w:t>
      </w:r>
      <w:r w:rsidRPr="004F3109">
        <w:rPr>
          <w:rFonts w:cs="Arial"/>
          <w:i/>
          <w:iCs/>
          <w:noProof/>
          <w:lang w:val="en-US"/>
        </w:rPr>
        <w:t>Methods Mol. Biol.</w:t>
      </w:r>
      <w:r w:rsidRPr="004F3109">
        <w:rPr>
          <w:rFonts w:cs="Arial"/>
          <w:noProof/>
          <w:lang w:val="en-US"/>
        </w:rPr>
        <w:t xml:space="preserve"> </w:t>
      </w:r>
      <w:r w:rsidRPr="004F3109">
        <w:rPr>
          <w:rFonts w:cs="Arial"/>
          <w:i/>
          <w:iCs/>
          <w:noProof/>
          <w:lang w:val="en-US"/>
        </w:rPr>
        <w:t>1177</w:t>
      </w:r>
      <w:r w:rsidRPr="004F3109">
        <w:rPr>
          <w:rFonts w:cs="Arial"/>
          <w:noProof/>
          <w:lang w:val="en-US"/>
        </w:rPr>
        <w:t>, 35–45.</w:t>
      </w:r>
    </w:p>
    <w:p w14:paraId="6815F0EC"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(184) Yin, G., Stephenson, H. T., Yang, J., Li, X., Armstrong, S. M., Heibeck, T. H., Tran, C., Masikat, M. R., Zhou, S., Stafford, R. L., Yam, A. Y., Lee, J., Steiner, A. R., Gill, A., Penta, K., Pollitt, S., Baliga, R., Murray, C. J., Thanos, C. D., Mcevoy, L. M., Sato, A. K., and Hallam, T. J. RF1 attenuation enables efficient non-natural amino acid incorporation for production of homogeneous antibody drug conjugates OPEN.</w:t>
      </w:r>
    </w:p>
    <w:p w14:paraId="2CC8826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(185) Baneyx, F., and Georgiou, G. (1990) In vivo degradation of secreted fusion proteins by the Escherichia coli outer membrane protease OmpT. </w:t>
      </w:r>
      <w:r w:rsidRPr="004F3109">
        <w:rPr>
          <w:rFonts w:cs="Arial"/>
          <w:i/>
          <w:iCs/>
          <w:noProof/>
          <w:lang w:val="en-US"/>
        </w:rPr>
        <w:t>J. Bacteriol.</w:t>
      </w:r>
      <w:r w:rsidRPr="004F3109">
        <w:rPr>
          <w:rFonts w:cs="Arial"/>
          <w:noProof/>
          <w:lang w:val="en-US"/>
        </w:rPr>
        <w:t xml:space="preserve"> </w:t>
      </w:r>
      <w:r w:rsidRPr="004F3109">
        <w:rPr>
          <w:rFonts w:cs="Arial"/>
          <w:i/>
          <w:iCs/>
          <w:noProof/>
          <w:lang w:val="en-US"/>
        </w:rPr>
        <w:t>172</w:t>
      </w:r>
      <w:r w:rsidRPr="004F3109">
        <w:rPr>
          <w:rFonts w:cs="Arial"/>
          <w:noProof/>
          <w:lang w:val="en-US"/>
        </w:rPr>
        <w:t>, 491.</w:t>
      </w:r>
    </w:p>
    <w:p w14:paraId="233F55C7"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(186) Gottesman, S. (1996) PROTEASES AND THEIR TARGETS IN ESCHERICHIA COLI 1. </w:t>
      </w:r>
      <w:r w:rsidRPr="004F3109">
        <w:rPr>
          <w:rFonts w:cs="Arial"/>
          <w:i/>
          <w:iCs/>
          <w:noProof/>
          <w:lang w:val="en-US"/>
        </w:rPr>
        <w:t>Annu. Rev. Genet</w:t>
      </w:r>
      <w:r w:rsidRPr="004F3109">
        <w:rPr>
          <w:rFonts w:cs="Arial"/>
          <w:noProof/>
          <w:lang w:val="en-US"/>
        </w:rPr>
        <w:t xml:space="preserve"> </w:t>
      </w:r>
      <w:r w:rsidRPr="004F3109">
        <w:rPr>
          <w:rFonts w:cs="Arial"/>
          <w:i/>
          <w:iCs/>
          <w:noProof/>
          <w:lang w:val="en-US"/>
        </w:rPr>
        <w:t>30</w:t>
      </w:r>
      <w:r w:rsidRPr="004F3109">
        <w:rPr>
          <w:rFonts w:cs="Arial"/>
          <w:noProof/>
          <w:lang w:val="en-US"/>
        </w:rPr>
        <w:t>, 465–506.</w:t>
      </w:r>
    </w:p>
    <w:p w14:paraId="4FCA7B2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(187) Martínez-Núñez, M. A., and López, V. E. L. y. (2016) Nonribosomal peptides synthetases and their applications in industry. </w:t>
      </w:r>
      <w:r w:rsidRPr="004F3109">
        <w:rPr>
          <w:rFonts w:cs="Arial"/>
          <w:i/>
          <w:iCs/>
          <w:noProof/>
          <w:lang w:val="en-US"/>
        </w:rPr>
        <w:t>Sustain. Chem. Process.</w:t>
      </w:r>
      <w:r w:rsidRPr="004F3109">
        <w:rPr>
          <w:rFonts w:cs="Arial"/>
          <w:noProof/>
          <w:lang w:val="en-US"/>
        </w:rPr>
        <w:t xml:space="preserve"> </w:t>
      </w:r>
      <w:r w:rsidRPr="004F3109">
        <w:rPr>
          <w:rFonts w:cs="Arial"/>
          <w:i/>
          <w:iCs/>
          <w:noProof/>
          <w:lang w:val="en-US"/>
        </w:rPr>
        <w:t>4</w:t>
      </w:r>
      <w:r w:rsidRPr="004F3109">
        <w:rPr>
          <w:rFonts w:cs="Arial"/>
          <w:noProof/>
          <w:lang w:val="en-US"/>
        </w:rPr>
        <w:t>, 13.</w:t>
      </w:r>
    </w:p>
    <w:p w14:paraId="25E3421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(188) Wang, H., Fewer, D. P., Holm, L., Rouhiainen, L., and Sivonen, K. (2014) Atlas of nonribosomal peptide and polyketide biosynthetic pathways reveals common occurrence of nonmodular enzymes. </w:t>
      </w:r>
      <w:r w:rsidRPr="004F3109">
        <w:rPr>
          <w:rFonts w:cs="Arial"/>
          <w:i/>
          <w:iCs/>
          <w:noProof/>
          <w:lang w:val="en-US"/>
        </w:rPr>
        <w:t>Proc. Natl. Acad. Sci. U. S. A.</w:t>
      </w:r>
      <w:r w:rsidRPr="004F3109">
        <w:rPr>
          <w:rFonts w:cs="Arial"/>
          <w:noProof/>
          <w:lang w:val="en-US"/>
        </w:rPr>
        <w:t xml:space="preserve"> </w:t>
      </w:r>
      <w:r w:rsidRPr="004F3109">
        <w:rPr>
          <w:rFonts w:cs="Arial"/>
          <w:i/>
          <w:iCs/>
          <w:noProof/>
          <w:lang w:val="en-US"/>
        </w:rPr>
        <w:t>111</w:t>
      </w:r>
      <w:r w:rsidRPr="004F3109">
        <w:rPr>
          <w:rFonts w:cs="Arial"/>
          <w:noProof/>
          <w:lang w:val="en-US"/>
        </w:rPr>
        <w:t>, 9259–9264.</w:t>
      </w:r>
    </w:p>
    <w:p w14:paraId="1A6A30D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(189) Felnagle, E. A., Jackson, E. E., Chan, Y. A., Podevels, A. M., Berti, A. D., McMahon, M. D., and Thomas, M. G. (2008) Nonribosomal Peptide Synthetases Involved in the Production of Medically Relevant Natural Products. </w:t>
      </w:r>
      <w:r w:rsidRPr="004F3109">
        <w:rPr>
          <w:rFonts w:cs="Arial"/>
          <w:i/>
          <w:iCs/>
          <w:noProof/>
          <w:lang w:val="en-US"/>
        </w:rPr>
        <w:t>Mol. Pharm.</w:t>
      </w:r>
      <w:r w:rsidRPr="004F3109">
        <w:rPr>
          <w:rFonts w:cs="Arial"/>
          <w:noProof/>
          <w:lang w:val="en-US"/>
        </w:rPr>
        <w:t xml:space="preserve"> </w:t>
      </w:r>
      <w:r w:rsidRPr="004F3109">
        <w:rPr>
          <w:rFonts w:cs="Arial"/>
          <w:i/>
          <w:iCs/>
          <w:noProof/>
          <w:lang w:val="en-US"/>
        </w:rPr>
        <w:t>5</w:t>
      </w:r>
      <w:r w:rsidRPr="004F3109">
        <w:rPr>
          <w:rFonts w:cs="Arial"/>
          <w:noProof/>
          <w:lang w:val="en-US"/>
        </w:rPr>
        <w:t>, 191.</w:t>
      </w:r>
    </w:p>
    <w:p w14:paraId="76DF5C9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lastRenderedPageBreak/>
        <w:t xml:space="preserve">(190) Miller, B. R., and Gulick, A. M. (2016) Structural Biology of Nonribosomal Peptide Synthetases. </w:t>
      </w:r>
      <w:r w:rsidRPr="004F3109">
        <w:rPr>
          <w:rFonts w:cs="Arial"/>
          <w:i/>
          <w:iCs/>
          <w:noProof/>
          <w:lang w:val="en-US"/>
        </w:rPr>
        <w:t>Methods Mol. Biol.</w:t>
      </w:r>
      <w:r w:rsidRPr="004F3109">
        <w:rPr>
          <w:rFonts w:cs="Arial"/>
          <w:noProof/>
          <w:lang w:val="en-US"/>
        </w:rPr>
        <w:t xml:space="preserve"> </w:t>
      </w:r>
      <w:r w:rsidRPr="004F3109">
        <w:rPr>
          <w:rFonts w:cs="Arial"/>
          <w:i/>
          <w:iCs/>
          <w:noProof/>
          <w:lang w:val="en-US"/>
        </w:rPr>
        <w:t>1401</w:t>
      </w:r>
      <w:r w:rsidRPr="004F3109">
        <w:rPr>
          <w:rFonts w:cs="Arial"/>
          <w:noProof/>
          <w:lang w:val="en-US"/>
        </w:rPr>
        <w:t>, 3–29.</w:t>
      </w:r>
    </w:p>
    <w:p w14:paraId="71F04CE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(191) Ishikawa, F., Nohara, M., Nakamura, S., Nakanishi, I., and Tanabe, G. (2020) Precise Probing of Residue Roles by NRPS Code Swapping: Mutation, Enzymatic Characterization, Modeling, and Substrate Promiscuity of Aryl Acid Adenylation Domains. </w:t>
      </w:r>
      <w:r w:rsidRPr="004F3109">
        <w:rPr>
          <w:rFonts w:cs="Arial"/>
          <w:i/>
          <w:iCs/>
          <w:noProof/>
          <w:lang w:val="en-US"/>
        </w:rPr>
        <w:t>Biochemistry</w:t>
      </w:r>
      <w:r w:rsidRPr="004F3109">
        <w:rPr>
          <w:rFonts w:cs="Arial"/>
          <w:noProof/>
          <w:lang w:val="en-US"/>
        </w:rPr>
        <w:t xml:space="preserve"> </w:t>
      </w:r>
      <w:r w:rsidRPr="004F3109">
        <w:rPr>
          <w:rFonts w:cs="Arial"/>
          <w:i/>
          <w:iCs/>
          <w:noProof/>
          <w:lang w:val="en-US"/>
        </w:rPr>
        <w:t>59</w:t>
      </w:r>
      <w:r w:rsidRPr="004F3109">
        <w:rPr>
          <w:rFonts w:cs="Arial"/>
          <w:noProof/>
          <w:lang w:val="en-US"/>
        </w:rPr>
        <w:t>, 351–363.</w:t>
      </w:r>
    </w:p>
    <w:p w14:paraId="2AC2DC0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(192) Bian, X., Plaza, A., Yan, F., Zhang, Y., and Müller, R. (2015) Rational and efficient site-directed mutagenesis of adenylation domain alters relative yields of luminmide derivatives in vivo. </w:t>
      </w:r>
      <w:r w:rsidRPr="004F3109">
        <w:rPr>
          <w:rFonts w:cs="Arial"/>
          <w:i/>
          <w:iCs/>
          <w:noProof/>
          <w:lang w:val="en-US"/>
        </w:rPr>
        <w:t>Biotechnol. Bioeng.</w:t>
      </w:r>
      <w:r w:rsidRPr="004F3109">
        <w:rPr>
          <w:rFonts w:cs="Arial"/>
          <w:noProof/>
          <w:lang w:val="en-US"/>
        </w:rPr>
        <w:t xml:space="preserve"> </w:t>
      </w:r>
      <w:r w:rsidRPr="004F3109">
        <w:rPr>
          <w:rFonts w:cs="Arial"/>
          <w:i/>
          <w:iCs/>
          <w:noProof/>
          <w:lang w:val="en-US"/>
        </w:rPr>
        <w:t>112</w:t>
      </w:r>
      <w:r w:rsidRPr="004F3109">
        <w:rPr>
          <w:rFonts w:cs="Arial"/>
          <w:noProof/>
          <w:lang w:val="en-US"/>
        </w:rPr>
        <w:t>, 1343–1353.</w:t>
      </w:r>
    </w:p>
    <w:p w14:paraId="107F2B7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(193) Stachelhaus, T., Mootz, H. D., and Marahiel, M. A. (1999) The specificity-conferring code of adenylation domains in nonribosomal peptide synthetases. </w:t>
      </w:r>
      <w:r w:rsidRPr="004F3109">
        <w:rPr>
          <w:rFonts w:cs="Arial"/>
          <w:i/>
          <w:iCs/>
          <w:noProof/>
          <w:lang w:val="en-US"/>
        </w:rPr>
        <w:t>Chem. Biol.</w:t>
      </w:r>
      <w:r w:rsidRPr="004F3109">
        <w:rPr>
          <w:rFonts w:cs="Arial"/>
          <w:noProof/>
          <w:lang w:val="en-US"/>
        </w:rPr>
        <w:t xml:space="preserve"> </w:t>
      </w:r>
      <w:r w:rsidRPr="004F3109">
        <w:rPr>
          <w:rFonts w:cs="Arial"/>
          <w:i/>
          <w:iCs/>
          <w:noProof/>
          <w:lang w:val="en-US"/>
        </w:rPr>
        <w:t>6</w:t>
      </w:r>
      <w:r w:rsidRPr="004F3109">
        <w:rPr>
          <w:rFonts w:cs="Arial"/>
          <w:noProof/>
          <w:lang w:val="en-US"/>
        </w:rPr>
        <w:t>, 493–505.</w:t>
      </w:r>
    </w:p>
    <w:p w14:paraId="79B26B6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(194) Calcott, M. J., Owen, J. G., and Ackerley, D. F. (2020) Efficient rational modification of non-ribosomal peptides by adenylation domain substitution. </w:t>
      </w:r>
      <w:r w:rsidRPr="004F3109">
        <w:rPr>
          <w:rFonts w:cs="Arial"/>
          <w:i/>
          <w:iCs/>
          <w:noProof/>
          <w:lang w:val="en-US"/>
        </w:rPr>
        <w:t>Nat. Commun. 2020 111</w:t>
      </w:r>
      <w:r w:rsidRPr="004F3109">
        <w:rPr>
          <w:rFonts w:cs="Arial"/>
          <w:noProof/>
          <w:lang w:val="en-US"/>
        </w:rPr>
        <w:t xml:space="preserve"> </w:t>
      </w:r>
      <w:r w:rsidRPr="004F3109">
        <w:rPr>
          <w:rFonts w:cs="Arial"/>
          <w:i/>
          <w:iCs/>
          <w:noProof/>
          <w:lang w:val="en-US"/>
        </w:rPr>
        <w:t>11</w:t>
      </w:r>
      <w:r w:rsidRPr="004F3109">
        <w:rPr>
          <w:rFonts w:cs="Arial"/>
          <w:noProof/>
          <w:lang w:val="en-US"/>
        </w:rPr>
        <w:t>, 1–10.</w:t>
      </w:r>
    </w:p>
    <w:p w14:paraId="4CCF816C"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(195) Bozhüyük, K. A. J., Fleischhacker, F., Linck, A., Wesche, F., Tietze, A., Niesert, C. P., and Bode, H. B. (2017) De novo design and engineering of non-ribosomal peptide synthetases. </w:t>
      </w:r>
      <w:r w:rsidRPr="004F3109">
        <w:rPr>
          <w:rFonts w:cs="Arial"/>
          <w:i/>
          <w:iCs/>
          <w:noProof/>
          <w:lang w:val="en-US"/>
        </w:rPr>
        <w:t>Nat. Chem. 2017 103</w:t>
      </w:r>
      <w:r w:rsidRPr="004F3109">
        <w:rPr>
          <w:rFonts w:cs="Arial"/>
          <w:noProof/>
          <w:lang w:val="en-US"/>
        </w:rPr>
        <w:t xml:space="preserve"> </w:t>
      </w:r>
      <w:r w:rsidRPr="004F3109">
        <w:rPr>
          <w:rFonts w:cs="Arial"/>
          <w:i/>
          <w:iCs/>
          <w:noProof/>
          <w:lang w:val="en-US"/>
        </w:rPr>
        <w:t>10</w:t>
      </w:r>
      <w:r w:rsidRPr="004F3109">
        <w:rPr>
          <w:rFonts w:cs="Arial"/>
          <w:noProof/>
          <w:lang w:val="en-US"/>
        </w:rPr>
        <w:t>, 275–281.</w:t>
      </w:r>
    </w:p>
    <w:p w14:paraId="4FA4E3D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(196) Kries, H., Niquille, D. L., and Hilvert, D. (2015) A subdomain swap strategy for reengineering nonribosomal peptides. </w:t>
      </w:r>
      <w:r w:rsidRPr="004F3109">
        <w:rPr>
          <w:rFonts w:cs="Arial"/>
          <w:i/>
          <w:iCs/>
          <w:noProof/>
          <w:lang w:val="en-US"/>
        </w:rPr>
        <w:t>Chem. Biol.</w:t>
      </w:r>
      <w:r w:rsidRPr="004F3109">
        <w:rPr>
          <w:rFonts w:cs="Arial"/>
          <w:noProof/>
          <w:lang w:val="en-US"/>
        </w:rPr>
        <w:t xml:space="preserve"> </w:t>
      </w:r>
      <w:r w:rsidRPr="004F3109">
        <w:rPr>
          <w:rFonts w:cs="Arial"/>
          <w:i/>
          <w:iCs/>
          <w:noProof/>
          <w:lang w:val="en-US"/>
        </w:rPr>
        <w:t>22</w:t>
      </w:r>
      <w:r w:rsidRPr="004F3109">
        <w:rPr>
          <w:rFonts w:cs="Arial"/>
          <w:noProof/>
          <w:lang w:val="en-US"/>
        </w:rPr>
        <w:t>, 640–648.</w:t>
      </w:r>
    </w:p>
    <w:p w14:paraId="03C4FC7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(197) Chiocchini, C., Linne, U., and Stachelhaus, T. (2006) In Vivo Biocombinatorial Synthesis of Lipopeptides by COM Domain-Mediated Reprogramming of the Surfactin Biosynthetic Complex. </w:t>
      </w:r>
      <w:r w:rsidRPr="004F3109">
        <w:rPr>
          <w:rFonts w:cs="Arial"/>
          <w:i/>
          <w:iCs/>
          <w:noProof/>
          <w:lang w:val="en-US"/>
        </w:rPr>
        <w:t>Chem. Biol.</w:t>
      </w:r>
      <w:r w:rsidRPr="004F3109">
        <w:rPr>
          <w:rFonts w:cs="Arial"/>
          <w:noProof/>
          <w:lang w:val="en-US"/>
        </w:rPr>
        <w:t xml:space="preserve"> </w:t>
      </w:r>
      <w:r w:rsidRPr="004F3109">
        <w:rPr>
          <w:rFonts w:cs="Arial"/>
          <w:i/>
          <w:iCs/>
          <w:noProof/>
          <w:lang w:val="en-US"/>
        </w:rPr>
        <w:t>13</w:t>
      </w:r>
      <w:r w:rsidRPr="004F3109">
        <w:rPr>
          <w:rFonts w:cs="Arial"/>
          <w:noProof/>
          <w:lang w:val="en-US"/>
        </w:rPr>
        <w:t>, 899–908.</w:t>
      </w:r>
    </w:p>
    <w:p w14:paraId="3715D01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(198) Beer, R., Herbst, K., Ignatiadis, N., Kats, I., Adlung, L., Meyer, H., Niopek, D., Christiansen, T., Georgi, F., Kurzawa, N., Meichsner, J., Rabe, S., Riedel, A., Sachs, J., Schessner, J., Schmidt, F., Walch, P., Niopek, K., Heinemann, T., Eils, R., and Di Ventura, B. (2014) Creating functional engineered variants of the single-module non-ribosomal peptide synthetase IndC by T domain exchange. </w:t>
      </w:r>
      <w:r w:rsidRPr="004F3109">
        <w:rPr>
          <w:rFonts w:cs="Arial"/>
          <w:i/>
          <w:iCs/>
          <w:noProof/>
          <w:lang w:val="en-US"/>
        </w:rPr>
        <w:t>Mol. Biosyst.</w:t>
      </w:r>
      <w:r w:rsidRPr="004F3109">
        <w:rPr>
          <w:rFonts w:cs="Arial"/>
          <w:noProof/>
          <w:lang w:val="en-US"/>
        </w:rPr>
        <w:t xml:space="preserve"> </w:t>
      </w:r>
      <w:r w:rsidRPr="004F3109">
        <w:rPr>
          <w:rFonts w:cs="Arial"/>
          <w:i/>
          <w:iCs/>
          <w:noProof/>
          <w:lang w:val="en-US"/>
        </w:rPr>
        <w:t>10</w:t>
      </w:r>
      <w:r w:rsidRPr="004F3109">
        <w:rPr>
          <w:rFonts w:cs="Arial"/>
          <w:noProof/>
          <w:lang w:val="en-US"/>
        </w:rPr>
        <w:t>, 1709–1718.</w:t>
      </w:r>
    </w:p>
    <w:p w14:paraId="5ADC2BE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lastRenderedPageBreak/>
        <w:t xml:space="preserve">(199) Kries, H., Wachtel, R., Pabst, A., Wanner, B., Niquille, D., and Hilvert, D. (2014) Reprogramming Nonribosomal Peptide Synthetases for “Clickable” Amino Acids. </w:t>
      </w:r>
      <w:r w:rsidRPr="004F3109">
        <w:rPr>
          <w:rFonts w:cs="Arial"/>
          <w:i/>
          <w:iCs/>
          <w:noProof/>
          <w:lang w:val="en-US"/>
        </w:rPr>
        <w:t>Angew. Chemie Int. Ed.</w:t>
      </w:r>
      <w:r w:rsidRPr="004F3109">
        <w:rPr>
          <w:rFonts w:cs="Arial"/>
          <w:noProof/>
          <w:lang w:val="en-US"/>
        </w:rPr>
        <w:t xml:space="preserve"> </w:t>
      </w:r>
      <w:r w:rsidRPr="004F3109">
        <w:rPr>
          <w:rFonts w:cs="Arial"/>
          <w:i/>
          <w:iCs/>
          <w:noProof/>
          <w:lang w:val="en-US"/>
        </w:rPr>
        <w:t>53</w:t>
      </w:r>
      <w:r w:rsidRPr="004F3109">
        <w:rPr>
          <w:rFonts w:cs="Arial"/>
          <w:noProof/>
          <w:lang w:val="en-US"/>
        </w:rPr>
        <w:t>, 10105–10108.</w:t>
      </w:r>
    </w:p>
    <w:p w14:paraId="4B8C8C24"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(200) Bozhüyük, K. A. J., Linck, A., Tietze, A., Kranz, J., Wesche, F., Nowak, S., Fleischhacker, F., Shi, Y. N., Grün, P., and Bode, H. B. (2019) Modification and de novo design of non-ribosomal peptide synthetases using specific assembly points within condensation domains. </w:t>
      </w:r>
      <w:r w:rsidRPr="004F3109">
        <w:rPr>
          <w:rFonts w:cs="Arial"/>
          <w:i/>
          <w:iCs/>
          <w:noProof/>
          <w:lang w:val="en-US"/>
        </w:rPr>
        <w:t>Nat. Chem. 2019 117</w:t>
      </w:r>
      <w:r w:rsidRPr="004F3109">
        <w:rPr>
          <w:rFonts w:cs="Arial"/>
          <w:noProof/>
          <w:lang w:val="en-US"/>
        </w:rPr>
        <w:t xml:space="preserve"> </w:t>
      </w:r>
      <w:r w:rsidRPr="004F3109">
        <w:rPr>
          <w:rFonts w:cs="Arial"/>
          <w:i/>
          <w:iCs/>
          <w:noProof/>
          <w:lang w:val="en-US"/>
        </w:rPr>
        <w:t>11</w:t>
      </w:r>
      <w:r w:rsidRPr="004F3109">
        <w:rPr>
          <w:rFonts w:cs="Arial"/>
          <w:noProof/>
          <w:lang w:val="en-US"/>
        </w:rPr>
        <w:t>, 653–661.</w:t>
      </w:r>
    </w:p>
    <w:p w14:paraId="69E9116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(201) Thirlway, J., Lewis, R., Nunns, L., Al Nakeeb, M., Styles, M., Struck, A. W., Smith, C. P., and Micklefield, J. (2012) Introduction of a Non-Natural Amino Acid into a Nonribosomal Peptide Antibiotic by Modification of Adenylation Domain Specificity. </w:t>
      </w:r>
      <w:r w:rsidRPr="004F3109">
        <w:rPr>
          <w:rFonts w:cs="Arial"/>
          <w:i/>
          <w:iCs/>
          <w:noProof/>
          <w:lang w:val="en-US"/>
        </w:rPr>
        <w:t>Angew. Chemie Int. Ed.</w:t>
      </w:r>
      <w:r w:rsidRPr="004F3109">
        <w:rPr>
          <w:rFonts w:cs="Arial"/>
          <w:noProof/>
          <w:lang w:val="en-US"/>
        </w:rPr>
        <w:t xml:space="preserve"> </w:t>
      </w:r>
      <w:r w:rsidRPr="004F3109">
        <w:rPr>
          <w:rFonts w:cs="Arial"/>
          <w:i/>
          <w:iCs/>
          <w:noProof/>
          <w:lang w:val="en-US"/>
        </w:rPr>
        <w:t>51</w:t>
      </w:r>
      <w:r w:rsidRPr="004F3109">
        <w:rPr>
          <w:rFonts w:cs="Arial"/>
          <w:noProof/>
          <w:lang w:val="en-US"/>
        </w:rPr>
        <w:t>, 7181–7184.</w:t>
      </w:r>
    </w:p>
    <w:p w14:paraId="2D4D6B7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(202) Kudo, F., Miyanaga, A., and Eguchi, T. (2019) Structural basis of the nonribosomal codes for nonproteinogenic amino acid selective adenylation enzymes in the biosynthesis of natural products. </w:t>
      </w:r>
      <w:r w:rsidRPr="004F3109">
        <w:rPr>
          <w:rFonts w:cs="Arial"/>
          <w:i/>
          <w:iCs/>
          <w:noProof/>
          <w:lang w:val="en-US"/>
        </w:rPr>
        <w:t>J. Ind. Microbiol. Biotechnol.</w:t>
      </w:r>
      <w:r w:rsidRPr="004F3109">
        <w:rPr>
          <w:rFonts w:cs="Arial"/>
          <w:noProof/>
          <w:lang w:val="en-US"/>
        </w:rPr>
        <w:t xml:space="preserve"> </w:t>
      </w:r>
      <w:r w:rsidRPr="004F3109">
        <w:rPr>
          <w:rFonts w:cs="Arial"/>
          <w:i/>
          <w:iCs/>
          <w:noProof/>
          <w:lang w:val="en-US"/>
        </w:rPr>
        <w:t>46</w:t>
      </w:r>
      <w:r w:rsidRPr="004F3109">
        <w:rPr>
          <w:rFonts w:cs="Arial"/>
          <w:noProof/>
          <w:lang w:val="en-US"/>
        </w:rPr>
        <w:t>, 515–536.</w:t>
      </w:r>
    </w:p>
    <w:p w14:paraId="0E20A64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(203) Villiers, B., and Hollfelder, F. (2011) Directed evolution of a gatekeeper domain in nonribosomal peptide synthesis. </w:t>
      </w:r>
      <w:r w:rsidRPr="004F3109">
        <w:rPr>
          <w:rFonts w:cs="Arial"/>
          <w:i/>
          <w:iCs/>
          <w:noProof/>
          <w:lang w:val="en-US"/>
        </w:rPr>
        <w:t>Chem. Biol.</w:t>
      </w:r>
      <w:r w:rsidRPr="004F3109">
        <w:rPr>
          <w:rFonts w:cs="Arial"/>
          <w:noProof/>
          <w:lang w:val="en-US"/>
        </w:rPr>
        <w:t xml:space="preserve"> </w:t>
      </w:r>
      <w:r w:rsidRPr="004F3109">
        <w:rPr>
          <w:rFonts w:cs="Arial"/>
          <w:i/>
          <w:iCs/>
          <w:noProof/>
          <w:lang w:val="en-US"/>
        </w:rPr>
        <w:t>18</w:t>
      </w:r>
      <w:r w:rsidRPr="004F3109">
        <w:rPr>
          <w:rFonts w:cs="Arial"/>
          <w:noProof/>
          <w:lang w:val="en-US"/>
        </w:rPr>
        <w:t>, 1290–1299.</w:t>
      </w:r>
    </w:p>
    <w:p w14:paraId="15979071"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(204) Challis, G. L., and Naismith, J. H. (2004) Structural aspects of non-ribosomal peptide biosynthesis. </w:t>
      </w:r>
      <w:r w:rsidRPr="004F3109">
        <w:rPr>
          <w:rFonts w:cs="Arial"/>
          <w:i/>
          <w:iCs/>
          <w:noProof/>
          <w:lang w:val="en-US"/>
        </w:rPr>
        <w:t>Curr. Opin. Struct. Biol.</w:t>
      </w:r>
      <w:r w:rsidRPr="004F3109">
        <w:rPr>
          <w:rFonts w:cs="Arial"/>
          <w:noProof/>
          <w:lang w:val="en-US"/>
        </w:rPr>
        <w:t xml:space="preserve"> </w:t>
      </w:r>
      <w:r w:rsidRPr="004F3109">
        <w:rPr>
          <w:rFonts w:cs="Arial"/>
          <w:i/>
          <w:iCs/>
          <w:noProof/>
          <w:lang w:val="en-US"/>
        </w:rPr>
        <w:t>14</w:t>
      </w:r>
      <w:r w:rsidRPr="004F3109">
        <w:rPr>
          <w:rFonts w:cs="Arial"/>
          <w:noProof/>
          <w:lang w:val="en-US"/>
        </w:rPr>
        <w:t>, 748–756.</w:t>
      </w:r>
    </w:p>
    <w:p w14:paraId="728CFDB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(205) Li, J., Zhang, L., and Liu, W. (2018) Cell-free synthetic biology for in vitro biosynthesis of pharmaceutical natural products. </w:t>
      </w:r>
      <w:r w:rsidRPr="004F3109">
        <w:rPr>
          <w:rFonts w:cs="Arial"/>
          <w:i/>
          <w:iCs/>
          <w:noProof/>
          <w:lang w:val="en-US"/>
        </w:rPr>
        <w:t>Synth. Syst. Biotechnol.</w:t>
      </w:r>
      <w:r w:rsidRPr="004F3109">
        <w:rPr>
          <w:rFonts w:cs="Arial"/>
          <w:noProof/>
          <w:lang w:val="en-US"/>
        </w:rPr>
        <w:t xml:space="preserve"> </w:t>
      </w:r>
      <w:r w:rsidRPr="004F3109">
        <w:rPr>
          <w:rFonts w:cs="Arial"/>
          <w:i/>
          <w:iCs/>
          <w:noProof/>
          <w:lang w:val="en-US"/>
        </w:rPr>
        <w:t>3</w:t>
      </w:r>
      <w:r w:rsidRPr="004F3109">
        <w:rPr>
          <w:rFonts w:cs="Arial"/>
          <w:noProof/>
          <w:lang w:val="en-US"/>
        </w:rPr>
        <w:t>, 83.</w:t>
      </w:r>
    </w:p>
    <w:p w14:paraId="25ED437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(206) Li, J., Zhang, L., and Liu, W. (2018, June 1) Cell-free synthetic biology for in vitro biosynthesis of pharmaceutical natural products. </w:t>
      </w:r>
      <w:r w:rsidRPr="004F3109">
        <w:rPr>
          <w:rFonts w:cs="Arial"/>
          <w:i/>
          <w:iCs/>
          <w:noProof/>
          <w:lang w:val="en-US"/>
        </w:rPr>
        <w:t>Synth. Syst. Biotechnol.</w:t>
      </w:r>
      <w:r w:rsidRPr="004F3109">
        <w:rPr>
          <w:rFonts w:cs="Arial"/>
          <w:noProof/>
          <w:lang w:val="en-US"/>
        </w:rPr>
        <w:t xml:space="preserve"> KeAi Communications Co.</w:t>
      </w:r>
    </w:p>
    <w:p w14:paraId="1A4145A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(207) Siebels, I., Nowak, S., Heil, C. S., Tufar, P., Cortina, N. S., Bode, H. B., and Grininger, M. (2020) Cell-Free Synthesis of Natural Compounds from Genomic DNA of Biosynthetic Gene Clusters.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9</w:t>
      </w:r>
      <w:r w:rsidRPr="004F3109">
        <w:rPr>
          <w:rFonts w:cs="Arial"/>
          <w:noProof/>
          <w:lang w:val="en-US"/>
        </w:rPr>
        <w:t>, 2418–2426.</w:t>
      </w:r>
    </w:p>
    <w:p w14:paraId="5519FE5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lastRenderedPageBreak/>
        <w:t xml:space="preserve">(208) Goering, A. W., Li, J., McClure, R. A., Thomson, R. J., Jewett, M. C., and Kelleher, N. L. (2017) In vitro reconstruction of nonribosomal peptide biosynthesis directly from DNA using cell-free protein synthesis.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6</w:t>
      </w:r>
      <w:r w:rsidRPr="004F3109">
        <w:rPr>
          <w:rFonts w:cs="Arial"/>
          <w:noProof/>
          <w:lang w:val="en-US"/>
        </w:rPr>
        <w:t>, 39–44.</w:t>
      </w:r>
    </w:p>
    <w:p w14:paraId="613E63C8"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(209) Jewett, M. C., and Swartz, J. R. (2004) Mimicking the Escherichia coli cytoplasmic environment activates long-lived and efficient cell-free protein synthesis. </w:t>
      </w:r>
      <w:r w:rsidRPr="004F3109">
        <w:rPr>
          <w:rFonts w:cs="Arial"/>
          <w:i/>
          <w:iCs/>
          <w:noProof/>
          <w:lang w:val="en-US"/>
        </w:rPr>
        <w:t>Biotechnol. Bioeng.</w:t>
      </w:r>
      <w:r w:rsidRPr="004F3109">
        <w:rPr>
          <w:rFonts w:cs="Arial"/>
          <w:noProof/>
          <w:lang w:val="en-US"/>
        </w:rPr>
        <w:t xml:space="preserve"> </w:t>
      </w:r>
      <w:r w:rsidRPr="004F3109">
        <w:rPr>
          <w:rFonts w:cs="Arial"/>
          <w:i/>
          <w:iCs/>
          <w:noProof/>
          <w:lang w:val="en-US"/>
        </w:rPr>
        <w:t>86</w:t>
      </w:r>
      <w:r w:rsidRPr="004F3109">
        <w:rPr>
          <w:rFonts w:cs="Arial"/>
          <w:noProof/>
          <w:lang w:val="en-US"/>
        </w:rPr>
        <w:t>, 19–26.</w:t>
      </w:r>
    </w:p>
    <w:p w14:paraId="3186E14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(210) Vilkhovoy, M., Horvath, N., Shih, C. H., Wayman, J. A., Calhoun, K., Swartz, J., and Varner, J. D. (2018) Sequence Specific Modeling of E. Coli Cell-Free Protein Synthesis.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7</w:t>
      </w:r>
      <w:r w:rsidRPr="004F3109">
        <w:rPr>
          <w:rFonts w:cs="Arial"/>
          <w:noProof/>
          <w:lang w:val="en-US"/>
        </w:rPr>
        <w:t>, 1844–1857.</w:t>
      </w:r>
    </w:p>
    <w:p w14:paraId="1E7C15D1"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(211) Goering, A. W., Li, J., McClure, R. A., Thomson, R. J., Jewett, M. C., and Kelleher, N. L. (2017) In vitro reconstruction of nonribosomal peptide biosynthesis directly from DNA using cell-free protein synthesis.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6</w:t>
      </w:r>
      <w:r w:rsidRPr="004F3109">
        <w:rPr>
          <w:rFonts w:cs="Arial"/>
          <w:noProof/>
          <w:lang w:val="en-US"/>
        </w:rPr>
        <w:t>, 39–44.</w:t>
      </w:r>
    </w:p>
    <w:p w14:paraId="195DA3EE"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(212) Hurst, G. B., Asano, K. G., Doktycz, C. J., Consoli, E. J., Doktycz, W. L., Foster, C. M., Morrell-Falvey, J. L., Standaert, R. F., and Doktycz, M. J. (2017) Proteomics-Based Tools for Evaluation of Cell-Free Protein Synthesis. </w:t>
      </w:r>
      <w:r w:rsidRPr="004F3109">
        <w:rPr>
          <w:rFonts w:cs="Arial"/>
          <w:i/>
          <w:iCs/>
          <w:noProof/>
          <w:lang w:val="en-US"/>
        </w:rPr>
        <w:t>Anal. Chem.</w:t>
      </w:r>
      <w:r w:rsidRPr="004F3109">
        <w:rPr>
          <w:rFonts w:cs="Arial"/>
          <w:noProof/>
          <w:lang w:val="en-US"/>
        </w:rPr>
        <w:t xml:space="preserve"> </w:t>
      </w:r>
      <w:r w:rsidRPr="004F3109">
        <w:rPr>
          <w:rFonts w:cs="Arial"/>
          <w:i/>
          <w:iCs/>
          <w:noProof/>
          <w:lang w:val="en-US"/>
        </w:rPr>
        <w:t>89</w:t>
      </w:r>
      <w:r w:rsidRPr="004F3109">
        <w:rPr>
          <w:rFonts w:cs="Arial"/>
          <w:noProof/>
          <w:lang w:val="en-US"/>
        </w:rPr>
        <w:t>, 11443–11451.</w:t>
      </w:r>
    </w:p>
    <w:p w14:paraId="3866B35C"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(213) Wick, S., Walsh, D. I., Bobrow, J., Hamad-Schifferli, K., Kong, D. S., Thorsen, T., Mroszczyk, K., and Carr, P. A. (2019) PERSIA for Direct Fluorescence Measurements of Transcription, Translation, and Enzyme Activity in Cell-Free Systems.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8</w:t>
      </w:r>
      <w:r w:rsidRPr="004F3109">
        <w:rPr>
          <w:rFonts w:cs="Arial"/>
          <w:noProof/>
          <w:lang w:val="en-US"/>
        </w:rPr>
        <w:t>, 1010–1025.</w:t>
      </w:r>
    </w:p>
    <w:p w14:paraId="56FB985A"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(214) Pfeifer, B. A., Admiraal, S. J., Gramajo, H., Cane, D. E., and Khosla, C. (2001) Biosynthesis of complex polyketides in a metabolically engineered strain of E. coli. </w:t>
      </w:r>
      <w:r w:rsidRPr="004F3109">
        <w:rPr>
          <w:rFonts w:cs="Arial"/>
          <w:i/>
          <w:iCs/>
          <w:noProof/>
          <w:lang w:val="en-US"/>
        </w:rPr>
        <w:t>Science (80-. ).</w:t>
      </w:r>
      <w:r w:rsidRPr="004F3109">
        <w:rPr>
          <w:rFonts w:cs="Arial"/>
          <w:noProof/>
          <w:lang w:val="en-US"/>
        </w:rPr>
        <w:t xml:space="preserve"> </w:t>
      </w:r>
      <w:r w:rsidRPr="004F3109">
        <w:rPr>
          <w:rFonts w:cs="Arial"/>
          <w:i/>
          <w:iCs/>
          <w:noProof/>
          <w:lang w:val="en-US"/>
        </w:rPr>
        <w:t>291</w:t>
      </w:r>
      <w:r w:rsidRPr="004F3109">
        <w:rPr>
          <w:rFonts w:cs="Arial"/>
          <w:noProof/>
          <w:lang w:val="en-US"/>
        </w:rPr>
        <w:t>, 1790–1792.</w:t>
      </w:r>
    </w:p>
    <w:p w14:paraId="0D109CE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(215) Li, J., Wang, H., Kwon, Y.-C., and Jewett, M. C. (2017) Establishing a high yielding </w:t>
      </w:r>
      <w:r w:rsidRPr="004F3109">
        <w:rPr>
          <w:rFonts w:cs="Arial"/>
          <w:i/>
          <w:iCs/>
          <w:noProof/>
          <w:lang w:val="en-US"/>
        </w:rPr>
        <w:t>streptomyces</w:t>
      </w:r>
      <w:r w:rsidRPr="004F3109">
        <w:rPr>
          <w:rFonts w:cs="Arial"/>
          <w:noProof/>
          <w:lang w:val="en-US"/>
        </w:rPr>
        <w:t xml:space="preserve"> -based cell-free protein synthesis system. </w:t>
      </w:r>
      <w:r w:rsidRPr="004F3109">
        <w:rPr>
          <w:rFonts w:cs="Arial"/>
          <w:i/>
          <w:iCs/>
          <w:noProof/>
          <w:lang w:val="en-US"/>
        </w:rPr>
        <w:t>Biotechnol. Bioeng.</w:t>
      </w:r>
      <w:r w:rsidRPr="004F3109">
        <w:rPr>
          <w:rFonts w:cs="Arial"/>
          <w:noProof/>
          <w:lang w:val="en-US"/>
        </w:rPr>
        <w:t xml:space="preserve"> </w:t>
      </w:r>
      <w:r w:rsidRPr="004F3109">
        <w:rPr>
          <w:rFonts w:cs="Arial"/>
          <w:i/>
          <w:iCs/>
          <w:noProof/>
          <w:lang w:val="en-US"/>
        </w:rPr>
        <w:t>114</w:t>
      </w:r>
      <w:r w:rsidRPr="004F3109">
        <w:rPr>
          <w:rFonts w:cs="Arial"/>
          <w:noProof/>
          <w:lang w:val="en-US"/>
        </w:rPr>
        <w:t>, 1343–1353.</w:t>
      </w:r>
    </w:p>
    <w:p w14:paraId="5160D69C"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(216) Li, J., Wang, H., and Jewett, M. C. (2018) Expanding the palette of Streptomyces-based cell-free protein synthesis systems with enhanced yields. </w:t>
      </w:r>
      <w:r w:rsidRPr="004F3109">
        <w:rPr>
          <w:rFonts w:cs="Arial"/>
          <w:i/>
          <w:iCs/>
          <w:noProof/>
          <w:lang w:val="en-US"/>
        </w:rPr>
        <w:t>Biochem. Eng. J.</w:t>
      </w:r>
      <w:r w:rsidRPr="004F3109">
        <w:rPr>
          <w:rFonts w:cs="Arial"/>
          <w:noProof/>
          <w:lang w:val="en-US"/>
        </w:rPr>
        <w:t xml:space="preserve"> </w:t>
      </w:r>
      <w:r w:rsidRPr="004F3109">
        <w:rPr>
          <w:rFonts w:cs="Arial"/>
          <w:i/>
          <w:iCs/>
          <w:noProof/>
          <w:lang w:val="en-US"/>
        </w:rPr>
        <w:t>130</w:t>
      </w:r>
      <w:r w:rsidRPr="004F3109">
        <w:rPr>
          <w:rFonts w:cs="Arial"/>
          <w:noProof/>
          <w:lang w:val="en-US"/>
        </w:rPr>
        <w:t>, 29–33.</w:t>
      </w:r>
    </w:p>
    <w:p w14:paraId="0B160673"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lastRenderedPageBreak/>
        <w:t xml:space="preserve">(217) Moore, S. J., Lai, H. E., Needham, H., Polizzi, K. M., and Freemont, P. S. (2017) Streptomyces venezuelae TX-TL - a next generation cell-free synthetic biology tool. </w:t>
      </w:r>
      <w:r w:rsidRPr="004F3109">
        <w:rPr>
          <w:rFonts w:cs="Arial"/>
          <w:i/>
          <w:iCs/>
          <w:noProof/>
          <w:lang w:val="en-US"/>
        </w:rPr>
        <w:t>Biotechnol. J.</w:t>
      </w:r>
      <w:r w:rsidRPr="004F3109">
        <w:rPr>
          <w:rFonts w:cs="Arial"/>
          <w:noProof/>
          <w:lang w:val="en-US"/>
        </w:rPr>
        <w:t xml:space="preserve"> </w:t>
      </w:r>
      <w:r w:rsidRPr="004F3109">
        <w:rPr>
          <w:rFonts w:cs="Arial"/>
          <w:i/>
          <w:iCs/>
          <w:noProof/>
          <w:lang w:val="en-US"/>
        </w:rPr>
        <w:t>12</w:t>
      </w:r>
      <w:r w:rsidRPr="004F3109">
        <w:rPr>
          <w:rFonts w:cs="Arial"/>
          <w:noProof/>
          <w:lang w:val="en-US"/>
        </w:rPr>
        <w:t>.</w:t>
      </w:r>
    </w:p>
    <w:p w14:paraId="67023334"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(218) Moore, S. J., Lai, H. E., Chee, S. M., Toh, M., Coode, S., Chengan, K., Capel, P., Corre, C., De Los Santos, E. L. C., and Freemont, P. S. (2021) A Streptomyces venezuelae Cell-Free Toolkit for Synthetic Biology.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10</w:t>
      </w:r>
      <w:r w:rsidRPr="004F3109">
        <w:rPr>
          <w:rFonts w:cs="Arial"/>
          <w:noProof/>
          <w:lang w:val="en-US"/>
        </w:rPr>
        <w:t>, 402–411.</w:t>
      </w:r>
    </w:p>
    <w:p w14:paraId="5A735264"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(219) Kelwick, R., Webb, A. J., MacDonald, J. T., and Freemont, P. S. (2016) Development of a Bacillus subtilis cell-free transcription-translation system for prototyping regulatory elements. </w:t>
      </w:r>
      <w:r w:rsidRPr="004F3109">
        <w:rPr>
          <w:rFonts w:cs="Arial"/>
          <w:i/>
          <w:iCs/>
          <w:noProof/>
          <w:lang w:val="en-US"/>
        </w:rPr>
        <w:t>Metab. Eng.</w:t>
      </w:r>
      <w:r w:rsidRPr="004F3109">
        <w:rPr>
          <w:rFonts w:cs="Arial"/>
          <w:noProof/>
          <w:lang w:val="en-US"/>
        </w:rPr>
        <w:t xml:space="preserve"> </w:t>
      </w:r>
      <w:r w:rsidRPr="004F3109">
        <w:rPr>
          <w:rFonts w:cs="Arial"/>
          <w:i/>
          <w:iCs/>
          <w:noProof/>
          <w:lang w:val="en-US"/>
        </w:rPr>
        <w:t>38</w:t>
      </w:r>
      <w:r w:rsidRPr="004F3109">
        <w:rPr>
          <w:rFonts w:cs="Arial"/>
          <w:noProof/>
          <w:lang w:val="en-US"/>
        </w:rPr>
        <w:t>, 370–381.</w:t>
      </w:r>
    </w:p>
    <w:p w14:paraId="152CB3E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(220) Pang, B., Pang, B., Pang, B., Chen, Y., Chen, Y., Gan, F., Gan, F., Gan, F., Yan, C., Jin, L., Gin, J. W., Gin, J. W., Petzold, C. J., Petzold, C. J., Keasling, J. D., Keasling, J. D., Keasling, J. D., Keasling, J. D., Keasling, J. D., and Keasling, J. D. (2020) Investigation of Indigoidine Synthetase Reveals a Conserved Active-Site Base Residue of Nonribosomal Peptide Synthetase Oxidases. </w:t>
      </w:r>
      <w:r w:rsidRPr="004F3109">
        <w:rPr>
          <w:rFonts w:cs="Arial"/>
          <w:i/>
          <w:iCs/>
          <w:noProof/>
          <w:lang w:val="en-US"/>
        </w:rPr>
        <w:t>J. Am. Chem. Soc.</w:t>
      </w:r>
      <w:r w:rsidRPr="004F3109">
        <w:rPr>
          <w:rFonts w:cs="Arial"/>
          <w:noProof/>
          <w:lang w:val="en-US"/>
        </w:rPr>
        <w:t xml:space="preserve"> </w:t>
      </w:r>
      <w:r w:rsidRPr="004F3109">
        <w:rPr>
          <w:rFonts w:cs="Arial"/>
          <w:i/>
          <w:iCs/>
          <w:noProof/>
          <w:lang w:val="en-US"/>
        </w:rPr>
        <w:t>142</w:t>
      </w:r>
      <w:r w:rsidRPr="004F3109">
        <w:rPr>
          <w:rFonts w:cs="Arial"/>
          <w:noProof/>
          <w:lang w:val="en-US"/>
        </w:rPr>
        <w:t>, 10931–10935.</w:t>
      </w:r>
    </w:p>
    <w:p w14:paraId="6EFD6147"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(221) Owen, J. G., Copp, J. N., and Ackerley, D. F. (2011) Rapid and flexible biochemical assays for evaluating 4′- phosphopantetheinyl transferase activity. </w:t>
      </w:r>
      <w:r w:rsidRPr="004F3109">
        <w:rPr>
          <w:rFonts w:cs="Arial"/>
          <w:i/>
          <w:iCs/>
          <w:noProof/>
          <w:lang w:val="en-US"/>
        </w:rPr>
        <w:t>Biochem. J.</w:t>
      </w:r>
      <w:r w:rsidRPr="004F3109">
        <w:rPr>
          <w:rFonts w:cs="Arial"/>
          <w:noProof/>
          <w:lang w:val="en-US"/>
        </w:rPr>
        <w:t xml:space="preserve"> </w:t>
      </w:r>
      <w:r w:rsidRPr="004F3109">
        <w:rPr>
          <w:rFonts w:cs="Arial"/>
          <w:i/>
          <w:iCs/>
          <w:noProof/>
          <w:lang w:val="en-US"/>
        </w:rPr>
        <w:t>436</w:t>
      </w:r>
      <w:r w:rsidRPr="004F3109">
        <w:rPr>
          <w:rFonts w:cs="Arial"/>
          <w:noProof/>
          <w:lang w:val="en-US"/>
        </w:rPr>
        <w:t>, 709–717.</w:t>
      </w:r>
    </w:p>
    <w:p w14:paraId="0989D6E2"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(222) Owen, J. G., Calcott, M. J., Robins, K. J., and Ackerley, D. F. (2016) Generating Functional Recombinant NRPS Enzymes in the Laboratory Setting via Peptidyl Carrier Protein Engineering. </w:t>
      </w:r>
      <w:r w:rsidRPr="004F3109">
        <w:rPr>
          <w:rFonts w:cs="Arial"/>
          <w:i/>
          <w:iCs/>
          <w:noProof/>
          <w:lang w:val="en-US"/>
        </w:rPr>
        <w:t>Cell Chem. Biol.</w:t>
      </w:r>
      <w:r w:rsidRPr="004F3109">
        <w:rPr>
          <w:rFonts w:cs="Arial"/>
          <w:noProof/>
          <w:lang w:val="en-US"/>
        </w:rPr>
        <w:t xml:space="preserve"> </w:t>
      </w:r>
      <w:r w:rsidRPr="004F3109">
        <w:rPr>
          <w:rFonts w:cs="Arial"/>
          <w:i/>
          <w:iCs/>
          <w:noProof/>
          <w:lang w:val="en-US"/>
        </w:rPr>
        <w:t>23</w:t>
      </w:r>
      <w:r w:rsidRPr="004F3109">
        <w:rPr>
          <w:rFonts w:cs="Arial"/>
          <w:noProof/>
          <w:lang w:val="en-US"/>
        </w:rPr>
        <w:t>, 1395–1406.</w:t>
      </w:r>
    </w:p>
    <w:p w14:paraId="080559C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(223) Hoffmann, C., Gaietta, G., Zürn, A., Adams, S. R., Terrillon, S., Ellisman, M. H., Tsien, R. Y., and Lohse, M. J. (2010) Fluorescent labeling of tetracysteine-tagged proteins in intact cells. </w:t>
      </w:r>
      <w:r w:rsidRPr="004F3109">
        <w:rPr>
          <w:rFonts w:cs="Arial"/>
          <w:i/>
          <w:iCs/>
          <w:noProof/>
          <w:lang w:val="en-US"/>
        </w:rPr>
        <w:t>Nat. Protoc. 2010 510</w:t>
      </w:r>
      <w:r w:rsidRPr="004F3109">
        <w:rPr>
          <w:rFonts w:cs="Arial"/>
          <w:noProof/>
          <w:lang w:val="en-US"/>
        </w:rPr>
        <w:t xml:space="preserve"> </w:t>
      </w:r>
      <w:r w:rsidRPr="004F3109">
        <w:rPr>
          <w:rFonts w:cs="Arial"/>
          <w:i/>
          <w:iCs/>
          <w:noProof/>
          <w:lang w:val="en-US"/>
        </w:rPr>
        <w:t>5</w:t>
      </w:r>
      <w:r w:rsidRPr="004F3109">
        <w:rPr>
          <w:rFonts w:cs="Arial"/>
          <w:noProof/>
          <w:lang w:val="en-US"/>
        </w:rPr>
        <w:t>, 1666–1677.</w:t>
      </w:r>
    </w:p>
    <w:p w14:paraId="5051A0D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(224) Stevens, D. C., Conway, K. R., Pearce, N., Villegas-Peñaranda, L. R., Garza, A. G., and Boddy, C. N. (2013) Alternative Sigma Factor Over-Expression Enables Heterologous Expression of a Type II Polyketide Biosynthetic Pathway in Escherichia coli. </w:t>
      </w:r>
      <w:r w:rsidRPr="004F3109">
        <w:rPr>
          <w:rFonts w:cs="Arial"/>
          <w:i/>
          <w:iCs/>
          <w:noProof/>
          <w:lang w:val="en-US"/>
        </w:rPr>
        <w:t>PLoS One</w:t>
      </w:r>
      <w:r w:rsidRPr="004F3109">
        <w:rPr>
          <w:rFonts w:cs="Arial"/>
          <w:noProof/>
          <w:lang w:val="en-US"/>
        </w:rPr>
        <w:t xml:space="preserve"> </w:t>
      </w:r>
      <w:r w:rsidRPr="004F3109">
        <w:rPr>
          <w:rFonts w:cs="Arial"/>
          <w:i/>
          <w:iCs/>
          <w:noProof/>
          <w:lang w:val="en-US"/>
        </w:rPr>
        <w:t>8</w:t>
      </w:r>
      <w:r w:rsidRPr="004F3109">
        <w:rPr>
          <w:rFonts w:cs="Arial"/>
          <w:noProof/>
          <w:lang w:val="en-US"/>
        </w:rPr>
        <w:t>.</w:t>
      </w:r>
    </w:p>
    <w:p w14:paraId="66948D3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(225) Hillson, N. J., Rosengarten, R. D., and Keasling, J. D. (2012) J5 DNA assembly design </w:t>
      </w:r>
      <w:r w:rsidRPr="004F3109">
        <w:rPr>
          <w:rFonts w:cs="Arial"/>
          <w:noProof/>
          <w:lang w:val="en-US"/>
        </w:rPr>
        <w:lastRenderedPageBreak/>
        <w:t xml:space="preserve">automation software.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1</w:t>
      </w:r>
      <w:r w:rsidRPr="004F3109">
        <w:rPr>
          <w:rFonts w:cs="Arial"/>
          <w:noProof/>
          <w:lang w:val="en-US"/>
        </w:rPr>
        <w:t>, 14–21.</w:t>
      </w:r>
    </w:p>
    <w:p w14:paraId="6BFA0511"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(226) Wehrs, M., Gladden, J. M., Liu, Y., Platz, L., Prahl, J. P., Moon, J., Papa, G., Sundstrom, E., Geiselman, G. M., Tanjore, D., Keasling, J. D., Pray, T. R., Simmons, B. A., and Mukhopadhyay, A. (2019) Sustainable bioproduction of the blue pigment indigoidine: Expanding the range of heterologous products in: R. toruloides to include non-ribosomal peptides. </w:t>
      </w:r>
      <w:r w:rsidRPr="004F3109">
        <w:rPr>
          <w:rFonts w:cs="Arial"/>
          <w:i/>
          <w:iCs/>
          <w:noProof/>
          <w:lang w:val="en-US"/>
        </w:rPr>
        <w:t>Green Chem.</w:t>
      </w:r>
      <w:r w:rsidRPr="004F3109">
        <w:rPr>
          <w:rFonts w:cs="Arial"/>
          <w:noProof/>
          <w:lang w:val="en-US"/>
        </w:rPr>
        <w:t xml:space="preserve"> </w:t>
      </w:r>
      <w:r w:rsidRPr="004F3109">
        <w:rPr>
          <w:rFonts w:cs="Arial"/>
          <w:i/>
          <w:iCs/>
          <w:noProof/>
          <w:lang w:val="en-US"/>
        </w:rPr>
        <w:t>21</w:t>
      </w:r>
      <w:r w:rsidRPr="004F3109">
        <w:rPr>
          <w:rFonts w:cs="Arial"/>
          <w:noProof/>
          <w:lang w:val="en-US"/>
        </w:rPr>
        <w:t>, 3394–3406.</w:t>
      </w:r>
    </w:p>
    <w:p w14:paraId="71A13CB5"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(227) Douglas S. Auld, P. D., Peter A. Coassin, B. S., Nathan P. Coussens, P. D., Hensley, P., Klumpp-Thomas, C., Michael, S., G. Sitta Sittampalam, P. D., O. Joseph Trask, B. S., Bridget K. Wagner, P. D., Jeffrey R. Weidner, P. D., Mary Jo Wildey, P. D., and Jayme L. Dahlin, M. D. . P. D. (2020) Microplate Selection and Recommended Practices in High-throughput Screening and Quantitative Biology. </w:t>
      </w:r>
      <w:r w:rsidRPr="004F3109">
        <w:rPr>
          <w:rFonts w:cs="Arial"/>
          <w:i/>
          <w:iCs/>
          <w:noProof/>
          <w:lang w:val="en-US"/>
        </w:rPr>
        <w:t>Assay Guid. Man.</w:t>
      </w:r>
    </w:p>
    <w:p w14:paraId="51A2DC5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(228) Liang, Y., Woodle, S. A., Shibeko, A. M., Lee, T. K., and Ovanesov, M. V. (2013) Correction of microplate location effects improves performance of the thrombin generation test. </w:t>
      </w:r>
      <w:r w:rsidRPr="004F3109">
        <w:rPr>
          <w:rFonts w:cs="Arial"/>
          <w:i/>
          <w:iCs/>
          <w:noProof/>
          <w:lang w:val="en-US"/>
        </w:rPr>
        <w:t>Thromb. J.</w:t>
      </w:r>
      <w:r w:rsidRPr="004F3109">
        <w:rPr>
          <w:rFonts w:cs="Arial"/>
          <w:noProof/>
          <w:lang w:val="en-US"/>
        </w:rPr>
        <w:t xml:space="preserve"> </w:t>
      </w:r>
      <w:r w:rsidRPr="004F3109">
        <w:rPr>
          <w:rFonts w:cs="Arial"/>
          <w:i/>
          <w:iCs/>
          <w:noProof/>
          <w:lang w:val="en-US"/>
        </w:rPr>
        <w:t>11</w:t>
      </w:r>
      <w:r w:rsidRPr="004F3109">
        <w:rPr>
          <w:rFonts w:cs="Arial"/>
          <w:noProof/>
          <w:lang w:val="en-US"/>
        </w:rPr>
        <w:t>.</w:t>
      </w:r>
    </w:p>
    <w:p w14:paraId="6FED02A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(229) Kim, D. M., and Swartz, J. R. (1999) Prolonging cell-free protein synthesis with a novel ATP regeneration system. </w:t>
      </w:r>
      <w:r w:rsidRPr="004F3109">
        <w:rPr>
          <w:rFonts w:cs="Arial"/>
          <w:i/>
          <w:iCs/>
          <w:noProof/>
          <w:lang w:val="en-US"/>
        </w:rPr>
        <w:t>Biotechnol. Bioeng.</w:t>
      </w:r>
      <w:r w:rsidRPr="004F3109">
        <w:rPr>
          <w:rFonts w:cs="Arial"/>
          <w:noProof/>
          <w:lang w:val="en-US"/>
        </w:rPr>
        <w:t xml:space="preserve"> </w:t>
      </w:r>
      <w:r w:rsidRPr="004F3109">
        <w:rPr>
          <w:rFonts w:cs="Arial"/>
          <w:i/>
          <w:iCs/>
          <w:noProof/>
          <w:lang w:val="en-US"/>
        </w:rPr>
        <w:t>66</w:t>
      </w:r>
      <w:r w:rsidRPr="004F3109">
        <w:rPr>
          <w:rFonts w:cs="Arial"/>
          <w:noProof/>
          <w:lang w:val="en-US"/>
        </w:rPr>
        <w:t>, 180–188.</w:t>
      </w:r>
    </w:p>
    <w:p w14:paraId="728B87D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(230) Yang, C. ;, Yang, M. ;, Zhao, W. ;, Ding, Y. ;, Wang, Y. ;, Li, J., Yang, C., Yang, M., Zhao, W., Ding, Y., Wang, Y., and Li, J. (2022) Establishing a Klebsiella pneumoniae-Based Cell-Free Protein Synthesis System. </w:t>
      </w:r>
      <w:r w:rsidRPr="004F3109">
        <w:rPr>
          <w:rFonts w:cs="Arial"/>
          <w:i/>
          <w:iCs/>
          <w:noProof/>
          <w:lang w:val="en-US"/>
        </w:rPr>
        <w:t>Mol. 2022, Vol. 27, Page 4684</w:t>
      </w:r>
      <w:r w:rsidRPr="004F3109">
        <w:rPr>
          <w:rFonts w:cs="Arial"/>
          <w:noProof/>
          <w:lang w:val="en-US"/>
        </w:rPr>
        <w:t xml:space="preserve"> </w:t>
      </w:r>
      <w:r w:rsidRPr="004F3109">
        <w:rPr>
          <w:rFonts w:cs="Arial"/>
          <w:i/>
          <w:iCs/>
          <w:noProof/>
          <w:lang w:val="en-US"/>
        </w:rPr>
        <w:t>27</w:t>
      </w:r>
      <w:r w:rsidRPr="004F3109">
        <w:rPr>
          <w:rFonts w:cs="Arial"/>
          <w:noProof/>
          <w:lang w:val="en-US"/>
        </w:rPr>
        <w:t>, 4684.</w:t>
      </w:r>
    </w:p>
    <w:p w14:paraId="6DE77F3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(231) Des Soye, B. J., Davidson, S. R., Weinstock, M. T., Gibson, D. G., and Jewett, M. C. (2018) Establishing a High-Yielding Cell-Free Protein Synthesis Platform Derived from Vibrio natriegens.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7</w:t>
      </w:r>
      <w:r w:rsidRPr="004F3109">
        <w:rPr>
          <w:rFonts w:cs="Arial"/>
          <w:noProof/>
          <w:lang w:val="en-US"/>
        </w:rPr>
        <w:t>, 2245–2255.</w:t>
      </w:r>
    </w:p>
    <w:p w14:paraId="650997FC"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(232) Conti, E., Stachelhaus, T., Marahiel, M. A., and Brick, P. (1997) Structural basis for the activation of phenylalanine in the non-ribosomal biosynthesis of gramicidin S. </w:t>
      </w:r>
      <w:r w:rsidRPr="004F3109">
        <w:rPr>
          <w:rFonts w:cs="Arial"/>
          <w:i/>
          <w:iCs/>
          <w:noProof/>
          <w:lang w:val="en-US"/>
        </w:rPr>
        <w:t>EMBO J.</w:t>
      </w:r>
      <w:r w:rsidRPr="004F3109">
        <w:rPr>
          <w:rFonts w:cs="Arial"/>
          <w:noProof/>
          <w:lang w:val="en-US"/>
        </w:rPr>
        <w:t xml:space="preserve"> </w:t>
      </w:r>
      <w:r w:rsidRPr="004F3109">
        <w:rPr>
          <w:rFonts w:cs="Arial"/>
          <w:i/>
          <w:iCs/>
          <w:noProof/>
          <w:lang w:val="en-US"/>
        </w:rPr>
        <w:t>16</w:t>
      </w:r>
      <w:r w:rsidRPr="004F3109">
        <w:rPr>
          <w:rFonts w:cs="Arial"/>
          <w:noProof/>
          <w:lang w:val="en-US"/>
        </w:rPr>
        <w:t>, 4174–4183.</w:t>
      </w:r>
    </w:p>
    <w:p w14:paraId="3C188161"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(233) Guo, X., Zhu, Y., Bai, L., and Yang, D. (2020) The Protection Role of Magnesium Ions on </w:t>
      </w:r>
      <w:r w:rsidRPr="004F3109">
        <w:rPr>
          <w:rFonts w:cs="Arial"/>
          <w:noProof/>
          <w:lang w:val="en-US"/>
        </w:rPr>
        <w:lastRenderedPageBreak/>
        <w:t xml:space="preserve">Coupled Transcription and Translation in Lyophilized Cell-Free System. </w:t>
      </w:r>
      <w:r w:rsidRPr="004F3109">
        <w:rPr>
          <w:rFonts w:cs="Arial"/>
          <w:i/>
          <w:iCs/>
          <w:noProof/>
          <w:lang w:val="en-US"/>
        </w:rPr>
        <w:t>ACS Synth. Biol.</w:t>
      </w:r>
      <w:r w:rsidRPr="004F3109">
        <w:rPr>
          <w:rFonts w:cs="Arial"/>
          <w:noProof/>
          <w:lang w:val="en-US"/>
        </w:rPr>
        <w:t xml:space="preserve"> </w:t>
      </w:r>
      <w:r w:rsidRPr="004F3109">
        <w:rPr>
          <w:rFonts w:cs="Arial"/>
          <w:i/>
          <w:iCs/>
          <w:noProof/>
          <w:lang w:val="en-US"/>
        </w:rPr>
        <w:t>9</w:t>
      </w:r>
      <w:r w:rsidRPr="004F3109">
        <w:rPr>
          <w:rFonts w:cs="Arial"/>
          <w:noProof/>
          <w:lang w:val="en-US"/>
        </w:rPr>
        <w:t>, 856–863.</w:t>
      </w:r>
    </w:p>
    <w:p w14:paraId="1328301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(234) Failmezger, J., Scholz, S., Blombach, B., and Siemann-Herzberg, M. (2018) Cell-Free Protein Synthesis From Fast-Growing Vibrio natriegens. </w:t>
      </w:r>
      <w:r w:rsidRPr="004F3109">
        <w:rPr>
          <w:rFonts w:cs="Arial"/>
          <w:i/>
          <w:iCs/>
          <w:noProof/>
          <w:lang w:val="en-US"/>
        </w:rPr>
        <w:t>Front. Microbiol.</w:t>
      </w:r>
      <w:r w:rsidRPr="004F3109">
        <w:rPr>
          <w:rFonts w:cs="Arial"/>
          <w:noProof/>
          <w:lang w:val="en-US"/>
        </w:rPr>
        <w:t xml:space="preserve"> </w:t>
      </w:r>
      <w:r w:rsidRPr="004F3109">
        <w:rPr>
          <w:rFonts w:cs="Arial"/>
          <w:i/>
          <w:iCs/>
          <w:noProof/>
          <w:lang w:val="en-US"/>
        </w:rPr>
        <w:t>9</w:t>
      </w:r>
      <w:r w:rsidRPr="004F3109">
        <w:rPr>
          <w:rFonts w:cs="Arial"/>
          <w:noProof/>
          <w:lang w:val="en-US"/>
        </w:rPr>
        <w:t>, 1146.</w:t>
      </w:r>
    </w:p>
    <w:p w14:paraId="07CACC7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(235) Kim, J., Copeland, C. E., Seki, K., Vögeli, B., and Kwon, Y. C. (2020) Tuning the Cell-Free Protein Synthesis System for Biomanufacturing of Monomeric Human Filaggrin. </w:t>
      </w:r>
      <w:r w:rsidRPr="004F3109">
        <w:rPr>
          <w:rFonts w:cs="Arial"/>
          <w:i/>
          <w:iCs/>
          <w:noProof/>
          <w:lang w:val="en-US"/>
        </w:rPr>
        <w:t>Front. Bioeng. Biotechnol.</w:t>
      </w:r>
      <w:r w:rsidRPr="004F3109">
        <w:rPr>
          <w:rFonts w:cs="Arial"/>
          <w:noProof/>
          <w:lang w:val="en-US"/>
        </w:rPr>
        <w:t xml:space="preserve"> </w:t>
      </w:r>
      <w:r w:rsidRPr="004F3109">
        <w:rPr>
          <w:rFonts w:cs="Arial"/>
          <w:i/>
          <w:iCs/>
          <w:noProof/>
          <w:lang w:val="en-US"/>
        </w:rPr>
        <w:t>8</w:t>
      </w:r>
      <w:r w:rsidRPr="004F3109">
        <w:rPr>
          <w:rFonts w:cs="Arial"/>
          <w:noProof/>
          <w:lang w:val="en-US"/>
        </w:rPr>
        <w:t>.</w:t>
      </w:r>
    </w:p>
    <w:p w14:paraId="0A1385DF"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(236) Kim, D.-M., and Swartz, J. R. (2000) Prolonging Cell-Free Protein Synthesis by Selective Reagent Additions.</w:t>
      </w:r>
    </w:p>
    <w:p w14:paraId="2A0360CE"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(237) Whittaker, J. W. (2013) Cell-free protein synthesis: the state of the art. </w:t>
      </w:r>
      <w:r w:rsidRPr="004F3109">
        <w:rPr>
          <w:rFonts w:cs="Arial"/>
          <w:i/>
          <w:iCs/>
          <w:noProof/>
          <w:lang w:val="en-US"/>
        </w:rPr>
        <w:t>Biotechnol. Lett.</w:t>
      </w:r>
      <w:r w:rsidRPr="004F3109">
        <w:rPr>
          <w:rFonts w:cs="Arial"/>
          <w:noProof/>
          <w:lang w:val="en-US"/>
        </w:rPr>
        <w:t xml:space="preserve"> </w:t>
      </w:r>
      <w:r w:rsidRPr="004F3109">
        <w:rPr>
          <w:rFonts w:cs="Arial"/>
          <w:i/>
          <w:iCs/>
          <w:noProof/>
          <w:lang w:val="en-US"/>
        </w:rPr>
        <w:t>35</w:t>
      </w:r>
      <w:r w:rsidRPr="004F3109">
        <w:rPr>
          <w:rFonts w:cs="Arial"/>
          <w:noProof/>
          <w:lang w:val="en-US"/>
        </w:rPr>
        <w:t>, 143.</w:t>
      </w:r>
    </w:p>
    <w:p w14:paraId="5EA5796E"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(238) Voloshin, A. M., and Swartz, J. R. (2008) Large-Scale Batch Reactions for Cell-Free Protein Synthesis, in </w:t>
      </w:r>
      <w:r w:rsidRPr="004F3109">
        <w:rPr>
          <w:rFonts w:cs="Arial"/>
          <w:i/>
          <w:iCs/>
          <w:noProof/>
          <w:lang w:val="en-US"/>
        </w:rPr>
        <w:t>Cell-Free Protein Synthesis: Methods and Protocols</w:t>
      </w:r>
      <w:r w:rsidRPr="004F3109">
        <w:rPr>
          <w:rFonts w:cs="Arial"/>
          <w:noProof/>
          <w:lang w:val="en-US"/>
        </w:rPr>
        <w:t xml:space="preserve"> (Voloshin, A. M., and Swartz, J. R., Eds.) 1st ed., pp 207–235. Wiley-VCH Verlag GmbH &amp; Co.KGaA, Weinheim, Germany.</w:t>
      </w:r>
    </w:p>
    <w:p w14:paraId="0D304C74"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(239) Kim, D.-M., and Swartz, J. R. (2001) Regeneration of Adenosine Triphosphate from Glycolytic Intermediates for Cell-Free Protein Synthesis.</w:t>
      </w:r>
    </w:p>
    <w:p w14:paraId="10F1A94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(240) Takahashi, H., Kumagai, T., Kitani, K., Mori, M., Matoba, Y., and Sugiyama, M. (2007) Cloning and characterization of a Streptomyces single module type non-ribosomal peptide synthetase catalyzing a blue pigment synthesis. </w:t>
      </w:r>
      <w:r w:rsidRPr="004F3109">
        <w:rPr>
          <w:rFonts w:cs="Arial"/>
          <w:i/>
          <w:iCs/>
          <w:noProof/>
          <w:lang w:val="en-US"/>
        </w:rPr>
        <w:t>J. Biol. Chem.</w:t>
      </w:r>
      <w:r w:rsidRPr="004F3109">
        <w:rPr>
          <w:rFonts w:cs="Arial"/>
          <w:noProof/>
          <w:lang w:val="en-US"/>
        </w:rPr>
        <w:t xml:space="preserve"> </w:t>
      </w:r>
      <w:r w:rsidRPr="004F3109">
        <w:rPr>
          <w:rFonts w:cs="Arial"/>
          <w:i/>
          <w:iCs/>
          <w:noProof/>
          <w:lang w:val="en-US"/>
        </w:rPr>
        <w:t>282</w:t>
      </w:r>
      <w:r w:rsidRPr="004F3109">
        <w:rPr>
          <w:rFonts w:cs="Arial"/>
          <w:noProof/>
          <w:lang w:val="en-US"/>
        </w:rPr>
        <w:t>, 9073–9081.</w:t>
      </w:r>
    </w:p>
    <w:p w14:paraId="21F8BA6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(241) Calhoun, K. A., and Swartz, J. R. (2006) Total amino acid stabilization during cell-free protein synthesis reactions. </w:t>
      </w:r>
      <w:r w:rsidRPr="004F3109">
        <w:rPr>
          <w:rFonts w:cs="Arial"/>
          <w:i/>
          <w:iCs/>
          <w:noProof/>
          <w:lang w:val="en-US"/>
        </w:rPr>
        <w:t>J. Biotechnol.</w:t>
      </w:r>
      <w:r w:rsidRPr="004F3109">
        <w:rPr>
          <w:rFonts w:cs="Arial"/>
          <w:noProof/>
          <w:lang w:val="en-US"/>
        </w:rPr>
        <w:t xml:space="preserve"> </w:t>
      </w:r>
      <w:r w:rsidRPr="004F3109">
        <w:rPr>
          <w:rFonts w:cs="Arial"/>
          <w:i/>
          <w:iCs/>
          <w:noProof/>
          <w:lang w:val="en-US"/>
        </w:rPr>
        <w:t>123</w:t>
      </w:r>
      <w:r w:rsidRPr="004F3109">
        <w:rPr>
          <w:rFonts w:cs="Arial"/>
          <w:noProof/>
          <w:lang w:val="en-US"/>
        </w:rPr>
        <w:t>, 193–203.</w:t>
      </w:r>
    </w:p>
    <w:p w14:paraId="5E14BE10"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(242) Hahn, M., and Stachelhaus, T. (2004) Selective interaction between nonribosomal peptide synthetases is facilitated by short communication-mediating domains. </w:t>
      </w:r>
      <w:r w:rsidRPr="004F3109">
        <w:rPr>
          <w:rFonts w:cs="Arial"/>
          <w:i/>
          <w:iCs/>
          <w:noProof/>
          <w:lang w:val="en-US"/>
        </w:rPr>
        <w:t>Proc. Natl. Acad. Sci. U. S. A.</w:t>
      </w:r>
      <w:r w:rsidRPr="004F3109">
        <w:rPr>
          <w:rFonts w:cs="Arial"/>
          <w:noProof/>
          <w:lang w:val="en-US"/>
        </w:rPr>
        <w:t xml:space="preserve"> </w:t>
      </w:r>
      <w:r w:rsidRPr="004F3109">
        <w:rPr>
          <w:rFonts w:cs="Arial"/>
          <w:i/>
          <w:iCs/>
          <w:noProof/>
          <w:lang w:val="en-US"/>
        </w:rPr>
        <w:t>101</w:t>
      </w:r>
      <w:r w:rsidRPr="004F3109">
        <w:rPr>
          <w:rFonts w:cs="Arial"/>
          <w:noProof/>
          <w:lang w:val="en-US"/>
        </w:rPr>
        <w:t>, 15585.</w:t>
      </w:r>
    </w:p>
    <w:p w14:paraId="5CCC5D2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(243) Klapper, M., Braga, D., Lackner, G., Herbst, R., and Stallforth, P. (2018) Bacterial Alkaloid Biosynthesis: Structural Diversity via a Minimalistic Nonribosomal Peptide Synthetase. </w:t>
      </w:r>
      <w:r w:rsidRPr="004F3109">
        <w:rPr>
          <w:rFonts w:cs="Arial"/>
          <w:i/>
          <w:iCs/>
          <w:noProof/>
          <w:lang w:val="en-US"/>
        </w:rPr>
        <w:t xml:space="preserve">Cell </w:t>
      </w:r>
      <w:r w:rsidRPr="004F3109">
        <w:rPr>
          <w:rFonts w:cs="Arial"/>
          <w:i/>
          <w:iCs/>
          <w:noProof/>
          <w:lang w:val="en-US"/>
        </w:rPr>
        <w:lastRenderedPageBreak/>
        <w:t>Chem. Biol.</w:t>
      </w:r>
      <w:r w:rsidRPr="004F3109">
        <w:rPr>
          <w:rFonts w:cs="Arial"/>
          <w:noProof/>
          <w:lang w:val="en-US"/>
        </w:rPr>
        <w:t xml:space="preserve"> </w:t>
      </w:r>
      <w:r w:rsidRPr="004F3109">
        <w:rPr>
          <w:rFonts w:cs="Arial"/>
          <w:i/>
          <w:iCs/>
          <w:noProof/>
          <w:lang w:val="en-US"/>
        </w:rPr>
        <w:t>25</w:t>
      </w:r>
      <w:r w:rsidRPr="004F3109">
        <w:rPr>
          <w:rFonts w:cs="Arial"/>
          <w:noProof/>
          <w:lang w:val="en-US"/>
        </w:rPr>
        <w:t>, 659-665.e9.</w:t>
      </w:r>
    </w:p>
    <w:p w14:paraId="271F80BC"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(244) Gulick, A. M., and Aldrich, C. C. Trapping Interactions Between Catalytic Domains and Carrier Proteins of Modular Biosynthetic Enzymes with Chemical Probes.</w:t>
      </w:r>
    </w:p>
    <w:p w14:paraId="7E9A69A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(245) Bozhüyük, K. A., Micklefield, J., and Wilkinson, B. (2019) Engineering enzymatic assembly lines to produce new antibiotics. </w:t>
      </w:r>
      <w:r w:rsidRPr="004F3109">
        <w:rPr>
          <w:rFonts w:cs="Arial"/>
          <w:i/>
          <w:iCs/>
          <w:noProof/>
          <w:lang w:val="en-US"/>
        </w:rPr>
        <w:t>Curr. Opin. Microbiol.</w:t>
      </w:r>
      <w:r w:rsidRPr="004F3109">
        <w:rPr>
          <w:rFonts w:cs="Arial"/>
          <w:noProof/>
          <w:lang w:val="en-US"/>
        </w:rPr>
        <w:t xml:space="preserve"> </w:t>
      </w:r>
      <w:r w:rsidRPr="004F3109">
        <w:rPr>
          <w:rFonts w:cs="Arial"/>
          <w:i/>
          <w:iCs/>
          <w:noProof/>
          <w:lang w:val="en-US"/>
        </w:rPr>
        <w:t>51</w:t>
      </w:r>
      <w:r w:rsidRPr="004F3109">
        <w:rPr>
          <w:rFonts w:cs="Arial"/>
          <w:noProof/>
          <w:lang w:val="en-US"/>
        </w:rPr>
        <w:t>, 88–96.</w:t>
      </w:r>
    </w:p>
    <w:p w14:paraId="04D46F8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(246) Gruenewald, S., Mootz, H. D., Stehmeier, P., and Stachelhaus, T. (2004) In Vivo Production of Artificial Nonribosomal Peptide Products in the Heterologous Host Escherichia coli. </w:t>
      </w:r>
      <w:r w:rsidRPr="004F3109">
        <w:rPr>
          <w:rFonts w:cs="Arial"/>
          <w:i/>
          <w:iCs/>
          <w:noProof/>
          <w:lang w:val="en-US"/>
        </w:rPr>
        <w:t>Appl. Environ. Microbiol.</w:t>
      </w:r>
      <w:r w:rsidRPr="004F3109">
        <w:rPr>
          <w:rFonts w:cs="Arial"/>
          <w:noProof/>
          <w:lang w:val="en-US"/>
        </w:rPr>
        <w:t xml:space="preserve"> </w:t>
      </w:r>
      <w:r w:rsidRPr="004F3109">
        <w:rPr>
          <w:rFonts w:cs="Arial"/>
          <w:i/>
          <w:iCs/>
          <w:noProof/>
          <w:lang w:val="en-US"/>
        </w:rPr>
        <w:t>70</w:t>
      </w:r>
      <w:r w:rsidRPr="004F3109">
        <w:rPr>
          <w:rFonts w:cs="Arial"/>
          <w:noProof/>
          <w:lang w:val="en-US"/>
        </w:rPr>
        <w:t>, 3282.</w:t>
      </w:r>
    </w:p>
    <w:p w14:paraId="64C7870D"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(247) Wannier, T. M., Nyerges, A., Kuchwara, H. M., Czikkely, M., Balogh, D., Filsinger, G. T., Borders, N. C., Gregg, C. J., Lajoie, M. J., Rios, X., Pál, C., and Church, G. M. (2020) Improved bacterial recombineering by parallelized protein discovery. </w:t>
      </w:r>
      <w:r w:rsidRPr="004F3109">
        <w:rPr>
          <w:rFonts w:cs="Arial"/>
          <w:i/>
          <w:iCs/>
          <w:noProof/>
          <w:lang w:val="en-US"/>
        </w:rPr>
        <w:t>Proc. Natl. Acad. Sci. U. S. A.</w:t>
      </w:r>
      <w:r w:rsidRPr="004F3109">
        <w:rPr>
          <w:rFonts w:cs="Arial"/>
          <w:noProof/>
          <w:lang w:val="en-US"/>
        </w:rPr>
        <w:t xml:space="preserve"> </w:t>
      </w:r>
      <w:r w:rsidRPr="004F3109">
        <w:rPr>
          <w:rFonts w:cs="Arial"/>
          <w:i/>
          <w:iCs/>
          <w:noProof/>
          <w:lang w:val="en-US"/>
        </w:rPr>
        <w:t>117</w:t>
      </w:r>
      <w:r w:rsidRPr="004F3109">
        <w:rPr>
          <w:rFonts w:cs="Arial"/>
          <w:noProof/>
          <w:lang w:val="en-US"/>
        </w:rPr>
        <w:t>, 13689–13698.</w:t>
      </w:r>
    </w:p>
    <w:p w14:paraId="5594E4F9"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(248) Strecker, J., Ladha, A., Gardner, Z., Schmid-Burgk, J. L., Makarova, K. S., Koonin, E. V., and Zhang, F. (2019) RNA-guided DNA insertion with CRISPR-associated transposases. </w:t>
      </w:r>
      <w:r w:rsidRPr="004F3109">
        <w:rPr>
          <w:rFonts w:cs="Arial"/>
          <w:i/>
          <w:iCs/>
          <w:noProof/>
          <w:lang w:val="en-US"/>
        </w:rPr>
        <w:t>Science (80-. ).</w:t>
      </w:r>
      <w:r w:rsidRPr="004F3109">
        <w:rPr>
          <w:rFonts w:cs="Arial"/>
          <w:noProof/>
          <w:lang w:val="en-US"/>
        </w:rPr>
        <w:t xml:space="preserve"> </w:t>
      </w:r>
      <w:r w:rsidRPr="004F3109">
        <w:rPr>
          <w:rFonts w:cs="Arial"/>
          <w:i/>
          <w:iCs/>
          <w:noProof/>
          <w:lang w:val="en-US"/>
        </w:rPr>
        <w:t>364</w:t>
      </w:r>
      <w:r w:rsidRPr="004F3109">
        <w:rPr>
          <w:rFonts w:cs="Arial"/>
          <w:noProof/>
          <w:lang w:val="en-US"/>
        </w:rPr>
        <w:t>, 48–53.</w:t>
      </w:r>
    </w:p>
    <w:p w14:paraId="4C2109D6" w14:textId="77777777" w:rsidR="004F3109" w:rsidRPr="004F3109" w:rsidRDefault="004F3109" w:rsidP="004F3109">
      <w:pPr>
        <w:widowControl w:val="0"/>
        <w:autoSpaceDE w:val="0"/>
        <w:autoSpaceDN w:val="0"/>
        <w:adjustRightInd w:val="0"/>
        <w:rPr>
          <w:rFonts w:cs="Arial"/>
          <w:noProof/>
          <w:lang w:val="en-US"/>
        </w:rPr>
      </w:pPr>
      <w:r w:rsidRPr="004F3109">
        <w:rPr>
          <w:rFonts w:cs="Arial"/>
          <w:noProof/>
          <w:lang w:val="en-US"/>
        </w:rPr>
        <w:t xml:space="preserve">(249) Rolf, J., Rosenthal, K., and Lütz, S. (2019) Application of Cell-Free Protein Synthesis for Faster Biocatalyst Development. </w:t>
      </w:r>
      <w:r w:rsidRPr="004F3109">
        <w:rPr>
          <w:rFonts w:cs="Arial"/>
          <w:i/>
          <w:iCs/>
          <w:noProof/>
          <w:lang w:val="en-US"/>
        </w:rPr>
        <w:t>Catal. 2019, Vol. 9, Page 190</w:t>
      </w:r>
      <w:r w:rsidRPr="004F3109">
        <w:rPr>
          <w:rFonts w:cs="Arial"/>
          <w:noProof/>
          <w:lang w:val="en-US"/>
        </w:rPr>
        <w:t xml:space="preserve"> </w:t>
      </w:r>
      <w:r w:rsidRPr="004F3109">
        <w:rPr>
          <w:rFonts w:cs="Arial"/>
          <w:i/>
          <w:iCs/>
          <w:noProof/>
          <w:lang w:val="en-US"/>
        </w:rPr>
        <w:t>9</w:t>
      </w:r>
      <w:r w:rsidRPr="004F3109">
        <w:rPr>
          <w:rFonts w:cs="Arial"/>
          <w:noProof/>
          <w:lang w:val="en-US"/>
        </w:rPr>
        <w:t>, 190.</w:t>
      </w:r>
    </w:p>
    <w:p w14:paraId="2A83275E" w14:textId="77777777" w:rsidR="004F3109" w:rsidRPr="004F3109" w:rsidRDefault="004F3109" w:rsidP="004F3109">
      <w:pPr>
        <w:widowControl w:val="0"/>
        <w:autoSpaceDE w:val="0"/>
        <w:autoSpaceDN w:val="0"/>
        <w:adjustRightInd w:val="0"/>
        <w:rPr>
          <w:rFonts w:cs="Arial"/>
          <w:noProof/>
        </w:rPr>
      </w:pPr>
      <w:r w:rsidRPr="004F3109">
        <w:rPr>
          <w:rFonts w:cs="Arial"/>
          <w:noProof/>
          <w:lang w:val="en-US"/>
        </w:rPr>
        <w:t xml:space="preserve">(250) Yuan, Q., Wu, M., Liao, Y., Liang, S., Lu, Y., and Lin, Y. (2023) Rapid prototyping enzyme homologs to improve titer of nicotinamide mononucleotide using a strategy combining cell-free protein synthesis with split GFP. </w:t>
      </w:r>
      <w:r w:rsidRPr="004F3109">
        <w:rPr>
          <w:rFonts w:cs="Arial"/>
          <w:i/>
          <w:iCs/>
          <w:noProof/>
          <w:lang w:val="en-US"/>
        </w:rPr>
        <w:t>Biotechnol. Bioeng.</w:t>
      </w:r>
    </w:p>
    <w:p w14:paraId="2BBA6868" w14:textId="048A05B6" w:rsidR="00114925" w:rsidRDefault="0031140D" w:rsidP="004F3109">
      <w:pPr>
        <w:widowControl w:val="0"/>
        <w:autoSpaceDE w:val="0"/>
        <w:autoSpaceDN w:val="0"/>
        <w:adjustRightInd w:val="0"/>
        <w:rPr>
          <w:rFonts w:cs="Arial"/>
          <w:szCs w:val="22"/>
        </w:rPr>
      </w:pPr>
      <w:r w:rsidRPr="00A71FCF">
        <w:rPr>
          <w:rFonts w:cs="Arial"/>
          <w:szCs w:val="22"/>
        </w:rPr>
        <w:fldChar w:fldCharType="end"/>
      </w:r>
    </w:p>
    <w:p w14:paraId="7CB97A11" w14:textId="77777777" w:rsidR="00114925" w:rsidRDefault="00114925">
      <w:pPr>
        <w:rPr>
          <w:rFonts w:cs="Arial"/>
          <w:szCs w:val="22"/>
        </w:rPr>
      </w:pPr>
      <w:r>
        <w:rPr>
          <w:rFonts w:cs="Arial"/>
          <w:szCs w:val="22"/>
        </w:rPr>
        <w:br w:type="page"/>
      </w:r>
    </w:p>
    <w:p w14:paraId="0D906E22" w14:textId="126C54BA" w:rsidR="00861067" w:rsidRDefault="00114925" w:rsidP="009A0B4C">
      <w:pPr>
        <w:jc w:val="center"/>
        <w:rPr>
          <w:rFonts w:cs="Arial"/>
          <w:b/>
          <w:bCs/>
          <w:color w:val="000000" w:themeColor="text1"/>
          <w:sz w:val="32"/>
          <w:szCs w:val="32"/>
        </w:rPr>
      </w:pPr>
      <w:r w:rsidRPr="00861067">
        <w:rPr>
          <w:rFonts w:cs="Arial"/>
          <w:b/>
          <w:bCs/>
          <w:color w:val="000000" w:themeColor="text1"/>
          <w:sz w:val="32"/>
          <w:szCs w:val="32"/>
        </w:rPr>
        <w:lastRenderedPageBreak/>
        <w:t>VITA</w:t>
      </w:r>
    </w:p>
    <w:p w14:paraId="60FB2894" w14:textId="77777777" w:rsidR="009A0B4C" w:rsidRPr="009A0B4C" w:rsidRDefault="009A0B4C" w:rsidP="009A0B4C">
      <w:pPr>
        <w:jc w:val="center"/>
        <w:rPr>
          <w:rFonts w:cs="Arial"/>
          <w:b/>
          <w:bCs/>
          <w:color w:val="000000" w:themeColor="text1"/>
          <w:sz w:val="32"/>
          <w:szCs w:val="32"/>
        </w:rPr>
      </w:pPr>
    </w:p>
    <w:p w14:paraId="6EAF5031" w14:textId="040579A0" w:rsidR="00861067" w:rsidRPr="00861067" w:rsidRDefault="00861067" w:rsidP="00462D29">
      <w:pPr>
        <w:widowControl w:val="0"/>
        <w:autoSpaceDE w:val="0"/>
        <w:autoSpaceDN w:val="0"/>
        <w:adjustRightInd w:val="0"/>
        <w:rPr>
          <w:rFonts w:cs="Arial"/>
          <w:szCs w:val="22"/>
        </w:rPr>
      </w:pPr>
      <w:r>
        <w:rPr>
          <w:rFonts w:cs="Arial"/>
          <w:szCs w:val="22"/>
        </w:rPr>
        <w:t xml:space="preserve">Jaime Lorenzo Naval Dinglasan was born in Manila, Philippines to </w:t>
      </w:r>
      <w:r w:rsidR="00462D29">
        <w:rPr>
          <w:rFonts w:cs="Arial"/>
          <w:szCs w:val="22"/>
        </w:rPr>
        <w:t xml:space="preserve">Dr. </w:t>
      </w:r>
      <w:r>
        <w:rPr>
          <w:rFonts w:cs="Arial"/>
          <w:szCs w:val="22"/>
        </w:rPr>
        <w:t>Jaime</w:t>
      </w:r>
      <w:r w:rsidR="00462D29">
        <w:rPr>
          <w:rFonts w:cs="Arial"/>
          <w:szCs w:val="22"/>
        </w:rPr>
        <w:t xml:space="preserve"> Lopez Dinglasan</w:t>
      </w:r>
      <w:r>
        <w:rPr>
          <w:rFonts w:cs="Arial"/>
          <w:szCs w:val="22"/>
        </w:rPr>
        <w:t xml:space="preserve"> and</w:t>
      </w:r>
      <w:r w:rsidR="00462D29">
        <w:rPr>
          <w:rFonts w:cs="Arial"/>
          <w:szCs w:val="22"/>
        </w:rPr>
        <w:t xml:space="preserve"> Dr.</w:t>
      </w:r>
      <w:r>
        <w:rPr>
          <w:rFonts w:cs="Arial"/>
          <w:szCs w:val="22"/>
        </w:rPr>
        <w:t xml:space="preserve"> Carmen</w:t>
      </w:r>
      <w:r w:rsidR="00462D29">
        <w:rPr>
          <w:rFonts w:cs="Arial"/>
          <w:szCs w:val="22"/>
        </w:rPr>
        <w:t xml:space="preserve"> Isabel Naval</w:t>
      </w:r>
      <w:r>
        <w:rPr>
          <w:rFonts w:cs="Arial"/>
          <w:szCs w:val="22"/>
        </w:rPr>
        <w:t xml:space="preserve"> Dinglasan. He was raised in Mandaluyong City, where he attended La Salle Green Hills High School. He received his Bachelor of Science in Biology </w:t>
      </w:r>
      <w:r w:rsidR="00462D29">
        <w:rPr>
          <w:rFonts w:cs="Arial"/>
          <w:szCs w:val="22"/>
        </w:rPr>
        <w:t>from</w:t>
      </w:r>
      <w:r>
        <w:rPr>
          <w:rFonts w:cs="Arial"/>
          <w:szCs w:val="22"/>
        </w:rPr>
        <w:t xml:space="preserve"> the University of the Philippines Diliman</w:t>
      </w:r>
      <w:r w:rsidR="008C140D">
        <w:rPr>
          <w:rFonts w:cs="Arial"/>
          <w:szCs w:val="22"/>
        </w:rPr>
        <w:t xml:space="preserve"> (UPD)</w:t>
      </w:r>
      <w:r w:rsidR="00462D29">
        <w:rPr>
          <w:rFonts w:cs="Arial"/>
          <w:szCs w:val="22"/>
        </w:rPr>
        <w:t xml:space="preserve">, </w:t>
      </w:r>
      <w:r>
        <w:rPr>
          <w:rFonts w:cs="Arial"/>
          <w:szCs w:val="22"/>
        </w:rPr>
        <w:t>Quezon City</w:t>
      </w:r>
      <w:r w:rsidR="00462D29">
        <w:rPr>
          <w:rFonts w:cs="Arial"/>
          <w:szCs w:val="22"/>
        </w:rPr>
        <w:t xml:space="preserve"> in 2017.</w:t>
      </w:r>
      <w:r>
        <w:rPr>
          <w:rFonts w:cs="Arial"/>
          <w:szCs w:val="22"/>
        </w:rPr>
        <w:t xml:space="preserve"> </w:t>
      </w:r>
      <w:r w:rsidR="00462D29">
        <w:rPr>
          <w:rFonts w:cs="Arial"/>
          <w:szCs w:val="22"/>
        </w:rPr>
        <w:t>As an undergraduate, he conducted his senior thesis with a focus o</w:t>
      </w:r>
      <w:r>
        <w:rPr>
          <w:rFonts w:cs="Arial"/>
          <w:szCs w:val="22"/>
        </w:rPr>
        <w:t xml:space="preserve">n </w:t>
      </w:r>
      <w:r w:rsidR="00462D29">
        <w:rPr>
          <w:rFonts w:cs="Arial"/>
          <w:szCs w:val="22"/>
        </w:rPr>
        <w:t>Bioinformatics and Molecular B</w:t>
      </w:r>
      <w:r>
        <w:rPr>
          <w:rFonts w:cs="Arial"/>
          <w:szCs w:val="22"/>
        </w:rPr>
        <w:t>iology</w:t>
      </w:r>
      <w:r w:rsidR="00462D29">
        <w:rPr>
          <w:rFonts w:cs="Arial"/>
          <w:szCs w:val="22"/>
        </w:rPr>
        <w:t xml:space="preserve"> under the supervision of Dr. Michael </w:t>
      </w:r>
      <w:r w:rsidR="00DD266A">
        <w:rPr>
          <w:rFonts w:cs="Arial"/>
          <w:szCs w:val="22"/>
        </w:rPr>
        <w:t xml:space="preserve">C. </w:t>
      </w:r>
      <w:r w:rsidR="00462D29">
        <w:rPr>
          <w:rFonts w:cs="Arial"/>
          <w:szCs w:val="22"/>
        </w:rPr>
        <w:t>Velarde</w:t>
      </w:r>
      <w:r>
        <w:rPr>
          <w:rFonts w:cs="Arial"/>
          <w:szCs w:val="22"/>
        </w:rPr>
        <w:t xml:space="preserve">. </w:t>
      </w:r>
      <w:r w:rsidR="00462D29">
        <w:rPr>
          <w:rFonts w:cs="Arial"/>
          <w:szCs w:val="22"/>
        </w:rPr>
        <w:t>H</w:t>
      </w:r>
      <w:r>
        <w:rPr>
          <w:rFonts w:cs="Arial"/>
          <w:szCs w:val="22"/>
        </w:rPr>
        <w:t xml:space="preserve">e </w:t>
      </w:r>
      <w:r w:rsidR="00462D29">
        <w:rPr>
          <w:rFonts w:cs="Arial"/>
          <w:szCs w:val="22"/>
        </w:rPr>
        <w:t>started his scientific career</w:t>
      </w:r>
      <w:r>
        <w:rPr>
          <w:rFonts w:cs="Arial"/>
          <w:szCs w:val="22"/>
        </w:rPr>
        <w:t xml:space="preserve"> as a Research Assistant a</w:t>
      </w:r>
      <w:r w:rsidR="00462D29">
        <w:rPr>
          <w:rFonts w:cs="Arial"/>
          <w:szCs w:val="22"/>
        </w:rPr>
        <w:t xml:space="preserve">t </w:t>
      </w:r>
      <w:r w:rsidR="008C140D">
        <w:rPr>
          <w:rFonts w:cs="Arial"/>
          <w:szCs w:val="22"/>
        </w:rPr>
        <w:t>UPD</w:t>
      </w:r>
      <w:r w:rsidR="00462D29">
        <w:rPr>
          <w:rFonts w:cs="Arial"/>
          <w:szCs w:val="22"/>
        </w:rPr>
        <w:t>’s Institute of Biology immediately after graduating</w:t>
      </w:r>
      <w:r>
        <w:rPr>
          <w:rFonts w:cs="Arial"/>
          <w:szCs w:val="22"/>
        </w:rPr>
        <w:t xml:space="preserve">. </w:t>
      </w:r>
      <w:r w:rsidR="00462D29">
        <w:rPr>
          <w:rFonts w:cs="Arial"/>
          <w:szCs w:val="22"/>
        </w:rPr>
        <w:t>A year later, h</w:t>
      </w:r>
      <w:r>
        <w:rPr>
          <w:rFonts w:cs="Arial"/>
          <w:szCs w:val="22"/>
        </w:rPr>
        <w:t>e pursued his doctorate in Genome Science and Technology at the University of Tennessee Knoxville (UTK) and Oak Ridge National Laboratory (ORNL). H</w:t>
      </w:r>
      <w:r w:rsidR="00462D29">
        <w:rPr>
          <w:rFonts w:cs="Arial"/>
          <w:szCs w:val="22"/>
        </w:rPr>
        <w:t>is</w:t>
      </w:r>
      <w:r>
        <w:rPr>
          <w:rFonts w:cs="Arial"/>
          <w:szCs w:val="22"/>
        </w:rPr>
        <w:t xml:space="preserve"> doctoral research </w:t>
      </w:r>
      <w:r w:rsidR="00DD266A">
        <w:rPr>
          <w:rFonts w:cs="Arial"/>
          <w:szCs w:val="22"/>
        </w:rPr>
        <w:t xml:space="preserve">on Cell-free Synthetic Biology </w:t>
      </w:r>
      <w:r>
        <w:rPr>
          <w:rFonts w:cs="Arial"/>
          <w:szCs w:val="22"/>
        </w:rPr>
        <w:t>was performed</w:t>
      </w:r>
      <w:r w:rsidR="00462D29">
        <w:rPr>
          <w:rFonts w:cs="Arial"/>
          <w:szCs w:val="22"/>
        </w:rPr>
        <w:t xml:space="preserve"> </w:t>
      </w:r>
      <w:r w:rsidR="00E6408F">
        <w:rPr>
          <w:rFonts w:cs="Arial"/>
          <w:szCs w:val="22"/>
        </w:rPr>
        <w:t>with Dr.</w:t>
      </w:r>
      <w:r w:rsidR="00462D29">
        <w:rPr>
          <w:rFonts w:cs="Arial"/>
          <w:szCs w:val="22"/>
        </w:rPr>
        <w:t xml:space="preserve"> Mitchel J. </w:t>
      </w:r>
      <w:proofErr w:type="spellStart"/>
      <w:r w:rsidR="00462D29">
        <w:rPr>
          <w:rFonts w:cs="Arial"/>
          <w:szCs w:val="22"/>
        </w:rPr>
        <w:t>Doktycz</w:t>
      </w:r>
      <w:proofErr w:type="spellEnd"/>
      <w:r>
        <w:rPr>
          <w:rFonts w:cs="Arial"/>
          <w:szCs w:val="22"/>
        </w:rPr>
        <w:t xml:space="preserve"> in the Molecular and Cellular Imaging Group a</w:t>
      </w:r>
      <w:r w:rsidR="00462D29">
        <w:rPr>
          <w:rFonts w:cs="Arial"/>
          <w:szCs w:val="22"/>
        </w:rPr>
        <w:t>t ORNL.</w:t>
      </w:r>
    </w:p>
    <w:sectPr w:rsidR="00861067" w:rsidRPr="00861067" w:rsidSect="00434BBC">
      <w:pgSz w:w="12240" w:h="15840"/>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07789" w14:textId="77777777" w:rsidR="00176F3F" w:rsidRDefault="00176F3F" w:rsidP="00E27602">
      <w:r>
        <w:separator/>
      </w:r>
    </w:p>
  </w:endnote>
  <w:endnote w:type="continuationSeparator" w:id="0">
    <w:p w14:paraId="6B883682" w14:textId="77777777" w:rsidR="00176F3F" w:rsidRDefault="00176F3F" w:rsidP="00E27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FooterChar"/>
      </w:rPr>
      <w:id w:val="-378627240"/>
      <w:docPartObj>
        <w:docPartGallery w:val="Page Numbers (Bottom of Page)"/>
        <w:docPartUnique/>
      </w:docPartObj>
    </w:sdtPr>
    <w:sdtEndPr>
      <w:rPr>
        <w:rStyle w:val="FooterChar"/>
      </w:rPr>
    </w:sdtEndPr>
    <w:sdtContent>
      <w:p w14:paraId="4F4970F1" w14:textId="47338CA8" w:rsidR="00E27602" w:rsidRDefault="00E27602" w:rsidP="00E9185A">
        <w:pPr>
          <w:framePr w:wrap="none" w:vAnchor="text" w:hAnchor="margin" w:xAlign="center" w:y="1"/>
          <w:rPr>
            <w:rStyle w:val="FooterChar"/>
          </w:rPr>
        </w:pPr>
        <w:r>
          <w:rPr>
            <w:rStyle w:val="FooterChar"/>
          </w:rPr>
          <w:fldChar w:fldCharType="begin"/>
        </w:r>
        <w:r>
          <w:rPr>
            <w:rStyle w:val="FooterChar"/>
          </w:rPr>
          <w:instrText xml:space="preserve"> PAGE </w:instrText>
        </w:r>
        <w:r>
          <w:rPr>
            <w:rStyle w:val="FooterChar"/>
          </w:rPr>
          <w:fldChar w:fldCharType="end"/>
        </w:r>
      </w:p>
    </w:sdtContent>
  </w:sdt>
  <w:p w14:paraId="203C95BF" w14:textId="77777777" w:rsidR="00E27602" w:rsidRDefault="00E276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FooterChar"/>
        <w:color w:val="000000" w:themeColor="text1"/>
      </w:rPr>
      <w:id w:val="-1852098879"/>
      <w:docPartObj>
        <w:docPartGallery w:val="Page Numbers (Bottom of Page)"/>
        <w:docPartUnique/>
      </w:docPartObj>
    </w:sdtPr>
    <w:sdtEndPr>
      <w:rPr>
        <w:rStyle w:val="FooterChar"/>
        <w:rFonts w:cs="Arial"/>
        <w:color w:val="auto"/>
      </w:rPr>
    </w:sdtEndPr>
    <w:sdtContent>
      <w:p w14:paraId="442F82B1" w14:textId="7D477808" w:rsidR="00E27602" w:rsidRPr="00B57587" w:rsidRDefault="00E27602" w:rsidP="00E9185A">
        <w:pPr>
          <w:framePr w:wrap="none" w:vAnchor="text" w:hAnchor="margin" w:xAlign="center" w:y="1"/>
          <w:rPr>
            <w:rStyle w:val="FooterChar"/>
            <w:color w:val="000000" w:themeColor="text1"/>
          </w:rPr>
        </w:pPr>
        <w:r w:rsidRPr="00B57587">
          <w:rPr>
            <w:rStyle w:val="FooterChar"/>
            <w:rFonts w:cs="Arial"/>
            <w:color w:val="000000" w:themeColor="text1"/>
          </w:rPr>
          <w:fldChar w:fldCharType="begin"/>
        </w:r>
        <w:r w:rsidRPr="00B57587">
          <w:rPr>
            <w:rStyle w:val="FooterChar"/>
            <w:rFonts w:cs="Arial"/>
            <w:color w:val="000000" w:themeColor="text1"/>
          </w:rPr>
          <w:instrText xml:space="preserve"> PAGE </w:instrText>
        </w:r>
        <w:r w:rsidRPr="00B57587">
          <w:rPr>
            <w:rStyle w:val="FooterChar"/>
            <w:rFonts w:cs="Arial"/>
            <w:color w:val="000000" w:themeColor="text1"/>
          </w:rPr>
          <w:fldChar w:fldCharType="separate"/>
        </w:r>
        <w:r w:rsidRPr="00B57587">
          <w:rPr>
            <w:rStyle w:val="FooterChar"/>
            <w:rFonts w:cs="Arial"/>
            <w:noProof/>
            <w:color w:val="000000" w:themeColor="text1"/>
          </w:rPr>
          <w:t>1</w:t>
        </w:r>
        <w:r w:rsidRPr="00B57587">
          <w:rPr>
            <w:rStyle w:val="FooterChar"/>
            <w:rFonts w:cs="Arial"/>
            <w:color w:val="000000" w:themeColor="text1"/>
          </w:rPr>
          <w:fldChar w:fldCharType="end"/>
        </w:r>
      </w:p>
    </w:sdtContent>
  </w:sdt>
  <w:p w14:paraId="3256BA22" w14:textId="77777777" w:rsidR="00E27602" w:rsidRDefault="00E27602" w:rsidP="00D028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B38A4" w14:textId="77777777" w:rsidR="00176F3F" w:rsidRDefault="00176F3F" w:rsidP="00E27602">
      <w:r>
        <w:separator/>
      </w:r>
    </w:p>
  </w:footnote>
  <w:footnote w:type="continuationSeparator" w:id="0">
    <w:p w14:paraId="107C8EB9" w14:textId="77777777" w:rsidR="00176F3F" w:rsidRDefault="00176F3F" w:rsidP="00E276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6006B"/>
    <w:multiLevelType w:val="hybridMultilevel"/>
    <w:tmpl w:val="EB105C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E18D2"/>
    <w:multiLevelType w:val="hybridMultilevel"/>
    <w:tmpl w:val="69D0BD2E"/>
    <w:lvl w:ilvl="0" w:tplc="E3AA85EE">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64E10"/>
    <w:multiLevelType w:val="hybridMultilevel"/>
    <w:tmpl w:val="043CC6D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6F2A7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181D65"/>
    <w:multiLevelType w:val="hybridMultilevel"/>
    <w:tmpl w:val="8A7ADD32"/>
    <w:lvl w:ilvl="0" w:tplc="50C6327E">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CD4B73"/>
    <w:multiLevelType w:val="multilevel"/>
    <w:tmpl w:val="7CF66A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6B05C0"/>
    <w:multiLevelType w:val="hybridMultilevel"/>
    <w:tmpl w:val="1292CF26"/>
    <w:lvl w:ilvl="0" w:tplc="7AEC4A12">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EC0BBF"/>
    <w:multiLevelType w:val="hybridMultilevel"/>
    <w:tmpl w:val="0486E130"/>
    <w:lvl w:ilvl="0" w:tplc="90E2D5D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3FC5E2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D9388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F24E58"/>
    <w:multiLevelType w:val="hybridMultilevel"/>
    <w:tmpl w:val="A4C80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F371C1"/>
    <w:multiLevelType w:val="hybridMultilevel"/>
    <w:tmpl w:val="207CAC3C"/>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FD37A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ECF2B12"/>
    <w:multiLevelType w:val="hybridMultilevel"/>
    <w:tmpl w:val="98243950"/>
    <w:lvl w:ilvl="0" w:tplc="88326810">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04222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C144408"/>
    <w:multiLevelType w:val="hybridMultilevel"/>
    <w:tmpl w:val="F4446D8A"/>
    <w:lvl w:ilvl="0" w:tplc="8316436C">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AC4E7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167C6F"/>
    <w:multiLevelType w:val="hybridMultilevel"/>
    <w:tmpl w:val="5CC2E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205D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D7914D7"/>
    <w:multiLevelType w:val="hybridMultilevel"/>
    <w:tmpl w:val="B4CC65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9C5FC7"/>
    <w:multiLevelType w:val="hybridMultilevel"/>
    <w:tmpl w:val="B96AAA9E"/>
    <w:lvl w:ilvl="0" w:tplc="A8C63C0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DE8108D"/>
    <w:multiLevelType w:val="hybridMultilevel"/>
    <w:tmpl w:val="3D565828"/>
    <w:lvl w:ilvl="0" w:tplc="FA6A4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B6605B"/>
    <w:multiLevelType w:val="hybridMultilevel"/>
    <w:tmpl w:val="B2EED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6622FD"/>
    <w:multiLevelType w:val="hybridMultilevel"/>
    <w:tmpl w:val="35100F80"/>
    <w:lvl w:ilvl="0" w:tplc="92AEA562">
      <w:start w:val="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5329EB"/>
    <w:multiLevelType w:val="hybridMultilevel"/>
    <w:tmpl w:val="4C8637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D40F9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8532CF4"/>
    <w:multiLevelType w:val="hybridMultilevel"/>
    <w:tmpl w:val="7458C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F34C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DE3142"/>
    <w:multiLevelType w:val="hybridMultilevel"/>
    <w:tmpl w:val="87FAFA06"/>
    <w:lvl w:ilvl="0" w:tplc="18C0E57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194D5A"/>
    <w:multiLevelType w:val="multilevel"/>
    <w:tmpl w:val="B6240B54"/>
    <w:lvl w:ilvl="0">
      <w:start w:val="1"/>
      <w:numFmt w:val="decimal"/>
      <w:pStyle w:val="NormalParagraph"/>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7CA789B"/>
    <w:multiLevelType w:val="hybridMultilevel"/>
    <w:tmpl w:val="080E5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C551CE"/>
    <w:multiLevelType w:val="hybridMultilevel"/>
    <w:tmpl w:val="C478A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47384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5DA0A0C"/>
    <w:multiLevelType w:val="hybridMultilevel"/>
    <w:tmpl w:val="5246C75E"/>
    <w:lvl w:ilvl="0" w:tplc="E8D851FA">
      <w:start w:val="1"/>
      <w:numFmt w:val="decimal"/>
      <w:lvlText w:val="%1."/>
      <w:lvlJc w:val="left"/>
      <w:pPr>
        <w:ind w:left="720" w:hanging="360"/>
      </w:pPr>
      <w:rPr>
        <w:rFonts w:eastAsia="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230F94"/>
    <w:multiLevelType w:val="hybridMultilevel"/>
    <w:tmpl w:val="73FC19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266784"/>
    <w:multiLevelType w:val="multilevel"/>
    <w:tmpl w:val="046C2284"/>
    <w:styleLink w:val="CurrentList1"/>
    <w:lvl w:ilvl="0">
      <w:start w:val="1"/>
      <w:numFmt w:val="decimal"/>
      <w:lvlText w:val="%1."/>
      <w:lvlJc w:val="left"/>
      <w:pPr>
        <w:ind w:left="720" w:hanging="360"/>
      </w:pPr>
      <w:rPr>
        <w:rFonts w:ascii="Arial" w:eastAsiaTheme="minorHAnsi"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D905018"/>
    <w:multiLevelType w:val="hybridMultilevel"/>
    <w:tmpl w:val="FB2C93AA"/>
    <w:lvl w:ilvl="0" w:tplc="5104925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6"/>
  </w:num>
  <w:num w:numId="3">
    <w:abstractNumId w:val="24"/>
  </w:num>
  <w:num w:numId="4">
    <w:abstractNumId w:val="13"/>
  </w:num>
  <w:num w:numId="5">
    <w:abstractNumId w:val="4"/>
  </w:num>
  <w:num w:numId="6">
    <w:abstractNumId w:val="6"/>
  </w:num>
  <w:num w:numId="7">
    <w:abstractNumId w:val="15"/>
  </w:num>
  <w:num w:numId="8">
    <w:abstractNumId w:val="21"/>
  </w:num>
  <w:num w:numId="9">
    <w:abstractNumId w:val="7"/>
  </w:num>
  <w:num w:numId="10">
    <w:abstractNumId w:val="20"/>
  </w:num>
  <w:num w:numId="11">
    <w:abstractNumId w:val="23"/>
  </w:num>
  <w:num w:numId="12">
    <w:abstractNumId w:val="28"/>
  </w:num>
  <w:num w:numId="13">
    <w:abstractNumId w:val="19"/>
  </w:num>
  <w:num w:numId="14">
    <w:abstractNumId w:val="34"/>
  </w:num>
  <w:num w:numId="15">
    <w:abstractNumId w:val="8"/>
  </w:num>
  <w:num w:numId="16">
    <w:abstractNumId w:val="29"/>
  </w:num>
  <w:num w:numId="17">
    <w:abstractNumId w:val="31"/>
  </w:num>
  <w:num w:numId="18">
    <w:abstractNumId w:val="12"/>
  </w:num>
  <w:num w:numId="19">
    <w:abstractNumId w:val="9"/>
  </w:num>
  <w:num w:numId="20">
    <w:abstractNumId w:val="32"/>
  </w:num>
  <w:num w:numId="21">
    <w:abstractNumId w:val="35"/>
  </w:num>
  <w:num w:numId="22">
    <w:abstractNumId w:val="18"/>
  </w:num>
  <w:num w:numId="23">
    <w:abstractNumId w:val="0"/>
  </w:num>
  <w:num w:numId="24">
    <w:abstractNumId w:val="25"/>
  </w:num>
  <w:num w:numId="25">
    <w:abstractNumId w:val="10"/>
  </w:num>
  <w:num w:numId="26">
    <w:abstractNumId w:val="16"/>
  </w:num>
  <w:num w:numId="27">
    <w:abstractNumId w:val="17"/>
  </w:num>
  <w:num w:numId="28">
    <w:abstractNumId w:val="3"/>
  </w:num>
  <w:num w:numId="29">
    <w:abstractNumId w:val="22"/>
  </w:num>
  <w:num w:numId="30">
    <w:abstractNumId w:val="27"/>
  </w:num>
  <w:num w:numId="31">
    <w:abstractNumId w:val="26"/>
  </w:num>
  <w:num w:numId="32">
    <w:abstractNumId w:val="14"/>
  </w:num>
  <w:num w:numId="33">
    <w:abstractNumId w:val="30"/>
  </w:num>
  <w:num w:numId="34">
    <w:abstractNumId w:val="11"/>
  </w:num>
  <w:num w:numId="35">
    <w:abstractNumId w:val="2"/>
  </w:num>
  <w:num w:numId="36">
    <w:abstractNumId w:val="1"/>
  </w:num>
  <w:num w:numId="37">
    <w:abstractNumId w:val="3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B04"/>
    <w:rsid w:val="00000FED"/>
    <w:rsid w:val="00001BB3"/>
    <w:rsid w:val="000041C3"/>
    <w:rsid w:val="00031341"/>
    <w:rsid w:val="00032921"/>
    <w:rsid w:val="00033434"/>
    <w:rsid w:val="000420CA"/>
    <w:rsid w:val="00042AC1"/>
    <w:rsid w:val="000445BE"/>
    <w:rsid w:val="00046C2F"/>
    <w:rsid w:val="00050C94"/>
    <w:rsid w:val="00050E51"/>
    <w:rsid w:val="00060FE0"/>
    <w:rsid w:val="00064887"/>
    <w:rsid w:val="00071C71"/>
    <w:rsid w:val="000776E2"/>
    <w:rsid w:val="0008141D"/>
    <w:rsid w:val="000829C3"/>
    <w:rsid w:val="00085B97"/>
    <w:rsid w:val="0009071E"/>
    <w:rsid w:val="000A1B7D"/>
    <w:rsid w:val="000A46D9"/>
    <w:rsid w:val="000A5F62"/>
    <w:rsid w:val="000A6FD7"/>
    <w:rsid w:val="000B0D11"/>
    <w:rsid w:val="000B5C6A"/>
    <w:rsid w:val="000C264C"/>
    <w:rsid w:val="000E75DB"/>
    <w:rsid w:val="001010BA"/>
    <w:rsid w:val="00107D3C"/>
    <w:rsid w:val="0011340F"/>
    <w:rsid w:val="00114925"/>
    <w:rsid w:val="00123711"/>
    <w:rsid w:val="00125971"/>
    <w:rsid w:val="001271D8"/>
    <w:rsid w:val="0012722A"/>
    <w:rsid w:val="001429A9"/>
    <w:rsid w:val="00170B7B"/>
    <w:rsid w:val="00176F3F"/>
    <w:rsid w:val="001875D1"/>
    <w:rsid w:val="00194149"/>
    <w:rsid w:val="001A4064"/>
    <w:rsid w:val="001A4340"/>
    <w:rsid w:val="001A5210"/>
    <w:rsid w:val="001B1225"/>
    <w:rsid w:val="001B184D"/>
    <w:rsid w:val="001B42D9"/>
    <w:rsid w:val="001C360A"/>
    <w:rsid w:val="001C3C45"/>
    <w:rsid w:val="001C508F"/>
    <w:rsid w:val="001D18C6"/>
    <w:rsid w:val="001D6560"/>
    <w:rsid w:val="001F1281"/>
    <w:rsid w:val="001F167A"/>
    <w:rsid w:val="001F1E55"/>
    <w:rsid w:val="001F4A37"/>
    <w:rsid w:val="001F7020"/>
    <w:rsid w:val="0020096C"/>
    <w:rsid w:val="00202E24"/>
    <w:rsid w:val="002232AF"/>
    <w:rsid w:val="002342F5"/>
    <w:rsid w:val="0026318B"/>
    <w:rsid w:val="002705E9"/>
    <w:rsid w:val="00283049"/>
    <w:rsid w:val="002835E6"/>
    <w:rsid w:val="00292E90"/>
    <w:rsid w:val="002975D2"/>
    <w:rsid w:val="002A01FD"/>
    <w:rsid w:val="002A276F"/>
    <w:rsid w:val="002A2F83"/>
    <w:rsid w:val="002B16D1"/>
    <w:rsid w:val="002B33D8"/>
    <w:rsid w:val="002B385F"/>
    <w:rsid w:val="002B6B32"/>
    <w:rsid w:val="002B71C7"/>
    <w:rsid w:val="002C0A3B"/>
    <w:rsid w:val="002C5C44"/>
    <w:rsid w:val="002C7132"/>
    <w:rsid w:val="002D028B"/>
    <w:rsid w:val="002D50DB"/>
    <w:rsid w:val="002D5566"/>
    <w:rsid w:val="002E5A35"/>
    <w:rsid w:val="00302999"/>
    <w:rsid w:val="00304A75"/>
    <w:rsid w:val="0031140D"/>
    <w:rsid w:val="00314972"/>
    <w:rsid w:val="0032379E"/>
    <w:rsid w:val="0034764A"/>
    <w:rsid w:val="00352C81"/>
    <w:rsid w:val="00356A44"/>
    <w:rsid w:val="00360177"/>
    <w:rsid w:val="0037021E"/>
    <w:rsid w:val="0037660E"/>
    <w:rsid w:val="00384C15"/>
    <w:rsid w:val="00385A2E"/>
    <w:rsid w:val="00385AAE"/>
    <w:rsid w:val="0038757A"/>
    <w:rsid w:val="0039202C"/>
    <w:rsid w:val="0039590C"/>
    <w:rsid w:val="003A5555"/>
    <w:rsid w:val="003B2950"/>
    <w:rsid w:val="003B5E9C"/>
    <w:rsid w:val="003B6663"/>
    <w:rsid w:val="003B73BB"/>
    <w:rsid w:val="003D3681"/>
    <w:rsid w:val="003D5F1E"/>
    <w:rsid w:val="003E335F"/>
    <w:rsid w:val="003E5AE9"/>
    <w:rsid w:val="003E5B5A"/>
    <w:rsid w:val="003E7660"/>
    <w:rsid w:val="00402131"/>
    <w:rsid w:val="00405F98"/>
    <w:rsid w:val="00406296"/>
    <w:rsid w:val="004064F9"/>
    <w:rsid w:val="00423970"/>
    <w:rsid w:val="004338E5"/>
    <w:rsid w:val="00434BBC"/>
    <w:rsid w:val="0045496D"/>
    <w:rsid w:val="00455DAB"/>
    <w:rsid w:val="00462D29"/>
    <w:rsid w:val="00465FCD"/>
    <w:rsid w:val="00471984"/>
    <w:rsid w:val="00473E0A"/>
    <w:rsid w:val="004752C6"/>
    <w:rsid w:val="00482929"/>
    <w:rsid w:val="00485E9C"/>
    <w:rsid w:val="00491EAC"/>
    <w:rsid w:val="004948FA"/>
    <w:rsid w:val="00494BB5"/>
    <w:rsid w:val="004A0256"/>
    <w:rsid w:val="004A7514"/>
    <w:rsid w:val="004B16CE"/>
    <w:rsid w:val="004B31EC"/>
    <w:rsid w:val="004C5E17"/>
    <w:rsid w:val="004D7AE6"/>
    <w:rsid w:val="004E2DE7"/>
    <w:rsid w:val="004F23CE"/>
    <w:rsid w:val="004F3109"/>
    <w:rsid w:val="004F4DF3"/>
    <w:rsid w:val="005014CE"/>
    <w:rsid w:val="00501BC8"/>
    <w:rsid w:val="00511395"/>
    <w:rsid w:val="00520B1F"/>
    <w:rsid w:val="005243FC"/>
    <w:rsid w:val="00526E45"/>
    <w:rsid w:val="00533862"/>
    <w:rsid w:val="005478FE"/>
    <w:rsid w:val="0055340C"/>
    <w:rsid w:val="00554206"/>
    <w:rsid w:val="00554C8B"/>
    <w:rsid w:val="00555FA8"/>
    <w:rsid w:val="005561D0"/>
    <w:rsid w:val="00567FF4"/>
    <w:rsid w:val="0058038E"/>
    <w:rsid w:val="00582CA0"/>
    <w:rsid w:val="005866F3"/>
    <w:rsid w:val="005940CC"/>
    <w:rsid w:val="00595F79"/>
    <w:rsid w:val="005C0F82"/>
    <w:rsid w:val="005D07D6"/>
    <w:rsid w:val="005D0DF3"/>
    <w:rsid w:val="005D3148"/>
    <w:rsid w:val="005D6517"/>
    <w:rsid w:val="005E7A37"/>
    <w:rsid w:val="005F5E35"/>
    <w:rsid w:val="006031D5"/>
    <w:rsid w:val="00613629"/>
    <w:rsid w:val="0062351C"/>
    <w:rsid w:val="00641937"/>
    <w:rsid w:val="00643BA8"/>
    <w:rsid w:val="006469D4"/>
    <w:rsid w:val="00651A3C"/>
    <w:rsid w:val="00653CFD"/>
    <w:rsid w:val="006560B9"/>
    <w:rsid w:val="00664F81"/>
    <w:rsid w:val="006667AC"/>
    <w:rsid w:val="00674F85"/>
    <w:rsid w:val="006823C8"/>
    <w:rsid w:val="00691934"/>
    <w:rsid w:val="006B1192"/>
    <w:rsid w:val="006C5A5B"/>
    <w:rsid w:val="006C5D35"/>
    <w:rsid w:val="006F7402"/>
    <w:rsid w:val="00706ADD"/>
    <w:rsid w:val="0071033C"/>
    <w:rsid w:val="00714F7F"/>
    <w:rsid w:val="00723EC7"/>
    <w:rsid w:val="00725197"/>
    <w:rsid w:val="007261F2"/>
    <w:rsid w:val="007329F6"/>
    <w:rsid w:val="007437CE"/>
    <w:rsid w:val="00744AE6"/>
    <w:rsid w:val="0075077C"/>
    <w:rsid w:val="00755A23"/>
    <w:rsid w:val="007569D2"/>
    <w:rsid w:val="00764759"/>
    <w:rsid w:val="00767C3C"/>
    <w:rsid w:val="0077731A"/>
    <w:rsid w:val="00786690"/>
    <w:rsid w:val="00792E83"/>
    <w:rsid w:val="00796C81"/>
    <w:rsid w:val="007A7F7A"/>
    <w:rsid w:val="007B20D7"/>
    <w:rsid w:val="007B7C75"/>
    <w:rsid w:val="007C2283"/>
    <w:rsid w:val="007D40CB"/>
    <w:rsid w:val="007E51F0"/>
    <w:rsid w:val="007E5943"/>
    <w:rsid w:val="007E7FAA"/>
    <w:rsid w:val="007F0D2D"/>
    <w:rsid w:val="007F40F5"/>
    <w:rsid w:val="00801B7C"/>
    <w:rsid w:val="008032E4"/>
    <w:rsid w:val="008115A1"/>
    <w:rsid w:val="0084346D"/>
    <w:rsid w:val="00843D69"/>
    <w:rsid w:val="0085259B"/>
    <w:rsid w:val="00857C48"/>
    <w:rsid w:val="00861067"/>
    <w:rsid w:val="008C140D"/>
    <w:rsid w:val="008D0098"/>
    <w:rsid w:val="008E02AF"/>
    <w:rsid w:val="008E1BDB"/>
    <w:rsid w:val="008E289D"/>
    <w:rsid w:val="008F306B"/>
    <w:rsid w:val="008F37DB"/>
    <w:rsid w:val="00902115"/>
    <w:rsid w:val="0091138B"/>
    <w:rsid w:val="009150B7"/>
    <w:rsid w:val="0093338B"/>
    <w:rsid w:val="00935195"/>
    <w:rsid w:val="00937A9E"/>
    <w:rsid w:val="00956617"/>
    <w:rsid w:val="00970B90"/>
    <w:rsid w:val="00981C90"/>
    <w:rsid w:val="00987D0C"/>
    <w:rsid w:val="009916DB"/>
    <w:rsid w:val="00991CDD"/>
    <w:rsid w:val="009A0B4C"/>
    <w:rsid w:val="009A5F94"/>
    <w:rsid w:val="009B7A64"/>
    <w:rsid w:val="009C3669"/>
    <w:rsid w:val="009C3EF9"/>
    <w:rsid w:val="009E167B"/>
    <w:rsid w:val="009E1B58"/>
    <w:rsid w:val="009E3C44"/>
    <w:rsid w:val="009E4CE7"/>
    <w:rsid w:val="009E4FF0"/>
    <w:rsid w:val="009E54F8"/>
    <w:rsid w:val="00A0420D"/>
    <w:rsid w:val="00A10CA3"/>
    <w:rsid w:val="00A1184B"/>
    <w:rsid w:val="00A11E1F"/>
    <w:rsid w:val="00A22B25"/>
    <w:rsid w:val="00A22BE9"/>
    <w:rsid w:val="00A23762"/>
    <w:rsid w:val="00A24B7C"/>
    <w:rsid w:val="00A431BF"/>
    <w:rsid w:val="00A55550"/>
    <w:rsid w:val="00A604FF"/>
    <w:rsid w:val="00A6586B"/>
    <w:rsid w:val="00A65E49"/>
    <w:rsid w:val="00A67228"/>
    <w:rsid w:val="00A71889"/>
    <w:rsid w:val="00A71FCF"/>
    <w:rsid w:val="00A7593C"/>
    <w:rsid w:val="00A76866"/>
    <w:rsid w:val="00A7799C"/>
    <w:rsid w:val="00A8141B"/>
    <w:rsid w:val="00A90B05"/>
    <w:rsid w:val="00A91591"/>
    <w:rsid w:val="00A927F0"/>
    <w:rsid w:val="00A92C0D"/>
    <w:rsid w:val="00AB1BFA"/>
    <w:rsid w:val="00AB6070"/>
    <w:rsid w:val="00AC0630"/>
    <w:rsid w:val="00AC5E71"/>
    <w:rsid w:val="00AC7548"/>
    <w:rsid w:val="00AD0389"/>
    <w:rsid w:val="00AF15F2"/>
    <w:rsid w:val="00B11F89"/>
    <w:rsid w:val="00B1212D"/>
    <w:rsid w:val="00B129DE"/>
    <w:rsid w:val="00B167E1"/>
    <w:rsid w:val="00B21879"/>
    <w:rsid w:val="00B32343"/>
    <w:rsid w:val="00B32FCE"/>
    <w:rsid w:val="00B56E4C"/>
    <w:rsid w:val="00B57587"/>
    <w:rsid w:val="00B71BD8"/>
    <w:rsid w:val="00B8238E"/>
    <w:rsid w:val="00B833EA"/>
    <w:rsid w:val="00B843CA"/>
    <w:rsid w:val="00BA098D"/>
    <w:rsid w:val="00BA1CA1"/>
    <w:rsid w:val="00BB5895"/>
    <w:rsid w:val="00BC6126"/>
    <w:rsid w:val="00BD13DA"/>
    <w:rsid w:val="00BD523B"/>
    <w:rsid w:val="00BE2AA8"/>
    <w:rsid w:val="00C13C9C"/>
    <w:rsid w:val="00C22869"/>
    <w:rsid w:val="00C243CC"/>
    <w:rsid w:val="00C25241"/>
    <w:rsid w:val="00C265DB"/>
    <w:rsid w:val="00C26B27"/>
    <w:rsid w:val="00C32ACE"/>
    <w:rsid w:val="00C35359"/>
    <w:rsid w:val="00C4374C"/>
    <w:rsid w:val="00C439CC"/>
    <w:rsid w:val="00C543B8"/>
    <w:rsid w:val="00C57A6D"/>
    <w:rsid w:val="00C60F96"/>
    <w:rsid w:val="00C65193"/>
    <w:rsid w:val="00C65E6B"/>
    <w:rsid w:val="00C65F71"/>
    <w:rsid w:val="00C71775"/>
    <w:rsid w:val="00C74E28"/>
    <w:rsid w:val="00C75BBA"/>
    <w:rsid w:val="00C81CF0"/>
    <w:rsid w:val="00C9210E"/>
    <w:rsid w:val="00C95E76"/>
    <w:rsid w:val="00CA4688"/>
    <w:rsid w:val="00CA4ABB"/>
    <w:rsid w:val="00CA6C8D"/>
    <w:rsid w:val="00CD2257"/>
    <w:rsid w:val="00CE3140"/>
    <w:rsid w:val="00CF6B68"/>
    <w:rsid w:val="00CF73B7"/>
    <w:rsid w:val="00D00440"/>
    <w:rsid w:val="00D01966"/>
    <w:rsid w:val="00D02884"/>
    <w:rsid w:val="00D05AB6"/>
    <w:rsid w:val="00D14EF8"/>
    <w:rsid w:val="00D23BDB"/>
    <w:rsid w:val="00D30492"/>
    <w:rsid w:val="00D35A35"/>
    <w:rsid w:val="00D4741C"/>
    <w:rsid w:val="00D60D4C"/>
    <w:rsid w:val="00D635E6"/>
    <w:rsid w:val="00D65B9C"/>
    <w:rsid w:val="00D85FD9"/>
    <w:rsid w:val="00DA3D95"/>
    <w:rsid w:val="00DA5824"/>
    <w:rsid w:val="00DA7131"/>
    <w:rsid w:val="00DB28B4"/>
    <w:rsid w:val="00DC26C3"/>
    <w:rsid w:val="00DC3574"/>
    <w:rsid w:val="00DD0A47"/>
    <w:rsid w:val="00DD266A"/>
    <w:rsid w:val="00DD5F48"/>
    <w:rsid w:val="00DF27B1"/>
    <w:rsid w:val="00DF373E"/>
    <w:rsid w:val="00DF4E9E"/>
    <w:rsid w:val="00DF6250"/>
    <w:rsid w:val="00E033D4"/>
    <w:rsid w:val="00E0516E"/>
    <w:rsid w:val="00E0688D"/>
    <w:rsid w:val="00E1401C"/>
    <w:rsid w:val="00E171D3"/>
    <w:rsid w:val="00E205FB"/>
    <w:rsid w:val="00E21CCB"/>
    <w:rsid w:val="00E2562B"/>
    <w:rsid w:val="00E25FA0"/>
    <w:rsid w:val="00E26021"/>
    <w:rsid w:val="00E27602"/>
    <w:rsid w:val="00E337ED"/>
    <w:rsid w:val="00E43B04"/>
    <w:rsid w:val="00E45EEA"/>
    <w:rsid w:val="00E6408F"/>
    <w:rsid w:val="00E75D6E"/>
    <w:rsid w:val="00E83700"/>
    <w:rsid w:val="00E84CA7"/>
    <w:rsid w:val="00E85981"/>
    <w:rsid w:val="00E9185A"/>
    <w:rsid w:val="00EA1382"/>
    <w:rsid w:val="00EB6E50"/>
    <w:rsid w:val="00EC48CC"/>
    <w:rsid w:val="00ED09E0"/>
    <w:rsid w:val="00ED1D2C"/>
    <w:rsid w:val="00EE11FF"/>
    <w:rsid w:val="00EF4FC1"/>
    <w:rsid w:val="00F1304C"/>
    <w:rsid w:val="00F20128"/>
    <w:rsid w:val="00F24102"/>
    <w:rsid w:val="00F2412B"/>
    <w:rsid w:val="00F24890"/>
    <w:rsid w:val="00F256F4"/>
    <w:rsid w:val="00F30E68"/>
    <w:rsid w:val="00F33B4F"/>
    <w:rsid w:val="00F36BDB"/>
    <w:rsid w:val="00F42789"/>
    <w:rsid w:val="00F43B88"/>
    <w:rsid w:val="00F43FB3"/>
    <w:rsid w:val="00F50776"/>
    <w:rsid w:val="00F534D3"/>
    <w:rsid w:val="00F54A90"/>
    <w:rsid w:val="00F61EC8"/>
    <w:rsid w:val="00F92F8E"/>
    <w:rsid w:val="00F97102"/>
    <w:rsid w:val="00FA31CC"/>
    <w:rsid w:val="00FA70EA"/>
    <w:rsid w:val="00FB0690"/>
    <w:rsid w:val="00FB2EFC"/>
    <w:rsid w:val="00FE020A"/>
    <w:rsid w:val="00FE3012"/>
    <w:rsid w:val="00FE318D"/>
    <w:rsid w:val="00FE4A5C"/>
    <w:rsid w:val="00FE5E33"/>
    <w:rsid w:val="00FE6713"/>
    <w:rsid w:val="00FF623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D4B11"/>
  <w15:chartTrackingRefBased/>
  <w15:docId w15:val="{3A1A0F1E-EAA6-FC4A-AF59-0097704DC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F94"/>
    <w:pPr>
      <w:spacing w:line="480" w:lineRule="auto"/>
      <w:jc w:val="both"/>
    </w:pPr>
    <w:rPr>
      <w:rFonts w:ascii="Arial" w:hAnsi="Arial"/>
      <w:sz w:val="22"/>
    </w:rPr>
  </w:style>
  <w:style w:type="paragraph" w:styleId="Heading1">
    <w:name w:val="heading 1"/>
    <w:basedOn w:val="Normal"/>
    <w:next w:val="Normal"/>
    <w:link w:val="Heading1Char"/>
    <w:uiPriority w:val="9"/>
    <w:qFormat/>
    <w:rsid w:val="0031140D"/>
    <w:pPr>
      <w:keepNext/>
      <w:keepLines/>
      <w:spacing w:before="480" w:after="120" w:line="259" w:lineRule="auto"/>
      <w:outlineLvl w:val="0"/>
    </w:pPr>
    <w:rPr>
      <w:rFonts w:ascii="Calibri" w:eastAsia="Calibri" w:hAnsi="Calibri" w:cs="Calibri"/>
      <w:b/>
      <w:sz w:val="48"/>
      <w:szCs w:val="48"/>
      <w:lang w:val="en-US"/>
    </w:rPr>
  </w:style>
  <w:style w:type="paragraph" w:styleId="Heading2">
    <w:name w:val="heading 2"/>
    <w:basedOn w:val="Normal"/>
    <w:next w:val="Normal"/>
    <w:link w:val="Heading2Char"/>
    <w:uiPriority w:val="9"/>
    <w:semiHidden/>
    <w:unhideWhenUsed/>
    <w:qFormat/>
    <w:rsid w:val="0031140D"/>
    <w:pPr>
      <w:keepNext/>
      <w:keepLines/>
      <w:spacing w:before="360" w:after="80" w:line="259" w:lineRule="auto"/>
      <w:outlineLvl w:val="1"/>
    </w:pPr>
    <w:rPr>
      <w:rFonts w:ascii="Calibri" w:eastAsia="Calibri" w:hAnsi="Calibri" w:cs="Calibri"/>
      <w:b/>
      <w:sz w:val="36"/>
      <w:szCs w:val="36"/>
      <w:lang w:val="en-US"/>
    </w:rPr>
  </w:style>
  <w:style w:type="paragraph" w:styleId="Heading3">
    <w:name w:val="heading 3"/>
    <w:basedOn w:val="Normal"/>
    <w:next w:val="Normal"/>
    <w:link w:val="Heading3Char"/>
    <w:uiPriority w:val="9"/>
    <w:unhideWhenUsed/>
    <w:qFormat/>
    <w:rsid w:val="0031140D"/>
    <w:pPr>
      <w:keepNext/>
      <w:keepLines/>
      <w:spacing w:before="280" w:after="80" w:line="259" w:lineRule="auto"/>
      <w:outlineLvl w:val="2"/>
    </w:pPr>
    <w:rPr>
      <w:rFonts w:ascii="Calibri" w:eastAsia="Calibri" w:hAnsi="Calibri" w:cs="Calibri"/>
      <w:b/>
      <w:sz w:val="28"/>
      <w:szCs w:val="28"/>
      <w:lang w:val="en-US"/>
    </w:rPr>
  </w:style>
  <w:style w:type="paragraph" w:styleId="Heading4">
    <w:name w:val="heading 4"/>
    <w:basedOn w:val="Normal"/>
    <w:next w:val="Normal"/>
    <w:link w:val="Heading4Char"/>
    <w:uiPriority w:val="9"/>
    <w:semiHidden/>
    <w:unhideWhenUsed/>
    <w:qFormat/>
    <w:rsid w:val="0031140D"/>
    <w:pPr>
      <w:keepNext/>
      <w:keepLines/>
      <w:spacing w:before="240" w:after="40" w:line="259" w:lineRule="auto"/>
      <w:outlineLvl w:val="3"/>
    </w:pPr>
    <w:rPr>
      <w:rFonts w:ascii="Calibri" w:eastAsia="Calibri" w:hAnsi="Calibri" w:cs="Calibri"/>
      <w:b/>
      <w:lang w:val="en-US"/>
    </w:rPr>
  </w:style>
  <w:style w:type="paragraph" w:styleId="Heading5">
    <w:name w:val="heading 5"/>
    <w:basedOn w:val="Normal"/>
    <w:next w:val="Normal"/>
    <w:link w:val="Heading5Char"/>
    <w:uiPriority w:val="9"/>
    <w:semiHidden/>
    <w:unhideWhenUsed/>
    <w:qFormat/>
    <w:rsid w:val="0031140D"/>
    <w:pPr>
      <w:keepNext/>
      <w:keepLines/>
      <w:spacing w:before="220" w:after="40" w:line="259" w:lineRule="auto"/>
      <w:outlineLvl w:val="4"/>
    </w:pPr>
    <w:rPr>
      <w:rFonts w:ascii="Calibri" w:eastAsia="Calibri" w:hAnsi="Calibri" w:cs="Calibri"/>
      <w:b/>
      <w:szCs w:val="22"/>
      <w:lang w:val="en-US"/>
    </w:rPr>
  </w:style>
  <w:style w:type="paragraph" w:styleId="Heading6">
    <w:name w:val="heading 6"/>
    <w:basedOn w:val="Normal"/>
    <w:next w:val="Normal"/>
    <w:link w:val="Heading6Char"/>
    <w:uiPriority w:val="9"/>
    <w:semiHidden/>
    <w:unhideWhenUsed/>
    <w:qFormat/>
    <w:rsid w:val="0031140D"/>
    <w:pPr>
      <w:keepNext/>
      <w:keepLines/>
      <w:spacing w:before="200" w:after="40" w:line="259" w:lineRule="auto"/>
      <w:outlineLvl w:val="5"/>
    </w:pPr>
    <w:rPr>
      <w:rFonts w:ascii="Calibri" w:eastAsia="Calibri" w:hAnsi="Calibri" w:cs="Calibri"/>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140D"/>
    <w:rPr>
      <w:rFonts w:ascii="Calibri" w:eastAsia="Calibri" w:hAnsi="Calibri" w:cs="Calibri"/>
      <w:b/>
      <w:sz w:val="48"/>
      <w:szCs w:val="48"/>
      <w:lang w:val="en-US"/>
    </w:rPr>
  </w:style>
  <w:style w:type="paragraph" w:styleId="NormalWeb">
    <w:name w:val="Normal (Web)"/>
    <w:basedOn w:val="Normal"/>
    <w:uiPriority w:val="99"/>
    <w:unhideWhenUsed/>
    <w:rsid w:val="00E43B04"/>
    <w:pPr>
      <w:spacing w:before="100" w:beforeAutospacing="1" w:after="100" w:afterAutospacing="1"/>
    </w:pPr>
    <w:rPr>
      <w:rFonts w:ascii="Times New Roman" w:eastAsia="Times New Roman" w:hAnsi="Times New Roman" w:cs="Times New Roman"/>
    </w:rPr>
  </w:style>
  <w:style w:type="character" w:styleId="Hyperlink">
    <w:name w:val="Hyperlink"/>
    <w:aliases w:val="Table of Contents"/>
    <w:basedOn w:val="DefaultParagraphFont"/>
    <w:uiPriority w:val="99"/>
    <w:unhideWhenUsed/>
    <w:rsid w:val="00060FE0"/>
    <w:rPr>
      <w:rFonts w:ascii="Arial" w:hAnsi="Arial"/>
      <w:color w:val="auto"/>
      <w:u w:val="none"/>
    </w:rPr>
  </w:style>
  <w:style w:type="character" w:customStyle="1" w:styleId="apple-tab-span">
    <w:name w:val="apple-tab-span"/>
    <w:basedOn w:val="DefaultParagraphFont"/>
    <w:rsid w:val="00E43B04"/>
  </w:style>
  <w:style w:type="character" w:styleId="UnresolvedMention">
    <w:name w:val="Unresolved Mention"/>
    <w:basedOn w:val="DefaultParagraphFont"/>
    <w:uiPriority w:val="99"/>
    <w:semiHidden/>
    <w:unhideWhenUsed/>
    <w:rsid w:val="004A7514"/>
    <w:rPr>
      <w:color w:val="605E5C"/>
      <w:shd w:val="clear" w:color="auto" w:fill="E1DFDD"/>
    </w:rPr>
  </w:style>
  <w:style w:type="paragraph" w:styleId="Footer">
    <w:name w:val="footer"/>
    <w:basedOn w:val="Normal"/>
    <w:link w:val="FooterChar"/>
    <w:uiPriority w:val="99"/>
    <w:unhideWhenUsed/>
    <w:rsid w:val="00E27602"/>
    <w:pPr>
      <w:tabs>
        <w:tab w:val="center" w:pos="4680"/>
        <w:tab w:val="right" w:pos="9360"/>
      </w:tabs>
    </w:pPr>
  </w:style>
  <w:style w:type="character" w:customStyle="1" w:styleId="FooterChar">
    <w:name w:val="Footer Char"/>
    <w:basedOn w:val="DefaultParagraphFont"/>
    <w:link w:val="Footer"/>
    <w:uiPriority w:val="99"/>
    <w:rsid w:val="00E27602"/>
  </w:style>
  <w:style w:type="character" w:styleId="PageNumber">
    <w:name w:val="page number"/>
    <w:basedOn w:val="DefaultParagraphFont"/>
    <w:uiPriority w:val="99"/>
    <w:semiHidden/>
    <w:unhideWhenUsed/>
    <w:rsid w:val="00E27602"/>
  </w:style>
  <w:style w:type="character" w:styleId="FollowedHyperlink">
    <w:name w:val="FollowedHyperlink"/>
    <w:basedOn w:val="DefaultParagraphFont"/>
    <w:uiPriority w:val="99"/>
    <w:semiHidden/>
    <w:unhideWhenUsed/>
    <w:rsid w:val="00A6586B"/>
    <w:rPr>
      <w:color w:val="954F72" w:themeColor="followedHyperlink"/>
      <w:u w:val="single"/>
    </w:rPr>
  </w:style>
  <w:style w:type="character" w:customStyle="1" w:styleId="Heading2Char">
    <w:name w:val="Heading 2 Char"/>
    <w:basedOn w:val="DefaultParagraphFont"/>
    <w:link w:val="Heading2"/>
    <w:uiPriority w:val="9"/>
    <w:semiHidden/>
    <w:rsid w:val="0031140D"/>
    <w:rPr>
      <w:rFonts w:ascii="Calibri" w:eastAsia="Calibri" w:hAnsi="Calibri" w:cs="Calibri"/>
      <w:b/>
      <w:sz w:val="36"/>
      <w:szCs w:val="36"/>
      <w:lang w:val="en-US"/>
    </w:rPr>
  </w:style>
  <w:style w:type="character" w:customStyle="1" w:styleId="Heading3Char">
    <w:name w:val="Heading 3 Char"/>
    <w:basedOn w:val="DefaultParagraphFont"/>
    <w:link w:val="Heading3"/>
    <w:uiPriority w:val="9"/>
    <w:rsid w:val="0031140D"/>
    <w:rPr>
      <w:rFonts w:ascii="Calibri" w:eastAsia="Calibri" w:hAnsi="Calibri" w:cs="Calibri"/>
      <w:b/>
      <w:sz w:val="28"/>
      <w:szCs w:val="28"/>
      <w:lang w:val="en-US"/>
    </w:rPr>
  </w:style>
  <w:style w:type="character" w:customStyle="1" w:styleId="Heading4Char">
    <w:name w:val="Heading 4 Char"/>
    <w:basedOn w:val="DefaultParagraphFont"/>
    <w:link w:val="Heading4"/>
    <w:uiPriority w:val="9"/>
    <w:semiHidden/>
    <w:rsid w:val="0031140D"/>
    <w:rPr>
      <w:rFonts w:ascii="Calibri" w:eastAsia="Calibri" w:hAnsi="Calibri" w:cs="Calibri"/>
      <w:b/>
      <w:lang w:val="en-US"/>
    </w:rPr>
  </w:style>
  <w:style w:type="character" w:customStyle="1" w:styleId="Heading5Char">
    <w:name w:val="Heading 5 Char"/>
    <w:basedOn w:val="DefaultParagraphFont"/>
    <w:link w:val="Heading5"/>
    <w:uiPriority w:val="9"/>
    <w:semiHidden/>
    <w:rsid w:val="0031140D"/>
    <w:rPr>
      <w:rFonts w:ascii="Calibri" w:eastAsia="Calibri" w:hAnsi="Calibri" w:cs="Calibri"/>
      <w:b/>
      <w:sz w:val="22"/>
      <w:szCs w:val="22"/>
      <w:lang w:val="en-US"/>
    </w:rPr>
  </w:style>
  <w:style w:type="character" w:customStyle="1" w:styleId="Heading6Char">
    <w:name w:val="Heading 6 Char"/>
    <w:basedOn w:val="DefaultParagraphFont"/>
    <w:link w:val="Heading6"/>
    <w:uiPriority w:val="9"/>
    <w:semiHidden/>
    <w:rsid w:val="0031140D"/>
    <w:rPr>
      <w:rFonts w:ascii="Calibri" w:eastAsia="Calibri" w:hAnsi="Calibri" w:cs="Calibri"/>
      <w:b/>
      <w:sz w:val="20"/>
      <w:szCs w:val="20"/>
      <w:lang w:val="en-US"/>
    </w:rPr>
  </w:style>
  <w:style w:type="paragraph" w:styleId="Title">
    <w:name w:val="Title"/>
    <w:basedOn w:val="Normal"/>
    <w:next w:val="Normal"/>
    <w:link w:val="TitleChar"/>
    <w:uiPriority w:val="10"/>
    <w:qFormat/>
    <w:rsid w:val="0031140D"/>
    <w:pPr>
      <w:keepNext/>
      <w:keepLines/>
      <w:spacing w:before="480" w:after="120" w:line="259" w:lineRule="auto"/>
    </w:pPr>
    <w:rPr>
      <w:rFonts w:ascii="Calibri" w:eastAsia="Calibri" w:hAnsi="Calibri" w:cs="Calibri"/>
      <w:b/>
      <w:sz w:val="72"/>
      <w:szCs w:val="72"/>
      <w:lang w:val="en-US"/>
    </w:rPr>
  </w:style>
  <w:style w:type="character" w:customStyle="1" w:styleId="TitleChar">
    <w:name w:val="Title Char"/>
    <w:basedOn w:val="DefaultParagraphFont"/>
    <w:link w:val="Title"/>
    <w:uiPriority w:val="10"/>
    <w:rsid w:val="0031140D"/>
    <w:rPr>
      <w:rFonts w:ascii="Calibri" w:eastAsia="Calibri" w:hAnsi="Calibri" w:cs="Calibri"/>
      <w:b/>
      <w:sz w:val="72"/>
      <w:szCs w:val="72"/>
      <w:lang w:val="en-US"/>
    </w:rPr>
  </w:style>
  <w:style w:type="character" w:styleId="Strong">
    <w:name w:val="Strong"/>
    <w:basedOn w:val="DefaultParagraphFont"/>
    <w:uiPriority w:val="22"/>
    <w:qFormat/>
    <w:rsid w:val="0031140D"/>
    <w:rPr>
      <w:b/>
      <w:bCs/>
    </w:rPr>
  </w:style>
  <w:style w:type="character" w:styleId="Emphasis">
    <w:name w:val="Emphasis"/>
    <w:basedOn w:val="DefaultParagraphFont"/>
    <w:uiPriority w:val="20"/>
    <w:qFormat/>
    <w:rsid w:val="0031140D"/>
    <w:rPr>
      <w:i/>
      <w:iCs/>
    </w:rPr>
  </w:style>
  <w:style w:type="character" w:customStyle="1" w:styleId="BalloonTextChar">
    <w:name w:val="Balloon Text Char"/>
    <w:basedOn w:val="DefaultParagraphFont"/>
    <w:link w:val="BalloonText"/>
    <w:uiPriority w:val="99"/>
    <w:semiHidden/>
    <w:rsid w:val="0031140D"/>
    <w:rPr>
      <w:rFonts w:ascii="Segoe UI" w:eastAsia="Calibri" w:hAnsi="Segoe UI" w:cs="Segoe UI"/>
      <w:sz w:val="18"/>
      <w:szCs w:val="18"/>
      <w:lang w:val="en-US"/>
    </w:rPr>
  </w:style>
  <w:style w:type="paragraph" w:styleId="BalloonText">
    <w:name w:val="Balloon Text"/>
    <w:basedOn w:val="Normal"/>
    <w:link w:val="BalloonTextChar"/>
    <w:uiPriority w:val="99"/>
    <w:semiHidden/>
    <w:unhideWhenUsed/>
    <w:rsid w:val="0031140D"/>
    <w:rPr>
      <w:rFonts w:ascii="Segoe UI" w:eastAsia="Calibri" w:hAnsi="Segoe UI" w:cs="Segoe UI"/>
      <w:sz w:val="18"/>
      <w:szCs w:val="18"/>
      <w:lang w:val="en-US"/>
    </w:rPr>
  </w:style>
  <w:style w:type="paragraph" w:styleId="Caption">
    <w:name w:val="caption"/>
    <w:basedOn w:val="Normal"/>
    <w:next w:val="Normal"/>
    <w:uiPriority w:val="35"/>
    <w:unhideWhenUsed/>
    <w:qFormat/>
    <w:rsid w:val="0031140D"/>
    <w:pPr>
      <w:spacing w:after="200"/>
    </w:pPr>
    <w:rPr>
      <w:rFonts w:ascii="Calibri" w:eastAsia="Calibri" w:hAnsi="Calibri" w:cs="Calibri"/>
      <w:i/>
      <w:iCs/>
      <w:color w:val="44546A" w:themeColor="text2"/>
      <w:sz w:val="18"/>
      <w:szCs w:val="18"/>
      <w:lang w:val="en-US"/>
    </w:rPr>
  </w:style>
  <w:style w:type="paragraph" w:styleId="Subtitle">
    <w:name w:val="Subtitle"/>
    <w:basedOn w:val="Normal"/>
    <w:next w:val="Normal"/>
    <w:link w:val="SubtitleChar"/>
    <w:uiPriority w:val="11"/>
    <w:qFormat/>
    <w:rsid w:val="0031140D"/>
    <w:pPr>
      <w:keepNext/>
      <w:keepLines/>
      <w:spacing w:before="360" w:after="80" w:line="259" w:lineRule="auto"/>
    </w:pPr>
    <w:rPr>
      <w:rFonts w:ascii="Georgia" w:eastAsia="Georgia" w:hAnsi="Georgia" w:cs="Georgia"/>
      <w:i/>
      <w:color w:val="666666"/>
      <w:sz w:val="48"/>
      <w:szCs w:val="48"/>
      <w:lang w:val="en-US"/>
    </w:rPr>
  </w:style>
  <w:style w:type="character" w:customStyle="1" w:styleId="SubtitleChar">
    <w:name w:val="Subtitle Char"/>
    <w:basedOn w:val="DefaultParagraphFont"/>
    <w:link w:val="Subtitle"/>
    <w:uiPriority w:val="11"/>
    <w:rsid w:val="0031140D"/>
    <w:rPr>
      <w:rFonts w:ascii="Georgia" w:eastAsia="Georgia" w:hAnsi="Georgia" w:cs="Georgia"/>
      <w:i/>
      <w:color w:val="666666"/>
      <w:sz w:val="48"/>
      <w:szCs w:val="48"/>
      <w:lang w:val="en-US"/>
    </w:rPr>
  </w:style>
  <w:style w:type="table" w:customStyle="1" w:styleId="2">
    <w:name w:val="2"/>
    <w:basedOn w:val="TableNormal"/>
    <w:rsid w:val="0031140D"/>
    <w:pPr>
      <w:spacing w:after="160" w:line="259" w:lineRule="auto"/>
    </w:pPr>
    <w:rPr>
      <w:rFonts w:ascii="Calibri" w:eastAsia="Calibri" w:hAnsi="Calibri" w:cs="Calibri"/>
      <w:sz w:val="22"/>
      <w:szCs w:val="22"/>
      <w:lang w:val="en-US"/>
    </w:rPr>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unhideWhenUsed/>
    <w:rsid w:val="0031140D"/>
    <w:pPr>
      <w:spacing w:after="160"/>
    </w:pPr>
    <w:rPr>
      <w:rFonts w:ascii="Calibri" w:eastAsia="Calibri" w:hAnsi="Calibri" w:cs="Calibri"/>
      <w:sz w:val="20"/>
      <w:szCs w:val="20"/>
      <w:lang w:val="en-US"/>
    </w:rPr>
  </w:style>
  <w:style w:type="character" w:customStyle="1" w:styleId="CommentTextChar">
    <w:name w:val="Comment Text Char"/>
    <w:basedOn w:val="DefaultParagraphFont"/>
    <w:link w:val="CommentText"/>
    <w:uiPriority w:val="99"/>
    <w:rsid w:val="0031140D"/>
    <w:rPr>
      <w:rFonts w:ascii="Calibri" w:eastAsia="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31140D"/>
    <w:rPr>
      <w:b/>
      <w:bCs/>
    </w:rPr>
  </w:style>
  <w:style w:type="character" w:customStyle="1" w:styleId="CommentSubjectChar">
    <w:name w:val="Comment Subject Char"/>
    <w:basedOn w:val="CommentTextChar"/>
    <w:link w:val="CommentSubject"/>
    <w:uiPriority w:val="99"/>
    <w:semiHidden/>
    <w:rsid w:val="0031140D"/>
    <w:rPr>
      <w:rFonts w:ascii="Calibri" w:eastAsia="Calibri" w:hAnsi="Calibri" w:cs="Calibri"/>
      <w:b/>
      <w:bCs/>
      <w:sz w:val="20"/>
      <w:szCs w:val="20"/>
      <w:lang w:val="en-US"/>
    </w:rPr>
  </w:style>
  <w:style w:type="paragraph" w:styleId="ListParagraph">
    <w:name w:val="List Paragraph"/>
    <w:basedOn w:val="Normal"/>
    <w:uiPriority w:val="34"/>
    <w:qFormat/>
    <w:rsid w:val="0031140D"/>
    <w:pPr>
      <w:spacing w:after="200" w:line="276" w:lineRule="auto"/>
      <w:ind w:left="720"/>
      <w:contextualSpacing/>
    </w:pPr>
    <w:rPr>
      <w:szCs w:val="22"/>
      <w:lang w:val="en-US"/>
    </w:rPr>
  </w:style>
  <w:style w:type="table" w:styleId="TableGrid">
    <w:name w:val="Table Grid"/>
    <w:basedOn w:val="TableNormal"/>
    <w:uiPriority w:val="39"/>
    <w:rsid w:val="0031140D"/>
    <w:rPr>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140D"/>
    <w:pPr>
      <w:tabs>
        <w:tab w:val="center" w:pos="4680"/>
        <w:tab w:val="right" w:pos="9360"/>
      </w:tabs>
    </w:pPr>
    <w:rPr>
      <w:rFonts w:ascii="Calibri" w:eastAsia="Calibri" w:hAnsi="Calibri" w:cs="Calibri"/>
      <w:szCs w:val="22"/>
      <w:lang w:val="en-US"/>
    </w:rPr>
  </w:style>
  <w:style w:type="character" w:customStyle="1" w:styleId="HeaderChar">
    <w:name w:val="Header Char"/>
    <w:basedOn w:val="DefaultParagraphFont"/>
    <w:link w:val="Header"/>
    <w:uiPriority w:val="99"/>
    <w:rsid w:val="0031140D"/>
    <w:rPr>
      <w:rFonts w:ascii="Calibri" w:eastAsia="Calibri" w:hAnsi="Calibri" w:cs="Calibri"/>
      <w:sz w:val="22"/>
      <w:szCs w:val="22"/>
      <w:lang w:val="en-US"/>
    </w:rPr>
  </w:style>
  <w:style w:type="character" w:customStyle="1" w:styleId="FootnoteTextChar">
    <w:name w:val="Footnote Text Char"/>
    <w:basedOn w:val="DefaultParagraphFont"/>
    <w:link w:val="FootnoteText"/>
    <w:uiPriority w:val="99"/>
    <w:semiHidden/>
    <w:rsid w:val="0031140D"/>
    <w:rPr>
      <w:rFonts w:ascii="Calibri" w:eastAsia="Calibri" w:hAnsi="Calibri" w:cs="Calibri"/>
      <w:sz w:val="20"/>
      <w:szCs w:val="20"/>
      <w:lang w:val="en-US"/>
    </w:rPr>
  </w:style>
  <w:style w:type="paragraph" w:styleId="FootnoteText">
    <w:name w:val="footnote text"/>
    <w:basedOn w:val="Normal"/>
    <w:link w:val="FootnoteTextChar"/>
    <w:uiPriority w:val="99"/>
    <w:semiHidden/>
    <w:unhideWhenUsed/>
    <w:rsid w:val="0031140D"/>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31140D"/>
    <w:rPr>
      <w:vertAlign w:val="superscript"/>
    </w:rPr>
  </w:style>
  <w:style w:type="character" w:customStyle="1" w:styleId="UnresolvedMention1">
    <w:name w:val="Unresolved Mention1"/>
    <w:basedOn w:val="DefaultParagraphFont"/>
    <w:uiPriority w:val="99"/>
    <w:semiHidden/>
    <w:unhideWhenUsed/>
    <w:rsid w:val="003D3681"/>
    <w:rPr>
      <w:color w:val="605E5C"/>
      <w:shd w:val="clear" w:color="auto" w:fill="E1DFDD"/>
    </w:rPr>
  </w:style>
  <w:style w:type="character" w:styleId="CommentReference">
    <w:name w:val="annotation reference"/>
    <w:basedOn w:val="DefaultParagraphFont"/>
    <w:uiPriority w:val="99"/>
    <w:semiHidden/>
    <w:unhideWhenUsed/>
    <w:rsid w:val="003D3681"/>
    <w:rPr>
      <w:sz w:val="16"/>
      <w:szCs w:val="16"/>
    </w:rPr>
  </w:style>
  <w:style w:type="character" w:styleId="PlaceholderText">
    <w:name w:val="Placeholder Text"/>
    <w:basedOn w:val="DefaultParagraphFont"/>
    <w:uiPriority w:val="99"/>
    <w:semiHidden/>
    <w:rsid w:val="003D3681"/>
    <w:rPr>
      <w:color w:val="808080"/>
    </w:rPr>
  </w:style>
  <w:style w:type="paragraph" w:styleId="Revision">
    <w:name w:val="Revision"/>
    <w:hidden/>
    <w:uiPriority w:val="99"/>
    <w:semiHidden/>
    <w:rsid w:val="003D3681"/>
    <w:rPr>
      <w:rFonts w:ascii="Calibri" w:eastAsia="Calibri" w:hAnsi="Calibri" w:cs="Calibri"/>
      <w:lang w:val="en-US"/>
    </w:rPr>
  </w:style>
  <w:style w:type="paragraph" w:customStyle="1" w:styleId="EndNoteBibliographyTitle">
    <w:name w:val="EndNote Bibliography Title"/>
    <w:basedOn w:val="Normal"/>
    <w:link w:val="EndNoteBibliographyTitleChar"/>
    <w:rsid w:val="003D3681"/>
    <w:pPr>
      <w:widowControl w:val="0"/>
      <w:jc w:val="center"/>
    </w:pPr>
    <w:rPr>
      <w:rFonts w:ascii="Calibri" w:eastAsia="Calibri" w:hAnsi="Calibri" w:cs="Calibri"/>
      <w:lang w:val="en-US"/>
    </w:rPr>
  </w:style>
  <w:style w:type="character" w:customStyle="1" w:styleId="EndNoteBibliographyTitleChar">
    <w:name w:val="EndNote Bibliography Title Char"/>
    <w:basedOn w:val="DefaultParagraphFont"/>
    <w:link w:val="EndNoteBibliographyTitle"/>
    <w:rsid w:val="003D3681"/>
    <w:rPr>
      <w:rFonts w:ascii="Calibri" w:eastAsia="Calibri" w:hAnsi="Calibri" w:cs="Calibri"/>
      <w:lang w:val="en-US"/>
    </w:rPr>
  </w:style>
  <w:style w:type="paragraph" w:customStyle="1" w:styleId="EndNoteBibliography">
    <w:name w:val="EndNote Bibliography"/>
    <w:basedOn w:val="Normal"/>
    <w:link w:val="EndNoteBibliographyChar"/>
    <w:rsid w:val="003D3681"/>
    <w:pPr>
      <w:widowControl w:val="0"/>
    </w:pPr>
    <w:rPr>
      <w:rFonts w:ascii="Calibri" w:eastAsia="Calibri" w:hAnsi="Calibri" w:cs="Calibri"/>
      <w:lang w:val="en-US"/>
    </w:rPr>
  </w:style>
  <w:style w:type="character" w:customStyle="1" w:styleId="EndNoteBibliographyChar">
    <w:name w:val="EndNote Bibliography Char"/>
    <w:basedOn w:val="DefaultParagraphFont"/>
    <w:link w:val="EndNoteBibliography"/>
    <w:rsid w:val="003D3681"/>
    <w:rPr>
      <w:rFonts w:ascii="Calibri" w:eastAsia="Calibri" w:hAnsi="Calibri" w:cs="Calibri"/>
      <w:lang w:val="en-US"/>
    </w:rPr>
  </w:style>
  <w:style w:type="table" w:styleId="TableGridLight">
    <w:name w:val="Grid Table Light"/>
    <w:basedOn w:val="TableNormal"/>
    <w:uiPriority w:val="40"/>
    <w:rsid w:val="003D3681"/>
    <w:pPr>
      <w:widowControl w:val="0"/>
      <w:jc w:val="both"/>
    </w:pPr>
    <w:rPr>
      <w:rFonts w:ascii="Calibri" w:eastAsia="Calibri" w:hAnsi="Calibri" w:cs="Calibri"/>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3D3681"/>
  </w:style>
  <w:style w:type="character" w:customStyle="1" w:styleId="title-text">
    <w:name w:val="title-text"/>
    <w:basedOn w:val="DefaultParagraphFont"/>
    <w:rsid w:val="00E1401C"/>
  </w:style>
  <w:style w:type="paragraph" w:styleId="TOCHeading">
    <w:name w:val="TOC Heading"/>
    <w:basedOn w:val="Heading1"/>
    <w:next w:val="Normal"/>
    <w:uiPriority w:val="39"/>
    <w:unhideWhenUsed/>
    <w:qFormat/>
    <w:rsid w:val="00786690"/>
    <w:pPr>
      <w:spacing w:after="0" w:line="276" w:lineRule="auto"/>
      <w:outlineLvl w:val="9"/>
    </w:pPr>
    <w:rPr>
      <w:rFonts w:asciiTheme="majorHAnsi" w:eastAsiaTheme="majorEastAsia" w:hAnsiTheme="majorHAnsi" w:cstheme="majorBidi"/>
      <w:bCs/>
      <w:color w:val="2F5496" w:themeColor="accent1" w:themeShade="BF"/>
      <w:sz w:val="28"/>
      <w:szCs w:val="28"/>
    </w:rPr>
  </w:style>
  <w:style w:type="paragraph" w:styleId="TOC1">
    <w:name w:val="toc 1"/>
    <w:next w:val="Normal"/>
    <w:autoRedefine/>
    <w:uiPriority w:val="39"/>
    <w:unhideWhenUsed/>
    <w:rsid w:val="005478FE"/>
    <w:pPr>
      <w:tabs>
        <w:tab w:val="right" w:leader="dot" w:pos="9350"/>
      </w:tabs>
      <w:spacing w:before="120" w:line="360" w:lineRule="auto"/>
    </w:pPr>
    <w:rPr>
      <w:rFonts w:ascii="Arial" w:hAnsi="Arial" w:cstheme="minorHAnsi"/>
      <w:bCs/>
      <w:iCs/>
    </w:rPr>
  </w:style>
  <w:style w:type="paragraph" w:styleId="TOC2">
    <w:name w:val="toc 2"/>
    <w:basedOn w:val="Normal"/>
    <w:next w:val="Normal"/>
    <w:autoRedefine/>
    <w:uiPriority w:val="39"/>
    <w:unhideWhenUsed/>
    <w:rsid w:val="00E033D4"/>
    <w:pPr>
      <w:tabs>
        <w:tab w:val="right" w:leader="dot" w:pos="9350"/>
      </w:tabs>
      <w:spacing w:before="120"/>
      <w:ind w:left="240"/>
    </w:pPr>
    <w:rPr>
      <w:rFonts w:cstheme="minorHAnsi"/>
      <w:b/>
      <w:bCs/>
      <w:szCs w:val="22"/>
    </w:rPr>
  </w:style>
  <w:style w:type="paragraph" w:styleId="TOC3">
    <w:name w:val="toc 3"/>
    <w:basedOn w:val="Normal"/>
    <w:next w:val="Normal"/>
    <w:autoRedefine/>
    <w:uiPriority w:val="39"/>
    <w:unhideWhenUsed/>
    <w:rsid w:val="00786690"/>
    <w:pPr>
      <w:ind w:left="480"/>
    </w:pPr>
    <w:rPr>
      <w:rFonts w:cstheme="minorHAnsi"/>
      <w:sz w:val="20"/>
      <w:szCs w:val="20"/>
    </w:rPr>
  </w:style>
  <w:style w:type="paragraph" w:styleId="TOC4">
    <w:name w:val="toc 4"/>
    <w:basedOn w:val="Normal"/>
    <w:next w:val="Normal"/>
    <w:autoRedefine/>
    <w:uiPriority w:val="39"/>
    <w:unhideWhenUsed/>
    <w:rsid w:val="00786690"/>
    <w:pPr>
      <w:ind w:left="720"/>
    </w:pPr>
    <w:rPr>
      <w:rFonts w:cstheme="minorHAnsi"/>
      <w:sz w:val="20"/>
      <w:szCs w:val="20"/>
    </w:rPr>
  </w:style>
  <w:style w:type="paragraph" w:styleId="TOC5">
    <w:name w:val="toc 5"/>
    <w:basedOn w:val="Normal"/>
    <w:next w:val="Normal"/>
    <w:autoRedefine/>
    <w:uiPriority w:val="39"/>
    <w:semiHidden/>
    <w:unhideWhenUsed/>
    <w:rsid w:val="00786690"/>
    <w:pPr>
      <w:ind w:left="960"/>
    </w:pPr>
    <w:rPr>
      <w:rFonts w:cstheme="minorHAnsi"/>
      <w:sz w:val="20"/>
      <w:szCs w:val="20"/>
    </w:rPr>
  </w:style>
  <w:style w:type="paragraph" w:styleId="TOC6">
    <w:name w:val="toc 6"/>
    <w:basedOn w:val="Normal"/>
    <w:next w:val="Normal"/>
    <w:autoRedefine/>
    <w:uiPriority w:val="39"/>
    <w:semiHidden/>
    <w:unhideWhenUsed/>
    <w:rsid w:val="00786690"/>
    <w:pPr>
      <w:ind w:left="1200"/>
    </w:pPr>
    <w:rPr>
      <w:rFonts w:cstheme="minorHAnsi"/>
      <w:sz w:val="20"/>
      <w:szCs w:val="20"/>
    </w:rPr>
  </w:style>
  <w:style w:type="paragraph" w:styleId="TOC7">
    <w:name w:val="toc 7"/>
    <w:basedOn w:val="Normal"/>
    <w:next w:val="Normal"/>
    <w:autoRedefine/>
    <w:uiPriority w:val="39"/>
    <w:semiHidden/>
    <w:unhideWhenUsed/>
    <w:rsid w:val="00786690"/>
    <w:pPr>
      <w:ind w:left="1440"/>
    </w:pPr>
    <w:rPr>
      <w:rFonts w:cstheme="minorHAnsi"/>
      <w:sz w:val="20"/>
      <w:szCs w:val="20"/>
    </w:rPr>
  </w:style>
  <w:style w:type="paragraph" w:styleId="TOC8">
    <w:name w:val="toc 8"/>
    <w:basedOn w:val="Normal"/>
    <w:next w:val="Normal"/>
    <w:autoRedefine/>
    <w:uiPriority w:val="39"/>
    <w:semiHidden/>
    <w:unhideWhenUsed/>
    <w:rsid w:val="00786690"/>
    <w:pPr>
      <w:ind w:left="1680"/>
    </w:pPr>
    <w:rPr>
      <w:rFonts w:cstheme="minorHAnsi"/>
      <w:sz w:val="20"/>
      <w:szCs w:val="20"/>
    </w:rPr>
  </w:style>
  <w:style w:type="paragraph" w:styleId="TOC9">
    <w:name w:val="toc 9"/>
    <w:basedOn w:val="Normal"/>
    <w:next w:val="Normal"/>
    <w:autoRedefine/>
    <w:uiPriority w:val="39"/>
    <w:semiHidden/>
    <w:unhideWhenUsed/>
    <w:rsid w:val="00786690"/>
    <w:pPr>
      <w:ind w:left="1920"/>
    </w:pPr>
    <w:rPr>
      <w:rFonts w:cstheme="minorHAnsi"/>
      <w:sz w:val="20"/>
      <w:szCs w:val="20"/>
    </w:rPr>
  </w:style>
  <w:style w:type="paragraph" w:customStyle="1" w:styleId="ChapterTitle">
    <w:name w:val="Chapter Title"/>
    <w:basedOn w:val="Heading1"/>
    <w:qFormat/>
    <w:rsid w:val="001C508F"/>
    <w:pPr>
      <w:spacing w:before="0" w:after="0" w:line="480" w:lineRule="auto"/>
      <w:jc w:val="center"/>
    </w:pPr>
    <w:rPr>
      <w:rFonts w:ascii="Arial" w:hAnsi="Arial"/>
      <w:sz w:val="32"/>
    </w:rPr>
  </w:style>
  <w:style w:type="paragraph" w:customStyle="1" w:styleId="ChapterHeading">
    <w:name w:val="Chapter Heading"/>
    <w:basedOn w:val="ListParagraph"/>
    <w:qFormat/>
    <w:rsid w:val="006C5A5B"/>
    <w:pPr>
      <w:spacing w:line="480" w:lineRule="auto"/>
      <w:ind w:left="0"/>
      <w:jc w:val="center"/>
    </w:pPr>
    <w:rPr>
      <w:rFonts w:eastAsia="Times New Roman" w:cs="Arial"/>
      <w:b/>
      <w:bCs/>
      <w:color w:val="000000"/>
      <w:sz w:val="28"/>
      <w:szCs w:val="28"/>
    </w:rPr>
  </w:style>
  <w:style w:type="paragraph" w:customStyle="1" w:styleId="ChapterSub-heading">
    <w:name w:val="Chapter Sub-heading"/>
    <w:basedOn w:val="Normal"/>
    <w:next w:val="NormalParagraph"/>
    <w:qFormat/>
    <w:rsid w:val="00385A2E"/>
    <w:pPr>
      <w:contextualSpacing/>
    </w:pPr>
    <w:rPr>
      <w:rFonts w:cs="Arial"/>
      <w:b/>
      <w:bCs/>
      <w:color w:val="000000" w:themeColor="text1"/>
      <w:szCs w:val="22"/>
    </w:rPr>
  </w:style>
  <w:style w:type="paragraph" w:customStyle="1" w:styleId="NormalParagraph">
    <w:name w:val="Normal Paragraph"/>
    <w:basedOn w:val="ChapterSub-heading"/>
    <w:qFormat/>
    <w:rsid w:val="00A604FF"/>
    <w:pPr>
      <w:numPr>
        <w:numId w:val="16"/>
      </w:numPr>
    </w:pPr>
    <w:rPr>
      <w:b w:val="0"/>
      <w:bCs w:val="0"/>
    </w:rPr>
  </w:style>
  <w:style w:type="numbering" w:customStyle="1" w:styleId="CurrentList1">
    <w:name w:val="Current List1"/>
    <w:uiPriority w:val="99"/>
    <w:rsid w:val="00BC6126"/>
    <w:pPr>
      <w:numPr>
        <w:numId w:val="21"/>
      </w:numPr>
    </w:pPr>
  </w:style>
  <w:style w:type="paragraph" w:customStyle="1" w:styleId="Subsubheading">
    <w:name w:val="Sub sub heading"/>
    <w:basedOn w:val="Normal"/>
    <w:qFormat/>
    <w:rsid w:val="003B5E9C"/>
    <w:rPr>
      <w:rFonts w:cs="Arial"/>
      <w:color w:val="000000" w:themeColor="text1"/>
      <w:szCs w:val="22"/>
      <w:u w:val="single"/>
    </w:rPr>
  </w:style>
  <w:style w:type="paragraph" w:styleId="TableofFigures">
    <w:name w:val="table of figures"/>
    <w:basedOn w:val="Normal"/>
    <w:next w:val="Normal"/>
    <w:uiPriority w:val="99"/>
    <w:unhideWhenUsed/>
    <w:rsid w:val="009E54F8"/>
  </w:style>
  <w:style w:type="paragraph" w:customStyle="1" w:styleId="Figurecaption">
    <w:name w:val="Figure caption"/>
    <w:basedOn w:val="Normal"/>
    <w:next w:val="Normal"/>
    <w:link w:val="FigurecaptionChar"/>
    <w:qFormat/>
    <w:rsid w:val="009A5F94"/>
    <w:pPr>
      <w:contextualSpacing/>
    </w:pPr>
    <w:rPr>
      <w:rFonts w:cs="Arial"/>
      <w:b/>
      <w:bCs/>
      <w:color w:val="000000" w:themeColor="text1"/>
      <w:szCs w:val="22"/>
    </w:rPr>
  </w:style>
  <w:style w:type="character" w:customStyle="1" w:styleId="FigurecaptionChar">
    <w:name w:val="Figure caption Char"/>
    <w:basedOn w:val="DefaultParagraphFont"/>
    <w:link w:val="Figurecaption"/>
    <w:rsid w:val="009A5F94"/>
    <w:rPr>
      <w:rFonts w:ascii="Arial" w:hAnsi="Arial" w:cs="Arial"/>
      <w:b/>
      <w:bCs/>
      <w:color w:val="000000" w:themeColor="text1"/>
      <w:sz w:val="22"/>
      <w:szCs w:val="22"/>
    </w:rPr>
  </w:style>
  <w:style w:type="paragraph" w:customStyle="1" w:styleId="Tablecaption">
    <w:name w:val="Table caption"/>
    <w:basedOn w:val="Figurecaption"/>
    <w:link w:val="TablecaptionChar"/>
    <w:qFormat/>
    <w:rsid w:val="009A5F94"/>
    <w:rPr>
      <w:bCs w:val="0"/>
    </w:rPr>
  </w:style>
  <w:style w:type="character" w:customStyle="1" w:styleId="TablecaptionChar">
    <w:name w:val="Table caption Char"/>
    <w:basedOn w:val="FigurecaptionChar"/>
    <w:link w:val="Tablecaption"/>
    <w:rsid w:val="009A5F94"/>
    <w:rPr>
      <w:rFonts w:ascii="Arial" w:hAnsi="Arial" w:cs="Arial"/>
      <w:b/>
      <w:bCs w:val="0"/>
      <w:color w:val="000000" w:themeColor="tex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29483">
      <w:bodyDiv w:val="1"/>
      <w:marLeft w:val="0"/>
      <w:marRight w:val="0"/>
      <w:marTop w:val="0"/>
      <w:marBottom w:val="0"/>
      <w:divBdr>
        <w:top w:val="none" w:sz="0" w:space="0" w:color="auto"/>
        <w:left w:val="none" w:sz="0" w:space="0" w:color="auto"/>
        <w:bottom w:val="none" w:sz="0" w:space="0" w:color="auto"/>
        <w:right w:val="none" w:sz="0" w:space="0" w:color="auto"/>
      </w:divBdr>
    </w:div>
    <w:div w:id="142502919">
      <w:bodyDiv w:val="1"/>
      <w:marLeft w:val="0"/>
      <w:marRight w:val="0"/>
      <w:marTop w:val="0"/>
      <w:marBottom w:val="0"/>
      <w:divBdr>
        <w:top w:val="none" w:sz="0" w:space="0" w:color="auto"/>
        <w:left w:val="none" w:sz="0" w:space="0" w:color="auto"/>
        <w:bottom w:val="none" w:sz="0" w:space="0" w:color="auto"/>
        <w:right w:val="none" w:sz="0" w:space="0" w:color="auto"/>
      </w:divBdr>
    </w:div>
    <w:div w:id="373310335">
      <w:bodyDiv w:val="1"/>
      <w:marLeft w:val="0"/>
      <w:marRight w:val="0"/>
      <w:marTop w:val="0"/>
      <w:marBottom w:val="0"/>
      <w:divBdr>
        <w:top w:val="none" w:sz="0" w:space="0" w:color="auto"/>
        <w:left w:val="none" w:sz="0" w:space="0" w:color="auto"/>
        <w:bottom w:val="none" w:sz="0" w:space="0" w:color="auto"/>
        <w:right w:val="none" w:sz="0" w:space="0" w:color="auto"/>
      </w:divBdr>
      <w:divsChild>
        <w:div w:id="2139493368">
          <w:marLeft w:val="0"/>
          <w:marRight w:val="0"/>
          <w:marTop w:val="0"/>
          <w:marBottom w:val="0"/>
          <w:divBdr>
            <w:top w:val="none" w:sz="0" w:space="0" w:color="auto"/>
            <w:left w:val="none" w:sz="0" w:space="0" w:color="auto"/>
            <w:bottom w:val="none" w:sz="0" w:space="0" w:color="auto"/>
            <w:right w:val="none" w:sz="0" w:space="0" w:color="auto"/>
          </w:divBdr>
        </w:div>
      </w:divsChild>
    </w:div>
    <w:div w:id="1241405895">
      <w:bodyDiv w:val="1"/>
      <w:marLeft w:val="0"/>
      <w:marRight w:val="0"/>
      <w:marTop w:val="0"/>
      <w:marBottom w:val="0"/>
      <w:divBdr>
        <w:top w:val="none" w:sz="0" w:space="0" w:color="auto"/>
        <w:left w:val="none" w:sz="0" w:space="0" w:color="auto"/>
        <w:bottom w:val="none" w:sz="0" w:space="0" w:color="auto"/>
        <w:right w:val="none" w:sz="0" w:space="0" w:color="auto"/>
      </w:divBdr>
    </w:div>
    <w:div w:id="1751148485">
      <w:bodyDiv w:val="1"/>
      <w:marLeft w:val="0"/>
      <w:marRight w:val="0"/>
      <w:marTop w:val="0"/>
      <w:marBottom w:val="0"/>
      <w:divBdr>
        <w:top w:val="none" w:sz="0" w:space="0" w:color="auto"/>
        <w:left w:val="none" w:sz="0" w:space="0" w:color="auto"/>
        <w:bottom w:val="none" w:sz="0" w:space="0" w:color="auto"/>
        <w:right w:val="none" w:sz="0" w:space="0" w:color="auto"/>
      </w:divBdr>
      <w:divsChild>
        <w:div w:id="1767338094">
          <w:marLeft w:val="0"/>
          <w:marRight w:val="0"/>
          <w:marTop w:val="0"/>
          <w:marBottom w:val="0"/>
          <w:divBdr>
            <w:top w:val="none" w:sz="0" w:space="0" w:color="auto"/>
            <w:left w:val="none" w:sz="0" w:space="0" w:color="auto"/>
            <w:bottom w:val="none" w:sz="0" w:space="0" w:color="auto"/>
            <w:right w:val="none" w:sz="0" w:space="0" w:color="auto"/>
          </w:divBdr>
          <w:divsChild>
            <w:div w:id="237055985">
              <w:marLeft w:val="0"/>
              <w:marRight w:val="0"/>
              <w:marTop w:val="0"/>
              <w:marBottom w:val="0"/>
              <w:divBdr>
                <w:top w:val="none" w:sz="0" w:space="0" w:color="auto"/>
                <w:left w:val="none" w:sz="0" w:space="0" w:color="auto"/>
                <w:bottom w:val="none" w:sz="0" w:space="0" w:color="auto"/>
                <w:right w:val="none" w:sz="0" w:space="0" w:color="auto"/>
              </w:divBdr>
              <w:divsChild>
                <w:div w:id="1508523236">
                  <w:marLeft w:val="0"/>
                  <w:marRight w:val="0"/>
                  <w:marTop w:val="0"/>
                  <w:marBottom w:val="0"/>
                  <w:divBdr>
                    <w:top w:val="none" w:sz="0" w:space="0" w:color="auto"/>
                    <w:left w:val="none" w:sz="0" w:space="0" w:color="auto"/>
                    <w:bottom w:val="none" w:sz="0" w:space="0" w:color="auto"/>
                    <w:right w:val="none" w:sz="0" w:space="0" w:color="auto"/>
                  </w:divBdr>
                </w:div>
              </w:divsChild>
            </w:div>
            <w:div w:id="702292457">
              <w:marLeft w:val="0"/>
              <w:marRight w:val="0"/>
              <w:marTop w:val="0"/>
              <w:marBottom w:val="0"/>
              <w:divBdr>
                <w:top w:val="none" w:sz="0" w:space="0" w:color="auto"/>
                <w:left w:val="none" w:sz="0" w:space="0" w:color="auto"/>
                <w:bottom w:val="none" w:sz="0" w:space="0" w:color="auto"/>
                <w:right w:val="none" w:sz="0" w:space="0" w:color="auto"/>
              </w:divBdr>
              <w:divsChild>
                <w:div w:id="1099646268">
                  <w:marLeft w:val="0"/>
                  <w:marRight w:val="0"/>
                  <w:marTop w:val="0"/>
                  <w:marBottom w:val="0"/>
                  <w:divBdr>
                    <w:top w:val="none" w:sz="0" w:space="0" w:color="auto"/>
                    <w:left w:val="none" w:sz="0" w:space="0" w:color="auto"/>
                    <w:bottom w:val="none" w:sz="0" w:space="0" w:color="auto"/>
                    <w:right w:val="none" w:sz="0" w:space="0" w:color="auto"/>
                  </w:divBdr>
                </w:div>
              </w:divsChild>
            </w:div>
            <w:div w:id="516231168">
              <w:marLeft w:val="0"/>
              <w:marRight w:val="0"/>
              <w:marTop w:val="0"/>
              <w:marBottom w:val="0"/>
              <w:divBdr>
                <w:top w:val="none" w:sz="0" w:space="0" w:color="auto"/>
                <w:left w:val="none" w:sz="0" w:space="0" w:color="auto"/>
                <w:bottom w:val="none" w:sz="0" w:space="0" w:color="auto"/>
                <w:right w:val="none" w:sz="0" w:space="0" w:color="auto"/>
              </w:divBdr>
              <w:divsChild>
                <w:div w:id="2062707827">
                  <w:marLeft w:val="0"/>
                  <w:marRight w:val="0"/>
                  <w:marTop w:val="0"/>
                  <w:marBottom w:val="0"/>
                  <w:divBdr>
                    <w:top w:val="none" w:sz="0" w:space="0" w:color="auto"/>
                    <w:left w:val="none" w:sz="0" w:space="0" w:color="auto"/>
                    <w:bottom w:val="none" w:sz="0" w:space="0" w:color="auto"/>
                    <w:right w:val="none" w:sz="0" w:space="0" w:color="auto"/>
                  </w:divBdr>
                </w:div>
              </w:divsChild>
            </w:div>
            <w:div w:id="1746880677">
              <w:marLeft w:val="0"/>
              <w:marRight w:val="0"/>
              <w:marTop w:val="0"/>
              <w:marBottom w:val="0"/>
              <w:divBdr>
                <w:top w:val="none" w:sz="0" w:space="0" w:color="auto"/>
                <w:left w:val="none" w:sz="0" w:space="0" w:color="auto"/>
                <w:bottom w:val="none" w:sz="0" w:space="0" w:color="auto"/>
                <w:right w:val="none" w:sz="0" w:space="0" w:color="auto"/>
              </w:divBdr>
              <w:divsChild>
                <w:div w:id="1360544979">
                  <w:marLeft w:val="0"/>
                  <w:marRight w:val="0"/>
                  <w:marTop w:val="0"/>
                  <w:marBottom w:val="0"/>
                  <w:divBdr>
                    <w:top w:val="none" w:sz="0" w:space="0" w:color="auto"/>
                    <w:left w:val="none" w:sz="0" w:space="0" w:color="auto"/>
                    <w:bottom w:val="none" w:sz="0" w:space="0" w:color="auto"/>
                    <w:right w:val="none" w:sz="0" w:space="0" w:color="auto"/>
                  </w:divBdr>
                </w:div>
              </w:divsChild>
            </w:div>
            <w:div w:id="288243610">
              <w:marLeft w:val="0"/>
              <w:marRight w:val="0"/>
              <w:marTop w:val="0"/>
              <w:marBottom w:val="0"/>
              <w:divBdr>
                <w:top w:val="none" w:sz="0" w:space="0" w:color="auto"/>
                <w:left w:val="none" w:sz="0" w:space="0" w:color="auto"/>
                <w:bottom w:val="none" w:sz="0" w:space="0" w:color="auto"/>
                <w:right w:val="none" w:sz="0" w:space="0" w:color="auto"/>
              </w:divBdr>
              <w:divsChild>
                <w:div w:id="297537948">
                  <w:marLeft w:val="0"/>
                  <w:marRight w:val="0"/>
                  <w:marTop w:val="0"/>
                  <w:marBottom w:val="0"/>
                  <w:divBdr>
                    <w:top w:val="none" w:sz="0" w:space="0" w:color="auto"/>
                    <w:left w:val="none" w:sz="0" w:space="0" w:color="auto"/>
                    <w:bottom w:val="none" w:sz="0" w:space="0" w:color="auto"/>
                    <w:right w:val="none" w:sz="0" w:space="0" w:color="auto"/>
                  </w:divBdr>
                </w:div>
              </w:divsChild>
            </w:div>
            <w:div w:id="1219589511">
              <w:marLeft w:val="0"/>
              <w:marRight w:val="0"/>
              <w:marTop w:val="0"/>
              <w:marBottom w:val="0"/>
              <w:divBdr>
                <w:top w:val="none" w:sz="0" w:space="0" w:color="auto"/>
                <w:left w:val="none" w:sz="0" w:space="0" w:color="auto"/>
                <w:bottom w:val="none" w:sz="0" w:space="0" w:color="auto"/>
                <w:right w:val="none" w:sz="0" w:space="0" w:color="auto"/>
              </w:divBdr>
              <w:divsChild>
                <w:div w:id="43964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image" Target="media/image17.jpeg"/><Relationship Id="rId39" Type="http://schemas.openxmlformats.org/officeDocument/2006/relationships/image" Target="media/image29.png"/><Relationship Id="rId21" Type="http://schemas.openxmlformats.org/officeDocument/2006/relationships/image" Target="media/image12.tiff"/><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tiff"/><Relationship Id="rId29" Type="http://schemas.openxmlformats.org/officeDocument/2006/relationships/image" Target="media/image19.tiff"/><Relationship Id="rId11" Type="http://schemas.openxmlformats.org/officeDocument/2006/relationships/image" Target="media/image2.tiff"/><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tiff"/><Relationship Id="rId45" Type="http://schemas.openxmlformats.org/officeDocument/2006/relationships/image" Target="media/image35.png"/><Relationship Id="rId53" Type="http://schemas.openxmlformats.org/officeDocument/2006/relationships/image" Target="media/image43.tiff"/><Relationship Id="rId58" Type="http://schemas.openxmlformats.org/officeDocument/2006/relationships/image" Target="media/image48.pn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0.png"/><Relationship Id="rId14" Type="http://schemas.openxmlformats.org/officeDocument/2006/relationships/image" Target="media/image5.tiff"/><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tiff"/><Relationship Id="rId56" Type="http://schemas.openxmlformats.org/officeDocument/2006/relationships/image" Target="media/image46.png"/><Relationship Id="rId8" Type="http://schemas.openxmlformats.org/officeDocument/2006/relationships/footer" Target="footer1.xml"/><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chart" Target="charts/chart1.xml"/><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20" Type="http://schemas.openxmlformats.org/officeDocument/2006/relationships/image" Target="media/image11.tiff"/><Relationship Id="rId41" Type="http://schemas.openxmlformats.org/officeDocument/2006/relationships/image" Target="media/image31.tiff"/><Relationship Id="rId54" Type="http://schemas.openxmlformats.org/officeDocument/2006/relationships/image" Target="media/image44.tif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tiff"/><Relationship Id="rId23" Type="http://schemas.openxmlformats.org/officeDocument/2006/relationships/image" Target="media/image14.jpe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1.tiff"/><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tif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avid%20Garcia\Downloads\Growth%20Curve%20Handheld%20Spec.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92344706911636"/>
          <c:y val="3.9883973894126179E-2"/>
          <c:w val="0.89007655293088361"/>
          <c:h val="0.77781571719778686"/>
        </c:manualLayout>
      </c:layout>
      <c:lineChart>
        <c:grouping val="standard"/>
        <c:varyColors val="0"/>
        <c:ser>
          <c:idx val="0"/>
          <c:order val="0"/>
          <c:tx>
            <c:strRef>
              <c:f>Sheet5!$A$1</c:f>
              <c:strCache>
                <c:ptCount val="1"/>
                <c:pt idx="0">
                  <c:v>WT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Sheet5!$G$2:$G$11</c:f>
                <c:numCache>
                  <c:formatCode>General</c:formatCode>
                  <c:ptCount val="10"/>
                  <c:pt idx="0">
                    <c:v>0</c:v>
                  </c:pt>
                  <c:pt idx="1">
                    <c:v>5.7735026918962545E-3</c:v>
                  </c:pt>
                  <c:pt idx="2">
                    <c:v>5.7735026918962623E-3</c:v>
                  </c:pt>
                  <c:pt idx="3">
                    <c:v>1.1547005383792525E-2</c:v>
                  </c:pt>
                  <c:pt idx="4">
                    <c:v>2.0816659994661344E-2</c:v>
                  </c:pt>
                  <c:pt idx="5">
                    <c:v>7.5718777944003585E-2</c:v>
                  </c:pt>
                  <c:pt idx="6">
                    <c:v>1.1547005383792525E-2</c:v>
                  </c:pt>
                  <c:pt idx="7">
                    <c:v>0</c:v>
                  </c:pt>
                  <c:pt idx="8">
                    <c:v>5.7735026918962632E-3</c:v>
                  </c:pt>
                  <c:pt idx="9">
                    <c:v>2.9999999999999916E-2</c:v>
                  </c:pt>
                </c:numCache>
              </c:numRef>
            </c:plus>
            <c:minus>
              <c:numRef>
                <c:f>Sheet5!$G$2:$G$11</c:f>
                <c:numCache>
                  <c:formatCode>General</c:formatCode>
                  <c:ptCount val="10"/>
                  <c:pt idx="0">
                    <c:v>0</c:v>
                  </c:pt>
                  <c:pt idx="1">
                    <c:v>5.7735026918962545E-3</c:v>
                  </c:pt>
                  <c:pt idx="2">
                    <c:v>5.7735026918962623E-3</c:v>
                  </c:pt>
                  <c:pt idx="3">
                    <c:v>1.1547005383792525E-2</c:v>
                  </c:pt>
                  <c:pt idx="4">
                    <c:v>2.0816659994661344E-2</c:v>
                  </c:pt>
                  <c:pt idx="5">
                    <c:v>7.5718777944003585E-2</c:v>
                  </c:pt>
                  <c:pt idx="6">
                    <c:v>1.1547005383792525E-2</c:v>
                  </c:pt>
                  <c:pt idx="7">
                    <c:v>0</c:v>
                  </c:pt>
                  <c:pt idx="8">
                    <c:v>5.7735026918962632E-3</c:v>
                  </c:pt>
                  <c:pt idx="9">
                    <c:v>2.9999999999999916E-2</c:v>
                  </c:pt>
                </c:numCache>
              </c:numRef>
            </c:minus>
            <c:spPr>
              <a:noFill/>
              <a:ln w="12700" cap="flat" cmpd="sng" algn="ctr">
                <a:solidFill>
                  <a:schemeClr val="accent5">
                    <a:lumMod val="50000"/>
                  </a:schemeClr>
                </a:solidFill>
                <a:round/>
              </a:ln>
              <a:effectLst/>
            </c:spPr>
          </c:errBars>
          <c:cat>
            <c:numRef>
              <c:f>Sheet5!$F$2:$F$11</c:f>
              <c:numCache>
                <c:formatCode>General</c:formatCode>
                <c:ptCount val="10"/>
                <c:pt idx="0">
                  <c:v>0</c:v>
                </c:pt>
                <c:pt idx="1">
                  <c:v>1</c:v>
                </c:pt>
                <c:pt idx="2">
                  <c:v>2</c:v>
                </c:pt>
                <c:pt idx="3">
                  <c:v>3</c:v>
                </c:pt>
                <c:pt idx="4">
                  <c:v>4</c:v>
                </c:pt>
                <c:pt idx="5">
                  <c:v>5</c:v>
                </c:pt>
                <c:pt idx="6">
                  <c:v>6</c:v>
                </c:pt>
                <c:pt idx="7">
                  <c:v>7</c:v>
                </c:pt>
                <c:pt idx="8">
                  <c:v>8</c:v>
                </c:pt>
                <c:pt idx="9">
                  <c:v>9</c:v>
                </c:pt>
              </c:numCache>
            </c:numRef>
          </c:cat>
          <c:val>
            <c:numRef>
              <c:f>Sheet5!$A$2:$A$11</c:f>
              <c:numCache>
                <c:formatCode>General</c:formatCode>
                <c:ptCount val="10"/>
                <c:pt idx="0">
                  <c:v>0.08</c:v>
                </c:pt>
                <c:pt idx="1">
                  <c:v>0.11666666666666665</c:v>
                </c:pt>
                <c:pt idx="2">
                  <c:v>0.25666666666666665</c:v>
                </c:pt>
                <c:pt idx="3">
                  <c:v>0.57666666666666666</c:v>
                </c:pt>
                <c:pt idx="4">
                  <c:v>0.90666666666666673</c:v>
                </c:pt>
                <c:pt idx="5">
                  <c:v>1.2933333333333332</c:v>
                </c:pt>
                <c:pt idx="6">
                  <c:v>1.5266666666666666</c:v>
                </c:pt>
                <c:pt idx="7">
                  <c:v>1.72</c:v>
                </c:pt>
                <c:pt idx="8">
                  <c:v>1.8366666666666667</c:v>
                </c:pt>
                <c:pt idx="9">
                  <c:v>1.8699999999999999</c:v>
                </c:pt>
              </c:numCache>
            </c:numRef>
          </c:val>
          <c:smooth val="0"/>
          <c:extLst>
            <c:ext xmlns:c16="http://schemas.microsoft.com/office/drawing/2014/chart" uri="{C3380CC4-5D6E-409C-BE32-E72D297353CC}">
              <c16:uniqueId val="{00000000-FAB3-E94B-9AE5-1051EBEC49F8}"/>
            </c:ext>
          </c:extLst>
        </c:ser>
        <c:ser>
          <c:idx val="1"/>
          <c:order val="1"/>
          <c:tx>
            <c:strRef>
              <c:f>Sheet5!$B$1</c:f>
              <c:strCache>
                <c:ptCount val="1"/>
                <c:pt idx="0">
                  <c:v>6xHis-1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cust"/>
            <c:noEndCap val="0"/>
            <c:plus>
              <c:numRef>
                <c:f>Sheet5!$H$2:$H$11</c:f>
                <c:numCache>
                  <c:formatCode>General</c:formatCode>
                  <c:ptCount val="10"/>
                  <c:pt idx="0">
                    <c:v>0</c:v>
                  </c:pt>
                  <c:pt idx="1">
                    <c:v>1.1547005383792509E-2</c:v>
                  </c:pt>
                  <c:pt idx="2">
                    <c:v>2.8867513459481284E-2</c:v>
                  </c:pt>
                  <c:pt idx="3">
                    <c:v>5.7735026918962623E-3</c:v>
                  </c:pt>
                  <c:pt idx="4">
                    <c:v>6.2449979983983911E-2</c:v>
                  </c:pt>
                  <c:pt idx="5">
                    <c:v>3.7859388972001862E-2</c:v>
                  </c:pt>
                  <c:pt idx="6">
                    <c:v>4.7258156262526045E-2</c:v>
                  </c:pt>
                  <c:pt idx="7">
                    <c:v>4.3588989435406775E-2</c:v>
                  </c:pt>
                  <c:pt idx="8">
                    <c:v>3.7859388972001855E-2</c:v>
                  </c:pt>
                  <c:pt idx="9">
                    <c:v>4.0414518843273836E-2</c:v>
                  </c:pt>
                </c:numCache>
              </c:numRef>
            </c:plus>
            <c:minus>
              <c:numRef>
                <c:f>Sheet5!$H$2:$H$11</c:f>
                <c:numCache>
                  <c:formatCode>General</c:formatCode>
                  <c:ptCount val="10"/>
                  <c:pt idx="0">
                    <c:v>0</c:v>
                  </c:pt>
                  <c:pt idx="1">
                    <c:v>1.1547005383792509E-2</c:v>
                  </c:pt>
                  <c:pt idx="2">
                    <c:v>2.8867513459481284E-2</c:v>
                  </c:pt>
                  <c:pt idx="3">
                    <c:v>5.7735026918962623E-3</c:v>
                  </c:pt>
                  <c:pt idx="4">
                    <c:v>6.2449979983983911E-2</c:v>
                  </c:pt>
                  <c:pt idx="5">
                    <c:v>3.7859388972001862E-2</c:v>
                  </c:pt>
                  <c:pt idx="6">
                    <c:v>4.7258156262526045E-2</c:v>
                  </c:pt>
                  <c:pt idx="7">
                    <c:v>4.3588989435406775E-2</c:v>
                  </c:pt>
                  <c:pt idx="8">
                    <c:v>3.7859388972001855E-2</c:v>
                  </c:pt>
                  <c:pt idx="9">
                    <c:v>4.0414518843273836E-2</c:v>
                  </c:pt>
                </c:numCache>
              </c:numRef>
            </c:minus>
            <c:spPr>
              <a:noFill/>
              <a:ln w="12700" cap="flat" cmpd="sng" algn="ctr">
                <a:solidFill>
                  <a:schemeClr val="tx1"/>
                </a:solidFill>
                <a:prstDash val="solid"/>
                <a:miter lim="800000"/>
              </a:ln>
              <a:effectLst/>
            </c:spPr>
          </c:errBars>
          <c:cat>
            <c:numRef>
              <c:f>Sheet5!$F$2:$F$11</c:f>
              <c:numCache>
                <c:formatCode>General</c:formatCode>
                <c:ptCount val="10"/>
                <c:pt idx="0">
                  <c:v>0</c:v>
                </c:pt>
                <c:pt idx="1">
                  <c:v>1</c:v>
                </c:pt>
                <c:pt idx="2">
                  <c:v>2</c:v>
                </c:pt>
                <c:pt idx="3">
                  <c:v>3</c:v>
                </c:pt>
                <c:pt idx="4">
                  <c:v>4</c:v>
                </c:pt>
                <c:pt idx="5">
                  <c:v>5</c:v>
                </c:pt>
                <c:pt idx="6">
                  <c:v>6</c:v>
                </c:pt>
                <c:pt idx="7">
                  <c:v>7</c:v>
                </c:pt>
                <c:pt idx="8">
                  <c:v>8</c:v>
                </c:pt>
                <c:pt idx="9">
                  <c:v>9</c:v>
                </c:pt>
              </c:numCache>
            </c:numRef>
          </c:cat>
          <c:val>
            <c:numRef>
              <c:f>Sheet5!$B$2:$B$11</c:f>
              <c:numCache>
                <c:formatCode>General</c:formatCode>
                <c:ptCount val="10"/>
                <c:pt idx="0">
                  <c:v>0.08</c:v>
                </c:pt>
                <c:pt idx="1">
                  <c:v>0.13666666666666669</c:v>
                </c:pt>
                <c:pt idx="2">
                  <c:v>0.28333333333333338</c:v>
                </c:pt>
                <c:pt idx="3">
                  <c:v>0.79666666666666675</c:v>
                </c:pt>
                <c:pt idx="4">
                  <c:v>1.1500000000000001</c:v>
                </c:pt>
                <c:pt idx="5">
                  <c:v>1.5433333333333337</c:v>
                </c:pt>
                <c:pt idx="6">
                  <c:v>1.8533333333333335</c:v>
                </c:pt>
                <c:pt idx="7">
                  <c:v>1.97</c:v>
                </c:pt>
                <c:pt idx="8">
                  <c:v>1.9733333333333334</c:v>
                </c:pt>
                <c:pt idx="9">
                  <c:v>1.9766666666666666</c:v>
                </c:pt>
              </c:numCache>
            </c:numRef>
          </c:val>
          <c:smooth val="0"/>
          <c:extLst>
            <c:ext xmlns:c16="http://schemas.microsoft.com/office/drawing/2014/chart" uri="{C3380CC4-5D6E-409C-BE32-E72D297353CC}">
              <c16:uniqueId val="{00000001-FAB3-E94B-9AE5-1051EBEC49F8}"/>
            </c:ext>
          </c:extLst>
        </c:ser>
        <c:ser>
          <c:idx val="2"/>
          <c:order val="2"/>
          <c:tx>
            <c:strRef>
              <c:f>Sheet5!$C$1</c:f>
              <c:strCache>
                <c:ptCount val="1"/>
                <c:pt idx="0">
                  <c:v>6xHis-2</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errBars>
            <c:errDir val="y"/>
            <c:errBarType val="both"/>
            <c:errValType val="cust"/>
            <c:noEndCap val="0"/>
            <c:plus>
              <c:numRef>
                <c:f>Sheet5!$I$2:$I$11</c:f>
                <c:numCache>
                  <c:formatCode>General</c:formatCode>
                  <c:ptCount val="10"/>
                  <c:pt idx="0">
                    <c:v>0</c:v>
                  </c:pt>
                  <c:pt idx="1">
                    <c:v>2.3094010767585035E-2</c:v>
                  </c:pt>
                  <c:pt idx="2">
                    <c:v>1.527525231651948E-2</c:v>
                  </c:pt>
                  <c:pt idx="3">
                    <c:v>3.5118845842842437E-2</c:v>
                  </c:pt>
                  <c:pt idx="4">
                    <c:v>5.2915026221291732E-2</c:v>
                  </c:pt>
                  <c:pt idx="5">
                    <c:v>5.1961524227066368E-2</c:v>
                  </c:pt>
                  <c:pt idx="6">
                    <c:v>4.3588989435406775E-2</c:v>
                  </c:pt>
                  <c:pt idx="7">
                    <c:v>3.0550504633038961E-2</c:v>
                  </c:pt>
                  <c:pt idx="8">
                    <c:v>2.0000000000000018E-2</c:v>
                  </c:pt>
                  <c:pt idx="9">
                    <c:v>5.7735026918962632E-3</c:v>
                  </c:pt>
                </c:numCache>
              </c:numRef>
            </c:plus>
            <c:minus>
              <c:numRef>
                <c:f>Sheet5!$I$2:$I$11</c:f>
                <c:numCache>
                  <c:formatCode>General</c:formatCode>
                  <c:ptCount val="10"/>
                  <c:pt idx="0">
                    <c:v>0</c:v>
                  </c:pt>
                  <c:pt idx="1">
                    <c:v>2.3094010767585035E-2</c:v>
                  </c:pt>
                  <c:pt idx="2">
                    <c:v>1.527525231651948E-2</c:v>
                  </c:pt>
                  <c:pt idx="3">
                    <c:v>3.5118845842842437E-2</c:v>
                  </c:pt>
                  <c:pt idx="4">
                    <c:v>5.2915026221291732E-2</c:v>
                  </c:pt>
                  <c:pt idx="5">
                    <c:v>5.1961524227066368E-2</c:v>
                  </c:pt>
                  <c:pt idx="6">
                    <c:v>4.3588989435406775E-2</c:v>
                  </c:pt>
                  <c:pt idx="7">
                    <c:v>3.0550504633038961E-2</c:v>
                  </c:pt>
                  <c:pt idx="8">
                    <c:v>2.0000000000000018E-2</c:v>
                  </c:pt>
                  <c:pt idx="9">
                    <c:v>5.7735026918962632E-3</c:v>
                  </c:pt>
                </c:numCache>
              </c:numRef>
            </c:minus>
            <c:spPr>
              <a:noFill/>
              <a:ln w="19050" cap="flat" cmpd="sng" algn="ctr">
                <a:solidFill>
                  <a:schemeClr val="tx1"/>
                </a:solidFill>
                <a:round/>
              </a:ln>
              <a:effectLst/>
            </c:spPr>
          </c:errBars>
          <c:cat>
            <c:numRef>
              <c:f>Sheet5!$F$2:$F$11</c:f>
              <c:numCache>
                <c:formatCode>General</c:formatCode>
                <c:ptCount val="10"/>
                <c:pt idx="0">
                  <c:v>0</c:v>
                </c:pt>
                <c:pt idx="1">
                  <c:v>1</c:v>
                </c:pt>
                <c:pt idx="2">
                  <c:v>2</c:v>
                </c:pt>
                <c:pt idx="3">
                  <c:v>3</c:v>
                </c:pt>
                <c:pt idx="4">
                  <c:v>4</c:v>
                </c:pt>
                <c:pt idx="5">
                  <c:v>5</c:v>
                </c:pt>
                <c:pt idx="6">
                  <c:v>6</c:v>
                </c:pt>
                <c:pt idx="7">
                  <c:v>7</c:v>
                </c:pt>
                <c:pt idx="8">
                  <c:v>8</c:v>
                </c:pt>
                <c:pt idx="9">
                  <c:v>9</c:v>
                </c:pt>
              </c:numCache>
            </c:numRef>
          </c:cat>
          <c:val>
            <c:numRef>
              <c:f>Sheet5!$C$2:$C$11</c:f>
              <c:numCache>
                <c:formatCode>General</c:formatCode>
                <c:ptCount val="10"/>
                <c:pt idx="0">
                  <c:v>0.08</c:v>
                </c:pt>
                <c:pt idx="1">
                  <c:v>0.11333333333333334</c:v>
                </c:pt>
                <c:pt idx="2">
                  <c:v>0.25666666666666665</c:v>
                </c:pt>
                <c:pt idx="3">
                  <c:v>0.66333333333333333</c:v>
                </c:pt>
                <c:pt idx="4">
                  <c:v>1.07</c:v>
                </c:pt>
                <c:pt idx="5">
                  <c:v>1.47</c:v>
                </c:pt>
                <c:pt idx="6">
                  <c:v>1.79</c:v>
                </c:pt>
                <c:pt idx="7">
                  <c:v>1.9666666666666668</c:v>
                </c:pt>
                <c:pt idx="8">
                  <c:v>1.9799999999999998</c:v>
                </c:pt>
                <c:pt idx="9">
                  <c:v>1.9666666666666668</c:v>
                </c:pt>
              </c:numCache>
            </c:numRef>
          </c:val>
          <c:smooth val="0"/>
          <c:extLst>
            <c:ext xmlns:c16="http://schemas.microsoft.com/office/drawing/2014/chart" uri="{C3380CC4-5D6E-409C-BE32-E72D297353CC}">
              <c16:uniqueId val="{00000002-FAB3-E94B-9AE5-1051EBEC49F8}"/>
            </c:ext>
          </c:extLst>
        </c:ser>
        <c:ser>
          <c:idx val="3"/>
          <c:order val="3"/>
          <c:tx>
            <c:strRef>
              <c:f>Sheet5!$D$1</c:f>
              <c:strCache>
                <c:ptCount val="1"/>
                <c:pt idx="0">
                  <c:v>6xHis-3</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errBars>
            <c:errDir val="y"/>
            <c:errBarType val="both"/>
            <c:errValType val="cust"/>
            <c:noEndCap val="0"/>
            <c:plus>
              <c:numRef>
                <c:f>Sheet5!$J$2:$J$11</c:f>
                <c:numCache>
                  <c:formatCode>General</c:formatCode>
                  <c:ptCount val="10"/>
                  <c:pt idx="0">
                    <c:v>5.7735026918962545E-3</c:v>
                  </c:pt>
                  <c:pt idx="1">
                    <c:v>1.0000000000000002E-2</c:v>
                  </c:pt>
                  <c:pt idx="2">
                    <c:v>1.5275252316519465E-2</c:v>
                  </c:pt>
                  <c:pt idx="3">
                    <c:v>2.3094010767585053E-2</c:v>
                  </c:pt>
                  <c:pt idx="4">
                    <c:v>3.4641016151377574E-2</c:v>
                  </c:pt>
                  <c:pt idx="5">
                    <c:v>1.1547005383792525E-2</c:v>
                  </c:pt>
                  <c:pt idx="6">
                    <c:v>2.6457513110645928E-2</c:v>
                  </c:pt>
                  <c:pt idx="7">
                    <c:v>1.527525231651948E-2</c:v>
                  </c:pt>
                  <c:pt idx="8">
                    <c:v>1.1547005383792526E-2</c:v>
                  </c:pt>
                  <c:pt idx="9">
                    <c:v>2.5166114784235857E-2</c:v>
                  </c:pt>
                </c:numCache>
              </c:numRef>
            </c:plus>
            <c:minus>
              <c:numRef>
                <c:f>Sheet5!$J$2:$J$11</c:f>
                <c:numCache>
                  <c:formatCode>General</c:formatCode>
                  <c:ptCount val="10"/>
                  <c:pt idx="0">
                    <c:v>5.7735026918962545E-3</c:v>
                  </c:pt>
                  <c:pt idx="1">
                    <c:v>1.0000000000000002E-2</c:v>
                  </c:pt>
                  <c:pt idx="2">
                    <c:v>1.5275252316519465E-2</c:v>
                  </c:pt>
                  <c:pt idx="3">
                    <c:v>2.3094010767585053E-2</c:v>
                  </c:pt>
                  <c:pt idx="4">
                    <c:v>3.4641016151377574E-2</c:v>
                  </c:pt>
                  <c:pt idx="5">
                    <c:v>1.1547005383792525E-2</c:v>
                  </c:pt>
                  <c:pt idx="6">
                    <c:v>2.6457513110645928E-2</c:v>
                  </c:pt>
                  <c:pt idx="7">
                    <c:v>1.527525231651948E-2</c:v>
                  </c:pt>
                  <c:pt idx="8">
                    <c:v>1.1547005383792526E-2</c:v>
                  </c:pt>
                  <c:pt idx="9">
                    <c:v>2.5166114784235857E-2</c:v>
                  </c:pt>
                </c:numCache>
              </c:numRef>
            </c:minus>
            <c:spPr>
              <a:noFill/>
              <a:ln w="9525" cap="flat" cmpd="sng" algn="ctr">
                <a:solidFill>
                  <a:schemeClr val="tx1">
                    <a:lumMod val="65000"/>
                    <a:lumOff val="35000"/>
                  </a:schemeClr>
                </a:solidFill>
                <a:round/>
              </a:ln>
              <a:effectLst/>
            </c:spPr>
          </c:errBars>
          <c:cat>
            <c:numRef>
              <c:f>Sheet5!$F$2:$F$11</c:f>
              <c:numCache>
                <c:formatCode>General</c:formatCode>
                <c:ptCount val="10"/>
                <c:pt idx="0">
                  <c:v>0</c:v>
                </c:pt>
                <c:pt idx="1">
                  <c:v>1</c:v>
                </c:pt>
                <c:pt idx="2">
                  <c:v>2</c:v>
                </c:pt>
                <c:pt idx="3">
                  <c:v>3</c:v>
                </c:pt>
                <c:pt idx="4">
                  <c:v>4</c:v>
                </c:pt>
                <c:pt idx="5">
                  <c:v>5</c:v>
                </c:pt>
                <c:pt idx="6">
                  <c:v>6</c:v>
                </c:pt>
                <c:pt idx="7">
                  <c:v>7</c:v>
                </c:pt>
                <c:pt idx="8">
                  <c:v>8</c:v>
                </c:pt>
                <c:pt idx="9">
                  <c:v>9</c:v>
                </c:pt>
              </c:numCache>
            </c:numRef>
          </c:cat>
          <c:val>
            <c:numRef>
              <c:f>Sheet5!$D$2:$D$11</c:f>
              <c:numCache>
                <c:formatCode>General</c:formatCode>
                <c:ptCount val="10"/>
                <c:pt idx="0">
                  <c:v>8.3333333333333329E-2</c:v>
                </c:pt>
                <c:pt idx="1">
                  <c:v>9.9999999999999992E-2</c:v>
                </c:pt>
                <c:pt idx="2">
                  <c:v>0.21666666666666667</c:v>
                </c:pt>
                <c:pt idx="3">
                  <c:v>0.44666666666666671</c:v>
                </c:pt>
                <c:pt idx="4">
                  <c:v>0.79</c:v>
                </c:pt>
                <c:pt idx="5">
                  <c:v>1.1566666666666665</c:v>
                </c:pt>
                <c:pt idx="6">
                  <c:v>1.5200000000000002</c:v>
                </c:pt>
                <c:pt idx="7">
                  <c:v>1.7466666666666668</c:v>
                </c:pt>
                <c:pt idx="8">
                  <c:v>1.8633333333333333</c:v>
                </c:pt>
                <c:pt idx="9">
                  <c:v>1.9233333333333331</c:v>
                </c:pt>
              </c:numCache>
            </c:numRef>
          </c:val>
          <c:smooth val="0"/>
          <c:extLst>
            <c:ext xmlns:c16="http://schemas.microsoft.com/office/drawing/2014/chart" uri="{C3380CC4-5D6E-409C-BE32-E72D297353CC}">
              <c16:uniqueId val="{00000003-FAB3-E94B-9AE5-1051EBEC49F8}"/>
            </c:ext>
          </c:extLst>
        </c:ser>
        <c:ser>
          <c:idx val="4"/>
          <c:order val="4"/>
          <c:tx>
            <c:strRef>
              <c:f>Sheet5!$E$1</c:f>
              <c:strCache>
                <c:ptCount val="1"/>
                <c:pt idx="0">
                  <c:v>6xHis-4</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errBars>
            <c:errDir val="y"/>
            <c:errBarType val="both"/>
            <c:errValType val="cust"/>
            <c:noEndCap val="0"/>
            <c:plus>
              <c:numRef>
                <c:f>Sheet5!$K$2:$K$11</c:f>
                <c:numCache>
                  <c:formatCode>General</c:formatCode>
                  <c:ptCount val="10"/>
                  <c:pt idx="0">
                    <c:v>0</c:v>
                  </c:pt>
                  <c:pt idx="1">
                    <c:v>2.0816659994661264E-2</c:v>
                  </c:pt>
                  <c:pt idx="2">
                    <c:v>0</c:v>
                  </c:pt>
                  <c:pt idx="3">
                    <c:v>2.0816659994661313E-2</c:v>
                  </c:pt>
                  <c:pt idx="4">
                    <c:v>3.2145502536643208E-2</c:v>
                  </c:pt>
                  <c:pt idx="5">
                    <c:v>5.1316014394468888E-2</c:v>
                  </c:pt>
                  <c:pt idx="6">
                    <c:v>1.7320508075688787E-2</c:v>
                  </c:pt>
                  <c:pt idx="7">
                    <c:v>4.5092497528228984E-2</c:v>
                  </c:pt>
                  <c:pt idx="8">
                    <c:v>3.5118845842842375E-2</c:v>
                  </c:pt>
                  <c:pt idx="9">
                    <c:v>1.527525231651948E-2</c:v>
                  </c:pt>
                </c:numCache>
              </c:numRef>
            </c:plus>
            <c:minus>
              <c:numRef>
                <c:f>Sheet5!$K$2:$K$11</c:f>
                <c:numCache>
                  <c:formatCode>General</c:formatCode>
                  <c:ptCount val="10"/>
                  <c:pt idx="0">
                    <c:v>0</c:v>
                  </c:pt>
                  <c:pt idx="1">
                    <c:v>2.0816659994661264E-2</c:v>
                  </c:pt>
                  <c:pt idx="2">
                    <c:v>0</c:v>
                  </c:pt>
                  <c:pt idx="3">
                    <c:v>2.0816659994661313E-2</c:v>
                  </c:pt>
                  <c:pt idx="4">
                    <c:v>3.2145502536643208E-2</c:v>
                  </c:pt>
                  <c:pt idx="5">
                    <c:v>5.1316014394468888E-2</c:v>
                  </c:pt>
                  <c:pt idx="6">
                    <c:v>1.7320508075688787E-2</c:v>
                  </c:pt>
                  <c:pt idx="7">
                    <c:v>4.5092497528228984E-2</c:v>
                  </c:pt>
                  <c:pt idx="8">
                    <c:v>3.5118845842842375E-2</c:v>
                  </c:pt>
                  <c:pt idx="9">
                    <c:v>1.527525231651948E-2</c:v>
                  </c:pt>
                </c:numCache>
              </c:numRef>
            </c:minus>
            <c:spPr>
              <a:noFill/>
              <a:ln w="12700" cap="flat" cmpd="sng" algn="ctr">
                <a:solidFill>
                  <a:sysClr val="windowText" lastClr="000000"/>
                </a:solidFill>
                <a:prstDash val="solid"/>
                <a:miter lim="800000"/>
              </a:ln>
              <a:effectLst/>
            </c:spPr>
          </c:errBars>
          <c:cat>
            <c:numRef>
              <c:f>Sheet5!$F$2:$F$11</c:f>
              <c:numCache>
                <c:formatCode>General</c:formatCode>
                <c:ptCount val="10"/>
                <c:pt idx="0">
                  <c:v>0</c:v>
                </c:pt>
                <c:pt idx="1">
                  <c:v>1</c:v>
                </c:pt>
                <c:pt idx="2">
                  <c:v>2</c:v>
                </c:pt>
                <c:pt idx="3">
                  <c:v>3</c:v>
                </c:pt>
                <c:pt idx="4">
                  <c:v>4</c:v>
                </c:pt>
                <c:pt idx="5">
                  <c:v>5</c:v>
                </c:pt>
                <c:pt idx="6">
                  <c:v>6</c:v>
                </c:pt>
                <c:pt idx="7">
                  <c:v>7</c:v>
                </c:pt>
                <c:pt idx="8">
                  <c:v>8</c:v>
                </c:pt>
                <c:pt idx="9">
                  <c:v>9</c:v>
                </c:pt>
              </c:numCache>
            </c:numRef>
          </c:cat>
          <c:val>
            <c:numRef>
              <c:f>Sheet5!$E$2:$E$11</c:f>
              <c:numCache>
                <c:formatCode>General</c:formatCode>
                <c:ptCount val="10"/>
                <c:pt idx="0">
                  <c:v>0.08</c:v>
                </c:pt>
                <c:pt idx="1">
                  <c:v>0.11666666666666668</c:v>
                </c:pt>
                <c:pt idx="2">
                  <c:v>0.21</c:v>
                </c:pt>
                <c:pt idx="3">
                  <c:v>0.48333333333333334</c:v>
                </c:pt>
                <c:pt idx="4">
                  <c:v>0.76666666666666661</c:v>
                </c:pt>
                <c:pt idx="5">
                  <c:v>1.1966666666666665</c:v>
                </c:pt>
                <c:pt idx="6">
                  <c:v>1.58</c:v>
                </c:pt>
                <c:pt idx="7">
                  <c:v>1.7666666666666668</c:v>
                </c:pt>
                <c:pt idx="8">
                  <c:v>1.8966666666666665</c:v>
                </c:pt>
                <c:pt idx="9">
                  <c:v>1.9566666666666668</c:v>
                </c:pt>
              </c:numCache>
            </c:numRef>
          </c:val>
          <c:smooth val="0"/>
          <c:extLst>
            <c:ext xmlns:c16="http://schemas.microsoft.com/office/drawing/2014/chart" uri="{C3380CC4-5D6E-409C-BE32-E72D297353CC}">
              <c16:uniqueId val="{00000004-FAB3-E94B-9AE5-1051EBEC49F8}"/>
            </c:ext>
          </c:extLst>
        </c:ser>
        <c:dLbls>
          <c:showLegendKey val="0"/>
          <c:showVal val="0"/>
          <c:showCatName val="0"/>
          <c:showSerName val="0"/>
          <c:showPercent val="0"/>
          <c:showBubbleSize val="0"/>
        </c:dLbls>
        <c:marker val="1"/>
        <c:smooth val="0"/>
        <c:axId val="2073743983"/>
        <c:axId val="2073745615"/>
      </c:lineChart>
      <c:catAx>
        <c:axId val="2073743983"/>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t>Time (h)</a:t>
                </a:r>
              </a:p>
            </c:rich>
          </c:tx>
          <c:layout>
            <c:manualLayout>
              <c:xMode val="edge"/>
              <c:yMode val="edge"/>
              <c:x val="0.49544249276532742"/>
              <c:y val="0.86917999463265061"/>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2073745615"/>
        <c:crosses val="autoZero"/>
        <c:auto val="1"/>
        <c:lblAlgn val="ctr"/>
        <c:lblOffset val="100"/>
        <c:noMultiLvlLbl val="0"/>
      </c:catAx>
      <c:valAx>
        <c:axId val="2073745615"/>
        <c:scaling>
          <c:orientation val="minMax"/>
          <c:max val="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ysClr val="windowText" lastClr="000000"/>
                    </a:solidFill>
                    <a:latin typeface="+mn-lt"/>
                    <a:ea typeface="+mn-ea"/>
                    <a:cs typeface="+mn-cs"/>
                  </a:defRPr>
                </a:pPr>
                <a:r>
                  <a:rPr lang="en-US"/>
                  <a:t>Average OD600</a:t>
                </a:r>
              </a:p>
            </c:rich>
          </c:tx>
          <c:layout>
            <c:manualLayout>
              <c:xMode val="edge"/>
              <c:yMode val="edge"/>
              <c:x val="5.8170132579581412E-3"/>
              <c:y val="0.24918690366749841"/>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2073743983"/>
        <c:crosses val="autoZero"/>
        <c:crossBetween val="between"/>
        <c:majorUnit val="0.4"/>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400">
          <a:solidFill>
            <a:sysClr val="windowText" lastClr="000000"/>
          </a:solidFill>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16.png"/></Relationships>
</file>

<file path=word/drawings/drawing1.xml><?xml version="1.0" encoding="utf-8"?>
<c:userShapes xmlns:c="http://schemas.openxmlformats.org/drawingml/2006/chart">
  <cdr:relSizeAnchor xmlns:cdr="http://schemas.openxmlformats.org/drawingml/2006/chartDrawing">
    <cdr:from>
      <cdr:x>0.34916</cdr:x>
      <cdr:y>0.93246</cdr:y>
    </cdr:from>
    <cdr:to>
      <cdr:x>0.71037</cdr:x>
      <cdr:y>0.96887</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075289" y="3266096"/>
          <a:ext cx="2146853" cy="127536"/>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E3D9B-EB9D-8448-9140-389C484C3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223</Pages>
  <Words>298984</Words>
  <Characters>1704215</Characters>
  <Application>Microsoft Office Word</Application>
  <DocSecurity>0</DocSecurity>
  <Lines>14201</Lines>
  <Paragraphs>3998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Dinglasan, Enzo</dc:creator>
  <cp:keywords/>
  <dc:description/>
  <cp:lastModifiedBy>Dinglasan, Enzo</cp:lastModifiedBy>
  <cp:revision>14</cp:revision>
  <dcterms:created xsi:type="dcterms:W3CDTF">2023-04-03T14:20:00Z</dcterms:created>
  <dcterms:modified xsi:type="dcterms:W3CDTF">2023-04-03T15:32:00Z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http://www.zotero.org/styles/acs-chemical-biology</vt:lpwstr>
  </property>
  <property fmtid="{D5CDD505-2E9C-101B-9397-08002B2CF9AE}" pid="3" name="Mendeley Recent Style Name 0_1">
    <vt:lpwstr>ACS Chemical Biology</vt:lpwstr>
  </property>
  <property fmtid="{D5CDD505-2E9C-101B-9397-08002B2CF9AE}" pid="4" name="Mendeley Recent Style Id 1_1">
    <vt:lpwstr>http://www.zotero.org/styles/acs-synthetic-biology</vt:lpwstr>
  </property>
  <property fmtid="{D5CDD505-2E9C-101B-9397-08002B2CF9AE}" pid="5" name="Mendeley Recent Style Name 1_1">
    <vt:lpwstr>ACS Synthetic Biology</vt:lpwstr>
  </property>
  <property fmtid="{D5CDD505-2E9C-101B-9397-08002B2CF9AE}" pid="6" name="Mendeley Recent Style Id 2_1">
    <vt:lpwstr>http://www.zotero.org/styles/american-medical-association</vt:lpwstr>
  </property>
  <property fmtid="{D5CDD505-2E9C-101B-9397-08002B2CF9AE}" pid="7" name="Mendeley Recent Style Name 2_1">
    <vt:lpwstr>American Medical Association</vt:lpwstr>
  </property>
  <property fmtid="{D5CDD505-2E9C-101B-9397-08002B2CF9AE}" pid="8" name="Mendeley Recent Style Id 3_1">
    <vt:lpwstr>http://www.zotero.org/styles/american-political-science-association</vt:lpwstr>
  </property>
  <property fmtid="{D5CDD505-2E9C-101B-9397-08002B2CF9AE}" pid="9" name="Mendeley Recent Style Name 3_1">
    <vt:lpwstr>American Political Science Association</vt:lpwstr>
  </property>
  <property fmtid="{D5CDD505-2E9C-101B-9397-08002B2CF9AE}" pid="10" name="Mendeley Recent Style Id 4_1">
    <vt:lpwstr>http://www.zotero.org/styles/apa</vt:lpwstr>
  </property>
  <property fmtid="{D5CDD505-2E9C-101B-9397-08002B2CF9AE}" pid="11" name="Mendeley Recent Style Name 4_1">
    <vt:lpwstr>American Psychological Association 6th edition</vt:lpwstr>
  </property>
  <property fmtid="{D5CDD505-2E9C-101B-9397-08002B2CF9AE}" pid="12" name="Mendeley Recent Style Id 5_1">
    <vt:lpwstr>http://www.zotero.org/styles/american-sociological-association</vt:lpwstr>
  </property>
  <property fmtid="{D5CDD505-2E9C-101B-9397-08002B2CF9AE}" pid="13" name="Mendeley Recent Style Name 5_1">
    <vt:lpwstr>American Sociological Association</vt:lpwstr>
  </property>
  <property fmtid="{D5CDD505-2E9C-101B-9397-08002B2CF9AE}" pid="14" name="Mendeley Recent Style Id 6_1">
    <vt:lpwstr>http://www.zotero.org/styles/analytical-biochemistry</vt:lpwstr>
  </property>
  <property fmtid="{D5CDD505-2E9C-101B-9397-08002B2CF9AE}" pid="15" name="Mendeley Recent Style Name 6_1">
    <vt:lpwstr>Analytical Biochemistry</vt:lpwstr>
  </property>
  <property fmtid="{D5CDD505-2E9C-101B-9397-08002B2CF9AE}" pid="16" name="Mendeley Recent Style Id 7_1">
    <vt:lpwstr>http://www.zotero.org/styles/biochemistry</vt:lpwstr>
  </property>
  <property fmtid="{D5CDD505-2E9C-101B-9397-08002B2CF9AE}" pid="17" name="Mendeley Recent Style Name 7_1">
    <vt:lpwstr>Biochemistry</vt:lpwstr>
  </property>
  <property fmtid="{D5CDD505-2E9C-101B-9397-08002B2CF9AE}" pid="18" name="Mendeley Recent Style Id 8_1">
    <vt:lpwstr>http://www.zotero.org/styles/chicago-author-date</vt:lpwstr>
  </property>
  <property fmtid="{D5CDD505-2E9C-101B-9397-08002B2CF9AE}" pid="19" name="Mendeley Recent Style Name 8_1">
    <vt:lpwstr>Chicago Manual of Style 17th edition (author-date)</vt:lpwstr>
  </property>
  <property fmtid="{D5CDD505-2E9C-101B-9397-08002B2CF9AE}" pid="20" name="Mendeley Recent Style Id 9_1">
    <vt:lpwstr>http://www.zotero.org/styles/fish-and-shellfish-immunology</vt:lpwstr>
  </property>
  <property fmtid="{D5CDD505-2E9C-101B-9397-08002B2CF9AE}" pid="21" name="Mendeley Recent Style Name 9_1">
    <vt:lpwstr>Fish and Shellfish Immunology</vt:lpwstr>
  </property>
  <property fmtid="{D5CDD505-2E9C-101B-9397-08002B2CF9AE}" pid="22" name="Mendeley Document_1">
    <vt:lpwstr>True</vt:lpwstr>
  </property>
  <property fmtid="{D5CDD505-2E9C-101B-9397-08002B2CF9AE}" pid="23" name="Mendeley Unique User Id_1">
    <vt:lpwstr>e84f7bf3-7240-3db9-a109-a6e9d22c2236</vt:lpwstr>
  </property>
  <property fmtid="{D5CDD505-2E9C-101B-9397-08002B2CF9AE}" pid="24" name="Mendeley Citation Style_1">
    <vt:lpwstr>http://www.zotero.org/styles/biochemistry</vt:lpwstr>
  </property>
</Properties>
</file>